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Washington, D.C.</w:t>
      </w:r>
    </w:p>
    <w:p>
      <w:pPr>
        <w:spacing w:after="0" w:line="21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FORM 8-K</w:t>
      </w:r>
    </w:p>
    <w:p>
      <w:pPr>
        <w:spacing w:after="0" w:line="210"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212"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PURSUANT TO SECTION 13 OR 15 (d) OF THE</w:t>
      </w:r>
    </w:p>
    <w:p>
      <w:pPr>
        <w:spacing w:after="0" w:line="210"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spacing w:after="0" w:line="212" w:lineRule="exact"/>
        <w:rPr>
          <w:sz w:val="24"/>
          <w:szCs w:val="24"/>
          <w:color w:val="auto"/>
        </w:rPr>
      </w:pPr>
    </w:p>
    <w:p>
      <w:pPr>
        <w:jc w:val="right"/>
        <w:ind w:right="2779"/>
        <w:spacing w:after="0"/>
        <w:rPr>
          <w:sz w:val="20"/>
          <w:szCs w:val="20"/>
          <w:color w:val="auto"/>
        </w:rPr>
      </w:pPr>
      <w:r>
        <w:rPr>
          <w:rFonts w:ascii="Courier New" w:cs="Courier New" w:eastAsia="Courier New" w:hAnsi="Courier New"/>
          <w:sz w:val="17"/>
          <w:szCs w:val="17"/>
          <w:color w:val="auto"/>
        </w:rPr>
        <w:t>Date of report (Date of earliest event reported) June 12, 2000</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THE ALLSTATE CORPORATION</w:t>
      </w:r>
    </w:p>
    <w:p>
      <w:pPr>
        <w:spacing w:after="0" w:line="9" w:lineRule="exact"/>
        <w:rPr>
          <w:sz w:val="24"/>
          <w:szCs w:val="24"/>
          <w:color w:val="auto"/>
        </w:rPr>
      </w:pPr>
    </w:p>
    <w:p>
      <w:pPr>
        <w:ind w:left="15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580"/>
        <w:spacing w:after="0"/>
        <w:rPr>
          <w:sz w:val="20"/>
          <w:szCs w:val="20"/>
          <w:color w:val="auto"/>
        </w:rPr>
      </w:pPr>
      <w:r>
        <w:rPr>
          <w:rFonts w:ascii="Courier New" w:cs="Courier New" w:eastAsia="Courier New" w:hAnsi="Courier New"/>
          <w:sz w:val="17"/>
          <w:szCs w:val="17"/>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Delaware</w:t>
            </w:r>
          </w:p>
        </w:tc>
        <w:tc>
          <w:tcPr>
            <w:tcW w:w="2940" w:type="dxa"/>
            <w:vAlign w:val="bottom"/>
          </w:tcPr>
          <w:p>
            <w:pPr>
              <w:ind w:left="900"/>
              <w:spacing w:after="0"/>
              <w:rPr>
                <w:sz w:val="20"/>
                <w:szCs w:val="20"/>
                <w:color w:val="auto"/>
              </w:rPr>
            </w:pPr>
            <w:r>
              <w:rPr>
                <w:rFonts w:ascii="Courier New" w:cs="Courier New" w:eastAsia="Courier New" w:hAnsi="Courier New"/>
                <w:sz w:val="17"/>
                <w:szCs w:val="17"/>
                <w:color w:val="auto"/>
              </w:rPr>
              <w:t>1-11840</w:t>
            </w:r>
          </w:p>
        </w:tc>
        <w:tc>
          <w:tcPr>
            <w:tcW w:w="2460" w:type="dxa"/>
            <w:vAlign w:val="bottom"/>
          </w:tcPr>
          <w:p>
            <w:pPr>
              <w:ind w:left="1100"/>
              <w:spacing w:after="0"/>
              <w:rPr>
                <w:sz w:val="20"/>
                <w:szCs w:val="20"/>
                <w:color w:val="auto"/>
              </w:rPr>
            </w:pPr>
            <w:r>
              <w:rPr>
                <w:rFonts w:ascii="Courier New" w:cs="Courier New" w:eastAsia="Courier New" w:hAnsi="Courier New"/>
                <w:sz w:val="17"/>
                <w:szCs w:val="17"/>
                <w:color w:val="auto"/>
              </w:rPr>
              <w:t>36-3871531</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94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246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(State or Other</w:t>
            </w:r>
          </w:p>
        </w:tc>
        <w:tc>
          <w:tcPr>
            <w:tcW w:w="2940" w:type="dxa"/>
            <w:vAlign w:val="bottom"/>
          </w:tcPr>
          <w:p>
            <w:pPr>
              <w:ind w:left="680"/>
              <w:spacing w:after="0"/>
              <w:rPr>
                <w:sz w:val="20"/>
                <w:szCs w:val="20"/>
                <w:color w:val="auto"/>
              </w:rPr>
            </w:pPr>
            <w:r>
              <w:rPr>
                <w:rFonts w:ascii="Courier New" w:cs="Courier New" w:eastAsia="Courier New" w:hAnsi="Courier New"/>
                <w:sz w:val="17"/>
                <w:szCs w:val="17"/>
                <w:color w:val="auto"/>
              </w:rPr>
              <w:t>(Commission</w:t>
            </w:r>
          </w:p>
        </w:tc>
        <w:tc>
          <w:tcPr>
            <w:tcW w:w="2460" w:type="dxa"/>
            <w:vAlign w:val="bottom"/>
          </w:tcPr>
          <w:p>
            <w:pPr>
              <w:ind w:left="900"/>
              <w:spacing w:after="0"/>
              <w:rPr>
                <w:sz w:val="20"/>
                <w:szCs w:val="20"/>
                <w:color w:val="auto"/>
              </w:rPr>
            </w:pPr>
            <w:r>
              <w:rPr>
                <w:rFonts w:ascii="Courier New" w:cs="Courier New" w:eastAsia="Courier New" w:hAnsi="Courier New"/>
                <w:sz w:val="17"/>
                <w:szCs w:val="17"/>
                <w:color w:val="auto"/>
              </w:rPr>
              <w:t>(IRS Employer</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Jurisdiction of</w:t>
            </w:r>
          </w:p>
        </w:tc>
        <w:tc>
          <w:tcPr>
            <w:tcW w:w="2940" w:type="dxa"/>
            <w:vAlign w:val="bottom"/>
          </w:tcPr>
          <w:p>
            <w:pPr>
              <w:ind w:left="680"/>
              <w:spacing w:after="0"/>
              <w:rPr>
                <w:sz w:val="20"/>
                <w:szCs w:val="20"/>
                <w:color w:val="auto"/>
              </w:rPr>
            </w:pPr>
            <w:r>
              <w:rPr>
                <w:rFonts w:ascii="Courier New" w:cs="Courier New" w:eastAsia="Courier New" w:hAnsi="Courier New"/>
                <w:sz w:val="17"/>
                <w:szCs w:val="17"/>
                <w:color w:val="auto"/>
              </w:rPr>
              <w:t>File Number)</w:t>
            </w:r>
          </w:p>
        </w:tc>
        <w:tc>
          <w:tcPr>
            <w:tcW w:w="2460" w:type="dxa"/>
            <w:vAlign w:val="bottom"/>
          </w:tcPr>
          <w:p>
            <w:pPr>
              <w:ind w:left="900"/>
              <w:spacing w:after="0"/>
              <w:rPr>
                <w:sz w:val="20"/>
                <w:szCs w:val="20"/>
                <w:color w:val="auto"/>
              </w:rPr>
            </w:pPr>
            <w:r>
              <w:rPr>
                <w:rFonts w:ascii="Courier New" w:cs="Courier New" w:eastAsia="Courier New" w:hAnsi="Courier New"/>
                <w:sz w:val="17"/>
                <w:szCs w:val="17"/>
                <w:color w:val="auto"/>
              </w:rPr>
              <w:t>Identification</w:t>
            </w:r>
          </w:p>
        </w:tc>
      </w:tr>
      <w:tr>
        <w:trPr>
          <w:trHeight w:val="201"/>
        </w:trPr>
        <w:tc>
          <w:tcPr>
            <w:tcW w:w="2460" w:type="dxa"/>
            <w:vAlign w:val="bottom"/>
          </w:tcPr>
          <w:p>
            <w:pPr>
              <w:spacing w:after="0"/>
              <w:rPr>
                <w:sz w:val="20"/>
                <w:szCs w:val="20"/>
                <w:color w:val="auto"/>
              </w:rPr>
            </w:pPr>
            <w:r>
              <w:rPr>
                <w:rFonts w:ascii="Courier New" w:cs="Courier New" w:eastAsia="Courier New" w:hAnsi="Courier New"/>
                <w:sz w:val="17"/>
                <w:szCs w:val="17"/>
                <w:color w:val="auto"/>
              </w:rPr>
              <w:t>Incorporation)</w:t>
            </w:r>
          </w:p>
        </w:tc>
        <w:tc>
          <w:tcPr>
            <w:tcW w:w="2940" w:type="dxa"/>
            <w:vAlign w:val="bottom"/>
          </w:tcPr>
          <w:p>
            <w:pPr>
              <w:spacing w:after="0"/>
              <w:rPr>
                <w:sz w:val="17"/>
                <w:szCs w:val="17"/>
                <w:color w:val="auto"/>
              </w:rPr>
            </w:pPr>
          </w:p>
        </w:tc>
        <w:tc>
          <w:tcPr>
            <w:tcW w:w="2460" w:type="dxa"/>
            <w:vAlign w:val="bottom"/>
          </w:tcPr>
          <w:p>
            <w:pPr>
              <w:ind w:left="900"/>
              <w:spacing w:after="0"/>
              <w:rPr>
                <w:sz w:val="20"/>
                <w:szCs w:val="20"/>
                <w:color w:val="auto"/>
              </w:rPr>
            </w:pPr>
            <w:r>
              <w:rPr>
                <w:rFonts w:ascii="Courier New" w:cs="Courier New" w:eastAsia="Courier New" w:hAnsi="Courier New"/>
                <w:sz w:val="17"/>
                <w:szCs w:val="17"/>
                <w:color w:val="auto"/>
              </w:rPr>
              <w:t>Number)</w:t>
            </w:r>
          </w:p>
        </w:tc>
      </w:tr>
      <w:tr>
        <w:trPr>
          <w:trHeight w:val="604"/>
        </w:trPr>
        <w:tc>
          <w:tcPr>
            <w:tcW w:w="5400" w:type="dxa"/>
            <w:vAlign w:val="bottom"/>
            <w:gridSpan w:val="2"/>
          </w:tcPr>
          <w:p>
            <w:pPr>
              <w:spacing w:after="0"/>
              <w:rPr>
                <w:sz w:val="20"/>
                <w:szCs w:val="20"/>
                <w:color w:val="auto"/>
              </w:rPr>
            </w:pPr>
            <w:r>
              <w:rPr>
                <w:rFonts w:ascii="Courier New" w:cs="Courier New" w:eastAsia="Courier New" w:hAnsi="Courier New"/>
                <w:sz w:val="17"/>
                <w:szCs w:val="17"/>
                <w:color w:val="auto"/>
              </w:rPr>
              <w:t>2775 Sanders Road, Northbrook, Illinois</w:t>
            </w:r>
          </w:p>
        </w:tc>
        <w:tc>
          <w:tcPr>
            <w:tcW w:w="2460" w:type="dxa"/>
            <w:vAlign w:val="bottom"/>
          </w:tcPr>
          <w:p>
            <w:pPr>
              <w:ind w:left="1100"/>
              <w:spacing w:after="0"/>
              <w:rPr>
                <w:sz w:val="20"/>
                <w:szCs w:val="20"/>
                <w:color w:val="auto"/>
              </w:rPr>
            </w:pPr>
            <w:r>
              <w:rPr>
                <w:rFonts w:ascii="Courier New" w:cs="Courier New" w:eastAsia="Courier New" w:hAnsi="Courier New"/>
                <w:sz w:val="17"/>
                <w:szCs w:val="17"/>
                <w:color w:val="auto"/>
              </w:rPr>
              <w:t>60062</w:t>
            </w:r>
          </w:p>
        </w:tc>
      </w:tr>
      <w:tr>
        <w:trPr>
          <w:trHeight w:val="201"/>
        </w:trPr>
        <w:tc>
          <w:tcPr>
            <w:tcW w:w="54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246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r>
      <w:tr>
        <w:trPr>
          <w:trHeight w:val="201"/>
        </w:trPr>
        <w:tc>
          <w:tcPr>
            <w:tcW w:w="5400" w:type="dxa"/>
            <w:vAlign w:val="bottom"/>
            <w:gridSpan w:val="2"/>
          </w:tcPr>
          <w:p>
            <w:pPr>
              <w:spacing w:after="0"/>
              <w:rPr>
                <w:sz w:val="20"/>
                <w:szCs w:val="20"/>
                <w:color w:val="auto"/>
              </w:rPr>
            </w:pPr>
            <w:r>
              <w:rPr>
                <w:rFonts w:ascii="Courier New" w:cs="Courier New" w:eastAsia="Courier New" w:hAnsi="Courier New"/>
                <w:sz w:val="17"/>
                <w:szCs w:val="17"/>
                <w:color w:val="auto"/>
              </w:rPr>
              <w:t>(Address of Principal Executive Offices)</w:t>
            </w:r>
          </w:p>
        </w:tc>
        <w:tc>
          <w:tcPr>
            <w:tcW w:w="2460" w:type="dxa"/>
            <w:vAlign w:val="bottom"/>
          </w:tcPr>
          <w:p>
            <w:pPr>
              <w:ind w:left="900"/>
              <w:spacing w:after="0"/>
              <w:rPr>
                <w:sz w:val="20"/>
                <w:szCs w:val="20"/>
                <w:color w:val="auto"/>
              </w:rPr>
            </w:pPr>
            <w:r>
              <w:rPr>
                <w:rFonts w:ascii="Courier New" w:cs="Courier New" w:eastAsia="Courier New" w:hAnsi="Courier New"/>
                <w:sz w:val="17"/>
                <w:szCs w:val="17"/>
                <w:color w:val="auto"/>
              </w:rPr>
              <w:t>(Zip Code)</w:t>
            </w:r>
          </w:p>
        </w:tc>
      </w:tr>
    </w:tbl>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 (847) 402-5000</w:t>
      </w:r>
    </w:p>
    <w:p>
      <w:pPr>
        <w:spacing w:after="0" w:line="9" w:lineRule="exact"/>
        <w:rPr>
          <w:sz w:val="24"/>
          <w:szCs w:val="24"/>
          <w:color w:val="auto"/>
        </w:rPr>
      </w:pPr>
    </w:p>
    <w:p>
      <w:pPr>
        <w:ind w:left="53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Page 1 of 12</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Exhibit Index at page 4</w:t>
      </w:r>
    </w:p>
    <w:p>
      <w:pPr>
        <w:sectPr>
          <w:pgSz w:w="11900" w:h="16838" w:orient="portrait"/>
          <w:cols w:equalWidth="0" w:num="1">
            <w:col w:w="10219"/>
          </w:cols>
          <w:pgMar w:left="240" w:top="652" w:right="1440" w:bottom="1440" w:gutter="0" w:footer="0" w:header="0"/>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OTHER EVENTS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documents are filed as exhibits to this Form 8-K:</w:t>
      </w:r>
    </w:p>
    <w:p>
      <w:pPr>
        <w:spacing w:after="0" w:line="210"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The Fourth Supplemental Indenture, dated as of June 12, 2000, to the Indenture relating to Subordinated Debt Securities, dated as of November 25, 1996, between the Company and State Street Bank &amp; Trust Company</w:t>
      </w:r>
    </w:p>
    <w:p>
      <w:pPr>
        <w:spacing w:after="0" w:line="194"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The Sixth Supplemental Indenture, dated as of June 12, 2000, to the Indenture relating to Senior Debt Securities, dated as of December 16, 1997, between the Company and State Street Bank &amp; Trust Company</w:t>
      </w:r>
    </w:p>
    <w:p>
      <w:pPr>
        <w:spacing w:after="0" w:line="19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FINANCIAL STATEMENTS AND EXHIBITS</w:t>
      </w:r>
    </w:p>
    <w:p>
      <w:pPr>
        <w:spacing w:after="0" w:line="210" w:lineRule="exact"/>
        <w:rPr>
          <w:sz w:val="20"/>
          <w:szCs w:val="20"/>
          <w:color w:val="auto"/>
        </w:rPr>
      </w:pPr>
    </w:p>
    <w:p>
      <w:pPr>
        <w:ind w:left="1060" w:hanging="529"/>
        <w:spacing w:after="0"/>
        <w:tabs>
          <w:tab w:leader="none" w:pos="10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ectPr>
          <w:pgSz w:w="11900" w:h="16838" w:orient="portrait"/>
          <w:cols w:equalWidth="0" w:num="1">
            <w:col w:w="10219"/>
          </w:cols>
          <w:pgMar w:left="240" w:top="719"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3480" w:space="720"/>
            <w:col w:w="6019"/>
          </w:cols>
          <w:pgMar w:left="240" w:top="719" w:right="1440" w:bottom="1440" w:gutter="0" w:footer="0" w:header="0"/>
          <w:type w:val="continuous"/>
        </w:sectPr>
      </w:pPr>
    </w:p>
    <w:p>
      <w:pPr>
        <w:spacing w:after="0" w:line="10" w:lineRule="exact"/>
        <w:rPr>
          <w:sz w:val="20"/>
          <w:szCs w:val="20"/>
          <w:color w:val="auto"/>
        </w:rPr>
      </w:pPr>
    </w:p>
    <w:p>
      <w:pPr>
        <w:ind w:left="1060" w:right="2039" w:hanging="1046"/>
        <w:spacing w:after="0" w:line="253" w:lineRule="auto"/>
        <w:tabs>
          <w:tab w:leader="none" w:pos="104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The Fourth Supplemental Indenture, dated as of June 12, 2000, to the Indenture relating to Subordinated Debt Securities, dated as of November 25, 1996, between the Company and State Street Bank &amp; Trust Company</w:t>
      </w:r>
    </w:p>
    <w:p>
      <w:pPr>
        <w:spacing w:after="0" w:line="195" w:lineRule="exact"/>
        <w:rPr>
          <w:sz w:val="20"/>
          <w:szCs w:val="20"/>
          <w:color w:val="auto"/>
        </w:rPr>
      </w:pPr>
    </w:p>
    <w:p>
      <w:pPr>
        <w:ind w:left="1060" w:right="2139" w:hanging="1046"/>
        <w:spacing w:after="0" w:line="254" w:lineRule="auto"/>
        <w:tabs>
          <w:tab w:leader="none" w:pos="104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The Sixth Supplemental Indenture, dated as of June 12, 2000, to the Indenture relating to Senior Debt Securities, dated as of December 16, 1997, between the Company and State Street Bank &amp; Trust Company</w:t>
      </w:r>
    </w:p>
    <w:p>
      <w:pPr>
        <w:spacing w:after="0" w:line="39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2 of 12</w:t>
      </w:r>
    </w:p>
    <w:p>
      <w:pPr>
        <w:sectPr>
          <w:pgSz w:w="11900" w:h="16838" w:orient="portrait"/>
          <w:cols w:equalWidth="0" w:num="1">
            <w:col w:w="10219"/>
          </w:cols>
          <w:pgMar w:left="240" w:top="719" w:right="1440" w:bottom="1440" w:gutter="0" w:footer="0" w:header="0"/>
          <w:type w:val="continuous"/>
        </w:sectPr>
      </w:pPr>
    </w:p>
    <w:bookmarkStart w:id="2" w:name="page3"/>
    <w:bookmarkEnd w:id="2"/>
    <w:p>
      <w:pPr>
        <w:jc w:val="center"/>
        <w:ind w:right="1819"/>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THE ALLSTATE CORPORATION</w:t>
      </w:r>
    </w:p>
    <w:p>
      <w:pPr>
        <w:spacing w:after="0" w:line="200" w:lineRule="exact"/>
        <w:rPr>
          <w:sz w:val="20"/>
          <w:szCs w:val="20"/>
          <w:color w:val="auto"/>
        </w:rPr>
      </w:pPr>
    </w:p>
    <w:p>
      <w:pPr>
        <w:spacing w:after="0" w:line="212" w:lineRule="exact"/>
        <w:rPr>
          <w:sz w:val="20"/>
          <w:szCs w:val="20"/>
          <w:color w:val="auto"/>
        </w:rPr>
      </w:pPr>
    </w:p>
    <w:p>
      <w:pPr>
        <w:ind w:left="4200"/>
        <w:spacing w:after="0"/>
        <w:tabs>
          <w:tab w:leader="none" w:pos="47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Emma M. Kalaidjian</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720"/>
        <w:spacing w:after="0"/>
        <w:tabs>
          <w:tab w:leader="none" w:pos="5440" w:val="left"/>
        </w:tabs>
        <w:rPr>
          <w:sz w:val="20"/>
          <w:szCs w:val="20"/>
          <w:color w:val="auto"/>
        </w:rPr>
      </w:pPr>
      <w:r>
        <w:rPr>
          <w:rFonts w:ascii="Courier New" w:cs="Courier New" w:eastAsia="Courier New" w:hAnsi="Courier New"/>
          <w:sz w:val="17"/>
          <w:szCs w:val="17"/>
          <w:color w:val="auto"/>
        </w:rPr>
        <w:t>Name:</w:t>
        <w:tab/>
        <w:t>Emma M. Kalaidjian</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Title: Assistant Secretary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12, 2000</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3 of 12</w:t>
      </w:r>
    </w:p>
    <w:p>
      <w:pPr>
        <w:sectPr>
          <w:pgSz w:w="11900" w:h="16838" w:orient="portrait"/>
          <w:cols w:equalWidth="0" w:num="1">
            <w:col w:w="10219"/>
          </w:cols>
          <w:pgMar w:left="240" w:top="719" w:right="1440" w:bottom="1440" w:gutter="0" w:footer="0" w:header="0"/>
        </w:sectPr>
      </w:pPr>
    </w:p>
    <w:bookmarkStart w:id="3" w:name="page4"/>
    <w:bookmarkEnd w:id="3"/>
    <w:p>
      <w:pPr>
        <w:ind w:left="3360"/>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600" w:val="left"/>
        </w:tabs>
        <w:rPr>
          <w:sz w:val="20"/>
          <w:szCs w:val="20"/>
          <w:color w:val="auto"/>
        </w:rPr>
      </w:pPr>
      <w:r>
        <w:rPr>
          <w:rFonts w:ascii="Courier New" w:cs="Courier New" w:eastAsia="Courier New" w:hAnsi="Courier New"/>
          <w:sz w:val="17"/>
          <w:szCs w:val="17"/>
          <w:color w:val="auto"/>
        </w:rPr>
        <w:t>Number</w:t>
      </w:r>
      <w:r>
        <w:rPr>
          <w:sz w:val="20"/>
          <w:szCs w:val="20"/>
          <w:color w:val="auto"/>
        </w:rPr>
        <w:tab/>
      </w:r>
      <w:r>
        <w:rPr>
          <w:rFonts w:ascii="Courier New" w:cs="Courier New" w:eastAsia="Courier New" w:hAnsi="Courier New"/>
          <w:sz w:val="17"/>
          <w:szCs w:val="17"/>
          <w:color w:val="auto"/>
        </w:rPr>
        <w:t>Description</w:t>
      </w:r>
    </w:p>
    <w:p>
      <w:pPr>
        <w:spacing w:after="0" w:line="9"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The Fourth Supplemental Indenture, dated as of June 12, 2000, to the Indenture</w:t>
      </w:r>
    </w:p>
    <w:p>
      <w:pPr>
        <w:spacing w:after="0" w:line="9" w:lineRule="exact"/>
        <w:rPr>
          <w:sz w:val="20"/>
          <w:szCs w:val="20"/>
          <w:color w:val="auto"/>
        </w:rPr>
      </w:pPr>
    </w:p>
    <w:p>
      <w:pPr>
        <w:ind w:left="1060" w:right="1160"/>
        <w:spacing w:after="0" w:line="257" w:lineRule="auto"/>
        <w:rPr>
          <w:sz w:val="20"/>
          <w:szCs w:val="20"/>
          <w:color w:val="auto"/>
        </w:rPr>
      </w:pPr>
      <w:r>
        <w:rPr>
          <w:rFonts w:ascii="Courier New" w:cs="Courier New" w:eastAsia="Courier New" w:hAnsi="Courier New"/>
          <w:sz w:val="17"/>
          <w:szCs w:val="17"/>
          <w:color w:val="auto"/>
        </w:rPr>
        <w:t>relating to Subordinated Debt Securities, dated as of November 25, 1996, between the Company and State Street Bank &amp; Trust Company</w:t>
      </w:r>
    </w:p>
    <w:p>
      <w:pPr>
        <w:spacing w:after="0" w:line="393" w:lineRule="exact"/>
        <w:rPr>
          <w:sz w:val="20"/>
          <w:szCs w:val="20"/>
          <w:color w:val="auto"/>
        </w:rPr>
      </w:pPr>
    </w:p>
    <w:p>
      <w:pPr>
        <w:jc w:val="both"/>
        <w:ind w:left="1060" w:right="540" w:hanging="1046"/>
        <w:spacing w:after="0" w:line="254" w:lineRule="auto"/>
        <w:tabs>
          <w:tab w:leader="none" w:pos="104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The Sixth Supplemental Indenture, dated as of June 12, 2000, to the Indenture relating to Senior Debt Securities, dated as of December 16, 1997, between the Company and State Street Bank &amp; Trust Company</w:t>
      </w:r>
    </w:p>
    <w:p>
      <w:pPr>
        <w:spacing w:after="0" w:line="200" w:lineRule="exact"/>
        <w:rPr>
          <w:sz w:val="20"/>
          <w:szCs w:val="20"/>
          <w:color w:val="auto"/>
        </w:rPr>
      </w:pPr>
    </w:p>
    <w:p>
      <w:pPr>
        <w:spacing w:after="0" w:line="39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4 of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Sequential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2">
            <w:col w:w="9760" w:space="720"/>
            <w:col w:w="1040"/>
          </w:cols>
          <w:pgMar w:left="240" w:top="719" w:right="139" w:bottom="1440" w:gutter="0" w:footer="0" w:header="0"/>
        </w:sectPr>
      </w:pPr>
    </w:p>
    <w:bookmarkStart w:id="4" w:name="page5"/>
    <w:bookmarkEnd w:id="4"/>
    <w:p>
      <w:pPr>
        <w:jc w:val="right"/>
        <w:ind w:right="1839"/>
        <w:spacing w:after="0"/>
        <w:rPr>
          <w:sz w:val="20"/>
          <w:szCs w:val="20"/>
          <w:color w:val="auto"/>
        </w:rPr>
      </w:pPr>
      <w:r>
        <w:rPr>
          <w:rFonts w:ascii="Courier New" w:cs="Courier New" w:eastAsia="Courier New" w:hAnsi="Courier New"/>
          <w:sz w:val="17"/>
          <w:szCs w:val="17"/>
          <w:color w:val="auto"/>
        </w:rPr>
        <w:t>Exhibit No.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7"/>
          <w:szCs w:val="17"/>
          <w:color w:val="auto"/>
        </w:rPr>
        <w:t>THE ALLSTATE CORPORATION</w:t>
      </w:r>
    </w:p>
    <w:p>
      <w:pPr>
        <w:spacing w:after="0" w:line="21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AND</w:t>
      </w:r>
    </w:p>
    <w:p>
      <w:pPr>
        <w:spacing w:after="0" w:line="21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STATE STREET BANK AND TRUST COMPANY, as Trustee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7"/>
          <w:szCs w:val="17"/>
          <w:color w:val="auto"/>
        </w:rPr>
        <w:t>FOURTH SUPPLEMENTAL INDENTURE TO</w:t>
      </w:r>
    </w:p>
    <w:p>
      <w:pPr>
        <w:spacing w:after="0" w:line="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INDENTURE DATED NOVEMBER 25, 1996</w:t>
      </w:r>
    </w:p>
    <w:p>
      <w:pPr>
        <w:spacing w:after="0" w:line="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7"/>
          <w:szCs w:val="17"/>
          <w:color w:val="auto"/>
        </w:rPr>
        <w:t>(SUBORDINATED DEBT SECURITIES)</w:t>
      </w:r>
    </w:p>
    <w:p>
      <w:pPr>
        <w:spacing w:after="0" w:line="21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Dated as of June 12, 2000</w:t>
      </w: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Page 5 of 12</w:t>
      </w:r>
    </w:p>
    <w:p>
      <w:pPr>
        <w:sectPr>
          <w:pgSz w:w="11900" w:h="16838" w:orient="portrait"/>
          <w:cols w:equalWidth="0" w:num="1">
            <w:col w:w="9019"/>
          </w:cols>
          <w:pgMar w:left="1440" w:top="545" w:right="1440" w:bottom="1440" w:gutter="0" w:footer="0" w:header="0"/>
        </w:sectPr>
      </w:pPr>
    </w:p>
    <w:bookmarkStart w:id="5" w:name="page6"/>
    <w:bookmarkEnd w:id="5"/>
    <w:p>
      <w:pPr>
        <w:jc w:val="center"/>
        <w:ind w:right="1839"/>
        <w:spacing w:after="0"/>
        <w:rPr>
          <w:sz w:val="20"/>
          <w:szCs w:val="20"/>
          <w:color w:val="auto"/>
        </w:rPr>
      </w:pPr>
      <w:r>
        <w:rPr>
          <w:rFonts w:ascii="Courier New" w:cs="Courier New" w:eastAsia="Courier New" w:hAnsi="Courier New"/>
          <w:sz w:val="17"/>
          <w:szCs w:val="17"/>
          <w:color w:val="auto"/>
        </w:rPr>
        <w:t>THE ALLSTATE CORPORATION</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FOURTH SUPPLEMENTAL INDENTURE TO</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INDENTURE DATED NOVEMBER 25, 1996</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(SUBORDINATED DEBT SECURITIES)</w:t>
      </w:r>
    </w:p>
    <w:p>
      <w:pPr>
        <w:spacing w:after="0" w:line="200" w:lineRule="exact"/>
        <w:rPr>
          <w:sz w:val="20"/>
          <w:szCs w:val="20"/>
          <w:color w:val="auto"/>
        </w:rPr>
      </w:pPr>
    </w:p>
    <w:p>
      <w:pPr>
        <w:spacing w:after="0" w:line="212" w:lineRule="exact"/>
        <w:rPr>
          <w:sz w:val="20"/>
          <w:szCs w:val="20"/>
          <w:color w:val="auto"/>
        </w:rPr>
      </w:pPr>
    </w:p>
    <w:p>
      <w:pPr>
        <w:ind w:right="1939" w:firstLine="1047"/>
        <w:spacing w:after="0" w:line="253" w:lineRule="auto"/>
        <w:rPr>
          <w:sz w:val="20"/>
          <w:szCs w:val="20"/>
          <w:color w:val="auto"/>
        </w:rPr>
      </w:pPr>
      <w:r>
        <w:rPr>
          <w:rFonts w:ascii="Courier New" w:cs="Courier New" w:eastAsia="Courier New" w:hAnsi="Courier New"/>
          <w:sz w:val="17"/>
          <w:szCs w:val="17"/>
          <w:color w:val="auto"/>
        </w:rPr>
        <w:t>FOURTH SUPPLEMENTAL INDENTURE, dated as of June 12, 2000, between THE ALLSTATE CORPORATION, a Delaware corporation (the "Company"), and STATE STREET BANK AND TRUST COMPANY, a Massachusetts trust company, as Trustee (the "Trustee").</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The Company has heretofore executed and delivered to the Trustee an Indenture for Subordinated Debt Securities, dated as of November 25, 1996, and as amended by the Third Supplemental Indenture dated as of July 23, 1999 (the "Indenture"), providing for the issuance from time to time of series of the Company's Securities.</w:t>
      </w:r>
    </w:p>
    <w:p>
      <w:pPr>
        <w:spacing w:after="0" w:line="197"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On November 25, 1996, the Company executed and delivered to the Trustee a First Supplemental Indenture to the Indenture (the "First Supplemental Indenture"), providing for the issuance of $515,463,925 in principal amount of 7.95% Junior Subordinated Deferrable Interest Debentures, Series A, due December 31, 2026 (the "2026 Junior Debentures"). The Company issued the 2026 Junior Debentures on November 25, 1996.</w:t>
      </w:r>
    </w:p>
    <w:p>
      <w:pPr>
        <w:spacing w:after="0" w:line="197"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On November 27, 1996, the Company executed and delivered to the Trustee a Second Supplemental Indenture to the Indenture (the "Second Supplemental Indenture"), providing for the issuance of $206,186,000 in principal amount of 7.83% Junior Subordinated Deferrable Interest Debentures, Series B, due December 1, 2045 (the "2045 Junior Debentures"). The Company issued the 2045 Junior Debentures on November 27, 1996.</w:t>
      </w:r>
    </w:p>
    <w:p>
      <w:pPr>
        <w:spacing w:after="0" w:line="197"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Section 901(9) of the Indenture provides for the Company and the Trustee to enter into an indenture supplemental to the Indenture to correct or supplement any provision of the Indenture, provided that such action shall not adversely affect the interests of the Holders of Securities of any series in any material respect, or in the case of Securities issued to an Allstate Trust for so long as any corresponding series of Preferred Securities issued by such Allstate Trust shall remain outstanding, the interests of the holders of such Preferred Securities in any material respect.</w:t>
      </w:r>
    </w:p>
    <w:p>
      <w:pPr>
        <w:spacing w:after="0" w:line="201"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Section 904 of the Indenture provides that upon execution of any indenture supplemental to the Indenture, the Indenture shall be modified in accordance therewith, and such supplemental indenture shall form a part of the Indenture for all purposes; and every Holder of Securities theretofore or thereafter authenticated and delivered under the Indenture shall be bound thereby.</w:t>
      </w:r>
    </w:p>
    <w:p>
      <w:pPr>
        <w:spacing w:after="0" w:line="197"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NOW, THEREFORE, THIS FOURTH SUPPLEMENTAL INDENTURE WITNESSETH:</w:t>
      </w:r>
    </w:p>
    <w:p>
      <w:pPr>
        <w:spacing w:after="0" w:line="210" w:lineRule="exact"/>
        <w:rPr>
          <w:sz w:val="20"/>
          <w:szCs w:val="20"/>
          <w:color w:val="auto"/>
        </w:rPr>
      </w:pPr>
    </w:p>
    <w:p>
      <w:pPr>
        <w:ind w:right="1839" w:firstLine="1047"/>
        <w:spacing w:after="0" w:line="257" w:lineRule="auto"/>
        <w:rPr>
          <w:sz w:val="20"/>
          <w:szCs w:val="20"/>
          <w:color w:val="auto"/>
        </w:rPr>
      </w:pPr>
      <w:r>
        <w:rPr>
          <w:rFonts w:ascii="Courier New" w:cs="Courier New" w:eastAsia="Courier New" w:hAnsi="Courier New"/>
          <w:sz w:val="17"/>
          <w:szCs w:val="17"/>
          <w:color w:val="auto"/>
        </w:rPr>
        <w:t>For and in consideration of the premises, it is mutually agreed, for the equal and proportionate benefit of all Holders of the Securities as follows:</w:t>
      </w:r>
    </w:p>
    <w:p>
      <w:pPr>
        <w:spacing w:after="0" w:line="39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ARTICLE I</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Relation to Indenture; Definitions</w:t>
      </w:r>
    </w:p>
    <w:p>
      <w:pPr>
        <w:spacing w:after="0" w:line="210" w:lineRule="exact"/>
        <w:rPr>
          <w:sz w:val="20"/>
          <w:szCs w:val="20"/>
          <w:color w:val="auto"/>
        </w:rPr>
      </w:pPr>
    </w:p>
    <w:p>
      <w:pPr>
        <w:ind w:right="1839" w:firstLine="1047"/>
        <w:spacing w:after="0" w:line="257" w:lineRule="auto"/>
        <w:rPr>
          <w:sz w:val="20"/>
          <w:szCs w:val="20"/>
          <w:color w:val="auto"/>
        </w:rPr>
      </w:pPr>
      <w:r>
        <w:rPr>
          <w:rFonts w:ascii="Courier New" w:cs="Courier New" w:eastAsia="Courier New" w:hAnsi="Courier New"/>
          <w:sz w:val="17"/>
          <w:szCs w:val="17"/>
          <w:color w:val="auto"/>
        </w:rPr>
        <w:t>Section 1.1. RELATION TO INDENTURE. This Fourth Supplemental Indenture constitutes an integral part of the Indenture.</w:t>
      </w:r>
    </w:p>
    <w:p>
      <w:pPr>
        <w:spacing w:after="0" w:line="192"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Section 1.2. DEFINITIONS. For all purposes of this Fourth Supplemental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6 of 12</w:t>
      </w:r>
    </w:p>
    <w:p>
      <w:pPr>
        <w:sectPr>
          <w:pgSz w:w="11900" w:h="16838" w:orient="portrait"/>
          <w:cols w:equalWidth="0" w:num="1">
            <w:col w:w="10219"/>
          </w:cols>
          <w:pgMar w:left="240" w:top="719" w:right="1440" w:bottom="1440" w:gutter="0" w:footer="0" w:header="0"/>
        </w:sectPr>
      </w:pPr>
    </w:p>
    <w:bookmarkStart w:id="6" w:name="page7"/>
    <w:bookmarkEnd w:id="6"/>
    <w:p>
      <w:pPr>
        <w:ind w:right="2039" w:firstLine="1055"/>
        <w:spacing w:after="0" w:line="257" w:lineRule="auto"/>
        <w:tabs>
          <w:tab w:leader="none" w:pos="157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without definition shall have the meanings specified in the Indenture;</w:t>
      </w:r>
    </w:p>
    <w:p>
      <w:pPr>
        <w:spacing w:after="0" w:line="191" w:lineRule="exact"/>
        <w:rPr>
          <w:rFonts w:ascii="Courier New" w:cs="Courier New" w:eastAsia="Courier New" w:hAnsi="Courier New"/>
          <w:sz w:val="17"/>
          <w:szCs w:val="17"/>
          <w:color w:val="auto"/>
        </w:rPr>
      </w:pPr>
    </w:p>
    <w:p>
      <w:pPr>
        <w:ind w:right="1939" w:firstLine="1055"/>
        <w:spacing w:after="0" w:line="258" w:lineRule="auto"/>
        <w:tabs>
          <w:tab w:leader="none" w:pos="157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herein to Articles and Sections, unless otherwise specified, refer to the corresponding Articles and Sections of the Indenture; and</w:t>
      </w:r>
    </w:p>
    <w:p>
      <w:pPr>
        <w:spacing w:after="0" w:line="391" w:lineRule="exact"/>
        <w:rPr>
          <w:rFonts w:ascii="Courier New" w:cs="Courier New" w:eastAsia="Courier New" w:hAnsi="Courier New"/>
          <w:sz w:val="17"/>
          <w:szCs w:val="17"/>
          <w:color w:val="auto"/>
        </w:rPr>
      </w:pPr>
    </w:p>
    <w:p>
      <w:pPr>
        <w:ind w:right="2359" w:firstLine="1055"/>
        <w:spacing w:after="0" w:line="257" w:lineRule="auto"/>
        <w:tabs>
          <w:tab w:leader="none" w:pos="157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"herein," "hereof," "hereunder" and other words of similar import refer to the Indenture.</w:t>
      </w:r>
    </w:p>
    <w:p>
      <w:pPr>
        <w:spacing w:after="0" w:line="39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II</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The Series of Securities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Section 2.1. DEFINITIONS.</w:t>
      </w:r>
    </w:p>
    <w:p>
      <w:pPr>
        <w:spacing w:after="0" w:line="210" w:lineRule="exact"/>
        <w:rPr>
          <w:sz w:val="20"/>
          <w:szCs w:val="20"/>
          <w:color w:val="auto"/>
        </w:rPr>
      </w:pPr>
    </w:p>
    <w:p>
      <w:pPr>
        <w:ind w:right="2259" w:firstLine="1055"/>
        <w:spacing w:after="0" w:line="254" w:lineRule="auto"/>
        <w:tabs>
          <w:tab w:leader="none" w:pos="157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101 of the Indenture shall be amended by deleting the definition of "Company Request" and "Company Order" and replacing such definition with the following:</w:t>
      </w:r>
    </w:p>
    <w:p>
      <w:pPr>
        <w:spacing w:after="0" w:line="194" w:lineRule="exact"/>
        <w:rPr>
          <w:sz w:val="20"/>
          <w:szCs w:val="20"/>
          <w:color w:val="auto"/>
        </w:rPr>
      </w:pPr>
    </w:p>
    <w:p>
      <w:pPr>
        <w:ind w:left="1060" w:right="1939"/>
        <w:spacing w:after="0" w:line="251" w:lineRule="auto"/>
        <w:rPr>
          <w:sz w:val="20"/>
          <w:szCs w:val="20"/>
          <w:color w:val="auto"/>
        </w:rPr>
      </w:pPr>
      <w:r>
        <w:rPr>
          <w:rFonts w:ascii="Courier New" w:cs="Courier New" w:eastAsia="Courier New" w:hAnsi="Courier New"/>
          <w:sz w:val="17"/>
          <w:szCs w:val="17"/>
          <w:color w:val="auto"/>
        </w:rPr>
        <w:t>"Company Request" or "Company Order" means a written request or order signed in the name of the Company by any two of the following officers, provided that at least one of the signing officers is the principal executive officer, principal operating officer, principal financial officer, principal accounting officer or Treasurer of the Company: Chairman of the Board; Chief Executive Officer; President; Chief Operating Officer; Chief Financial Officer; General Counsel; Treasurer; Secretary; Controller; any Vice President; any Assistant Treasurer; any Assistant Secretary; and any Assistant Vice President.</w:t>
      </w:r>
    </w:p>
    <w:p>
      <w:pPr>
        <w:spacing w:after="0" w:line="201" w:lineRule="exact"/>
        <w:rPr>
          <w:sz w:val="20"/>
          <w:szCs w:val="20"/>
          <w:color w:val="auto"/>
        </w:rPr>
      </w:pPr>
    </w:p>
    <w:p>
      <w:pPr>
        <w:jc w:val="both"/>
        <w:ind w:right="2259" w:firstLine="1055"/>
        <w:spacing w:after="0" w:line="254" w:lineRule="auto"/>
        <w:tabs>
          <w:tab w:leader="none" w:pos="157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101 of the Indenture shall be amended by deleting the definition of "Officers' Certificate" and replacing such definition with the following:</w:t>
      </w:r>
    </w:p>
    <w:p>
      <w:pPr>
        <w:spacing w:after="0" w:line="194" w:lineRule="exact"/>
        <w:rPr>
          <w:sz w:val="20"/>
          <w:szCs w:val="20"/>
          <w:color w:val="auto"/>
        </w:rPr>
      </w:pPr>
    </w:p>
    <w:p>
      <w:pPr>
        <w:ind w:left="1060" w:right="1839"/>
        <w:spacing w:after="0" w:line="251" w:lineRule="auto"/>
        <w:rPr>
          <w:sz w:val="20"/>
          <w:szCs w:val="20"/>
          <w:color w:val="auto"/>
        </w:rPr>
      </w:pPr>
      <w:r>
        <w:rPr>
          <w:rFonts w:ascii="Courier New" w:cs="Courier New" w:eastAsia="Courier New" w:hAnsi="Courier New"/>
          <w:sz w:val="17"/>
          <w:szCs w:val="17"/>
          <w:color w:val="auto"/>
        </w:rPr>
        <w:t>"Officers' Certificate" means a certificate signed by any two of the following officers and delivered to the Trustee, provided that at least one of the signing officers is the principal executive officer, principal operating officer, principal financial officer, principal accounting officer or Treasurer of the Company: Chairman of the Board; Chief Executive Officer; President; Chief Operating Officer; Chief Financial Officer; General Counsel; Treasurer; Secretary; Controller; any Vice President; any Assistant Treasurer; any Assistant Secretary; and any Assistant Vice President.</w:t>
      </w:r>
    </w:p>
    <w:p>
      <w:pPr>
        <w:spacing w:after="0" w:line="200" w:lineRule="exact"/>
        <w:rPr>
          <w:sz w:val="20"/>
          <w:szCs w:val="20"/>
          <w:color w:val="auto"/>
        </w:rPr>
      </w:pP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III</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Miscellaneous Provisions</w:t>
      </w:r>
    </w:p>
    <w:p>
      <w:pPr>
        <w:spacing w:after="0" w:line="210" w:lineRule="exact"/>
        <w:rPr>
          <w:sz w:val="20"/>
          <w:szCs w:val="20"/>
          <w:color w:val="auto"/>
        </w:rPr>
      </w:pPr>
    </w:p>
    <w:p>
      <w:pPr>
        <w:ind w:right="1839" w:firstLine="1047"/>
        <w:spacing w:after="0" w:line="253" w:lineRule="auto"/>
        <w:rPr>
          <w:sz w:val="20"/>
          <w:szCs w:val="20"/>
          <w:color w:val="auto"/>
        </w:rPr>
      </w:pPr>
      <w:r>
        <w:rPr>
          <w:rFonts w:ascii="Courier New" w:cs="Courier New" w:eastAsia="Courier New" w:hAnsi="Courier New"/>
          <w:sz w:val="17"/>
          <w:szCs w:val="17"/>
          <w:color w:val="auto"/>
        </w:rPr>
        <w:t>Section 3.1. TRUSTEE NOT RESPONSIBLE FOR RECITALS. The recitals herein contained are made by the Company and not by the Trustee, and the Trustee assumes no responsibility for the correctness thereof. The Trustee makes no representation as to the validity or sufficiency of this Fourth Supplemental Indenture.</w:t>
      </w:r>
    </w:p>
    <w:p>
      <w:pPr>
        <w:spacing w:after="0" w:line="396"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Section 3.2. ADOPTION, RATIFICATION AND CONFIRMATION. The Indenture, as supplemented and amended by this Fourth Supplemental Indenture, is in all respects hereby adopted, ratified and confirmed.</w:t>
      </w:r>
    </w:p>
    <w:p>
      <w:pPr>
        <w:spacing w:after="0" w:line="39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7 of 12</w:t>
      </w:r>
    </w:p>
    <w:p>
      <w:pPr>
        <w:sectPr>
          <w:pgSz w:w="11900" w:h="16838" w:orient="portrait"/>
          <w:cols w:equalWidth="0" w:num="1">
            <w:col w:w="10219"/>
          </w:cols>
          <w:pgMar w:left="240" w:top="719" w:right="1440" w:bottom="1440" w:gutter="0" w:footer="0" w:header="0"/>
        </w:sectPr>
      </w:pPr>
    </w:p>
    <w:bookmarkStart w:id="7" w:name="page8"/>
    <w:bookmarkEnd w:id="7"/>
    <w:p>
      <w:pPr>
        <w:jc w:val="both"/>
        <w:ind w:right="1939" w:firstLine="1047"/>
        <w:spacing w:after="0" w:line="254" w:lineRule="auto"/>
        <w:rPr>
          <w:sz w:val="20"/>
          <w:szCs w:val="20"/>
          <w:color w:val="auto"/>
        </w:rPr>
      </w:pPr>
      <w:r>
        <w:rPr>
          <w:rFonts w:ascii="Courier New" w:cs="Courier New" w:eastAsia="Courier New" w:hAnsi="Courier New"/>
          <w:sz w:val="17"/>
          <w:szCs w:val="17"/>
          <w:color w:val="auto"/>
        </w:rPr>
        <w:t>Section 3.3. COUNTERPARTS. This Fourth Supplemental Indenture may be executed in any number of counterparts, each of which shall be an original, but such counterparts shall together constitute but one and the same instrument.</w:t>
      </w:r>
    </w:p>
    <w:p>
      <w:pPr>
        <w:spacing w:after="0" w:line="194"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Section 3.4. GOVERNING LAW. THIS FOURTH SUPPLEMENTAL INDENTURE AND EACH DEBENTURE, BOND AND NOTE SHALL BE GOVERNED BY AND CONSTRUED IN ACCORDANCE WITH THE INTERNAL LAWS OF THE STATE OF NEW YORK.</w:t>
      </w:r>
    </w:p>
    <w:p>
      <w:pPr>
        <w:spacing w:after="0" w:line="19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 * * * *</w:t>
      </w:r>
    </w:p>
    <w:p>
      <w:pPr>
        <w:spacing w:after="0" w:line="210" w:lineRule="exact"/>
        <w:rPr>
          <w:sz w:val="20"/>
          <w:szCs w:val="20"/>
          <w:color w:val="auto"/>
        </w:rPr>
      </w:pPr>
    </w:p>
    <w:p>
      <w:pPr>
        <w:ind w:right="1839" w:firstLine="1047"/>
        <w:spacing w:after="0" w:line="254" w:lineRule="auto"/>
        <w:rPr>
          <w:sz w:val="20"/>
          <w:szCs w:val="20"/>
          <w:color w:val="auto"/>
        </w:rPr>
      </w:pPr>
      <w:r>
        <w:rPr>
          <w:rFonts w:ascii="Courier New" w:cs="Courier New" w:eastAsia="Courier New" w:hAnsi="Courier New"/>
          <w:sz w:val="17"/>
          <w:szCs w:val="17"/>
          <w:color w:val="auto"/>
        </w:rPr>
        <w:t>IN WITNESS WHEREOF, the parties hereto have caused this Fourth Supplemental Indenture to be duly executed on the date or dates indicated in the acknowledgments and as of the day and year first above written.</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THE ALLSTATE CORPORATION</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Edward M. Liddy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Chairman of the Board, President and</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Chief Executive Officer</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STATE STREET BANK AND TRUST</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COMPANY, as Trustee</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Its:</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8 of 12</w:t>
      </w:r>
    </w:p>
    <w:p>
      <w:pPr>
        <w:sectPr>
          <w:pgSz w:w="11900" w:h="16838" w:orient="portrait"/>
          <w:cols w:equalWidth="0" w:num="1">
            <w:col w:w="10219"/>
          </w:cols>
          <w:pgMar w:left="240" w:top="719" w:right="1440" w:bottom="1440" w:gutter="0" w:footer="0" w:header="0"/>
        </w:sectPr>
      </w:pPr>
    </w:p>
    <w:bookmarkStart w:id="8" w:name="page9"/>
    <w:bookmarkEnd w:id="8"/>
    <w:p>
      <w:pPr>
        <w:jc w:val="right"/>
        <w:ind w:right="1839"/>
        <w:spacing w:after="0"/>
        <w:rPr>
          <w:sz w:val="20"/>
          <w:szCs w:val="20"/>
          <w:color w:val="auto"/>
        </w:rPr>
      </w:pPr>
      <w:r>
        <w:rPr>
          <w:rFonts w:ascii="Courier New" w:cs="Courier New" w:eastAsia="Courier New" w:hAnsi="Courier New"/>
          <w:sz w:val="17"/>
          <w:szCs w:val="17"/>
          <w:color w:val="auto"/>
        </w:rPr>
        <w:t>Exhibit No.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7"/>
          <w:szCs w:val="17"/>
          <w:color w:val="auto"/>
        </w:rPr>
        <w:t>THE ALLSTATE CORPORATION</w:t>
      </w:r>
    </w:p>
    <w:p>
      <w:pPr>
        <w:spacing w:after="0" w:line="21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AND</w:t>
      </w:r>
    </w:p>
    <w:p>
      <w:pPr>
        <w:spacing w:after="0" w:line="210"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STATE STREET BANK AND TRUST COMPANY, as Trustee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SIXTH SUPPLEMENTAL INDENTURE TO</w:t>
      </w:r>
    </w:p>
    <w:p>
      <w:pPr>
        <w:spacing w:after="0" w:line="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INDENTURE DATED DECEMBER 16, 1997</w:t>
      </w:r>
    </w:p>
    <w:p>
      <w:pPr>
        <w:spacing w:after="0" w:line="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7"/>
          <w:szCs w:val="17"/>
          <w:color w:val="auto"/>
        </w:rPr>
        <w:t>(SENIOR DEBT SECURITIES)</w:t>
      </w:r>
    </w:p>
    <w:p>
      <w:pPr>
        <w:spacing w:after="0" w:line="21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7"/>
          <w:szCs w:val="17"/>
          <w:color w:val="auto"/>
        </w:rPr>
        <w:t>Dated as of June 12, 2000</w:t>
      </w:r>
    </w:p>
    <w:p>
      <w:pPr>
        <w:spacing w:after="0" w:line="21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Page 9 of 12</w:t>
      </w:r>
    </w:p>
    <w:p>
      <w:pPr>
        <w:sectPr>
          <w:pgSz w:w="11900" w:h="16838" w:orient="portrait"/>
          <w:cols w:equalWidth="0" w:num="1">
            <w:col w:w="9019"/>
          </w:cols>
          <w:pgMar w:left="1440" w:top="545" w:right="1440" w:bottom="1440" w:gutter="0" w:footer="0" w:header="0"/>
        </w:sectPr>
      </w:pPr>
    </w:p>
    <w:bookmarkStart w:id="9" w:name="page10"/>
    <w:bookmarkEnd w:id="9"/>
    <w:p>
      <w:pPr>
        <w:ind w:left="2940"/>
        <w:spacing w:after="0"/>
        <w:rPr>
          <w:sz w:val="20"/>
          <w:szCs w:val="20"/>
          <w:color w:val="auto"/>
        </w:rPr>
      </w:pPr>
      <w:r>
        <w:rPr>
          <w:rFonts w:ascii="Courier New" w:cs="Courier New" w:eastAsia="Courier New" w:hAnsi="Courier New"/>
          <w:sz w:val="17"/>
          <w:szCs w:val="17"/>
          <w:color w:val="auto"/>
        </w:rPr>
        <w:t>THE ALLSTATE CORPORATION</w:t>
      </w: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SIXTH SUPPLEMENTAL INDENTURE TO</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INDENTURE DATED DECEMBER 16, 1997</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(SENIOR DEBT SECURITIES)</w:t>
      </w:r>
    </w:p>
    <w:p>
      <w:pPr>
        <w:spacing w:after="0" w:line="210" w:lineRule="exact"/>
        <w:rPr>
          <w:sz w:val="20"/>
          <w:szCs w:val="20"/>
          <w:color w:val="auto"/>
        </w:rPr>
      </w:pPr>
    </w:p>
    <w:p>
      <w:pPr>
        <w:ind w:right="2039" w:firstLine="1047"/>
        <w:spacing w:after="0" w:line="253" w:lineRule="auto"/>
        <w:rPr>
          <w:sz w:val="20"/>
          <w:szCs w:val="20"/>
          <w:color w:val="auto"/>
        </w:rPr>
      </w:pPr>
      <w:r>
        <w:rPr>
          <w:rFonts w:ascii="Courier New" w:cs="Courier New" w:eastAsia="Courier New" w:hAnsi="Courier New"/>
          <w:sz w:val="17"/>
          <w:szCs w:val="17"/>
          <w:color w:val="auto"/>
        </w:rPr>
        <w:t>SIXTH SUPPLEMENTAL INDENTURE, dated as of June 12, 2000, between THE ALLSTATE CORPORATION, a Delaware corporation (the "Company"), and STATE STREET BANK AND TRUST COMPANY, a Massachusetts trust company, as Trustee (the "Trustee").</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The Company has heretofore executed and delivered to the Trustee an Indenture for Senior Debt Securities, dated as of December 16, 1997, as amended by the Third Supplemental Indenture dated as of July 23, 1999 (the "Indenture"), providing for the issuance from time to time of series of the Company's Securities.</w:t>
      </w:r>
    </w:p>
    <w:p>
      <w:pPr>
        <w:spacing w:after="0" w:line="197" w:lineRule="exact"/>
        <w:rPr>
          <w:sz w:val="20"/>
          <w:szCs w:val="20"/>
          <w:color w:val="auto"/>
        </w:rPr>
      </w:pPr>
    </w:p>
    <w:p>
      <w:pPr>
        <w:ind w:right="2459" w:firstLine="1047"/>
        <w:spacing w:after="0" w:line="252" w:lineRule="auto"/>
        <w:rPr>
          <w:sz w:val="20"/>
          <w:szCs w:val="20"/>
          <w:color w:val="auto"/>
        </w:rPr>
      </w:pPr>
      <w:r>
        <w:rPr>
          <w:rFonts w:ascii="Courier New" w:cs="Courier New" w:eastAsia="Courier New" w:hAnsi="Courier New"/>
          <w:sz w:val="17"/>
          <w:szCs w:val="17"/>
          <w:color w:val="auto"/>
        </w:rPr>
        <w:t>On December 16, 1997, the Company executed and delivered to the Trustee a First Supplemental Indenture to the Indenture (the "First Supplemental Indenture"), providing for the issuance of $250,000,000 in principal amount of 7 1/8% Senior Quarterly Interest Bonds due 2097 (the "2097 Senior Bonds"). The Company issued the 2097 Senior Bonds on December 19, 1997.</w:t>
      </w:r>
    </w:p>
    <w:p>
      <w:pPr>
        <w:spacing w:after="0" w:line="197" w:lineRule="exact"/>
        <w:rPr>
          <w:sz w:val="20"/>
          <w:szCs w:val="20"/>
          <w:color w:val="auto"/>
        </w:rPr>
      </w:pPr>
    </w:p>
    <w:p>
      <w:pPr>
        <w:ind w:right="1839" w:firstLine="1047"/>
        <w:spacing w:after="0" w:line="251" w:lineRule="auto"/>
        <w:rPr>
          <w:sz w:val="20"/>
          <w:szCs w:val="20"/>
          <w:color w:val="auto"/>
        </w:rPr>
      </w:pPr>
      <w:r>
        <w:rPr>
          <w:rFonts w:ascii="Courier New" w:cs="Courier New" w:eastAsia="Courier New" w:hAnsi="Courier New"/>
          <w:sz w:val="17"/>
          <w:szCs w:val="17"/>
          <w:color w:val="auto"/>
        </w:rPr>
        <w:t>On May 20, 1998, the Company executed and delivered to the Trustee a Second Supplemental Indenture to the Indenture (the "Second Supplemental Indenture"), providing for the issuance of $250,000,000 in principal amount of 6.75% Senior Debentures due May 15, 2018 and $250,000,000 in principal amount of</w:t>
      </w:r>
    </w:p>
    <w:p>
      <w:pPr>
        <w:ind w:right="1939"/>
        <w:spacing w:after="0" w:line="254" w:lineRule="auto"/>
        <w:rPr>
          <w:sz w:val="20"/>
          <w:szCs w:val="20"/>
          <w:color w:val="auto"/>
        </w:rPr>
      </w:pPr>
      <w:r>
        <w:rPr>
          <w:rFonts w:ascii="Courier New" w:cs="Courier New" w:eastAsia="Courier New" w:hAnsi="Courier New"/>
          <w:sz w:val="17"/>
          <w:szCs w:val="17"/>
          <w:color w:val="auto"/>
        </w:rPr>
        <w:t>6.90% Senior Debentures due May 15, 2038. The Company issued the 6.75% Senior Debentures due May 15, 2018 and the 6.90% Senior Debentures due May 15, 2038 on May 20, 1998.</w:t>
      </w:r>
    </w:p>
    <w:p>
      <w:pPr>
        <w:spacing w:after="0" w:line="194"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On November 17, 1999, the Company executed and delivered to the Trustee a Fourth Supplemental Indenture to the Indenture (the "Fourth Supplemental Indenture"), providing for the issuance of $750,000,000 in principal amount of 7.20% Senior Notes due December 1, 2009 (the "2009 Senior Notes"). The Company issued the 2009 Senior Notes on November 17, 1999.</w:t>
      </w:r>
    </w:p>
    <w:p>
      <w:pPr>
        <w:spacing w:after="0" w:line="197" w:lineRule="exact"/>
        <w:rPr>
          <w:sz w:val="20"/>
          <w:szCs w:val="20"/>
          <w:color w:val="auto"/>
        </w:rPr>
      </w:pPr>
    </w:p>
    <w:p>
      <w:pPr>
        <w:ind w:right="2139" w:firstLine="1047"/>
        <w:spacing w:after="0" w:line="252" w:lineRule="auto"/>
        <w:rPr>
          <w:sz w:val="20"/>
          <w:szCs w:val="20"/>
          <w:color w:val="auto"/>
        </w:rPr>
      </w:pPr>
      <w:r>
        <w:rPr>
          <w:rFonts w:ascii="Courier New" w:cs="Courier New" w:eastAsia="Courier New" w:hAnsi="Courier New"/>
          <w:sz w:val="17"/>
          <w:szCs w:val="17"/>
          <w:color w:val="auto"/>
        </w:rPr>
        <w:t>On May 1, 2000, the Company executed and delivered to the Trustee a Fifth Supplemental Indenture to the Indenture (the "Fifth Supplemental Indenture"), providing for the issuance of $900,000,000 in principal amount of 7 7/8% Senior Notes due 2005 (the "2005 Senior Notes"). The Company issued the 2005 Senior Notes on May 1, 2000.</w:t>
      </w:r>
    </w:p>
    <w:p>
      <w:pPr>
        <w:spacing w:after="0" w:line="197" w:lineRule="exact"/>
        <w:rPr>
          <w:sz w:val="20"/>
          <w:szCs w:val="20"/>
          <w:color w:val="auto"/>
        </w:rPr>
      </w:pPr>
    </w:p>
    <w:p>
      <w:pPr>
        <w:ind w:right="1839" w:firstLine="1047"/>
        <w:spacing w:after="0" w:line="252" w:lineRule="auto"/>
        <w:rPr>
          <w:sz w:val="20"/>
          <w:szCs w:val="20"/>
          <w:color w:val="auto"/>
        </w:rPr>
      </w:pPr>
      <w:r>
        <w:rPr>
          <w:rFonts w:ascii="Courier New" w:cs="Courier New" w:eastAsia="Courier New" w:hAnsi="Courier New"/>
          <w:sz w:val="17"/>
          <w:szCs w:val="17"/>
          <w:color w:val="auto"/>
        </w:rPr>
        <w:t>Section 901(9) of the Indenture provides for the Company and the Trustee to enter into an indenture supplemental to the Indenture to correct or supplement any provision of the Indenture, provided that such action shall not adversely affect the interests of the Holders of Securities of any series in any material respect.</w:t>
      </w:r>
    </w:p>
    <w:p>
      <w:pPr>
        <w:spacing w:after="0" w:line="197" w:lineRule="exact"/>
        <w:rPr>
          <w:sz w:val="20"/>
          <w:szCs w:val="20"/>
          <w:color w:val="auto"/>
        </w:rPr>
      </w:pPr>
    </w:p>
    <w:p>
      <w:pPr>
        <w:ind w:right="2039" w:firstLine="1047"/>
        <w:spacing w:after="0" w:line="252" w:lineRule="auto"/>
        <w:rPr>
          <w:sz w:val="20"/>
          <w:szCs w:val="20"/>
          <w:color w:val="auto"/>
        </w:rPr>
      </w:pPr>
      <w:r>
        <w:rPr>
          <w:rFonts w:ascii="Courier New" w:cs="Courier New" w:eastAsia="Courier New" w:hAnsi="Courier New"/>
          <w:sz w:val="17"/>
          <w:szCs w:val="17"/>
          <w:color w:val="auto"/>
        </w:rPr>
        <w:t>Section 904 of the Indenture provides that upon execution of any indenture supplemental to the Indenture, the Indenture shall be modified in accordance therewith, and such supplemental indenture shall form a part of the Indenture for all purposes; and every Holder of Securities theretofore or thereafter authenticated and delivered under the Indenture shall be bound thereby.</w:t>
      </w:r>
    </w:p>
    <w:p>
      <w:pPr>
        <w:spacing w:after="0" w:line="197"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NOW, THEREFORE, THIS SIXTH SUPPLEMENTAL INDENTURE WITNESSETH:</w:t>
      </w:r>
    </w:p>
    <w:p>
      <w:pPr>
        <w:spacing w:after="0" w:line="210" w:lineRule="exact"/>
        <w:rPr>
          <w:sz w:val="20"/>
          <w:szCs w:val="20"/>
          <w:color w:val="auto"/>
        </w:rPr>
      </w:pPr>
    </w:p>
    <w:p>
      <w:pPr>
        <w:ind w:right="1839" w:firstLine="1047"/>
        <w:spacing w:after="0" w:line="257" w:lineRule="auto"/>
        <w:rPr>
          <w:sz w:val="20"/>
          <w:szCs w:val="20"/>
          <w:color w:val="auto"/>
        </w:rPr>
      </w:pPr>
      <w:r>
        <w:rPr>
          <w:rFonts w:ascii="Courier New" w:cs="Courier New" w:eastAsia="Courier New" w:hAnsi="Courier New"/>
          <w:sz w:val="17"/>
          <w:szCs w:val="17"/>
          <w:color w:val="auto"/>
        </w:rPr>
        <w:t>For and in consideration of the premises, it is mutually agreed, for the equal and proportionate benefit of all Holders of the Securities as follows:</w:t>
      </w:r>
    </w:p>
    <w:p>
      <w:pPr>
        <w:spacing w:after="0" w:line="393"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Page 10 of 12</w:t>
      </w:r>
    </w:p>
    <w:p>
      <w:pPr>
        <w:sectPr>
          <w:pgSz w:w="11900" w:h="16838" w:orient="portrait"/>
          <w:cols w:equalWidth="0" w:num="1">
            <w:col w:w="10219"/>
          </w:cols>
          <w:pgMar w:left="240" w:top="719" w:right="1440" w:bottom="1440" w:gutter="0" w:footer="0" w:header="0"/>
        </w:sectPr>
      </w:pPr>
    </w:p>
    <w:bookmarkStart w:id="10" w:name="page11"/>
    <w:bookmarkEnd w:id="10"/>
    <w:p>
      <w:pPr>
        <w:jc w:val="center"/>
        <w:ind w:right="1719"/>
        <w:spacing w:after="0"/>
        <w:rPr>
          <w:sz w:val="20"/>
          <w:szCs w:val="20"/>
          <w:color w:val="auto"/>
        </w:rPr>
      </w:pPr>
      <w:r>
        <w:rPr>
          <w:rFonts w:ascii="Courier New" w:cs="Courier New" w:eastAsia="Courier New" w:hAnsi="Courier New"/>
          <w:sz w:val="17"/>
          <w:szCs w:val="17"/>
          <w:color w:val="auto"/>
        </w:rPr>
        <w:t>ARTICLE I</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Relation to Indenture; Definitions</w:t>
      </w:r>
    </w:p>
    <w:p>
      <w:pPr>
        <w:spacing w:after="0" w:line="210" w:lineRule="exact"/>
        <w:rPr>
          <w:sz w:val="20"/>
          <w:szCs w:val="20"/>
          <w:color w:val="auto"/>
        </w:rPr>
      </w:pPr>
    </w:p>
    <w:p>
      <w:pPr>
        <w:ind w:right="1939" w:firstLine="1047"/>
        <w:spacing w:after="0" w:line="257" w:lineRule="auto"/>
        <w:rPr>
          <w:sz w:val="20"/>
          <w:szCs w:val="20"/>
          <w:color w:val="auto"/>
        </w:rPr>
      </w:pPr>
      <w:r>
        <w:rPr>
          <w:rFonts w:ascii="Courier New" w:cs="Courier New" w:eastAsia="Courier New" w:hAnsi="Courier New"/>
          <w:sz w:val="17"/>
          <w:szCs w:val="17"/>
          <w:color w:val="auto"/>
        </w:rPr>
        <w:t>Section 1.1. RELATION TO INDENTURE. This Sixth Supplemental Indenture constitutes an integral part of the Indenture.</w:t>
      </w:r>
    </w:p>
    <w:p>
      <w:pPr>
        <w:spacing w:after="0" w:line="192"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Section 1.2. DEFINITIONS. For all purposes of this Sixth Supplemental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w:t>
      </w:r>
    </w:p>
    <w:p>
      <w:pPr>
        <w:spacing w:after="0" w:line="210" w:lineRule="exact"/>
        <w:rPr>
          <w:sz w:val="20"/>
          <w:szCs w:val="20"/>
          <w:color w:val="auto"/>
        </w:rPr>
      </w:pPr>
    </w:p>
    <w:p>
      <w:pPr>
        <w:ind w:right="2039" w:firstLine="1055"/>
        <w:spacing w:after="0" w:line="257" w:lineRule="auto"/>
        <w:tabs>
          <w:tab w:leader="none" w:pos="157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Capitalized terms used herein without definition shall have the meanings specified in the Indenture;</w:t>
      </w:r>
    </w:p>
    <w:p>
      <w:pPr>
        <w:spacing w:after="0" w:line="191" w:lineRule="exact"/>
        <w:rPr>
          <w:rFonts w:ascii="Courier New" w:cs="Courier New" w:eastAsia="Courier New" w:hAnsi="Courier New"/>
          <w:sz w:val="17"/>
          <w:szCs w:val="17"/>
          <w:color w:val="auto"/>
        </w:rPr>
      </w:pPr>
    </w:p>
    <w:p>
      <w:pPr>
        <w:ind w:right="1939" w:firstLine="1055"/>
        <w:spacing w:after="0" w:line="258" w:lineRule="auto"/>
        <w:tabs>
          <w:tab w:leader="none" w:pos="157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references herein to Articles and Sections, unless otherwise specified, refer to the corresponding Articles and Sections of the Indenture; and</w:t>
      </w:r>
    </w:p>
    <w:p>
      <w:pPr>
        <w:spacing w:after="0" w:line="391" w:lineRule="exact"/>
        <w:rPr>
          <w:rFonts w:ascii="Courier New" w:cs="Courier New" w:eastAsia="Courier New" w:hAnsi="Courier New"/>
          <w:sz w:val="17"/>
          <w:szCs w:val="17"/>
          <w:color w:val="auto"/>
        </w:rPr>
      </w:pPr>
    </w:p>
    <w:p>
      <w:pPr>
        <w:ind w:right="2359" w:firstLine="1055"/>
        <w:spacing w:after="0" w:line="257" w:lineRule="auto"/>
        <w:tabs>
          <w:tab w:leader="none" w:pos="157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terms "herein," "hereof," "hereunder" and other words of similar import refer to the Indenture.</w:t>
      </w:r>
    </w:p>
    <w:p>
      <w:pPr>
        <w:spacing w:after="0" w:line="393"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ARTICLE II</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The Series of Securities</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7"/>
          <w:szCs w:val="17"/>
          <w:color w:val="auto"/>
        </w:rPr>
        <w:t>Section 2.1. DEFINITIONS.</w:t>
      </w:r>
    </w:p>
    <w:p>
      <w:pPr>
        <w:spacing w:after="0" w:line="210" w:lineRule="exact"/>
        <w:rPr>
          <w:sz w:val="20"/>
          <w:szCs w:val="20"/>
          <w:color w:val="auto"/>
        </w:rPr>
      </w:pPr>
    </w:p>
    <w:p>
      <w:pPr>
        <w:ind w:right="2259" w:firstLine="1055"/>
        <w:spacing w:after="0" w:line="254" w:lineRule="auto"/>
        <w:tabs>
          <w:tab w:leader="none" w:pos="157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101 of the Indenture shall be amended by deleting the definition of "Company Request" and "Company Order" and replacing such definition with the following:</w:t>
      </w:r>
    </w:p>
    <w:p>
      <w:pPr>
        <w:spacing w:after="0" w:line="194" w:lineRule="exact"/>
        <w:rPr>
          <w:sz w:val="20"/>
          <w:szCs w:val="20"/>
          <w:color w:val="auto"/>
        </w:rPr>
      </w:pPr>
    </w:p>
    <w:p>
      <w:pPr>
        <w:ind w:left="1060" w:right="1939"/>
        <w:spacing w:after="0" w:line="251" w:lineRule="auto"/>
        <w:rPr>
          <w:sz w:val="20"/>
          <w:szCs w:val="20"/>
          <w:color w:val="auto"/>
        </w:rPr>
      </w:pPr>
      <w:r>
        <w:rPr>
          <w:rFonts w:ascii="Courier New" w:cs="Courier New" w:eastAsia="Courier New" w:hAnsi="Courier New"/>
          <w:sz w:val="17"/>
          <w:szCs w:val="17"/>
          <w:color w:val="auto"/>
        </w:rPr>
        <w:t>"Company Request" or "Company Order" means a written request or order signed in the name of the Company by any two of the following officers, provided that at least one of the signing officers is the principal executive officer, principal operating officer, principal financial officer, principal accounting officer or Treasurer of the Company: Chairman of the Board; Chief Executive Officer; President; Chief Operating Officer; Chief Financial Officer; General Counsel; Treasurer; Secretary; Controller; any Vice President; any Assistant Treasurer; any Assistant Secretary; and any Assistant Vice President.</w:t>
      </w:r>
    </w:p>
    <w:p>
      <w:pPr>
        <w:spacing w:after="0" w:line="201" w:lineRule="exact"/>
        <w:rPr>
          <w:sz w:val="20"/>
          <w:szCs w:val="20"/>
          <w:color w:val="auto"/>
        </w:rPr>
      </w:pPr>
    </w:p>
    <w:p>
      <w:pPr>
        <w:jc w:val="both"/>
        <w:ind w:right="2259" w:firstLine="1055"/>
        <w:spacing w:after="0" w:line="254" w:lineRule="auto"/>
        <w:tabs>
          <w:tab w:leader="none" w:pos="157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101 of the Indenture shall be amended by deleting the definition of "Officers' Certificate" and replacing such definition with the following:</w:t>
      </w:r>
    </w:p>
    <w:p>
      <w:pPr>
        <w:spacing w:after="0" w:line="194" w:lineRule="exact"/>
        <w:rPr>
          <w:sz w:val="20"/>
          <w:szCs w:val="20"/>
          <w:color w:val="auto"/>
        </w:rPr>
      </w:pPr>
    </w:p>
    <w:p>
      <w:pPr>
        <w:ind w:left="1060" w:right="1839"/>
        <w:spacing w:after="0" w:line="251" w:lineRule="auto"/>
        <w:rPr>
          <w:sz w:val="20"/>
          <w:szCs w:val="20"/>
          <w:color w:val="auto"/>
        </w:rPr>
      </w:pPr>
      <w:r>
        <w:rPr>
          <w:rFonts w:ascii="Courier New" w:cs="Courier New" w:eastAsia="Courier New" w:hAnsi="Courier New"/>
          <w:sz w:val="17"/>
          <w:szCs w:val="17"/>
          <w:color w:val="auto"/>
        </w:rPr>
        <w:t>"Officers' Certificate" means a certificate signed by any two of the following officers and delivered to the Trustee, provided that at least one of the signing officers is the principal executive officer, principal operating officer, principal financial officer, principal accounting officer or Treasurer of the Company: Chairman of the Board; Chief Executive Officer; President; Chief Operating Officer; Chief Financial Officer; General Counsel; Treasurer; Secretary; Controller; any Vice President; any Assistant Treasurer; any Assistant Secretary; and any Assistant Vice President.</w:t>
      </w:r>
    </w:p>
    <w:p>
      <w:pPr>
        <w:spacing w:after="0" w:line="200" w:lineRule="exact"/>
        <w:rPr>
          <w:sz w:val="20"/>
          <w:szCs w:val="20"/>
          <w:color w:val="auto"/>
        </w:rPr>
      </w:pPr>
    </w:p>
    <w:p>
      <w:pPr>
        <w:spacing w:after="0" w:line="203"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Page 11 of 12</w:t>
      </w:r>
    </w:p>
    <w:p>
      <w:pPr>
        <w:sectPr>
          <w:pgSz w:w="11900" w:h="16838" w:orient="portrait"/>
          <w:cols w:equalWidth="0" w:num="1">
            <w:col w:w="10219"/>
          </w:cols>
          <w:pgMar w:left="240" w:top="719" w:right="1440" w:bottom="1440" w:gutter="0" w:footer="0" w:header="0"/>
        </w:sectPr>
      </w:pPr>
    </w:p>
    <w:bookmarkStart w:id="11" w:name="page12"/>
    <w:bookmarkEnd w:id="11"/>
    <w:p>
      <w:pPr>
        <w:ind w:left="3680"/>
        <w:spacing w:after="0"/>
        <w:rPr>
          <w:sz w:val="20"/>
          <w:szCs w:val="20"/>
          <w:color w:val="auto"/>
        </w:rPr>
      </w:pPr>
      <w:r>
        <w:rPr>
          <w:rFonts w:ascii="Courier New" w:cs="Courier New" w:eastAsia="Courier New" w:hAnsi="Courier New"/>
          <w:sz w:val="17"/>
          <w:szCs w:val="17"/>
          <w:color w:val="auto"/>
        </w:rPr>
        <w:t>ARTICLE III</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Miscellaneous Provisions</w:t>
      </w:r>
    </w:p>
    <w:p>
      <w:pPr>
        <w:spacing w:after="0" w:line="210" w:lineRule="exact"/>
        <w:rPr>
          <w:sz w:val="20"/>
          <w:szCs w:val="20"/>
          <w:color w:val="auto"/>
        </w:rPr>
      </w:pPr>
    </w:p>
    <w:p>
      <w:pPr>
        <w:ind w:right="1839" w:firstLine="1047"/>
        <w:spacing w:after="0" w:line="253" w:lineRule="auto"/>
        <w:rPr>
          <w:sz w:val="20"/>
          <w:szCs w:val="20"/>
          <w:color w:val="auto"/>
        </w:rPr>
      </w:pPr>
      <w:r>
        <w:rPr>
          <w:rFonts w:ascii="Courier New" w:cs="Courier New" w:eastAsia="Courier New" w:hAnsi="Courier New"/>
          <w:sz w:val="17"/>
          <w:szCs w:val="17"/>
          <w:color w:val="auto"/>
        </w:rPr>
        <w:t>Section 3.1. TRUSTEE NOT RESPONSIBLE FOR RECITALS. The recitals herein contained are made by the Company and not by the Trustee, and the Trustee assumes no responsibility for the correctness thereof. The Trustee makes no representation as to the validity or sufficiency of this Sixth Supplemental Indenture.</w:t>
      </w:r>
    </w:p>
    <w:p>
      <w:pPr>
        <w:spacing w:after="0" w:line="396" w:lineRule="exact"/>
        <w:rPr>
          <w:sz w:val="20"/>
          <w:szCs w:val="20"/>
          <w:color w:val="auto"/>
        </w:rPr>
      </w:pPr>
    </w:p>
    <w:p>
      <w:pPr>
        <w:ind w:right="2039" w:firstLine="1047"/>
        <w:spacing w:after="0" w:line="254" w:lineRule="auto"/>
        <w:rPr>
          <w:sz w:val="20"/>
          <w:szCs w:val="20"/>
          <w:color w:val="auto"/>
        </w:rPr>
      </w:pPr>
      <w:r>
        <w:rPr>
          <w:rFonts w:ascii="Courier New" w:cs="Courier New" w:eastAsia="Courier New" w:hAnsi="Courier New"/>
          <w:sz w:val="17"/>
          <w:szCs w:val="17"/>
          <w:color w:val="auto"/>
        </w:rPr>
        <w:t>Section 3.2. ADOPTION, RATIFICATION AND CONFIRMATION. The Indenture, as supplemented and amended by this Sixth Supplemental Indenture, is in all respects hereby adopted, ratified and confirmed.</w:t>
      </w:r>
    </w:p>
    <w:p>
      <w:pPr>
        <w:spacing w:after="0" w:line="194" w:lineRule="exact"/>
        <w:rPr>
          <w:sz w:val="20"/>
          <w:szCs w:val="20"/>
          <w:color w:val="auto"/>
        </w:rPr>
      </w:pPr>
    </w:p>
    <w:p>
      <w:pPr>
        <w:ind w:right="1939" w:firstLine="1047"/>
        <w:spacing w:after="0" w:line="254" w:lineRule="auto"/>
        <w:rPr>
          <w:sz w:val="20"/>
          <w:szCs w:val="20"/>
          <w:color w:val="auto"/>
        </w:rPr>
      </w:pPr>
      <w:r>
        <w:rPr>
          <w:rFonts w:ascii="Courier New" w:cs="Courier New" w:eastAsia="Courier New" w:hAnsi="Courier New"/>
          <w:sz w:val="17"/>
          <w:szCs w:val="17"/>
          <w:color w:val="auto"/>
        </w:rPr>
        <w:t>Section 3.3. COUNTERPARTS. This Sixth Supplemental Indenture may be executed in any number of counterparts, each of which shall be an original, but such counterparts shall together constitute but one and the same instrument.</w:t>
      </w:r>
    </w:p>
    <w:p>
      <w:pPr>
        <w:spacing w:after="0" w:line="194" w:lineRule="exact"/>
        <w:rPr>
          <w:sz w:val="20"/>
          <w:szCs w:val="20"/>
          <w:color w:val="auto"/>
        </w:rPr>
      </w:pPr>
    </w:p>
    <w:p>
      <w:pPr>
        <w:ind w:right="1839" w:firstLine="1047"/>
        <w:spacing w:after="0" w:line="254" w:lineRule="auto"/>
        <w:rPr>
          <w:sz w:val="20"/>
          <w:szCs w:val="20"/>
          <w:color w:val="auto"/>
        </w:rPr>
      </w:pPr>
      <w:r>
        <w:rPr>
          <w:rFonts w:ascii="Courier New" w:cs="Courier New" w:eastAsia="Courier New" w:hAnsi="Courier New"/>
          <w:sz w:val="17"/>
          <w:szCs w:val="17"/>
          <w:color w:val="auto"/>
        </w:rPr>
        <w:t>Section 3.4. GOVERNING LAW. THIS SIXTH SUPPLEMENTAL INDENTURE AND EACH DEBENTURE, BOND AND NOTE SHALL BE GOVERNED BY AND CONSTRUED IN ACCORDANCE WITH THE INTERNAL LAWS OF THE STATE OF NEW YORK.</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 * * * *</w:t>
      </w:r>
    </w:p>
    <w:p>
      <w:pPr>
        <w:spacing w:after="0" w:line="200" w:lineRule="exact"/>
        <w:rPr>
          <w:sz w:val="20"/>
          <w:szCs w:val="20"/>
          <w:color w:val="auto"/>
        </w:rPr>
      </w:pPr>
    </w:p>
    <w:p>
      <w:pPr>
        <w:spacing w:after="0" w:line="212" w:lineRule="exact"/>
        <w:rPr>
          <w:sz w:val="20"/>
          <w:szCs w:val="20"/>
          <w:color w:val="auto"/>
        </w:rPr>
      </w:pPr>
    </w:p>
    <w:p>
      <w:pPr>
        <w:ind w:right="1839" w:firstLine="1047"/>
        <w:spacing w:after="0" w:line="254" w:lineRule="auto"/>
        <w:rPr>
          <w:sz w:val="20"/>
          <w:szCs w:val="20"/>
          <w:color w:val="auto"/>
        </w:rPr>
      </w:pPr>
      <w:r>
        <w:rPr>
          <w:rFonts w:ascii="Courier New" w:cs="Courier New" w:eastAsia="Courier New" w:hAnsi="Courier New"/>
          <w:sz w:val="17"/>
          <w:szCs w:val="17"/>
          <w:color w:val="auto"/>
        </w:rPr>
        <w:t>IN WITNESS WHEREOF, the parties hereto have caused this Sixth Supplemental Indenture to be duly executed on the date or dates indicated in the acknowledgments and as of the day and year first above written.</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THE ALLSTATE CORPORATION</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Edward M. Liddy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Chairman of the Board, President and</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STATE STREET BANK AND TRUST</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COMPANY, as Trustee</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Its:</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Page 12 of 12</w:t>
      </w:r>
    </w:p>
    <w:sectPr>
      <w:pgSz w:w="11900" w:h="16838" w:orient="portrait"/>
      <w:cols w:equalWidth="0" w:num="1">
        <w:col w:w="10219"/>
      </w:cols>
      <w:pgMar w:left="240" w:top="7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2019-12-14T00:44:45Z</dcterms:created>
  <dcterms:modified xsi:type="dcterms:W3CDTF">2019-12-14T00:44:45Z</dcterms:modified>
</cp:coreProperties>
</file>