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Allstate Corporation</w:t>
      </w:r>
    </w:p>
    <w:tbl>
      <w:tblPr>
        <w:tblLayout w:type="fixed"/>
        <w:tblInd w:w="0" w:type="dxa"/>
        <w:tblCellMar>
          <w:top w:w="0" w:type="dxa"/>
          <w:left w:w="0" w:type="dxa"/>
          <w:bottom w:w="0" w:type="dxa"/>
          <w:right w:w="0" w:type="dxa"/>
        </w:tblCellMar>
      </w:tblPr>
      <w:tr>
        <w:trPr>
          <w:trHeight w:val="203"/>
        </w:trPr>
        <w:tc>
          <w:tcPr>
            <w:tcW w:w="632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020002101</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tcPr>
          <w:p>
            <w:pPr>
              <w:spacing w:after="0"/>
              <w:rPr>
                <w:sz w:val="20"/>
                <w:szCs w:val="20"/>
                <w:color w:val="auto"/>
              </w:rPr>
            </w:pPr>
            <w:r>
              <w:rPr>
                <w:rFonts w:ascii="Courier New" w:cs="Courier New" w:eastAsia="Courier New" w:hAnsi="Courier New"/>
                <w:sz w:val="18"/>
                <w:szCs w:val="18"/>
                <w:color w:val="auto"/>
              </w:rPr>
              <w:t>020002101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FMR Corp. - (Tax ID:  04-2507163)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3,765,206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2,780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41,841,145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2,780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41,843,925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HC</w:t>
            </w:r>
          </w:p>
        </w:tc>
      </w:tr>
      <w:tr>
        <w:trPr>
          <w:trHeight w:val="1013"/>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tcPr>
          <w:p>
            <w:pPr>
              <w:spacing w:after="0"/>
              <w:rPr>
                <w:sz w:val="20"/>
                <w:szCs w:val="20"/>
                <w:color w:val="auto"/>
              </w:rPr>
            </w:pPr>
            <w:r>
              <w:rPr>
                <w:rFonts w:ascii="Courier New" w:cs="Courier New" w:eastAsia="Courier New" w:hAnsi="Courier New"/>
                <w:sz w:val="18"/>
                <w:szCs w:val="18"/>
                <w:color w:val="auto"/>
              </w:rPr>
              <w:t>020002101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3,817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2,780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41,841,145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2,780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41,843,925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tcPr>
          <w:p>
            <w:pPr>
              <w:spacing w:after="0"/>
              <w:rPr>
                <w:sz w:val="20"/>
                <w:szCs w:val="20"/>
                <w:color w:val="auto"/>
              </w:rPr>
            </w:pPr>
            <w:r>
              <w:rPr>
                <w:rFonts w:ascii="Courier New" w:cs="Courier New" w:eastAsia="Courier New" w:hAnsi="Courier New"/>
                <w:sz w:val="18"/>
                <w:szCs w:val="18"/>
                <w:color w:val="auto"/>
              </w:rPr>
              <w:t>020002101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41,841,145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tcPr>
          <w:p>
            <w:pPr>
              <w:spacing w:after="0" w:line="203" w:lineRule="exact"/>
              <w:rPr>
                <w:sz w:val="20"/>
                <w:szCs w:val="20"/>
                <w:color w:val="auto"/>
              </w:rPr>
            </w:pPr>
            <w:r>
              <w:rPr>
                <w:rFonts w:ascii="Courier New" w:cs="Courier New" w:eastAsia="Courier New" w:hAnsi="Courier New"/>
                <w:sz w:val="18"/>
                <w:szCs w:val="18"/>
                <w:color w:val="auto"/>
              </w:rPr>
              <w:t>41,843,925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Allstate Corporation</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2775 Sanders Rd.</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Northbrook, IL</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60062</w:t>
      </w:r>
    </w:p>
    <w:p>
      <w:pPr>
        <w:spacing w:after="0" w:line="216" w:lineRule="exact"/>
        <w:rPr>
          <w:sz w:val="24"/>
          <w:szCs w:val="24"/>
          <w:color w:val="auto"/>
        </w:rPr>
      </w:pPr>
    </w:p>
    <w:p>
      <w:pPr>
        <w:sectPr>
          <w:pgSz w:w="11900" w:h="16838" w:orient="portrait"/>
          <w:cols w:equalWidth="0" w:num="2">
            <w:col w:w="3380" w:space="0"/>
            <w:col w:w="6839"/>
          </w:cols>
          <w:pgMar w:left="240" w:top="852"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020002101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41,843,925</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9.41%</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860" w:right="419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3,765,206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2,780</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41,841,145</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Allstate Corporation. No one person's interest in the common stock of Allstate Corporation</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Allstate Corporation at December 31,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36,380,286 shares or 8.18% of the common stock outstanding of Allstate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36,380,286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5,070,810 shares or 1.14%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5,070,810 shares and sole power to vote or to direct the voting of 3,375,157 shares, and no power to vote or to direct the voting of 1,695,653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 The number of shares of common stock of the Company reported herewith includes 6,597 shares or 0.00% of common stock owned directly by Edward C. Johnson 3d or in trusts for the benefit of Edward C. Johnson 3d or an Edward C. Johnson 3d family member for which Edward C. Johnson 3d serves as trustee.</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Edward C. Johnson 3d has sole voting and dispositive power over 3,817 shares and shared voting and dispositive power over 2,780 shares.</w:t>
      </w:r>
    </w:p>
    <w:p>
      <w:pPr>
        <w:spacing w:after="0" w:line="200" w:lineRule="exact"/>
        <w:rPr>
          <w:sz w:val="20"/>
          <w:szCs w:val="20"/>
          <w:color w:val="auto"/>
        </w:rPr>
      </w:pP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386,232 shares or 0.09% of the common stock outstanding of the Company. Additional information with respect to the beneficial ownership of Fidelity International Limited is shown on Exhibit B, page 1.</w:t>
      </w:r>
    </w:p>
    <w:p>
      <w:pPr>
        <w:sectPr>
          <w:pgSz w:w="11900" w:h="16838" w:orient="portrait"/>
          <w:cols w:equalWidth="0" w:num="1">
            <w:col w:w="10219"/>
          </w:cols>
          <w:pgMar w:left="240" w:top="744" w:right="1440" w:bottom="138"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386,232 shares or 0.09% of the common stock outstanding of Allstate Corporation.</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has the sole power to vote and the sole power to dispose of 386,232</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February 14, 1997, agree and consent to the joint filing on their behalf of this Schedule 13G in connection with their beneficial ownership of the common stock of Allstate Corporation at December</w:t>
      </w:r>
    </w:p>
    <w:tbl>
      <w:tblPr>
        <w:tblLayout w:type="fixed"/>
        <w:tblInd w:w="0" w:type="dxa"/>
        <w:tblCellMar>
          <w:top w:w="0" w:type="dxa"/>
          <w:left w:w="0" w:type="dxa"/>
          <w:bottom w:w="0" w:type="dxa"/>
          <w:right w:w="0" w:type="dxa"/>
        </w:tblCellMar>
      </w:tblPr>
      <w:tr>
        <w:trPr>
          <w:trHeight w:val="199"/>
        </w:trPr>
        <w:tc>
          <w:tcPr>
            <w:tcW w:w="3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31,</w:t>
            </w:r>
          </w:p>
        </w:tc>
        <w:tc>
          <w:tcPr>
            <w:tcW w:w="100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rPr>
              <w:t>1996.</w:t>
            </w:r>
          </w:p>
        </w:tc>
        <w:tc>
          <w:tcPr>
            <w:tcW w:w="23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FMR Corp.</w:t>
            </w:r>
          </w:p>
        </w:tc>
      </w:tr>
      <w:tr>
        <w:trPr>
          <w:trHeight w:val="203"/>
        </w:trPr>
        <w:tc>
          <w:tcPr>
            <w:tcW w:w="38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/s/Arthur 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Vice President - Legal</w:t>
      </w:r>
    </w:p>
    <w:p>
      <w:pPr>
        <w:sectPr>
          <w:pgSz w:w="11900" w:h="16838" w:orient="portrait"/>
          <w:cols w:equalWidth="0" w:num="1">
            <w:col w:w="10219"/>
          </w:cols>
          <w:pgMar w:left="240" w:top="136"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2019-12-14T00:11:02Z</dcterms:created>
  <dcterms:modified xsi:type="dcterms:W3CDTF">2019-12-14T00:11:02Z</dcterms:modified>
</cp:coreProperties>
</file>