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207"/>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207"/>
        <w:spacing w:after="0"/>
        <w:rPr>
          <w:sz w:val="20"/>
          <w:szCs w:val="20"/>
          <w:color w:val="auto"/>
        </w:rPr>
      </w:pPr>
      <w:r>
        <w:rPr>
          <w:rFonts w:ascii="Arial" w:cs="Arial" w:eastAsia="Arial" w:hAnsi="Arial"/>
          <w:sz w:val="14"/>
          <w:szCs w:val="14"/>
          <w:b w:val="1"/>
          <w:bCs w:val="1"/>
          <w:color w:val="auto"/>
        </w:rPr>
        <w:t>Washington, D.C. 20549</w:t>
      </w:r>
    </w:p>
    <w:p>
      <w:pPr>
        <w:spacing w:after="0" w:line="300" w:lineRule="exact"/>
        <w:rPr>
          <w:sz w:val="24"/>
          <w:szCs w:val="24"/>
          <w:color w:val="auto"/>
        </w:rPr>
      </w:pPr>
    </w:p>
    <w:p>
      <w:pPr>
        <w:jc w:val="center"/>
        <w:ind w:right="-207"/>
        <w:spacing w:after="0"/>
        <w:rPr>
          <w:sz w:val="20"/>
          <w:szCs w:val="20"/>
          <w:color w:val="auto"/>
        </w:rPr>
      </w:pPr>
      <w:r>
        <w:rPr>
          <w:rFonts w:ascii="Arial" w:cs="Arial" w:eastAsia="Arial" w:hAnsi="Arial"/>
          <w:sz w:val="22"/>
          <w:szCs w:val="22"/>
          <w:b w:val="1"/>
          <w:bCs w:val="1"/>
          <w:color w:val="auto"/>
        </w:rPr>
        <w:t>FORM 8-K</w:t>
      </w:r>
    </w:p>
    <w:p>
      <w:pPr>
        <w:spacing w:after="0" w:line="149"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CURRENT REPORT</w:t>
      </w:r>
    </w:p>
    <w:p>
      <w:pPr>
        <w:spacing w:after="0" w:line="150"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PURSUANT TO SECTION 13 OR 15 (d) OF THE</w:t>
      </w:r>
    </w:p>
    <w:p>
      <w:pPr>
        <w:spacing w:after="0" w:line="19"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SECURITIES EXCHANGE ACT OF 1934</w:t>
      </w:r>
    </w:p>
    <w:p>
      <w:pPr>
        <w:spacing w:after="0" w:line="141" w:lineRule="exact"/>
        <w:rPr>
          <w:sz w:val="24"/>
          <w:szCs w:val="24"/>
          <w:color w:val="auto"/>
        </w:rPr>
      </w:pPr>
    </w:p>
    <w:p>
      <w:pPr>
        <w:jc w:val="center"/>
        <w:ind w:right="-207"/>
        <w:spacing w:after="0"/>
        <w:rPr>
          <w:sz w:val="20"/>
          <w:szCs w:val="20"/>
          <w:color w:val="auto"/>
        </w:rPr>
      </w:pPr>
      <w:r>
        <w:rPr>
          <w:rFonts w:ascii="Arial" w:cs="Arial" w:eastAsia="Arial" w:hAnsi="Arial"/>
          <w:sz w:val="12"/>
          <w:szCs w:val="12"/>
          <w:color w:val="auto"/>
        </w:rPr>
        <w:t>Date of report (Date of earliest event reported): May 1, 2019</w:t>
      </w:r>
    </w:p>
    <w:p>
      <w:pPr>
        <w:spacing w:after="0" w:line="141" w:lineRule="exact"/>
        <w:rPr>
          <w:sz w:val="24"/>
          <w:szCs w:val="24"/>
          <w:color w:val="auto"/>
        </w:rPr>
      </w:pPr>
    </w:p>
    <w:p>
      <w:pPr>
        <w:jc w:val="center"/>
        <w:ind w:right="-207"/>
        <w:spacing w:after="0"/>
        <w:rPr>
          <w:sz w:val="20"/>
          <w:szCs w:val="20"/>
          <w:color w:val="auto"/>
        </w:rPr>
      </w:pPr>
      <w:r>
        <w:rPr>
          <w:rFonts w:ascii="Arial" w:cs="Arial" w:eastAsia="Arial" w:hAnsi="Arial"/>
          <w:sz w:val="22"/>
          <w:szCs w:val="22"/>
          <w:b w:val="1"/>
          <w:bCs w:val="1"/>
          <w:color w:val="auto"/>
        </w:rPr>
        <w:t>THE ALLSTATE CORPORATION</w:t>
      </w:r>
    </w:p>
    <w:p>
      <w:pPr>
        <w:spacing w:after="0" w:line="19" w:lineRule="exact"/>
        <w:rPr>
          <w:sz w:val="24"/>
          <w:szCs w:val="24"/>
          <w:color w:val="auto"/>
        </w:rPr>
      </w:pPr>
    </w:p>
    <w:p>
      <w:pPr>
        <w:jc w:val="center"/>
        <w:ind w:right="-20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68"/>
          </w:cols>
          <w:pgMar w:left="212" w:top="499" w:right="419" w:bottom="1440" w:gutter="0" w:footer="0" w:header="0"/>
        </w:sectPr>
      </w:pPr>
    </w:p>
    <w:p>
      <w:pPr>
        <w:spacing w:after="0" w:line="244" w:lineRule="exact"/>
        <w:rPr>
          <w:sz w:val="24"/>
          <w:szCs w:val="24"/>
          <w:color w:val="auto"/>
        </w:rPr>
      </w:pPr>
    </w:p>
    <w:p>
      <w:pPr>
        <w:ind w:left="148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800"/>
        <w:spacing w:after="0"/>
        <w:rPr>
          <w:sz w:val="20"/>
          <w:szCs w:val="20"/>
          <w:color w:val="auto"/>
        </w:rPr>
      </w:pPr>
      <w:r>
        <w:rPr>
          <w:rFonts w:ascii="Arial" w:cs="Arial" w:eastAsia="Arial" w:hAnsi="Arial"/>
          <w:sz w:val="10"/>
          <w:szCs w:val="10"/>
          <w:b w:val="1"/>
          <w:bCs w:val="1"/>
          <w:color w:val="auto"/>
        </w:rPr>
        <w:t>1-11840</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36-3871531</w:t>
      </w:r>
    </w:p>
    <w:p>
      <w:pPr>
        <w:spacing w:after="0" w:line="69" w:lineRule="exact"/>
        <w:rPr>
          <w:sz w:val="24"/>
          <w:szCs w:val="24"/>
          <w:color w:val="auto"/>
        </w:rPr>
      </w:pPr>
    </w:p>
    <w:p>
      <w:pPr>
        <w:sectPr>
          <w:pgSz w:w="11900" w:h="16838" w:orient="portrait"/>
          <w:cols w:equalWidth="0" w:num="3">
            <w:col w:w="4768" w:space="720"/>
            <w:col w:w="3200" w:space="720"/>
            <w:col w:w="1860"/>
          </w:cols>
          <w:pgMar w:left="212" w:top="499" w:right="419" w:bottom="1440" w:gutter="0" w:footer="0" w:header="0"/>
          <w:type w:val="continuous"/>
        </w:sectPr>
      </w:pPr>
    </w:p>
    <w:p>
      <w:pPr>
        <w:jc w:val="center"/>
        <w:ind w:right="1192"/>
        <w:spacing w:after="0"/>
        <w:rPr>
          <w:sz w:val="20"/>
          <w:szCs w:val="20"/>
          <w:color w:val="auto"/>
        </w:rPr>
      </w:pPr>
      <w:r>
        <w:rPr>
          <w:rFonts w:ascii="Arial" w:cs="Arial" w:eastAsia="Arial" w:hAnsi="Arial"/>
          <w:sz w:val="12"/>
          <w:szCs w:val="12"/>
          <w:color w:val="auto"/>
        </w:rPr>
        <w:t>(State or other</w:t>
      </w:r>
    </w:p>
    <w:p>
      <w:pPr>
        <w:spacing w:after="0" w:line="15" w:lineRule="exact"/>
        <w:rPr>
          <w:sz w:val="24"/>
          <w:szCs w:val="24"/>
          <w:color w:val="auto"/>
        </w:rPr>
      </w:pPr>
    </w:p>
    <w:p>
      <w:pPr>
        <w:jc w:val="center"/>
        <w:ind w:right="1192"/>
        <w:spacing w:after="0"/>
        <w:rPr>
          <w:sz w:val="20"/>
          <w:szCs w:val="20"/>
          <w:color w:val="auto"/>
        </w:rPr>
      </w:pPr>
      <w:r>
        <w:rPr>
          <w:rFonts w:ascii="Arial" w:cs="Arial" w:eastAsia="Arial" w:hAnsi="Arial"/>
          <w:sz w:val="11"/>
          <w:szCs w:val="11"/>
          <w:color w:val="auto"/>
        </w:rPr>
        <w:t>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1"/>
          <w:szCs w:val="11"/>
          <w:color w:val="auto"/>
        </w:rPr>
        <w:t>Identification No.)</w:t>
      </w:r>
    </w:p>
    <w:p>
      <w:pPr>
        <w:spacing w:after="0" w:line="200" w:lineRule="exact"/>
        <w:rPr>
          <w:sz w:val="24"/>
          <w:szCs w:val="24"/>
          <w:color w:val="auto"/>
        </w:rPr>
      </w:pPr>
    </w:p>
    <w:p>
      <w:pPr>
        <w:sectPr>
          <w:pgSz w:w="11900" w:h="16838" w:orient="portrait"/>
          <w:cols w:equalWidth="0" w:num="3">
            <w:col w:w="4648" w:space="720"/>
            <w:col w:w="3180" w:space="720"/>
            <w:col w:w="2000"/>
          </w:cols>
          <w:pgMar w:left="212" w:top="499" w:right="419" w:bottom="1440" w:gutter="0" w:footer="0" w:header="0"/>
          <w:type w:val="continuous"/>
        </w:sectPr>
      </w:pPr>
    </w:p>
    <w:p>
      <w:pPr>
        <w:spacing w:after="0" w:line="102" w:lineRule="exact"/>
        <w:rPr>
          <w:sz w:val="24"/>
          <w:szCs w:val="24"/>
          <w:color w:val="auto"/>
        </w:rPr>
      </w:pPr>
    </w:p>
    <w:p>
      <w:pPr>
        <w:ind w:left="3928"/>
        <w:spacing w:after="0"/>
        <w:rPr>
          <w:sz w:val="20"/>
          <w:szCs w:val="20"/>
          <w:color w:val="auto"/>
        </w:rPr>
      </w:pPr>
      <w:r>
        <w:rPr>
          <w:rFonts w:ascii="Arial" w:cs="Arial" w:eastAsia="Arial" w:hAnsi="Arial"/>
          <w:sz w:val="10"/>
          <w:szCs w:val="10"/>
          <w:b w:val="1"/>
          <w:bCs w:val="1"/>
          <w:color w:val="auto"/>
        </w:rPr>
        <w:t>2775 Sanders Road, Northbrook, Illinois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60062</w:t>
      </w:r>
    </w:p>
    <w:p>
      <w:pPr>
        <w:spacing w:after="0" w:line="69" w:lineRule="exact"/>
        <w:rPr>
          <w:sz w:val="24"/>
          <w:szCs w:val="24"/>
          <w:color w:val="auto"/>
        </w:rPr>
      </w:pPr>
    </w:p>
    <w:p>
      <w:pPr>
        <w:sectPr>
          <w:pgSz w:w="11900" w:h="16838" w:orient="portrait"/>
          <w:cols w:equalWidth="0" w:num="2">
            <w:col w:w="8428" w:space="720"/>
            <w:col w:w="2120"/>
          </w:cols>
          <w:pgMar w:left="212" w:top="499" w:right="419" w:bottom="1440" w:gutter="0" w:footer="0" w:header="0"/>
          <w:type w:val="continuous"/>
        </w:sectPr>
      </w:pPr>
    </w:p>
    <w:p>
      <w:pPr>
        <w:ind w:left="4008"/>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200" w:lineRule="exact"/>
        <w:rPr>
          <w:sz w:val="24"/>
          <w:szCs w:val="24"/>
          <w:color w:val="auto"/>
        </w:rPr>
      </w:pPr>
    </w:p>
    <w:p>
      <w:pPr>
        <w:sectPr>
          <w:pgSz w:w="11900" w:h="16838" w:orient="portrait"/>
          <w:cols w:equalWidth="0" w:num="2">
            <w:col w:w="8308" w:space="720"/>
            <w:col w:w="2240"/>
          </w:cols>
          <w:pgMar w:left="212" w:top="499" w:right="419" w:bottom="1440" w:gutter="0" w:footer="0" w:header="0"/>
          <w:type w:val="continuous"/>
        </w:sectPr>
      </w:pPr>
    </w:p>
    <w:p>
      <w:pPr>
        <w:spacing w:after="0" w:line="7" w:lineRule="exact"/>
        <w:rPr>
          <w:sz w:val="24"/>
          <w:szCs w:val="24"/>
          <w:color w:val="auto"/>
        </w:rPr>
      </w:pPr>
    </w:p>
    <w:p>
      <w:pPr>
        <w:ind w:left="4108"/>
        <w:spacing w:after="0"/>
        <w:rPr>
          <w:sz w:val="20"/>
          <w:szCs w:val="20"/>
          <w:color w:val="auto"/>
        </w:rPr>
      </w:pPr>
      <w:r>
        <w:rPr>
          <w:rFonts w:ascii="Arial" w:cs="Arial" w:eastAsia="Arial" w:hAnsi="Arial"/>
          <w:sz w:val="10"/>
          <w:szCs w:val="10"/>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(847) 402-5000</w:t>
      </w:r>
    </w:p>
    <w:p>
      <w:pPr>
        <w:spacing w:after="0" w:line="196" w:lineRule="exact"/>
        <w:rPr>
          <w:sz w:val="24"/>
          <w:szCs w:val="24"/>
          <w:color w:val="auto"/>
        </w:rPr>
      </w:pPr>
    </w:p>
    <w:p>
      <w:pPr>
        <w:sectPr>
          <w:pgSz w:w="11900" w:h="16838" w:orient="portrait"/>
          <w:cols w:equalWidth="0" w:num="2">
            <w:col w:w="6568" w:space="60"/>
            <w:col w:w="4640"/>
          </w:cols>
          <w:pgMar w:left="212" w:top="499" w:right="419" w:bottom="1440" w:gutter="0" w:footer="0" w:header="0"/>
          <w:type w:val="continuous"/>
        </w:sectPr>
      </w:pPr>
    </w:p>
    <w:p>
      <w:pPr>
        <w:ind w:left="8"/>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8" w:lineRule="exact"/>
        <w:rPr>
          <w:sz w:val="24"/>
          <w:szCs w:val="24"/>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Written communications pursuant to Rule 425 under the Securities Act (17 CFR 230.425)</w:t>
      </w:r>
    </w:p>
    <w:p>
      <w:pPr>
        <w:spacing w:after="0" w:line="150"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Soliciting material pursuant to Rule 14a-12 under the Exchange Act (17 CFR 240.14a-12)</w:t>
      </w:r>
    </w:p>
    <w:p>
      <w:pPr>
        <w:spacing w:after="0" w:line="150"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14d-2(b) under the Exchange Act (17 CFR 240.14d-2(b))</w:t>
      </w:r>
    </w:p>
    <w:p>
      <w:pPr>
        <w:spacing w:after="0" w:line="150" w:lineRule="exact"/>
        <w:rPr>
          <w:rFonts w:ascii="Arial" w:cs="Arial" w:eastAsia="Arial" w:hAnsi="Arial"/>
          <w:sz w:val="12"/>
          <w:szCs w:val="12"/>
          <w:color w:val="auto"/>
        </w:rPr>
      </w:pPr>
    </w:p>
    <w:p>
      <w:pPr>
        <w:ind w:left="68" w:hanging="68"/>
        <w:spacing w:after="0"/>
        <w:tabs>
          <w:tab w:leader="none" w:pos="68"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13e-4(c) under the Exchange Act (17 CFR 240.13e-4(c))</w:t>
      </w:r>
    </w:p>
    <w:p>
      <w:pPr>
        <w:spacing w:after="0" w:line="181" w:lineRule="exact"/>
        <w:rPr>
          <w:sz w:val="24"/>
          <w:szCs w:val="24"/>
          <w:color w:val="auto"/>
        </w:rPr>
      </w:pPr>
    </w:p>
    <w:p>
      <w:pPr>
        <w:ind w:left="8" w:right="36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6688"/>
        <w:spacing w:after="0"/>
        <w:tabs>
          <w:tab w:leader="none" w:pos="96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Arial" w:cs="Arial" w:eastAsia="Arial" w:hAnsi="Arial"/>
          <w:sz w:val="10"/>
          <w:szCs w:val="10"/>
          <w:color w:val="auto"/>
        </w:rPr>
        <w:t>____</w:t>
      </w:r>
    </w:p>
    <w:p>
      <w:pPr>
        <w:spacing w:after="0" w:line="199" w:lineRule="exact"/>
        <w:rPr>
          <w:sz w:val="24"/>
          <w:szCs w:val="24"/>
          <w:color w:val="auto"/>
        </w:rPr>
      </w:pPr>
    </w:p>
    <w:p>
      <w:pPr>
        <w:ind w:left="8"/>
        <w:spacing w:after="0" w:line="287"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0"/>
          <w:szCs w:val="10"/>
          <w:color w:val="auto"/>
        </w:rPr>
        <w:t>____</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22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68"/>
          </w:cols>
          <w:pgMar w:left="212" w:top="499"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Section 2 – Financial Information</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221" w:lineRule="exact"/>
        <w:rPr>
          <w:sz w:val="20"/>
          <w:szCs w:val="20"/>
          <w:color w:val="auto"/>
        </w:rPr>
      </w:pPr>
    </w:p>
    <w:p>
      <w:pPr>
        <w:ind w:firstLine="216"/>
        <w:spacing w:after="0" w:line="327" w:lineRule="auto"/>
        <w:rPr>
          <w:sz w:val="20"/>
          <w:szCs w:val="20"/>
          <w:color w:val="auto"/>
        </w:rPr>
      </w:pPr>
      <w:r>
        <w:rPr>
          <w:rFonts w:ascii="Arial" w:cs="Arial" w:eastAsia="Arial" w:hAnsi="Arial"/>
          <w:sz w:val="13"/>
          <w:szCs w:val="13"/>
          <w:color w:val="auto"/>
        </w:rPr>
        <w:t>The Registrant’s press release dated May 1, 2019, announcing its financial results for the first quarter of 2019, and the Registrant’s first quarter 2019 investor supplement are furnished as Exhibits 99.1 and 99.2, respectively, to this report. The information contained in the press release and the investor supplement are furnished and not filed pursuant to instruction B.2 of Form 8-K.</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 – Financial Statements and Exhibits</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181" w:lineRule="exact"/>
        <w:rPr>
          <w:sz w:val="20"/>
          <w:szCs w:val="20"/>
          <w:color w:val="auto"/>
        </w:rPr>
      </w:pPr>
    </w:p>
    <w:p>
      <w:pPr>
        <w:ind w:left="200"/>
        <w:spacing w:after="0"/>
        <w:tabs>
          <w:tab w:leader="none" w:pos="900" w:val="left"/>
        </w:tabs>
        <w:rPr>
          <w:rFonts w:ascii="Arial" w:cs="Arial" w:eastAsia="Arial" w:hAnsi="Arial"/>
          <w:sz w:val="12"/>
          <w:szCs w:val="12"/>
          <w:u w:val="single" w:color="auto"/>
          <w:color w:val="0000FF"/>
        </w:rPr>
      </w:pPr>
      <w:r>
        <w:rPr>
          <w:rFonts w:ascii="Arial" w:cs="Arial" w:eastAsia="Arial" w:hAnsi="Arial"/>
          <w:sz w:val="14"/>
          <w:szCs w:val="14"/>
          <w:color w:val="auto"/>
        </w:rPr>
        <w:t>99.1</w:t>
      </w:r>
      <w:r>
        <w:rPr>
          <w:sz w:val="20"/>
          <w:szCs w:val="20"/>
          <w:color w:val="auto"/>
        </w:rPr>
        <w:tab/>
      </w:r>
      <w:hyperlink w:anchor="page4">
        <w:r>
          <w:rPr>
            <w:rFonts w:ascii="Arial" w:cs="Arial" w:eastAsia="Arial" w:hAnsi="Arial"/>
            <w:sz w:val="12"/>
            <w:szCs w:val="12"/>
            <w:u w:val="single" w:color="auto"/>
            <w:color w:val="0000FF"/>
          </w:rPr>
          <w:t>Registrant’s press release dated May 1, 2019</w:t>
        </w:r>
      </w:hyperlink>
    </w:p>
    <w:p>
      <w:pPr>
        <w:spacing w:after="0" w:line="46" w:lineRule="exact"/>
        <w:rPr>
          <w:sz w:val="20"/>
          <w:szCs w:val="20"/>
          <w:color w:val="auto"/>
        </w:rPr>
      </w:pPr>
    </w:p>
    <w:p>
      <w:pPr>
        <w:ind w:left="200"/>
        <w:spacing w:after="0"/>
        <w:tabs>
          <w:tab w:leader="none" w:pos="900" w:val="left"/>
        </w:tabs>
        <w:rPr>
          <w:rFonts w:ascii="Arial" w:cs="Arial" w:eastAsia="Arial" w:hAnsi="Arial"/>
          <w:sz w:val="13"/>
          <w:szCs w:val="13"/>
          <w:u w:val="single" w:color="auto"/>
          <w:color w:val="0000FF"/>
        </w:rPr>
      </w:pPr>
      <w:r>
        <w:rPr>
          <w:rFonts w:ascii="Arial" w:cs="Arial" w:eastAsia="Arial" w:hAnsi="Arial"/>
          <w:sz w:val="14"/>
          <w:szCs w:val="14"/>
          <w:color w:val="auto"/>
        </w:rPr>
        <w:t>99.2</w:t>
      </w:r>
      <w:r>
        <w:rPr>
          <w:sz w:val="20"/>
          <w:szCs w:val="20"/>
          <w:color w:val="auto"/>
        </w:rPr>
        <w:tab/>
      </w:r>
      <w:hyperlink w:anchor="page15">
        <w:r>
          <w:rPr>
            <w:rFonts w:ascii="Arial" w:cs="Arial" w:eastAsia="Arial" w:hAnsi="Arial"/>
            <w:sz w:val="13"/>
            <w:szCs w:val="13"/>
            <w:u w:val="single" w:color="auto"/>
            <w:color w:val="0000FF"/>
          </w:rPr>
          <w:t>First quarter 2019 Investor Supplement of The Allstate Corporation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40"/>
          </w:cols>
          <w:pgMar w:left="220" w:top="436" w:right="239" w:bottom="1440" w:gutter="0" w:footer="0" w:header="0"/>
        </w:sectPr>
      </w:pPr>
    </w:p>
    <w:bookmarkStart w:id="2" w:name="page3"/>
    <w:bookmarkEnd w:id="2"/>
    <w:p>
      <w:pPr>
        <w:ind w:left="5280"/>
        <w:spacing w:after="0"/>
        <w:rPr>
          <w:sz w:val="20"/>
          <w:szCs w:val="20"/>
          <w:color w:val="auto"/>
        </w:rPr>
      </w:pPr>
      <w:r>
        <w:rPr>
          <w:rFonts w:ascii="Arial" w:cs="Arial" w:eastAsia="Arial" w:hAnsi="Arial"/>
          <w:sz w:val="14"/>
          <w:szCs w:val="14"/>
          <w:b w:val="1"/>
          <w:bCs w:val="1"/>
          <w:color w:val="auto"/>
        </w:rPr>
        <w:t>SIGNATURES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THE ALLSTATE CORPORATION</w:t>
      </w:r>
    </w:p>
    <w:p>
      <w:pPr>
        <w:spacing w:after="0" w:line="4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(Registrant)</w:t>
      </w:r>
    </w:p>
    <w:p>
      <w:pPr>
        <w:spacing w:after="0" w:line="370" w:lineRule="exact"/>
        <w:rPr>
          <w:sz w:val="20"/>
          <w:szCs w:val="20"/>
          <w:color w:val="auto"/>
        </w:rPr>
      </w:pPr>
    </w:p>
    <w:p>
      <w:pPr>
        <w:ind w:left="5640"/>
        <w:spacing w:after="0"/>
        <w:tabs>
          <w:tab w:leader="none" w:pos="6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20955</wp:posOffset>
            </wp:positionV>
            <wp:extent cx="327723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Name: Eric K. Ferren</w:t>
      </w:r>
    </w:p>
    <w:p>
      <w:pPr>
        <w:spacing w:after="0" w:line="3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Title: Senior Vice President, Controller and Chief Accounting Officer</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 May 1, 2019</w:t>
      </w:r>
    </w:p>
    <w:p>
      <w:pPr>
        <w:spacing w:after="0" w:line="169"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740"/>
          </w:cols>
          <w:pgMar w:left="220" w:top="436"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116205</wp:posOffset>
            </wp:positionV>
            <wp:extent cx="686435" cy="480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435"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60" w:type="dxa"/>
            <w:vAlign w:val="bottom"/>
            <w:gridSpan w:val="2"/>
          </w:tcPr>
          <w:p>
            <w:pPr>
              <w:spacing w:after="0"/>
              <w:rPr>
                <w:sz w:val="20"/>
                <w:szCs w:val="20"/>
                <w:color w:val="auto"/>
              </w:rPr>
            </w:pPr>
            <w:r>
              <w:rPr>
                <w:rFonts w:ascii="Arial" w:cs="Arial" w:eastAsia="Arial" w:hAnsi="Arial"/>
                <w:sz w:val="12"/>
                <w:szCs w:val="12"/>
                <w:b w:val="1"/>
                <w:bCs w:val="1"/>
                <w:color w:val="auto"/>
              </w:rPr>
              <w:t>FOR IMMEDIATE RELEASE</w:t>
            </w:r>
          </w:p>
        </w:tc>
      </w:tr>
      <w:tr>
        <w:trPr>
          <w:trHeight w:val="288"/>
        </w:trPr>
        <w:tc>
          <w:tcPr>
            <w:tcW w:w="1000" w:type="dxa"/>
            <w:vAlign w:val="bottom"/>
          </w:tcPr>
          <w:p>
            <w:pPr>
              <w:spacing w:after="0"/>
              <w:rPr>
                <w:sz w:val="20"/>
                <w:szCs w:val="20"/>
                <w:color w:val="auto"/>
              </w:rPr>
            </w:pPr>
            <w:r>
              <w:rPr>
                <w:rFonts w:ascii="Arial" w:cs="Arial" w:eastAsia="Arial" w:hAnsi="Arial"/>
                <w:sz w:val="12"/>
                <w:szCs w:val="12"/>
                <w:color w:val="auto"/>
              </w:rPr>
              <w:t>Contacts:</w:t>
            </w:r>
          </w:p>
        </w:tc>
        <w:tc>
          <w:tcPr>
            <w:tcW w:w="1160" w:type="dxa"/>
            <w:vAlign w:val="bottom"/>
          </w:tcPr>
          <w:p>
            <w:pPr>
              <w:spacing w:after="0"/>
              <w:rPr>
                <w:sz w:val="24"/>
                <w:szCs w:val="24"/>
                <w:color w:val="auto"/>
              </w:rPr>
            </w:pPr>
          </w:p>
        </w:tc>
      </w:tr>
      <w:tr>
        <w:trPr>
          <w:trHeight w:val="144"/>
        </w:trPr>
        <w:tc>
          <w:tcPr>
            <w:tcW w:w="1000" w:type="dxa"/>
            <w:vAlign w:val="bottom"/>
          </w:tcPr>
          <w:p>
            <w:pPr>
              <w:spacing w:after="0"/>
              <w:rPr>
                <w:sz w:val="20"/>
                <w:szCs w:val="20"/>
                <w:color w:val="auto"/>
              </w:rPr>
            </w:pPr>
            <w:r>
              <w:rPr>
                <w:rFonts w:ascii="Arial" w:cs="Arial" w:eastAsia="Arial" w:hAnsi="Arial"/>
                <w:sz w:val="12"/>
                <w:szCs w:val="12"/>
                <w:color w:val="auto"/>
              </w:rPr>
              <w:t>Greg Burns</w:t>
            </w:r>
          </w:p>
        </w:tc>
        <w:tc>
          <w:tcPr>
            <w:tcW w:w="1160" w:type="dxa"/>
            <w:vAlign w:val="bottom"/>
          </w:tcPr>
          <w:p>
            <w:pPr>
              <w:jc w:val="right"/>
              <w:ind w:right="380"/>
              <w:spacing w:after="0"/>
              <w:rPr>
                <w:sz w:val="20"/>
                <w:szCs w:val="20"/>
                <w:color w:val="auto"/>
              </w:rPr>
            </w:pPr>
            <w:r>
              <w:rPr>
                <w:rFonts w:ascii="Arial" w:cs="Arial" w:eastAsia="Arial" w:hAnsi="Arial"/>
                <w:sz w:val="12"/>
                <w:szCs w:val="12"/>
                <w:color w:val="auto"/>
              </w:rPr>
              <w:t>John Griek</w:t>
            </w:r>
          </w:p>
        </w:tc>
      </w:tr>
      <w:tr>
        <w:trPr>
          <w:trHeight w:val="144"/>
        </w:trPr>
        <w:tc>
          <w:tcPr>
            <w:tcW w:w="1000" w:type="dxa"/>
            <w:vAlign w:val="bottom"/>
          </w:tcPr>
          <w:p>
            <w:pPr>
              <w:spacing w:after="0"/>
              <w:rPr>
                <w:sz w:val="20"/>
                <w:szCs w:val="20"/>
                <w:color w:val="auto"/>
              </w:rPr>
            </w:pPr>
            <w:r>
              <w:rPr>
                <w:rFonts w:ascii="Arial" w:cs="Arial" w:eastAsia="Arial" w:hAnsi="Arial"/>
                <w:sz w:val="12"/>
                <w:szCs w:val="12"/>
                <w:color w:val="auto"/>
              </w:rPr>
              <w:t>Media Relations</w:t>
            </w:r>
          </w:p>
        </w:tc>
        <w:tc>
          <w:tcPr>
            <w:tcW w:w="1160" w:type="dxa"/>
            <w:vAlign w:val="bottom"/>
          </w:tcPr>
          <w:p>
            <w:pPr>
              <w:jc w:val="right"/>
              <w:spacing w:after="0"/>
              <w:rPr>
                <w:sz w:val="20"/>
                <w:szCs w:val="20"/>
                <w:color w:val="auto"/>
              </w:rPr>
            </w:pPr>
            <w:r>
              <w:rPr>
                <w:rFonts w:ascii="Arial" w:cs="Arial" w:eastAsia="Arial" w:hAnsi="Arial"/>
                <w:sz w:val="12"/>
                <w:szCs w:val="12"/>
                <w:color w:val="auto"/>
              </w:rPr>
              <w:t>Investor Relations</w:t>
            </w:r>
          </w:p>
        </w:tc>
      </w:tr>
      <w:tr>
        <w:trPr>
          <w:trHeight w:val="145"/>
        </w:trPr>
        <w:tc>
          <w:tcPr>
            <w:tcW w:w="1000" w:type="dxa"/>
            <w:vAlign w:val="bottom"/>
          </w:tcPr>
          <w:p>
            <w:pPr>
              <w:spacing w:after="0"/>
              <w:rPr>
                <w:sz w:val="20"/>
                <w:szCs w:val="20"/>
                <w:color w:val="auto"/>
              </w:rPr>
            </w:pPr>
            <w:r>
              <w:rPr>
                <w:rFonts w:ascii="Arial" w:cs="Arial" w:eastAsia="Arial" w:hAnsi="Arial"/>
                <w:sz w:val="12"/>
                <w:szCs w:val="12"/>
                <w:color w:val="auto"/>
              </w:rPr>
              <w:t>(847) 402-5600</w:t>
            </w:r>
          </w:p>
        </w:tc>
        <w:tc>
          <w:tcPr>
            <w:tcW w:w="1160" w:type="dxa"/>
            <w:vAlign w:val="bottom"/>
          </w:tcPr>
          <w:p>
            <w:pPr>
              <w:jc w:val="right"/>
              <w:spacing w:after="0"/>
              <w:rPr>
                <w:sz w:val="20"/>
                <w:szCs w:val="20"/>
                <w:color w:val="auto"/>
              </w:rPr>
            </w:pPr>
            <w:r>
              <w:rPr>
                <w:rFonts w:ascii="Arial" w:cs="Arial" w:eastAsia="Arial" w:hAnsi="Arial"/>
                <w:sz w:val="12"/>
                <w:szCs w:val="12"/>
                <w:color w:val="auto"/>
              </w:rPr>
              <w:t>(847) 402-2800</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Allstate’s Strategy Drives Growth and Attractive Returns</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color w:val="auto"/>
        </w:rPr>
        <w:t>NORTHBROOK, Ill., May 1, 2019 – The Allstate Corporation (NYSE: ALL) today reported financial results for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153035</wp:posOffset>
            </wp:positionV>
            <wp:extent cx="6937375" cy="2076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7375" cy="207645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The Allstate Corporation Consolidated Highlights</w:t>
      </w:r>
    </w:p>
    <w:p>
      <w:pPr>
        <w:spacing w:after="0" w:line="15" w:lineRule="exact"/>
        <w:rPr>
          <w:sz w:val="20"/>
          <w:szCs w:val="20"/>
          <w:color w:val="auto"/>
        </w:rPr>
      </w:pPr>
    </w:p>
    <w:tbl>
      <w:tblPr>
        <w:tblLayout w:type="fixed"/>
        <w:tblInd w:w="280" w:type="dxa"/>
        <w:tblCellMar>
          <w:top w:w="0" w:type="dxa"/>
          <w:left w:w="0" w:type="dxa"/>
          <w:bottom w:w="0" w:type="dxa"/>
          <w:right w:w="0" w:type="dxa"/>
        </w:tblCellMar>
      </w:tblPr>
      <w:tr>
        <w:trPr>
          <w:trHeight w:val="176"/>
        </w:trPr>
        <w:tc>
          <w:tcPr>
            <w:tcW w:w="7620" w:type="dxa"/>
            <w:vAlign w:val="bottom"/>
            <w:tcBorders>
              <w:top w:val="single" w:sz="8" w:color="auto"/>
              <w:bottom w:val="single" w:sz="8" w:color="auto"/>
              <w:right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260" w:type="dxa"/>
            <w:vAlign w:val="bottom"/>
            <w:tcBorders>
              <w:top w:val="single" w:sz="8" w:color="auto"/>
              <w:bottom w:val="single" w:sz="8" w:color="auto"/>
            </w:tcBorders>
            <w:gridSpan w:val="4"/>
          </w:tcPr>
          <w:p>
            <w:pPr>
              <w:ind w:left="600"/>
              <w:spacing w:after="0"/>
              <w:rPr>
                <w:sz w:val="20"/>
                <w:szCs w:val="20"/>
                <w:color w:val="auto"/>
              </w:rPr>
            </w:pPr>
            <w:r>
              <w:rPr>
                <w:rFonts w:ascii="Arial" w:cs="Arial" w:eastAsia="Arial" w:hAnsi="Arial"/>
                <w:sz w:val="11"/>
                <w:szCs w:val="11"/>
                <w:b w:val="1"/>
                <w:bCs w:val="1"/>
                <w:color w:val="auto"/>
              </w:rPr>
              <w:t>Three months ended March 31,</w:t>
            </w:r>
          </w:p>
        </w:tc>
        <w:tc>
          <w:tcPr>
            <w:tcW w:w="800" w:type="dxa"/>
            <w:vAlign w:val="bottom"/>
            <w:tcBorders>
              <w:top w:val="single" w:sz="8" w:color="auto"/>
              <w:bottom w:val="single" w:sz="8" w:color="auto"/>
            </w:tcBorders>
          </w:tcPr>
          <w:p>
            <w:pPr>
              <w:spacing w:after="0"/>
              <w:rPr>
                <w:sz w:val="15"/>
                <w:szCs w:val="15"/>
                <w:color w:val="auto"/>
              </w:rPr>
            </w:pPr>
          </w:p>
        </w:tc>
      </w:tr>
      <w:tr>
        <w:trPr>
          <w:trHeight w:val="129"/>
        </w:trPr>
        <w:tc>
          <w:tcPr>
            <w:tcW w:w="762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 in millions, except per share data and ratios)</w:t>
            </w:r>
          </w:p>
        </w:tc>
        <w:tc>
          <w:tcPr>
            <w:tcW w:w="24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ind w:right="326"/>
              <w:spacing w:after="0"/>
              <w:rPr>
                <w:sz w:val="20"/>
                <w:szCs w:val="20"/>
                <w:color w:val="auto"/>
              </w:rPr>
            </w:pPr>
            <w:r>
              <w:rPr>
                <w:rFonts w:ascii="Arial" w:cs="Arial" w:eastAsia="Arial" w:hAnsi="Arial"/>
                <w:sz w:val="11"/>
                <w:szCs w:val="11"/>
                <w:b w:val="1"/>
                <w:bCs w:val="1"/>
                <w:color w:val="auto"/>
              </w:rPr>
              <w:t>% / pts</w:t>
            </w:r>
          </w:p>
        </w:tc>
      </w:tr>
      <w:tr>
        <w:trPr>
          <w:trHeight w:val="148"/>
        </w:trPr>
        <w:tc>
          <w:tcPr>
            <w:tcW w:w="762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2018</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Change</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revenues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10,990</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9,770</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12.5</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income applicable to common shareholders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1,261</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977</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29.1</w:t>
            </w:r>
          </w:p>
        </w:tc>
      </w:tr>
      <w:tr>
        <w:trPr>
          <w:trHeight w:val="151"/>
        </w:trPr>
        <w:tc>
          <w:tcPr>
            <w:tcW w:w="7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per diluted common share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3.74</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2.71</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38.0</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net income*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776</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1,108</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(30.0)</w:t>
            </w:r>
          </w:p>
        </w:tc>
      </w:tr>
      <w:tr>
        <w:trPr>
          <w:trHeight w:val="151"/>
        </w:trPr>
        <w:tc>
          <w:tcPr>
            <w:tcW w:w="7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per diluted common share*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2.30</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3.08</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(25.3)</w:t>
            </w:r>
          </w:p>
        </w:tc>
      </w:tr>
      <w:tr>
        <w:trPr>
          <w:trHeight w:val="16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Return on common shareholders’ equity (trailing twelve months)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51"/>
        </w:trPr>
        <w:tc>
          <w:tcPr>
            <w:tcW w:w="7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Net income applicable to common shareholders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10.8%</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17.9%</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(7.1)</w:t>
            </w:r>
          </w:p>
        </w:tc>
      </w:tr>
      <w:tr>
        <w:trPr>
          <w:trHeight w:val="151"/>
        </w:trPr>
        <w:tc>
          <w:tcPr>
            <w:tcW w:w="7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Adjusted net income*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13.5%</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16.2%</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(2.7)</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Book value per common share</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63.59</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58.62</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8.5</w:t>
            </w:r>
          </w:p>
        </w:tc>
      </w:tr>
      <w:tr>
        <w:trPr>
          <w:trHeight w:val="169"/>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Property-Liability combined ratio</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51"/>
        </w:trPr>
        <w:tc>
          <w:tcPr>
            <w:tcW w:w="7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Recorded</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91.8</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87.5</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4.3</w:t>
            </w:r>
          </w:p>
        </w:tc>
      </w:tr>
      <w:tr>
        <w:trPr>
          <w:trHeight w:val="151"/>
        </w:trPr>
        <w:tc>
          <w:tcPr>
            <w:tcW w:w="76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Underlying combined ratio* (excludes catastrophes, prior year reserve reestimates and amortization of purchased intangibles)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84.2</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83.6</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0.6</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Property and casualty insurance premiums written</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8,695</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8,131</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6.9</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Catastrophe losses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680</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361</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88.4</w:t>
            </w:r>
          </w:p>
        </w:tc>
      </w:tr>
      <w:tr>
        <w:trPr>
          <w:trHeight w:val="151"/>
        </w:trPr>
        <w:tc>
          <w:tcPr>
            <w:tcW w:w="7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policies in force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123,516</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85,581</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44.3</w:t>
            </w:r>
          </w:p>
        </w:tc>
      </w:tr>
    </w:tbl>
    <w:p>
      <w:pPr>
        <w:spacing w:after="0" w:line="39" w:lineRule="exact"/>
        <w:rPr>
          <w:sz w:val="20"/>
          <w:szCs w:val="20"/>
          <w:color w:val="auto"/>
        </w:rPr>
      </w:pPr>
    </w:p>
    <w:p>
      <w:pPr>
        <w:ind w:left="160" w:hanging="114"/>
        <w:spacing w:after="0" w:line="232" w:lineRule="auto"/>
        <w:tabs>
          <w:tab w:leader="none" w:pos="160" w:val="left"/>
        </w:tabs>
        <w:numPr>
          <w:ilvl w:val="0"/>
          <w:numId w:val="2"/>
        </w:numPr>
        <w:rPr>
          <w:rFonts w:ascii="Arial" w:cs="Arial" w:eastAsia="Arial" w:hAnsi="Arial"/>
          <w:sz w:val="10"/>
          <w:szCs w:val="10"/>
          <w:color w:val="auto"/>
        </w:rPr>
      </w:pPr>
      <w:r>
        <w:rPr>
          <w:rFonts w:ascii="Arial" w:cs="Arial" w:eastAsia="Arial" w:hAnsi="Arial"/>
          <w:sz w:val="10"/>
          <w:szCs w:val="10"/>
          <w:color w:val="auto"/>
        </w:rPr>
        <w:t>Measures used in this release that are not based on accounting principles generally accepted in the United States of America (“non-GAAP”) are denoted with an asterisk and defined and reconciled to the most directly comparable GAAP measure in the “Definitions of Non-GAAP Measures” section of this document.</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“Allstate’s strategy to profitably grow market share in protection products continues to gain momentum,” said Tom Wilson, Chair, President and Chief Executive Officer of The Allstate Corporation. “Using an innovative approach to better serve customers enabled us to grow while maintaining attractive returns. The Allstate and Esurance brands grew personal insurance policies in force 2.3% and 10.9% over the prior year quarter. SquareTrade protection contracts increased 86.3% over the prior year quarter to 77.9 million, reflecting the expansion of retail distribution. Revenues increased to $11 billion for the quarter, and net income rose to $1.26 billion, reflecting growth, progress on all five Operating Priorities and gains on equity investments.</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“Adjusted net income* was $776 million, $2.30 per share, as the Property-Liability underlying combined ratio was better than expected, reflecting a decrease in the frequency of auto claims. Higher catastrophe losses and lower income from performance-based investments reduced income from the prior year quarter. Income from the Service Businesses, Life and Benefits all increased. Our proactive investment approach resulted in a total return of 4.7% over the latest 12 months, although reported investment income was down in the quarter due to lower limited partnership valuations. We remain highly focused on adjusted net income return on common shareholders’ equity*,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269" w:right="199" w:bottom="1440" w:gutter="0" w:footer="0" w:header="0"/>
        </w:sectPr>
      </w:pPr>
    </w:p>
    <w:bookmarkStart w:id="4" w:name="page5"/>
    <w:bookmarkEnd w:id="4"/>
    <w:p>
      <w:pPr>
        <w:ind w:left="8"/>
        <w:spacing w:after="0"/>
        <w:rPr>
          <w:sz w:val="20"/>
          <w:szCs w:val="20"/>
          <w:color w:val="auto"/>
        </w:rPr>
      </w:pPr>
      <w:r>
        <w:rPr>
          <w:rFonts w:ascii="Arial" w:cs="Arial" w:eastAsia="Arial" w:hAnsi="Arial"/>
          <w:sz w:val="12"/>
          <w:szCs w:val="12"/>
          <w:color w:val="auto"/>
        </w:rPr>
        <w:t>which was 13.5% for the latest 12 months. Allstate’s broader success is discussed in the recently released Prosperity Report,” concluded Wilson.</w:t>
      </w:r>
    </w:p>
    <w:p>
      <w:pPr>
        <w:spacing w:after="0" w:line="28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First Quarter 2019 Results</w:t>
      </w:r>
    </w:p>
    <w:p>
      <w:pPr>
        <w:spacing w:after="0" w:line="200" w:lineRule="exact"/>
        <w:rPr>
          <w:sz w:val="20"/>
          <w:szCs w:val="20"/>
          <w:color w:val="auto"/>
        </w:rPr>
      </w:pPr>
    </w:p>
    <w:p>
      <w:pPr>
        <w:ind w:left="108" w:hanging="108"/>
        <w:spacing w:after="0"/>
        <w:tabs>
          <w:tab w:leader="none" w:pos="108"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revenue of $10.99 billion in the first quarter of 2019 increased 12.5% compared to the prior year quarter.</w:t>
      </w:r>
    </w:p>
    <w:p>
      <w:pPr>
        <w:spacing w:after="0" w:line="177" w:lineRule="exact"/>
        <w:rPr>
          <w:rFonts w:ascii="Arial" w:cs="Arial" w:eastAsia="Arial" w:hAnsi="Arial"/>
          <w:sz w:val="12"/>
          <w:szCs w:val="12"/>
          <w:color w:val="auto"/>
        </w:rPr>
      </w:pPr>
    </w:p>
    <w:p>
      <w:pPr>
        <w:ind w:left="548" w:hanging="116"/>
        <w:spacing w:after="0"/>
        <w:tabs>
          <w:tab w:leader="none" w:pos="548" w:val="left"/>
        </w:tabs>
        <w:numPr>
          <w:ilvl w:val="1"/>
          <w:numId w:val="3"/>
        </w:numPr>
        <w:rPr>
          <w:rFonts w:ascii="Arial" w:cs="Arial" w:eastAsia="Arial" w:hAnsi="Arial"/>
          <w:sz w:val="12"/>
          <w:szCs w:val="12"/>
          <w:color w:val="auto"/>
        </w:rPr>
      </w:pPr>
      <w:r>
        <w:rPr>
          <w:rFonts w:ascii="Arial" w:cs="Arial" w:eastAsia="Arial" w:hAnsi="Arial"/>
          <w:sz w:val="12"/>
          <w:szCs w:val="12"/>
          <w:color w:val="auto"/>
        </w:rPr>
        <w:t>Property-Liability insurance premiums earned increased 6.1%.</w:t>
      </w:r>
    </w:p>
    <w:p>
      <w:pPr>
        <w:spacing w:after="0" w:line="6" w:lineRule="exact"/>
        <w:rPr>
          <w:rFonts w:ascii="Arial" w:cs="Arial" w:eastAsia="Arial" w:hAnsi="Arial"/>
          <w:sz w:val="12"/>
          <w:szCs w:val="12"/>
          <w:color w:val="auto"/>
        </w:rPr>
      </w:pPr>
    </w:p>
    <w:p>
      <w:pPr>
        <w:ind w:left="548" w:hanging="116"/>
        <w:spacing w:after="0"/>
        <w:tabs>
          <w:tab w:leader="none" w:pos="548" w:val="left"/>
        </w:tabs>
        <w:numPr>
          <w:ilvl w:val="1"/>
          <w:numId w:val="3"/>
        </w:numPr>
        <w:rPr>
          <w:rFonts w:ascii="Arial" w:cs="Arial" w:eastAsia="Arial" w:hAnsi="Arial"/>
          <w:sz w:val="12"/>
          <w:szCs w:val="12"/>
          <w:color w:val="auto"/>
        </w:rPr>
      </w:pPr>
      <w:r>
        <w:rPr>
          <w:rFonts w:ascii="Arial" w:cs="Arial" w:eastAsia="Arial" w:hAnsi="Arial"/>
          <w:sz w:val="12"/>
          <w:szCs w:val="12"/>
          <w:color w:val="auto"/>
        </w:rPr>
        <w:t>Service Businesses revenue increased 25.2%.</w:t>
      </w:r>
    </w:p>
    <w:p>
      <w:pPr>
        <w:spacing w:after="0" w:line="6" w:lineRule="exact"/>
        <w:rPr>
          <w:rFonts w:ascii="Arial" w:cs="Arial" w:eastAsia="Arial" w:hAnsi="Arial"/>
          <w:sz w:val="12"/>
          <w:szCs w:val="12"/>
          <w:color w:val="auto"/>
        </w:rPr>
      </w:pPr>
    </w:p>
    <w:p>
      <w:pPr>
        <w:ind w:left="548" w:hanging="116"/>
        <w:spacing w:after="0"/>
        <w:tabs>
          <w:tab w:leader="none" w:pos="548" w:val="left"/>
        </w:tabs>
        <w:numPr>
          <w:ilvl w:val="1"/>
          <w:numId w:val="3"/>
        </w:numPr>
        <w:rPr>
          <w:rFonts w:ascii="Arial" w:cs="Arial" w:eastAsia="Arial" w:hAnsi="Arial"/>
          <w:sz w:val="12"/>
          <w:szCs w:val="12"/>
          <w:color w:val="auto"/>
        </w:rPr>
      </w:pPr>
      <w:r>
        <w:rPr>
          <w:rFonts w:ascii="Arial" w:cs="Arial" w:eastAsia="Arial" w:hAnsi="Arial"/>
          <w:sz w:val="12"/>
          <w:szCs w:val="12"/>
          <w:color w:val="auto"/>
        </w:rPr>
        <w:t>Life premiums and contract charges increased 1.9%.</w:t>
      </w:r>
    </w:p>
    <w:p>
      <w:pPr>
        <w:spacing w:after="0" w:line="6" w:lineRule="exact"/>
        <w:rPr>
          <w:rFonts w:ascii="Arial" w:cs="Arial" w:eastAsia="Arial" w:hAnsi="Arial"/>
          <w:sz w:val="12"/>
          <w:szCs w:val="12"/>
          <w:color w:val="auto"/>
        </w:rPr>
      </w:pPr>
    </w:p>
    <w:p>
      <w:pPr>
        <w:ind w:left="548" w:hanging="116"/>
        <w:spacing w:after="0"/>
        <w:tabs>
          <w:tab w:leader="none" w:pos="548" w:val="left"/>
        </w:tabs>
        <w:numPr>
          <w:ilvl w:val="1"/>
          <w:numId w:val="3"/>
        </w:numPr>
        <w:rPr>
          <w:rFonts w:ascii="Arial" w:cs="Arial" w:eastAsia="Arial" w:hAnsi="Arial"/>
          <w:sz w:val="12"/>
          <w:szCs w:val="12"/>
          <w:color w:val="auto"/>
        </w:rPr>
      </w:pPr>
      <w:r>
        <w:rPr>
          <w:rFonts w:ascii="Arial" w:cs="Arial" w:eastAsia="Arial" w:hAnsi="Arial"/>
          <w:sz w:val="12"/>
          <w:szCs w:val="12"/>
          <w:color w:val="auto"/>
        </w:rPr>
        <w:t>Net investment income decreased 17.6%.</w:t>
      </w:r>
    </w:p>
    <w:p>
      <w:pPr>
        <w:spacing w:after="0" w:line="6" w:lineRule="exact"/>
        <w:rPr>
          <w:rFonts w:ascii="Arial" w:cs="Arial" w:eastAsia="Arial" w:hAnsi="Arial"/>
          <w:sz w:val="12"/>
          <w:szCs w:val="12"/>
          <w:color w:val="auto"/>
        </w:rPr>
      </w:pPr>
    </w:p>
    <w:p>
      <w:pPr>
        <w:ind w:left="548" w:hanging="116"/>
        <w:spacing w:after="0"/>
        <w:tabs>
          <w:tab w:leader="none" w:pos="548" w:val="left"/>
        </w:tabs>
        <w:numPr>
          <w:ilvl w:val="1"/>
          <w:numId w:val="3"/>
        </w:numPr>
        <w:rPr>
          <w:rFonts w:ascii="Arial" w:cs="Arial" w:eastAsia="Arial" w:hAnsi="Arial"/>
          <w:sz w:val="12"/>
          <w:szCs w:val="12"/>
          <w:color w:val="auto"/>
        </w:rPr>
      </w:pPr>
      <w:r>
        <w:rPr>
          <w:rFonts w:ascii="Arial" w:cs="Arial" w:eastAsia="Arial" w:hAnsi="Arial"/>
          <w:sz w:val="12"/>
          <w:szCs w:val="12"/>
          <w:color w:val="auto"/>
        </w:rPr>
        <w:t>Realized capital gains increased revenues by $662 million.</w:t>
      </w:r>
    </w:p>
    <w:p>
      <w:pPr>
        <w:spacing w:after="0" w:line="150" w:lineRule="exact"/>
        <w:rPr>
          <w:rFonts w:ascii="Arial" w:cs="Arial" w:eastAsia="Arial" w:hAnsi="Arial"/>
          <w:sz w:val="12"/>
          <w:szCs w:val="12"/>
          <w:color w:val="auto"/>
        </w:rPr>
      </w:pPr>
    </w:p>
    <w:p>
      <w:pPr>
        <w:ind w:left="108" w:right="320" w:hanging="108"/>
        <w:spacing w:after="0" w:line="262" w:lineRule="auto"/>
        <w:tabs>
          <w:tab w:leader="none" w:pos="108"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income applicable to common shareholders was $1.26 billion, or $3.74 per diluted share, in the first quarter of 2019, compared to net income of $977 million, or $2.71 per diluted share, in the first quarter of 2018. Adjusted net income* of $776 million for the first quarter was below the prior year quarter due to higher catastrophe losses and lower net investment income.</w:t>
      </w:r>
    </w:p>
    <w:p>
      <w:pPr>
        <w:spacing w:after="0" w:line="59" w:lineRule="exact"/>
        <w:rPr>
          <w:rFonts w:ascii="Arial" w:cs="Arial" w:eastAsia="Arial" w:hAnsi="Arial"/>
          <w:sz w:val="12"/>
          <w:szCs w:val="12"/>
          <w:color w:val="auto"/>
        </w:rPr>
      </w:pPr>
    </w:p>
    <w:p>
      <w:pPr>
        <w:ind w:left="548" w:right="460" w:hanging="116"/>
        <w:spacing w:after="0" w:line="262" w:lineRule="auto"/>
        <w:tabs>
          <w:tab w:leader="none" w:pos="548" w:val="left"/>
        </w:tabs>
        <w:numPr>
          <w:ilvl w:val="1"/>
          <w:numId w:val="3"/>
        </w:numPr>
        <w:rPr>
          <w:rFonts w:ascii="Arial" w:cs="Arial" w:eastAsia="Arial" w:hAnsi="Arial"/>
          <w:sz w:val="12"/>
          <w:szCs w:val="12"/>
          <w:color w:val="auto"/>
        </w:rPr>
      </w:pPr>
      <w:r>
        <w:rPr>
          <w:rFonts w:ascii="Arial" w:cs="Arial" w:eastAsia="Arial" w:hAnsi="Arial"/>
          <w:sz w:val="12"/>
          <w:szCs w:val="12"/>
          <w:color w:val="auto"/>
        </w:rPr>
        <w:t>The company changed its accounting for pension and other postretirement plans to a fair value basis. Under the new principle, remeasurement of plan assets and projected liabilities are immediately recognized through earnings. This change has been applied to all prior periods. Note 1 of our March 31, 2019, Form 10-Q provides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98055" cy="1584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055" cy="1584325"/>
                    </a:xfrm>
                    <a:prstGeom prst="rect">
                      <a:avLst/>
                    </a:prstGeom>
                    <a:noFill/>
                  </pic:spPr>
                </pic:pic>
              </a:graphicData>
            </a:graphic>
          </wp:anchor>
        </w:drawing>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Property-Liability Results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8060" w:type="dxa"/>
            <w:vAlign w:val="bottom"/>
            <w:tcBorders>
              <w:top w:val="single" w:sz="8" w:color="auto"/>
              <w:bottom w:val="single" w:sz="8" w:color="auto"/>
              <w:right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Three months ended March 31,</w:t>
            </w:r>
          </w:p>
        </w:tc>
        <w:tc>
          <w:tcPr>
            <w:tcW w:w="860" w:type="dxa"/>
            <w:vAlign w:val="bottom"/>
            <w:tcBorders>
              <w:top w:val="single" w:sz="8" w:color="auto"/>
              <w:bottom w:val="single" w:sz="8" w:color="auto"/>
            </w:tcBorders>
          </w:tcPr>
          <w:p>
            <w:pPr>
              <w:spacing w:after="0"/>
              <w:rPr>
                <w:sz w:val="15"/>
                <w:szCs w:val="15"/>
                <w:color w:val="auto"/>
              </w:rPr>
            </w:pPr>
          </w:p>
        </w:tc>
      </w:tr>
      <w:tr>
        <w:trPr>
          <w:trHeight w:val="129"/>
        </w:trPr>
        <w:tc>
          <w:tcPr>
            <w:tcW w:w="806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 to earned premiums)</w:t>
            </w:r>
          </w:p>
        </w:tc>
        <w:tc>
          <w:tcPr>
            <w:tcW w:w="7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ind w:right="446"/>
              <w:spacing w:after="0"/>
              <w:rPr>
                <w:sz w:val="20"/>
                <w:szCs w:val="20"/>
                <w:color w:val="auto"/>
              </w:rPr>
            </w:pPr>
            <w:r>
              <w:rPr>
                <w:rFonts w:ascii="Arial" w:cs="Arial" w:eastAsia="Arial" w:hAnsi="Arial"/>
                <w:sz w:val="11"/>
                <w:szCs w:val="11"/>
                <w:b w:val="1"/>
                <w:bCs w:val="1"/>
                <w:color w:val="auto"/>
              </w:rPr>
              <w:t>pts</w:t>
            </w:r>
          </w:p>
        </w:tc>
      </w:tr>
      <w:tr>
        <w:trPr>
          <w:trHeight w:val="148"/>
        </w:trPr>
        <w:tc>
          <w:tcPr>
            <w:tcW w:w="80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2018</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Change</w:t>
            </w:r>
          </w:p>
        </w:tc>
      </w:tr>
      <w:tr>
        <w:trPr>
          <w:trHeight w:val="151"/>
        </w:trPr>
        <w:tc>
          <w:tcPr>
            <w:tcW w:w="8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Recorded Combined Ratio</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91.8</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87.5</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4.3</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Brand Auto</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90.4</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87.9</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2.5</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Brand Homeowners</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92.2</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80.5</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11.7</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Esurance Brand</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99.4</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99.3</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0.1</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Encompass Brand</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100.8</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97.7</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3.1</w:t>
            </w:r>
          </w:p>
        </w:tc>
      </w:tr>
      <w:tr>
        <w:trPr>
          <w:trHeight w:val="104"/>
        </w:trPr>
        <w:tc>
          <w:tcPr>
            <w:tcW w:w="80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145"/>
        </w:trPr>
        <w:tc>
          <w:tcPr>
            <w:tcW w:w="8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Underlying Combined Ratio*</w:t>
            </w: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84.2</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83.6</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0.6</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Brand Auto</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90.2</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89.4</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0.8</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Brand Homeowners</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63.7</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63.1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0.6</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Esurance Brand</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97.4</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98.4</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(1.0)</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Encompass Brand</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88.5</w:t>
            </w:r>
          </w:p>
        </w:tc>
        <w:tc>
          <w:tcPr>
            <w:tcW w:w="11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87.2</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1.3</w:t>
            </w:r>
          </w:p>
        </w:tc>
      </w:tr>
    </w:tbl>
    <w:p>
      <w:pPr>
        <w:spacing w:after="0" w:line="130" w:lineRule="exact"/>
        <w:rPr>
          <w:sz w:val="20"/>
          <w:szCs w:val="20"/>
          <w:color w:val="auto"/>
        </w:rPr>
      </w:pPr>
    </w:p>
    <w:p>
      <w:pPr>
        <w:ind w:left="108" w:right="140" w:hanging="108"/>
        <w:spacing w:after="0" w:line="286" w:lineRule="auto"/>
        <w:tabs>
          <w:tab w:leader="none" w:pos="108"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Property-Liability </w:t>
      </w:r>
      <w:r>
        <w:rPr>
          <w:rFonts w:ascii="Arial" w:cs="Arial" w:eastAsia="Arial" w:hAnsi="Arial"/>
          <w:sz w:val="12"/>
          <w:szCs w:val="12"/>
          <w:color w:val="auto"/>
        </w:rPr>
        <w:t>underwriting income of $700 million in the first quarter of 2019 was $305 million below the prior year quarter, primarily due to higher catastrophe losses. The underlying combined ratio* was 84.2</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first quarter of 2019.</w:t>
      </w:r>
    </w:p>
    <w:p>
      <w:pPr>
        <w:spacing w:after="0" w:line="103" w:lineRule="exact"/>
        <w:rPr>
          <w:rFonts w:ascii="Arial" w:cs="Arial" w:eastAsia="Arial" w:hAnsi="Arial"/>
          <w:sz w:val="12"/>
          <w:szCs w:val="12"/>
          <w:color w:val="auto"/>
        </w:rPr>
      </w:pPr>
    </w:p>
    <w:p>
      <w:pPr>
        <w:jc w:val="both"/>
        <w:ind w:left="548" w:right="100" w:hanging="116"/>
        <w:spacing w:after="0" w:line="268" w:lineRule="auto"/>
        <w:tabs>
          <w:tab w:leader="none" w:pos="548" w:val="left"/>
        </w:tabs>
        <w:numPr>
          <w:ilvl w:val="1"/>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Allstate brand auto </w:t>
      </w:r>
      <w:r>
        <w:rPr>
          <w:rFonts w:ascii="Arial" w:cs="Arial" w:eastAsia="Arial" w:hAnsi="Arial"/>
          <w:sz w:val="12"/>
          <w:szCs w:val="12"/>
          <w:color w:val="auto"/>
        </w:rPr>
        <w:t>insurance net written premium grew 4.7% in the first quarter of 2019 compared to the prior year quarter, reflecting a 2.7% increase in policies in force and higher average premium. The</w:t>
      </w:r>
      <w:r>
        <w:rPr>
          <w:rFonts w:ascii="Arial" w:cs="Arial" w:eastAsia="Arial" w:hAnsi="Arial"/>
          <w:sz w:val="12"/>
          <w:szCs w:val="12"/>
          <w:b w:val="1"/>
          <w:bCs w:val="1"/>
          <w:color w:val="auto"/>
        </w:rPr>
        <w:t xml:space="preserve"> </w:t>
      </w:r>
      <w:r>
        <w:rPr>
          <w:rFonts w:ascii="Arial" w:cs="Arial" w:eastAsia="Arial" w:hAnsi="Arial"/>
          <w:sz w:val="12"/>
          <w:szCs w:val="12"/>
          <w:color w:val="auto"/>
        </w:rPr>
        <w:t>recorded combined ratio of 90.4 in the first quarter of 2019 was 2.5 points higher than the prior year quarter. The underlying combined ratio* of 90.2 in the quarter was 0.8 points higher than the first quarter of 2018 due to higher physical damage claim severity, partially offset by higher premiums earned and lower accident frequency.</w:t>
      </w:r>
    </w:p>
    <w:p>
      <w:pPr>
        <w:spacing w:after="0" w:line="114" w:lineRule="exact"/>
        <w:rPr>
          <w:rFonts w:ascii="Arial" w:cs="Arial" w:eastAsia="Arial" w:hAnsi="Arial"/>
          <w:sz w:val="12"/>
          <w:szCs w:val="12"/>
          <w:b w:val="1"/>
          <w:bCs w:val="1"/>
          <w:color w:val="auto"/>
        </w:rPr>
      </w:pPr>
    </w:p>
    <w:p>
      <w:pPr>
        <w:ind w:left="548" w:right="20" w:hanging="116"/>
        <w:spacing w:after="0" w:line="334" w:lineRule="auto"/>
        <w:tabs>
          <w:tab w:leader="none" w:pos="548" w:val="left"/>
        </w:tabs>
        <w:numPr>
          <w:ilvl w:val="1"/>
          <w:numId w:val="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Allstate brand homeowners </w:t>
      </w:r>
      <w:r>
        <w:rPr>
          <w:rFonts w:ascii="Arial" w:cs="Arial" w:eastAsia="Arial" w:hAnsi="Arial"/>
          <w:sz w:val="11"/>
          <w:szCs w:val="11"/>
          <w:color w:val="auto"/>
        </w:rPr>
        <w:t>insurance net written premium grew 6.8% in the first quarter of 2019 compared to the prior year quarter and generated attractive returns. The recorded combined ratio of 92.2 in</w:t>
      </w:r>
      <w:r>
        <w:rPr>
          <w:rFonts w:ascii="Arial" w:cs="Arial" w:eastAsia="Arial" w:hAnsi="Arial"/>
          <w:sz w:val="11"/>
          <w:szCs w:val="11"/>
          <w:b w:val="1"/>
          <w:bCs w:val="1"/>
          <w:color w:val="auto"/>
        </w:rPr>
        <w:t xml:space="preserve"> </w:t>
      </w:r>
      <w:r>
        <w:rPr>
          <w:rFonts w:ascii="Arial" w:cs="Arial" w:eastAsia="Arial" w:hAnsi="Arial"/>
          <w:sz w:val="11"/>
          <w:szCs w:val="11"/>
          <w:color w:val="auto"/>
        </w:rPr>
        <w:t>the first quarter was 11.7 points higher than the first quarter of 2018, primarily driven by elevated catastrophe losses. The underlying combined ratio* of 63.7 was 0.6 points higher than the prior year quarter.</w:t>
      </w:r>
    </w:p>
    <w:p>
      <w:pPr>
        <w:spacing w:after="0" w:line="200" w:lineRule="exact"/>
        <w:rPr>
          <w:sz w:val="20"/>
          <w:szCs w:val="20"/>
          <w:color w:val="auto"/>
        </w:rPr>
      </w:pPr>
    </w:p>
    <w:p>
      <w:pPr>
        <w:spacing w:after="0" w:line="2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8"/>
          </w:cols>
          <w:pgMar w:left="212" w:top="301" w:right="199" w:bottom="1440" w:gutter="0" w:footer="0" w:header="0"/>
        </w:sectPr>
      </w:pPr>
    </w:p>
    <w:bookmarkStart w:id="5" w:name="page6"/>
    <w:bookmarkEnd w:id="5"/>
    <w:p>
      <w:pPr>
        <w:ind w:left="548" w:right="40" w:hanging="116"/>
        <w:spacing w:after="0" w:line="286" w:lineRule="auto"/>
        <w:tabs>
          <w:tab w:leader="none" w:pos="54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Esurance brand </w:t>
      </w:r>
      <w:r>
        <w:rPr>
          <w:rFonts w:ascii="Arial" w:cs="Arial" w:eastAsia="Arial" w:hAnsi="Arial"/>
          <w:sz w:val="12"/>
          <w:szCs w:val="12"/>
          <w:color w:val="auto"/>
        </w:rPr>
        <w:t>policies in force increased 10.9% in the first quarter of 2019 compared to the prior year quarter, resulting in net written premium growth of 13.4%. The recorded combined ratio of 99.4 in the</w:t>
      </w:r>
      <w:r>
        <w:rPr>
          <w:rFonts w:ascii="Arial" w:cs="Arial" w:eastAsia="Arial" w:hAnsi="Arial"/>
          <w:sz w:val="12"/>
          <w:szCs w:val="12"/>
          <w:b w:val="1"/>
          <w:bCs w:val="1"/>
          <w:color w:val="auto"/>
        </w:rPr>
        <w:t xml:space="preserve"> </w:t>
      </w:r>
      <w:r>
        <w:rPr>
          <w:rFonts w:ascii="Arial" w:cs="Arial" w:eastAsia="Arial" w:hAnsi="Arial"/>
          <w:sz w:val="12"/>
          <w:szCs w:val="12"/>
          <w:color w:val="auto"/>
        </w:rPr>
        <w:t>first quarter of 2019 was in line with the prior year quarter, and the underlying combined ratio* of 97.4 was 1.0 point lower than the first quarter of 2018, driven by higher earned premium.</w:t>
      </w:r>
    </w:p>
    <w:p>
      <w:pPr>
        <w:spacing w:after="0" w:line="103" w:lineRule="exact"/>
        <w:rPr>
          <w:rFonts w:ascii="Arial" w:cs="Arial" w:eastAsia="Arial" w:hAnsi="Arial"/>
          <w:sz w:val="12"/>
          <w:szCs w:val="12"/>
          <w:color w:val="auto"/>
        </w:rPr>
      </w:pPr>
    </w:p>
    <w:p>
      <w:pPr>
        <w:ind w:left="548" w:right="60" w:hanging="116"/>
        <w:spacing w:after="0" w:line="286" w:lineRule="auto"/>
        <w:tabs>
          <w:tab w:leader="none" w:pos="54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 xml:space="preserve">Encompass brand </w:t>
      </w:r>
      <w:r>
        <w:rPr>
          <w:rFonts w:ascii="Arial" w:cs="Arial" w:eastAsia="Arial" w:hAnsi="Arial"/>
          <w:sz w:val="12"/>
          <w:szCs w:val="12"/>
          <w:color w:val="auto"/>
        </w:rPr>
        <w:t>net written premium in the first quarter of 2019 was in line with the prior year quarter. The recorded combined ratio of 100.8 in the first quarter of 2019 was 3.1 points higher than the prior</w:t>
      </w:r>
      <w:r>
        <w:rPr>
          <w:rFonts w:ascii="Arial" w:cs="Arial" w:eastAsia="Arial" w:hAnsi="Arial"/>
          <w:sz w:val="12"/>
          <w:szCs w:val="12"/>
          <w:b w:val="1"/>
          <w:bCs w:val="1"/>
          <w:color w:val="auto"/>
        </w:rPr>
        <w:t xml:space="preserve"> </w:t>
      </w:r>
      <w:r>
        <w:rPr>
          <w:rFonts w:ascii="Arial" w:cs="Arial" w:eastAsia="Arial" w:hAnsi="Arial"/>
          <w:sz w:val="12"/>
          <w:szCs w:val="12"/>
          <w:color w:val="auto"/>
        </w:rPr>
        <w:t>year quarter, as increased losses were partially offset by lower operating expenses. The underlying combined ratio* of 88.5 in the first quarter was 1.3 points higher than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98055" cy="172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8055" cy="1727200"/>
                    </a:xfrm>
                    <a:prstGeom prst="rect">
                      <a:avLst/>
                    </a:prstGeom>
                    <a:noFill/>
                  </pic:spPr>
                </pic:pic>
              </a:graphicData>
            </a:graphic>
          </wp:anchor>
        </w:drawing>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Service Businesses Results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8040" w:type="dxa"/>
            <w:vAlign w:val="bottom"/>
            <w:tcBorders>
              <w:top w:val="single" w:sz="8" w:color="auto"/>
              <w:bottom w:val="single" w:sz="8" w:color="auto"/>
              <w:right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4"/>
          </w:tcPr>
          <w:p>
            <w:pPr>
              <w:jc w:val="right"/>
              <w:ind w:right="11"/>
              <w:spacing w:after="0"/>
              <w:rPr>
                <w:sz w:val="20"/>
                <w:szCs w:val="20"/>
                <w:color w:val="auto"/>
              </w:rPr>
            </w:pPr>
            <w:r>
              <w:rPr>
                <w:rFonts w:ascii="Arial" w:cs="Arial" w:eastAsia="Arial" w:hAnsi="Arial"/>
                <w:sz w:val="11"/>
                <w:szCs w:val="11"/>
                <w:b w:val="1"/>
                <w:bCs w:val="1"/>
                <w:color w:val="auto"/>
              </w:rPr>
              <w:t>Three months ended March 31,</w:t>
            </w:r>
          </w:p>
        </w:tc>
        <w:tc>
          <w:tcPr>
            <w:tcW w:w="860" w:type="dxa"/>
            <w:vAlign w:val="bottom"/>
            <w:tcBorders>
              <w:top w:val="single" w:sz="8" w:color="auto"/>
              <w:bottom w:val="single" w:sz="8" w:color="auto"/>
            </w:tcBorders>
          </w:tcPr>
          <w:p>
            <w:pPr>
              <w:spacing w:after="0"/>
              <w:rPr>
                <w:sz w:val="15"/>
                <w:szCs w:val="15"/>
                <w:color w:val="auto"/>
              </w:rPr>
            </w:pPr>
          </w:p>
        </w:tc>
      </w:tr>
      <w:tr>
        <w:trPr>
          <w:trHeight w:val="129"/>
        </w:trPr>
        <w:tc>
          <w:tcPr>
            <w:tcW w:w="804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 in millions)</w:t>
            </w:r>
          </w:p>
        </w:tc>
        <w:tc>
          <w:tcPr>
            <w:tcW w:w="7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ind w:right="406"/>
              <w:spacing w:after="0"/>
              <w:rPr>
                <w:sz w:val="20"/>
                <w:szCs w:val="20"/>
                <w:color w:val="auto"/>
              </w:rPr>
            </w:pPr>
            <w:r>
              <w:rPr>
                <w:rFonts w:ascii="Arial" w:cs="Arial" w:eastAsia="Arial" w:hAnsi="Arial"/>
                <w:sz w:val="11"/>
                <w:szCs w:val="11"/>
                <w:b w:val="1"/>
                <w:bCs w:val="1"/>
                <w:color w:val="auto"/>
              </w:rPr>
              <w:t>% / $</w:t>
            </w:r>
          </w:p>
        </w:tc>
      </w:tr>
      <w:tr>
        <w:trPr>
          <w:trHeight w:val="148"/>
        </w:trPr>
        <w:tc>
          <w:tcPr>
            <w:tcW w:w="80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2018</w:t>
            </w: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Change</w:t>
            </w:r>
          </w:p>
        </w:tc>
      </w:tr>
      <w:tr>
        <w:trPr>
          <w:trHeight w:val="151"/>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Revenues</w:t>
            </w:r>
          </w:p>
        </w:tc>
        <w:tc>
          <w:tcPr>
            <w:tcW w:w="76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w w:val="97"/>
              </w:rPr>
              <w:t>$</w:t>
            </w: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392</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313</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25.2 %</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SquareTrade</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164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122</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34.4</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Roadside Services</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73</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74</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Dealer Services</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107</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96</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11.5</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Arity</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21</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14.3</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InfoArmor</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24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NA</w:t>
            </w:r>
          </w:p>
        </w:tc>
      </w:tr>
      <w:tr>
        <w:trPr>
          <w:trHeight w:val="151"/>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Adjusted Net Income (Loss)</w:t>
            </w:r>
          </w:p>
        </w:tc>
        <w:tc>
          <w:tcPr>
            <w:tcW w:w="76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w w:val="97"/>
              </w:rPr>
              <w:t>$</w:t>
            </w: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11</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w:t>
            </w: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SquareTrade</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14</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12</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Roadside Services</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(6)</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(5)</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Dealer Services</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66"/>
              <w:spacing w:after="0"/>
              <w:rPr>
                <w:sz w:val="20"/>
                <w:szCs w:val="20"/>
                <w:color w:val="auto"/>
              </w:rPr>
            </w:pPr>
            <w:r>
              <w:rPr>
                <w:rFonts w:ascii="Arial" w:cs="Arial" w:eastAsia="Arial" w:hAnsi="Arial"/>
                <w:sz w:val="11"/>
                <w:szCs w:val="11"/>
                <w:color w:val="auto"/>
              </w:rPr>
              <w:t>6</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3</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Arity</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(2)</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InfoArmor</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NA</w:t>
            </w:r>
          </w:p>
        </w:tc>
      </w:tr>
    </w:tbl>
    <w:p>
      <w:pPr>
        <w:spacing w:after="0" w:line="32" w:lineRule="exact"/>
        <w:rPr>
          <w:sz w:val="20"/>
          <w:szCs w:val="20"/>
          <w:color w:val="auto"/>
        </w:rPr>
      </w:pPr>
    </w:p>
    <w:p>
      <w:pPr>
        <w:ind w:left="48"/>
        <w:spacing w:after="0"/>
        <w:rPr>
          <w:sz w:val="20"/>
          <w:szCs w:val="20"/>
          <w:color w:val="auto"/>
        </w:rPr>
      </w:pPr>
      <w:r>
        <w:rPr>
          <w:rFonts w:ascii="Arial" w:cs="Arial" w:eastAsia="Arial" w:hAnsi="Arial"/>
          <w:sz w:val="8"/>
          <w:szCs w:val="8"/>
          <w:color w:val="auto"/>
        </w:rPr>
        <w:t>NA = not applicable</w:t>
      </w:r>
    </w:p>
    <w:p>
      <w:pPr>
        <w:spacing w:after="0" w:line="213" w:lineRule="exact"/>
        <w:rPr>
          <w:sz w:val="20"/>
          <w:szCs w:val="20"/>
          <w:color w:val="auto"/>
        </w:rPr>
      </w:pPr>
    </w:p>
    <w:p>
      <w:pPr>
        <w:ind w:left="108" w:right="20" w:hanging="108"/>
        <w:spacing w:after="0" w:line="286" w:lineRule="auto"/>
        <w:tabs>
          <w:tab w:leader="none" w:pos="108"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Service Businesses </w:t>
      </w:r>
      <w:r>
        <w:rPr>
          <w:rFonts w:ascii="Arial" w:cs="Arial" w:eastAsia="Arial" w:hAnsi="Arial"/>
          <w:sz w:val="12"/>
          <w:szCs w:val="12"/>
          <w:color w:val="auto"/>
        </w:rPr>
        <w:t>policies in force grew to 83.6 million, and revenues increased 25.2% compared to the first quarter of 2018. Adjusted net income was $11 million, an increase of $14 million compared to the prior</w:t>
      </w:r>
      <w:r>
        <w:rPr>
          <w:rFonts w:ascii="Arial" w:cs="Arial" w:eastAsia="Arial" w:hAnsi="Arial"/>
          <w:sz w:val="12"/>
          <w:szCs w:val="12"/>
          <w:b w:val="1"/>
          <w:bCs w:val="1"/>
          <w:color w:val="auto"/>
        </w:rPr>
        <w:t xml:space="preserve"> </w:t>
      </w:r>
      <w:r>
        <w:rPr>
          <w:rFonts w:ascii="Arial" w:cs="Arial" w:eastAsia="Arial" w:hAnsi="Arial"/>
          <w:sz w:val="12"/>
          <w:szCs w:val="12"/>
          <w:color w:val="auto"/>
        </w:rPr>
        <w:t>year quarter.</w:t>
      </w:r>
    </w:p>
    <w:p>
      <w:pPr>
        <w:spacing w:after="0" w:line="103" w:lineRule="exact"/>
        <w:rPr>
          <w:rFonts w:ascii="Arial" w:cs="Arial" w:eastAsia="Arial" w:hAnsi="Arial"/>
          <w:sz w:val="12"/>
          <w:szCs w:val="12"/>
          <w:color w:val="auto"/>
        </w:rPr>
      </w:pPr>
    </w:p>
    <w:p>
      <w:pPr>
        <w:ind w:left="548" w:right="280" w:hanging="116"/>
        <w:spacing w:after="0" w:line="286" w:lineRule="auto"/>
        <w:tabs>
          <w:tab w:leader="none" w:pos="548" w:val="left"/>
        </w:tabs>
        <w:numPr>
          <w:ilvl w:val="1"/>
          <w:numId w:val="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SquareTrade </w:t>
      </w:r>
      <w:r>
        <w:rPr>
          <w:rFonts w:ascii="Arial" w:cs="Arial" w:eastAsia="Arial" w:hAnsi="Arial"/>
          <w:sz w:val="12"/>
          <w:szCs w:val="12"/>
          <w:color w:val="auto"/>
        </w:rPr>
        <w:t>revenue was $164 million in the first quarter of 2019, reflecting policy growth of 36.1 million compared to the first quarter of 2018. Adjusted net income was $14 million in the first quarter of</w:t>
      </w:r>
      <w:r>
        <w:rPr>
          <w:rFonts w:ascii="Arial" w:cs="Arial" w:eastAsia="Arial" w:hAnsi="Arial"/>
          <w:sz w:val="12"/>
          <w:szCs w:val="12"/>
          <w:b w:val="1"/>
          <w:bCs w:val="1"/>
          <w:color w:val="auto"/>
        </w:rPr>
        <w:t xml:space="preserve"> </w:t>
      </w:r>
      <w:r>
        <w:rPr>
          <w:rFonts w:ascii="Arial" w:cs="Arial" w:eastAsia="Arial" w:hAnsi="Arial"/>
          <w:sz w:val="12"/>
          <w:szCs w:val="12"/>
          <w:color w:val="auto"/>
        </w:rPr>
        <w:t>2019, due to higher premiums and improved loss experience.</w:t>
      </w:r>
    </w:p>
    <w:p>
      <w:pPr>
        <w:spacing w:after="0" w:line="103" w:lineRule="exact"/>
        <w:rPr>
          <w:rFonts w:ascii="Arial" w:cs="Arial" w:eastAsia="Arial" w:hAnsi="Arial"/>
          <w:sz w:val="12"/>
          <w:szCs w:val="12"/>
          <w:b w:val="1"/>
          <w:bCs w:val="1"/>
          <w:color w:val="auto"/>
        </w:rPr>
      </w:pPr>
    </w:p>
    <w:p>
      <w:pPr>
        <w:ind w:left="548" w:right="60" w:hanging="116"/>
        <w:spacing w:after="0" w:line="286" w:lineRule="auto"/>
        <w:tabs>
          <w:tab w:leader="none" w:pos="548" w:val="left"/>
        </w:tabs>
        <w:numPr>
          <w:ilvl w:val="1"/>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Allstate Roadside Services </w:t>
      </w:r>
      <w:r>
        <w:rPr>
          <w:rFonts w:ascii="Arial" w:cs="Arial" w:eastAsia="Arial" w:hAnsi="Arial"/>
          <w:sz w:val="12"/>
          <w:szCs w:val="12"/>
          <w:color w:val="auto"/>
        </w:rPr>
        <w:t>revenue was $73 million in the first quarter of 2019. The adjusted net loss of $6 million in the first quarter was comparable to the prior year quarter, primarily due to adverse loss</w:t>
      </w:r>
      <w:r>
        <w:rPr>
          <w:rFonts w:ascii="Arial" w:cs="Arial" w:eastAsia="Arial" w:hAnsi="Arial"/>
          <w:sz w:val="12"/>
          <w:szCs w:val="12"/>
          <w:b w:val="1"/>
          <w:bCs w:val="1"/>
          <w:color w:val="auto"/>
        </w:rPr>
        <w:t xml:space="preserve"> </w:t>
      </w:r>
      <w:r>
        <w:rPr>
          <w:rFonts w:ascii="Arial" w:cs="Arial" w:eastAsia="Arial" w:hAnsi="Arial"/>
          <w:sz w:val="12"/>
          <w:szCs w:val="12"/>
          <w:color w:val="auto"/>
        </w:rPr>
        <w:t>experience.</w:t>
      </w:r>
    </w:p>
    <w:p>
      <w:pPr>
        <w:spacing w:after="0" w:line="103" w:lineRule="exact"/>
        <w:rPr>
          <w:rFonts w:ascii="Arial" w:cs="Arial" w:eastAsia="Arial" w:hAnsi="Arial"/>
          <w:sz w:val="12"/>
          <w:szCs w:val="12"/>
          <w:color w:val="auto"/>
        </w:rPr>
      </w:pPr>
    </w:p>
    <w:p>
      <w:pPr>
        <w:ind w:left="548" w:hanging="116"/>
        <w:spacing w:after="0"/>
        <w:tabs>
          <w:tab w:leader="none" w:pos="548" w:val="left"/>
        </w:tabs>
        <w:numPr>
          <w:ilvl w:val="1"/>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Allstate Dealer Services </w:t>
      </w:r>
      <w:r>
        <w:rPr>
          <w:rFonts w:ascii="Arial" w:cs="Arial" w:eastAsia="Arial" w:hAnsi="Arial"/>
          <w:sz w:val="12"/>
          <w:szCs w:val="12"/>
          <w:color w:val="auto"/>
        </w:rPr>
        <w:t>revenue grew 11.5% compared to the first quarter of 2018, and adjusted net income was $6 million, reflecting higher premiums and improved loss experience.</w:t>
      </w:r>
    </w:p>
    <w:p>
      <w:pPr>
        <w:spacing w:after="0" w:line="150" w:lineRule="exact"/>
        <w:rPr>
          <w:rFonts w:ascii="Arial" w:cs="Arial" w:eastAsia="Arial" w:hAnsi="Arial"/>
          <w:sz w:val="12"/>
          <w:szCs w:val="12"/>
          <w:color w:val="auto"/>
        </w:rPr>
      </w:pPr>
    </w:p>
    <w:p>
      <w:pPr>
        <w:ind w:left="548" w:hanging="116"/>
        <w:spacing w:after="0"/>
        <w:tabs>
          <w:tab w:leader="none" w:pos="548" w:val="left"/>
        </w:tabs>
        <w:numPr>
          <w:ilvl w:val="1"/>
          <w:numId w:val="6"/>
        </w:numPr>
        <w:rPr>
          <w:rFonts w:ascii="Arial" w:cs="Arial" w:eastAsia="Arial" w:hAnsi="Arial"/>
          <w:sz w:val="12"/>
          <w:szCs w:val="12"/>
          <w:color w:val="auto"/>
        </w:rPr>
      </w:pPr>
      <w:r>
        <w:rPr>
          <w:rFonts w:ascii="Arial" w:cs="Arial" w:eastAsia="Arial" w:hAnsi="Arial"/>
          <w:sz w:val="12"/>
          <w:szCs w:val="12"/>
          <w:b w:val="1"/>
          <w:bCs w:val="1"/>
          <w:color w:val="auto"/>
        </w:rPr>
        <w:t xml:space="preserve">Arity </w:t>
      </w:r>
      <w:r>
        <w:rPr>
          <w:rFonts w:ascii="Arial" w:cs="Arial" w:eastAsia="Arial" w:hAnsi="Arial"/>
          <w:sz w:val="12"/>
          <w:szCs w:val="12"/>
          <w:color w:val="auto"/>
        </w:rPr>
        <w:t>revenue was $24 million in the first quarter of 2019, primarily from contracts with affiliates. The adjusted net loss of $2 million in the quarter includes investments in research and development.</w:t>
      </w:r>
    </w:p>
    <w:p>
      <w:pPr>
        <w:spacing w:after="0" w:line="150" w:lineRule="exact"/>
        <w:rPr>
          <w:rFonts w:ascii="Arial" w:cs="Arial" w:eastAsia="Arial" w:hAnsi="Arial"/>
          <w:sz w:val="12"/>
          <w:szCs w:val="12"/>
          <w:color w:val="auto"/>
        </w:rPr>
      </w:pPr>
    </w:p>
    <w:p>
      <w:pPr>
        <w:ind w:left="548" w:right="400" w:hanging="116"/>
        <w:spacing w:after="0" w:line="286" w:lineRule="auto"/>
        <w:tabs>
          <w:tab w:leader="none" w:pos="548" w:val="left"/>
        </w:tabs>
        <w:numPr>
          <w:ilvl w:val="1"/>
          <w:numId w:val="6"/>
        </w:numPr>
        <w:rPr>
          <w:rFonts w:ascii="Arial" w:cs="Arial" w:eastAsia="Arial" w:hAnsi="Arial"/>
          <w:sz w:val="12"/>
          <w:szCs w:val="12"/>
          <w:color w:val="auto"/>
        </w:rPr>
      </w:pPr>
      <w:r>
        <w:rPr>
          <w:rFonts w:ascii="Arial" w:cs="Arial" w:eastAsia="Arial" w:hAnsi="Arial"/>
          <w:sz w:val="12"/>
          <w:szCs w:val="12"/>
          <w:b w:val="1"/>
          <w:bCs w:val="1"/>
          <w:color w:val="auto"/>
        </w:rPr>
        <w:t>InfoArmor</w:t>
      </w:r>
      <w:r>
        <w:rPr>
          <w:rFonts w:ascii="Arial" w:cs="Arial" w:eastAsia="Arial" w:hAnsi="Arial"/>
          <w:sz w:val="12"/>
          <w:szCs w:val="12"/>
          <w:color w:val="auto"/>
        </w:rPr>
        <w:t>, acquired in October 2018, had revenues of $24 million and an adjusted net loss of $1 million in the first quarter of 2019 due to costs associated with scaling its platform and integration into</w:t>
      </w:r>
      <w:r>
        <w:rPr>
          <w:rFonts w:ascii="Arial" w:cs="Arial" w:eastAsia="Arial" w:hAnsi="Arial"/>
          <w:sz w:val="12"/>
          <w:szCs w:val="12"/>
          <w:b w:val="1"/>
          <w:bCs w:val="1"/>
          <w:color w:val="auto"/>
        </w:rPr>
        <w:t xml:space="preserve"> </w:t>
      </w:r>
      <w:r>
        <w:rPr>
          <w:rFonts w:ascii="Arial" w:cs="Arial" w:eastAsia="Arial" w:hAnsi="Arial"/>
          <w:sz w:val="12"/>
          <w:szCs w:val="12"/>
          <w:color w:val="auto"/>
        </w:rPr>
        <w:t>Allstate.</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8"/>
          </w:cols>
          <w:pgMar w:left="212" w:top="287" w:right="199" w:bottom="1440" w:gutter="0" w:footer="0" w:header="0"/>
        </w:sectPr>
      </w:pPr>
    </w:p>
    <w:bookmarkStart w:id="6" w:name="page7"/>
    <w:bookmarkEnd w:id="6"/>
    <w:p>
      <w:pPr>
        <w:jc w:val="center"/>
        <w:ind w:right="-7"/>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8055" cy="1235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8055" cy="1235710"/>
                    </a:xfrm>
                    <a:prstGeom prst="rect">
                      <a:avLst/>
                    </a:prstGeom>
                    <a:noFill/>
                  </pic:spPr>
                </pic:pic>
              </a:graphicData>
            </a:graphic>
          </wp:anchor>
        </w:drawing>
        <w:t>Allstate Life, Benefits and Annuities Results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8060" w:type="dxa"/>
            <w:vAlign w:val="bottom"/>
            <w:tcBorders>
              <w:top w:val="single" w:sz="8" w:color="auto"/>
              <w:bottom w:val="single" w:sz="8" w:color="auto"/>
              <w:right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gridSpan w:val="4"/>
          </w:tcPr>
          <w:p>
            <w:pPr>
              <w:ind w:left="660"/>
              <w:spacing w:after="0"/>
              <w:rPr>
                <w:sz w:val="20"/>
                <w:szCs w:val="20"/>
                <w:color w:val="auto"/>
              </w:rPr>
            </w:pPr>
            <w:r>
              <w:rPr>
                <w:rFonts w:ascii="Arial" w:cs="Arial" w:eastAsia="Arial" w:hAnsi="Arial"/>
                <w:sz w:val="11"/>
                <w:szCs w:val="11"/>
                <w:b w:val="1"/>
                <w:bCs w:val="1"/>
                <w:color w:val="auto"/>
                <w:w w:val="98"/>
              </w:rPr>
              <w:t>Three months ended March 31,</w:t>
            </w:r>
          </w:p>
        </w:tc>
        <w:tc>
          <w:tcPr>
            <w:tcW w:w="880" w:type="dxa"/>
            <w:vAlign w:val="bottom"/>
            <w:tcBorders>
              <w:top w:val="single" w:sz="8" w:color="auto"/>
              <w:bottom w:val="single" w:sz="8" w:color="auto"/>
            </w:tcBorders>
          </w:tcPr>
          <w:p>
            <w:pPr>
              <w:spacing w:after="0"/>
              <w:rPr>
                <w:sz w:val="15"/>
                <w:szCs w:val="15"/>
                <w:color w:val="auto"/>
              </w:rPr>
            </w:pPr>
          </w:p>
        </w:tc>
      </w:tr>
      <w:tr>
        <w:trPr>
          <w:trHeight w:val="151"/>
        </w:trPr>
        <w:tc>
          <w:tcPr>
            <w:tcW w:w="8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 in millions)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2018</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 Change</w:t>
            </w:r>
          </w:p>
        </w:tc>
      </w:tr>
      <w:tr>
        <w:trPr>
          <w:trHeight w:val="169"/>
        </w:trPr>
        <w:tc>
          <w:tcPr>
            <w:tcW w:w="8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Premiums and Contract Charges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Life</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337</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327</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Benefits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288</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286</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0.7</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Annuities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r>
      <w:tr>
        <w:trPr>
          <w:trHeight w:val="169"/>
        </w:trPr>
        <w:tc>
          <w:tcPr>
            <w:tcW w:w="8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Adjusted Net Income (Loss)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Life</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73</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71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Benefits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31</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29</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6.9</w:t>
            </w:r>
          </w:p>
        </w:tc>
      </w:tr>
      <w:tr>
        <w:trPr>
          <w:trHeight w:val="151"/>
        </w:trPr>
        <w:tc>
          <w:tcPr>
            <w:tcW w:w="80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Allstate Annuities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35</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NM</w:t>
            </w:r>
          </w:p>
        </w:tc>
      </w:tr>
    </w:tbl>
    <w:p>
      <w:pPr>
        <w:spacing w:after="0" w:line="32" w:lineRule="exact"/>
        <w:rPr>
          <w:sz w:val="20"/>
          <w:szCs w:val="20"/>
          <w:color w:val="auto"/>
        </w:rPr>
      </w:pPr>
    </w:p>
    <w:p>
      <w:pPr>
        <w:ind w:left="48"/>
        <w:spacing w:after="0"/>
        <w:rPr>
          <w:sz w:val="20"/>
          <w:szCs w:val="20"/>
          <w:color w:val="auto"/>
        </w:rPr>
      </w:pPr>
      <w:r>
        <w:rPr>
          <w:rFonts w:ascii="Arial" w:cs="Arial" w:eastAsia="Arial" w:hAnsi="Arial"/>
          <w:sz w:val="8"/>
          <w:szCs w:val="8"/>
          <w:color w:val="auto"/>
        </w:rPr>
        <w:t>NM = not meaningful</w:t>
      </w:r>
    </w:p>
    <w:p>
      <w:pPr>
        <w:spacing w:after="0" w:line="69" w:lineRule="exact"/>
        <w:rPr>
          <w:sz w:val="20"/>
          <w:szCs w:val="20"/>
          <w:color w:val="auto"/>
        </w:rPr>
      </w:pPr>
    </w:p>
    <w:p>
      <w:pPr>
        <w:ind w:left="108" w:right="20" w:hanging="108"/>
        <w:spacing w:after="0" w:line="286" w:lineRule="auto"/>
        <w:tabs>
          <w:tab w:leader="none" w:pos="108"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Allstate Life </w:t>
      </w:r>
      <w:r>
        <w:rPr>
          <w:rFonts w:ascii="Arial" w:cs="Arial" w:eastAsia="Arial" w:hAnsi="Arial"/>
          <w:sz w:val="12"/>
          <w:szCs w:val="12"/>
          <w:color w:val="auto"/>
        </w:rPr>
        <w:t>adjusted net income was $73 million in the first quarter of 2019, $2 million higher than the prior year quarter, as increased premiums, contract charges and net investment income were partially offset by</w:t>
      </w:r>
      <w:r>
        <w:rPr>
          <w:rFonts w:ascii="Arial" w:cs="Arial" w:eastAsia="Arial" w:hAnsi="Arial"/>
          <w:sz w:val="12"/>
          <w:szCs w:val="12"/>
          <w:b w:val="1"/>
          <w:bCs w:val="1"/>
          <w:color w:val="auto"/>
        </w:rPr>
        <w:t xml:space="preserve"> </w:t>
      </w:r>
      <w:r>
        <w:rPr>
          <w:rFonts w:ascii="Arial" w:cs="Arial" w:eastAsia="Arial" w:hAnsi="Arial"/>
          <w:sz w:val="12"/>
          <w:szCs w:val="12"/>
          <w:color w:val="auto"/>
        </w:rPr>
        <w:t>higher contract benefits and expenses.</w:t>
      </w:r>
    </w:p>
    <w:p>
      <w:pPr>
        <w:spacing w:after="0" w:line="103" w:lineRule="exact"/>
        <w:rPr>
          <w:rFonts w:ascii="Arial" w:cs="Arial" w:eastAsia="Arial" w:hAnsi="Arial"/>
          <w:sz w:val="12"/>
          <w:szCs w:val="12"/>
          <w:color w:val="auto"/>
        </w:rPr>
      </w:pPr>
    </w:p>
    <w:p>
      <w:pPr>
        <w:ind w:left="108" w:hanging="108"/>
        <w:spacing w:after="0"/>
        <w:tabs>
          <w:tab w:leader="none" w:pos="108"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Allstate Benefits </w:t>
      </w:r>
      <w:r>
        <w:rPr>
          <w:rFonts w:ascii="Arial" w:cs="Arial" w:eastAsia="Arial" w:hAnsi="Arial"/>
          <w:sz w:val="12"/>
          <w:szCs w:val="12"/>
          <w:color w:val="auto"/>
        </w:rPr>
        <w:t>adjusted net income was $31 million in the first quarter of 2019, $2 million higher than the prior year quarter, primarily due to lower contract benefits.</w:t>
      </w:r>
    </w:p>
    <w:p>
      <w:pPr>
        <w:spacing w:after="0" w:line="150" w:lineRule="exact"/>
        <w:rPr>
          <w:rFonts w:ascii="Arial" w:cs="Arial" w:eastAsia="Arial" w:hAnsi="Arial"/>
          <w:sz w:val="12"/>
          <w:szCs w:val="12"/>
          <w:color w:val="auto"/>
        </w:rPr>
      </w:pPr>
    </w:p>
    <w:p>
      <w:pPr>
        <w:ind w:left="108" w:right="100" w:hanging="108"/>
        <w:spacing w:after="0" w:line="286" w:lineRule="auto"/>
        <w:tabs>
          <w:tab w:leader="none" w:pos="108"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Allstate Annuities </w:t>
      </w:r>
      <w:r>
        <w:rPr>
          <w:rFonts w:ascii="Arial" w:cs="Arial" w:eastAsia="Arial" w:hAnsi="Arial"/>
          <w:sz w:val="12"/>
          <w:szCs w:val="12"/>
          <w:color w:val="auto"/>
        </w:rPr>
        <w:t>had an adjusted net loss of $25 million in the first quarter of 2019, due to lower performance-based investment income. The utilization of performance-based equity investments improves longer-term economic returns but increases income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98055" cy="1183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8055" cy="1183640"/>
                    </a:xfrm>
                    <a:prstGeom prst="rect">
                      <a:avLst/>
                    </a:prstGeom>
                    <a:noFill/>
                  </pic:spPr>
                </pic:pic>
              </a:graphicData>
            </a:graphic>
          </wp:anchor>
        </w:drawing>
      </w: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Allstate Investment Results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8040" w:type="dxa"/>
            <w:vAlign w:val="bottom"/>
            <w:tcBorders>
              <w:top w:val="single" w:sz="8" w:color="auto"/>
              <w:bottom w:val="single" w:sz="8" w:color="auto"/>
              <w:right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Three months ended March 31,</w:t>
            </w:r>
          </w:p>
        </w:tc>
        <w:tc>
          <w:tcPr>
            <w:tcW w:w="840" w:type="dxa"/>
            <w:vAlign w:val="bottom"/>
            <w:tcBorders>
              <w:top w:val="single" w:sz="8" w:color="auto"/>
              <w:bottom w:val="single" w:sz="8" w:color="auto"/>
            </w:tcBorders>
          </w:tcPr>
          <w:p>
            <w:pPr>
              <w:spacing w:after="0"/>
              <w:rPr>
                <w:sz w:val="15"/>
                <w:szCs w:val="15"/>
                <w:color w:val="auto"/>
              </w:rPr>
            </w:pPr>
          </w:p>
        </w:tc>
      </w:tr>
      <w:tr>
        <w:trPr>
          <w:trHeight w:val="129"/>
        </w:trPr>
        <w:tc>
          <w:tcPr>
            <w:tcW w:w="804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 in millions, except ratios)</w:t>
            </w:r>
          </w:p>
        </w:tc>
        <w:tc>
          <w:tcPr>
            <w:tcW w:w="70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b w:val="1"/>
                <w:bCs w:val="1"/>
                <w:color w:val="auto"/>
              </w:rPr>
              <w:t>% / pts</w:t>
            </w:r>
          </w:p>
        </w:tc>
      </w:tr>
      <w:tr>
        <w:trPr>
          <w:trHeight w:val="148"/>
        </w:trPr>
        <w:tc>
          <w:tcPr>
            <w:tcW w:w="80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2018</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Change</w:t>
            </w:r>
          </w:p>
        </w:tc>
      </w:tr>
      <w:tr>
        <w:trPr>
          <w:trHeight w:val="151"/>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Net investment income</w:t>
            </w:r>
          </w:p>
        </w:tc>
        <w:tc>
          <w:tcPr>
            <w:tcW w:w="700" w:type="dxa"/>
            <w:vAlign w:val="bottom"/>
            <w:tcBorders>
              <w:bottom w:val="single" w:sz="8" w:color="auto"/>
            </w:tcBorders>
          </w:tcPr>
          <w:p>
            <w:pPr>
              <w:jc w:val="right"/>
              <w:ind w:right="589"/>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648</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786</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(17.6)</w:t>
            </w:r>
          </w:p>
        </w:tc>
      </w:tr>
      <w:tr>
        <w:trPr>
          <w:trHeight w:val="158"/>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Market-based investment income</w:t>
            </w:r>
            <w:r>
              <w:rPr>
                <w:rFonts w:ascii="Arial" w:cs="Arial" w:eastAsia="Arial" w:hAnsi="Arial"/>
                <w:sz w:val="11"/>
                <w:szCs w:val="11"/>
                <w:color w:val="auto"/>
                <w:vertAlign w:val="superscript"/>
              </w:rPr>
              <w:t>(1)</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693</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color w:val="auto"/>
              </w:rPr>
              <w:t>652</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6.3</w:t>
            </w:r>
          </w:p>
        </w:tc>
      </w:tr>
      <w:tr>
        <w:trPr>
          <w:trHeight w:val="151"/>
        </w:trPr>
        <w:tc>
          <w:tcPr>
            <w:tcW w:w="8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Performance-based investment income</w:t>
            </w:r>
            <w:r>
              <w:rPr>
                <w:rFonts w:ascii="Arial" w:cs="Arial" w:eastAsia="Arial" w:hAnsi="Arial"/>
                <w:sz w:val="11"/>
                <w:szCs w:val="11"/>
                <w:color w:val="auto"/>
                <w:vertAlign w:val="superscript"/>
              </w:rPr>
              <w:t>(1)</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auto"/>
              </w:rPr>
              <w:t>6</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color w:val="auto"/>
              </w:rPr>
              <w:t>181</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(96.7)</w:t>
            </w:r>
          </w:p>
        </w:tc>
      </w:tr>
      <w:tr>
        <w:trPr>
          <w:trHeight w:val="145"/>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Realized capital gains and losses</w:t>
            </w: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662</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(134)</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NM</w:t>
            </w:r>
          </w:p>
        </w:tc>
      </w:tr>
      <w:tr>
        <w:trPr>
          <w:trHeight w:val="151"/>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Change in unrealized net capital gains, pre-tax</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1,335</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(1,002)</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NM</w:t>
            </w:r>
          </w:p>
        </w:tc>
      </w:tr>
      <w:tr>
        <w:trPr>
          <w:trHeight w:val="151"/>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return on investment portfolio</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3.3%</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(0.5)%</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3.8</w:t>
            </w:r>
          </w:p>
        </w:tc>
      </w:tr>
      <w:tr>
        <w:trPr>
          <w:trHeight w:val="151"/>
        </w:trPr>
        <w:tc>
          <w:tcPr>
            <w:tcW w:w="8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return on investment portfolio (trailing twelve months)</w:t>
            </w: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4.7%</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3.8 %</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0.9</w:t>
            </w:r>
          </w:p>
        </w:tc>
      </w:tr>
    </w:tbl>
    <w:p>
      <w:pPr>
        <w:spacing w:after="0" w:line="32" w:lineRule="exact"/>
        <w:rPr>
          <w:sz w:val="20"/>
          <w:szCs w:val="20"/>
          <w:color w:val="auto"/>
        </w:rPr>
      </w:pPr>
    </w:p>
    <w:p>
      <w:pPr>
        <w:ind w:left="48" w:right="6000" w:firstLine="6"/>
        <w:spacing w:after="0" w:line="373" w:lineRule="auto"/>
        <w:tabs>
          <w:tab w:leader="none" w:pos="156" w:val="left"/>
        </w:tabs>
        <w:numPr>
          <w:ilvl w:val="1"/>
          <w:numId w:val="8"/>
        </w:numPr>
        <w:rPr>
          <w:rFonts w:ascii="Arial" w:cs="Arial" w:eastAsia="Arial" w:hAnsi="Arial"/>
          <w:sz w:val="6"/>
          <w:szCs w:val="6"/>
          <w:color w:val="auto"/>
        </w:rPr>
      </w:pPr>
      <w:r>
        <w:rPr>
          <w:rFonts w:ascii="Arial" w:cs="Arial" w:eastAsia="Arial" w:hAnsi="Arial"/>
          <w:sz w:val="8"/>
          <w:szCs w:val="8"/>
          <w:color w:val="auto"/>
        </w:rPr>
        <w:t>Investment expenses are not allocated between market-based and performance-based portfolios with the exception of investee level expenses. NM = not meaningful</w:t>
      </w:r>
    </w:p>
    <w:p>
      <w:pPr>
        <w:spacing w:after="0" w:line="153" w:lineRule="exact"/>
        <w:rPr>
          <w:rFonts w:ascii="Arial" w:cs="Arial" w:eastAsia="Arial" w:hAnsi="Arial"/>
          <w:sz w:val="6"/>
          <w:szCs w:val="6"/>
          <w:color w:val="auto"/>
        </w:rPr>
      </w:pPr>
    </w:p>
    <w:p>
      <w:pPr>
        <w:ind w:left="108" w:right="120" w:hanging="108"/>
        <w:spacing w:after="0" w:line="286" w:lineRule="auto"/>
        <w:tabs>
          <w:tab w:leader="none" w:pos="10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Allstate Investments </w:t>
      </w:r>
      <w:r>
        <w:rPr>
          <w:rFonts w:ascii="Arial" w:cs="Arial" w:eastAsia="Arial" w:hAnsi="Arial"/>
          <w:sz w:val="12"/>
          <w:szCs w:val="12"/>
          <w:color w:val="auto"/>
        </w:rPr>
        <w:t>$84 billion portfolio generated a strong total return of 3.3% in the first quarter of 2019, and net investment income was $648 million, a decline of $138 million from the prior year quarter due to</w:t>
      </w:r>
      <w:r>
        <w:rPr>
          <w:rFonts w:ascii="Arial" w:cs="Arial" w:eastAsia="Arial" w:hAnsi="Arial"/>
          <w:sz w:val="12"/>
          <w:szCs w:val="12"/>
          <w:b w:val="1"/>
          <w:bCs w:val="1"/>
          <w:color w:val="auto"/>
        </w:rPr>
        <w:t xml:space="preserve"> </w:t>
      </w:r>
      <w:r>
        <w:rPr>
          <w:rFonts w:ascii="Arial" w:cs="Arial" w:eastAsia="Arial" w:hAnsi="Arial"/>
          <w:sz w:val="12"/>
          <w:szCs w:val="12"/>
          <w:color w:val="auto"/>
        </w:rPr>
        <w:t>lower performance-based income.</w:t>
      </w:r>
    </w:p>
    <w:p>
      <w:pPr>
        <w:spacing w:after="0" w:line="103" w:lineRule="exact"/>
        <w:rPr>
          <w:rFonts w:ascii="Arial" w:cs="Arial" w:eastAsia="Arial" w:hAnsi="Arial"/>
          <w:sz w:val="12"/>
          <w:szCs w:val="12"/>
          <w:b w:val="1"/>
          <w:bCs w:val="1"/>
          <w:color w:val="auto"/>
        </w:rPr>
      </w:pPr>
    </w:p>
    <w:p>
      <w:pPr>
        <w:ind w:left="548" w:hanging="116"/>
        <w:spacing w:after="0"/>
        <w:tabs>
          <w:tab w:leader="none" w:pos="548" w:val="left"/>
        </w:tabs>
        <w:numPr>
          <w:ilvl w:val="2"/>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Total return </w:t>
      </w:r>
      <w:r>
        <w:rPr>
          <w:rFonts w:ascii="Arial" w:cs="Arial" w:eastAsia="Arial" w:hAnsi="Arial"/>
          <w:sz w:val="12"/>
          <w:szCs w:val="12"/>
          <w:color w:val="auto"/>
        </w:rPr>
        <w:t>on the investment portfolio of 4.7% for the latest 12 months included a stable contribution from market-based investment income and increased fixed income valuations.</w:t>
      </w:r>
    </w:p>
    <w:p>
      <w:pPr>
        <w:spacing w:after="0" w:line="150" w:lineRule="exact"/>
        <w:rPr>
          <w:rFonts w:ascii="Arial" w:cs="Arial" w:eastAsia="Arial" w:hAnsi="Arial"/>
          <w:sz w:val="12"/>
          <w:szCs w:val="12"/>
          <w:b w:val="1"/>
          <w:bCs w:val="1"/>
          <w:color w:val="auto"/>
        </w:rPr>
      </w:pPr>
    </w:p>
    <w:p>
      <w:pPr>
        <w:ind w:left="548" w:right="160" w:hanging="116"/>
        <w:spacing w:after="0" w:line="286" w:lineRule="auto"/>
        <w:tabs>
          <w:tab w:leader="none" w:pos="548" w:val="left"/>
        </w:tabs>
        <w:numPr>
          <w:ilvl w:val="2"/>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Market-based investments </w:t>
      </w:r>
      <w:r>
        <w:rPr>
          <w:rFonts w:ascii="Arial" w:cs="Arial" w:eastAsia="Arial" w:hAnsi="Arial"/>
          <w:sz w:val="12"/>
          <w:szCs w:val="12"/>
          <w:color w:val="auto"/>
        </w:rPr>
        <w:t>contributed $693 million of income in the first quarter of 2019, an increase of 6.3% compared to the prior year quarter. The market-based portfolio benefited from investment at</w:t>
      </w:r>
      <w:r>
        <w:rPr>
          <w:rFonts w:ascii="Arial" w:cs="Arial" w:eastAsia="Arial" w:hAnsi="Arial"/>
          <w:sz w:val="12"/>
          <w:szCs w:val="12"/>
          <w:b w:val="1"/>
          <w:bCs w:val="1"/>
          <w:color w:val="auto"/>
        </w:rPr>
        <w:t xml:space="preserve"> </w:t>
      </w:r>
      <w:r>
        <w:rPr>
          <w:rFonts w:ascii="Arial" w:cs="Arial" w:eastAsia="Arial" w:hAnsi="Arial"/>
          <w:sz w:val="12"/>
          <w:szCs w:val="12"/>
          <w:color w:val="auto"/>
        </w:rPr>
        <w:t>higher market yields, which included a modest duration extension of the fixed income portfolio.</w:t>
      </w:r>
    </w:p>
    <w:p>
      <w:pPr>
        <w:spacing w:after="0" w:line="103" w:lineRule="exact"/>
        <w:rPr>
          <w:rFonts w:ascii="Arial" w:cs="Arial" w:eastAsia="Arial" w:hAnsi="Arial"/>
          <w:sz w:val="12"/>
          <w:szCs w:val="12"/>
          <w:b w:val="1"/>
          <w:bCs w:val="1"/>
          <w:color w:val="auto"/>
        </w:rPr>
      </w:pPr>
    </w:p>
    <w:p>
      <w:pPr>
        <w:ind w:left="548" w:right="160" w:hanging="116"/>
        <w:spacing w:after="0" w:line="268" w:lineRule="auto"/>
        <w:tabs>
          <w:tab w:leader="none" w:pos="548" w:val="left"/>
        </w:tabs>
        <w:numPr>
          <w:ilvl w:val="2"/>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Performance-based investments </w:t>
      </w:r>
      <w:r>
        <w:rPr>
          <w:rFonts w:ascii="Arial" w:cs="Arial" w:eastAsia="Arial" w:hAnsi="Arial"/>
          <w:sz w:val="12"/>
          <w:szCs w:val="12"/>
          <w:color w:val="auto"/>
        </w:rPr>
        <w:t>generated income of $6 million and capital gains of $57 million in the first quarter of 2019, a decrease in income of $175 million and an increase in capital gains of $65</w:t>
      </w:r>
      <w:r>
        <w:rPr>
          <w:rFonts w:ascii="Arial" w:cs="Arial" w:eastAsia="Arial" w:hAnsi="Arial"/>
          <w:sz w:val="12"/>
          <w:szCs w:val="12"/>
          <w:b w:val="1"/>
          <w:bCs w:val="1"/>
          <w:color w:val="auto"/>
        </w:rPr>
        <w:t xml:space="preserve"> </w:t>
      </w:r>
      <w:r>
        <w:rPr>
          <w:rFonts w:ascii="Arial" w:cs="Arial" w:eastAsia="Arial" w:hAnsi="Arial"/>
          <w:sz w:val="12"/>
          <w:szCs w:val="12"/>
          <w:color w:val="auto"/>
        </w:rPr>
        <w:t>million compared to the prior year quarter. Performance-based income in the first quarter of 2019 reflects lower asset appreciation related to private equity investments. The trailing 12-month performance-based return is 8.4%.</w:t>
      </w:r>
    </w:p>
    <w:p>
      <w:pPr>
        <w:spacing w:after="0" w:line="2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8"/>
          </w:cols>
          <w:pgMar w:left="212" w:top="408" w:right="199" w:bottom="1440" w:gutter="0" w:footer="0" w:header="0"/>
        </w:sectPr>
      </w:pPr>
    </w:p>
    <w:bookmarkStart w:id="7" w:name="page8"/>
    <w:bookmarkEnd w:id="7"/>
    <w:p>
      <w:pPr>
        <w:ind w:left="540" w:right="440" w:hanging="116"/>
        <w:spacing w:after="0" w:line="286" w:lineRule="auto"/>
        <w:tabs>
          <w:tab w:leader="none" w:pos="54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Net realized capital gains </w:t>
      </w:r>
      <w:r>
        <w:rPr>
          <w:rFonts w:ascii="Arial" w:cs="Arial" w:eastAsia="Arial" w:hAnsi="Arial"/>
          <w:sz w:val="12"/>
          <w:szCs w:val="12"/>
          <w:color w:val="auto"/>
        </w:rPr>
        <w:t>were $662 million in the first quarter of 2019, compared to losses of $134 million in the prior year quarter. Net realized gains for the quarter were primarily related to higher</w:t>
      </w:r>
      <w:r>
        <w:rPr>
          <w:rFonts w:ascii="Arial" w:cs="Arial" w:eastAsia="Arial" w:hAnsi="Arial"/>
          <w:sz w:val="12"/>
          <w:szCs w:val="12"/>
          <w:b w:val="1"/>
          <w:bCs w:val="1"/>
          <w:color w:val="auto"/>
        </w:rPr>
        <w:t xml:space="preserve"> </w:t>
      </w:r>
      <w:r>
        <w:rPr>
          <w:rFonts w:ascii="Arial" w:cs="Arial" w:eastAsia="Arial" w:hAnsi="Arial"/>
          <w:sz w:val="12"/>
          <w:szCs w:val="12"/>
          <w:color w:val="auto"/>
        </w:rPr>
        <w:t>valuation of equity investments and gains related to the sale of performance-based investments.</w:t>
      </w:r>
    </w:p>
    <w:p>
      <w:pPr>
        <w:spacing w:after="0" w:line="103" w:lineRule="exact"/>
        <w:rPr>
          <w:rFonts w:ascii="Arial" w:cs="Arial" w:eastAsia="Arial" w:hAnsi="Arial"/>
          <w:sz w:val="12"/>
          <w:szCs w:val="12"/>
          <w:b w:val="1"/>
          <w:bCs w:val="1"/>
          <w:color w:val="auto"/>
        </w:rPr>
      </w:pPr>
    </w:p>
    <w:p>
      <w:pPr>
        <w:ind w:left="540" w:hanging="116"/>
        <w:spacing w:after="0"/>
        <w:tabs>
          <w:tab w:leader="none" w:pos="54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Unrealized net capital gains </w:t>
      </w:r>
      <w:r>
        <w:rPr>
          <w:rFonts w:ascii="Arial" w:cs="Arial" w:eastAsia="Arial" w:hAnsi="Arial"/>
          <w:sz w:val="12"/>
          <w:szCs w:val="12"/>
          <w:color w:val="auto"/>
        </w:rPr>
        <w:t>increased $1.3 billion from the fourth quarter of 2018, as lower market yields resulted in higher fixed income valuations.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Proactive Capital Management</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“In addition to producing excellent operating results, Allstate continues to proactively manage shareholders’ capital,” said Mario Rizzo, Chief Financial Officer. “We returned $158 million to common shareholders during the first quarter through common stock dividends. Common shares are being purchased through a $1 billion accelerated share repurchase (ASR) program, which began in December 2018. Upon completion of the ASR in the second quarter, about $1.9 billion will remain on the $3 billion common share repurchase program. Book value per diluted common share of $63.59 was 8.5% higher than March 31, 2018, reflecting strong income generation and appreciation of the investment portfolio.”</w:t>
      </w:r>
    </w:p>
    <w:p>
      <w:pPr>
        <w:spacing w:after="0" w:line="28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Visit </w:t>
      </w:r>
      <w:r>
        <w:rPr>
          <w:rFonts w:ascii="Arial" w:cs="Arial" w:eastAsia="Arial" w:hAnsi="Arial"/>
          <w:sz w:val="10"/>
          <w:szCs w:val="10"/>
          <w:u w:val="single" w:color="auto"/>
          <w:color w:val="0000EE"/>
        </w:rPr>
        <w:t>www.allstateinvestors.com</w:t>
      </w:r>
      <w:r>
        <w:rPr>
          <w:rFonts w:ascii="Arial" w:cs="Arial" w:eastAsia="Arial" w:hAnsi="Arial"/>
          <w:sz w:val="10"/>
          <w:szCs w:val="10"/>
          <w:color w:val="auto"/>
        </w:rPr>
        <w:t xml:space="preserve"> to view additional information about Allstate’s results, including a webcast of its quarterly conference call and the call presentation. The conference call will be held at 9:00 a.m. ET on Thursday, May 2.</w:t>
      </w:r>
    </w:p>
    <w:p>
      <w:pPr>
        <w:spacing w:after="0" w:line="26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Forward-Looking Statements</w:t>
      </w:r>
    </w:p>
    <w:p>
      <w:pPr>
        <w:spacing w:after="0" w:line="5" w:lineRule="exact"/>
        <w:rPr>
          <w:sz w:val="20"/>
          <w:szCs w:val="20"/>
          <w:color w:val="auto"/>
        </w:rPr>
      </w:pPr>
    </w:p>
    <w:p>
      <w:pPr>
        <w:ind w:right="20"/>
        <w:spacing w:after="0" w:line="296" w:lineRule="auto"/>
        <w:rPr>
          <w:sz w:val="20"/>
          <w:szCs w:val="20"/>
          <w:color w:val="auto"/>
        </w:rPr>
      </w:pPr>
      <w:r>
        <w:rPr>
          <w:rFonts w:ascii="Arial" w:cs="Arial" w:eastAsia="Arial" w:hAnsi="Arial"/>
          <w:sz w:val="8"/>
          <w:szCs w:val="8"/>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287"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1"/>
          <w:szCs w:val="11"/>
          <w:b w:val="1"/>
          <w:bCs w:val="1"/>
          <w:color w:val="auto"/>
        </w:rPr>
        <w:t>THE ALLSTATE CORPORATION AND SUBSIDIARIES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CONDENSED CONSOLIDATED STATEMENTS OF FINANCIAL POSITION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60" w:type="dxa"/>
            <w:vAlign w:val="bottom"/>
          </w:tcPr>
          <w:p>
            <w:pPr>
              <w:ind w:left="20"/>
              <w:spacing w:after="0"/>
              <w:rPr>
                <w:sz w:val="20"/>
                <w:szCs w:val="20"/>
                <w:color w:val="auto"/>
              </w:rPr>
            </w:pPr>
            <w:r>
              <w:rPr>
                <w:rFonts w:ascii="Arial" w:cs="Arial" w:eastAsia="Arial" w:hAnsi="Arial"/>
                <w:sz w:val="10"/>
                <w:szCs w:val="10"/>
                <w:b w:val="1"/>
                <w:bCs w:val="1"/>
                <w:color w:val="auto"/>
              </w:rPr>
              <w:t>($ in millions, except par value data)</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59"/>
        </w:trPr>
        <w:tc>
          <w:tcPr>
            <w:tcW w:w="8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Arial" w:cs="Arial" w:eastAsia="Arial" w:hAnsi="Arial"/>
                <w:sz w:val="11"/>
                <w:szCs w:val="11"/>
                <w:b w:val="1"/>
                <w:bCs w:val="1"/>
                <w:color w:val="auto"/>
              </w:rPr>
              <w:t>March 31, 2019</w:t>
            </w:r>
          </w:p>
        </w:tc>
        <w:tc>
          <w:tcPr>
            <w:tcW w:w="160" w:type="dxa"/>
            <w:vAlign w:val="bottom"/>
          </w:tcPr>
          <w:p>
            <w:pPr>
              <w:spacing w:after="0"/>
              <w:rPr>
                <w:sz w:val="13"/>
                <w:szCs w:val="13"/>
                <w:color w:val="auto"/>
              </w:rPr>
            </w:pPr>
          </w:p>
        </w:tc>
        <w:tc>
          <w:tcPr>
            <w:tcW w:w="1320" w:type="dxa"/>
            <w:vAlign w:val="bottom"/>
          </w:tcPr>
          <w:p>
            <w:pPr>
              <w:jc w:val="right"/>
              <w:ind w:right="206"/>
              <w:spacing w:after="0"/>
              <w:rPr>
                <w:sz w:val="20"/>
                <w:szCs w:val="20"/>
                <w:color w:val="auto"/>
              </w:rPr>
            </w:pPr>
            <w:r>
              <w:rPr>
                <w:rFonts w:ascii="Arial" w:cs="Arial" w:eastAsia="Arial" w:hAnsi="Arial"/>
                <w:sz w:val="11"/>
                <w:szCs w:val="11"/>
                <w:b w:val="1"/>
                <w:bCs w:val="1"/>
                <w:color w:val="auto"/>
              </w:rPr>
              <w:t>December 31, 2018</w:t>
            </w:r>
          </w:p>
        </w:tc>
      </w:tr>
      <w:tr>
        <w:trPr>
          <w:trHeight w:val="167"/>
        </w:trPr>
        <w:tc>
          <w:tcPr>
            <w:tcW w:w="826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Investments: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Fixed income securities, at fair value (amortized cost $56,831 and $57,134)</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58,202</w:t>
            </w:r>
          </w:p>
        </w:tc>
        <w:tc>
          <w:tcPr>
            <w:tcW w:w="220" w:type="dxa"/>
            <w:vAlign w:val="bottom"/>
          </w:tcPr>
          <w:p>
            <w:pPr>
              <w:spacing w:after="0"/>
              <w:rPr>
                <w:sz w:val="15"/>
                <w:szCs w:val="15"/>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57,170</w:t>
            </w: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Equity securities, at fair value (cost $4,767 and $4,489)</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5,802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5,036</w:t>
            </w: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Mortgage loans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4,681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4,670</w:t>
            </w: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Limited partnership interests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7,493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7,505</w:t>
            </w: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Short-term, at fair value (amortized cost $4,157 and $3,027)</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4,157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3,027</w:t>
            </w:r>
          </w:p>
        </w:tc>
      </w:tr>
      <w:tr>
        <w:trPr>
          <w:trHeight w:val="187"/>
        </w:trPr>
        <w:tc>
          <w:tcPr>
            <w:tcW w:w="8260" w:type="dxa"/>
            <w:vAlign w:val="bottom"/>
          </w:tcPr>
          <w:p>
            <w:pPr>
              <w:ind w:left="180"/>
              <w:spacing w:after="0"/>
              <w:rPr>
                <w:sz w:val="20"/>
                <w:szCs w:val="20"/>
                <w:color w:val="auto"/>
              </w:rPr>
            </w:pPr>
            <w:r>
              <w:rPr>
                <w:rFonts w:ascii="Arial" w:cs="Arial" w:eastAsia="Arial" w:hAnsi="Arial"/>
                <w:sz w:val="11"/>
                <w:szCs w:val="11"/>
                <w:color w:val="auto"/>
              </w:rPr>
              <w:t>Other</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3,786</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3,852</w:t>
            </w:r>
          </w:p>
        </w:tc>
      </w:tr>
      <w:tr>
        <w:trPr>
          <w:trHeight w:val="154"/>
        </w:trPr>
        <w:tc>
          <w:tcPr>
            <w:tcW w:w="8260" w:type="dxa"/>
            <w:vAlign w:val="bottom"/>
          </w:tcPr>
          <w:p>
            <w:pPr>
              <w:ind w:left="320"/>
              <w:spacing w:after="0"/>
              <w:rPr>
                <w:sz w:val="20"/>
                <w:szCs w:val="20"/>
                <w:color w:val="auto"/>
              </w:rPr>
            </w:pPr>
            <w:r>
              <w:rPr>
                <w:rFonts w:ascii="Arial" w:cs="Arial" w:eastAsia="Arial" w:hAnsi="Arial"/>
                <w:sz w:val="11"/>
                <w:szCs w:val="11"/>
                <w:color w:val="auto"/>
              </w:rPr>
              <w:t>Total investments</w:t>
            </w:r>
          </w:p>
        </w:tc>
        <w:tc>
          <w:tcPr>
            <w:tcW w:w="240" w:type="dxa"/>
            <w:vAlign w:val="bottom"/>
          </w:tcPr>
          <w:p>
            <w:pPr>
              <w:spacing w:after="0"/>
              <w:rPr>
                <w:sz w:val="13"/>
                <w:szCs w:val="13"/>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84,121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81,260</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Cash</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551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499</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Premium installment receivables, net</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6,201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6,154</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Deferred policy acquisition costs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4,670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4,784</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Reinsurance and indemnification recoverables, net</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9,374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9,565</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Accrued investment income</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614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600</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1,047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1,045</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Goodwill</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2,547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2,530</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Other assets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3,659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3,007</w:t>
            </w:r>
          </w:p>
        </w:tc>
      </w:tr>
      <w:tr>
        <w:trPr>
          <w:trHeight w:val="182"/>
        </w:trPr>
        <w:tc>
          <w:tcPr>
            <w:tcW w:w="8260" w:type="dxa"/>
            <w:vAlign w:val="bottom"/>
          </w:tcPr>
          <w:p>
            <w:pPr>
              <w:ind w:left="20"/>
              <w:spacing w:after="0"/>
              <w:rPr>
                <w:sz w:val="20"/>
                <w:szCs w:val="20"/>
                <w:color w:val="auto"/>
              </w:rPr>
            </w:pPr>
            <w:r>
              <w:rPr>
                <w:rFonts w:ascii="Arial" w:cs="Arial" w:eastAsia="Arial" w:hAnsi="Arial"/>
                <w:sz w:val="11"/>
                <w:szCs w:val="11"/>
                <w:color w:val="auto"/>
              </w:rPr>
              <w:t>Separate Accounts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3,050</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2,805</w:t>
            </w:r>
          </w:p>
        </w:tc>
      </w:tr>
      <w:tr>
        <w:trPr>
          <w:trHeight w:val="169"/>
        </w:trPr>
        <w:tc>
          <w:tcPr>
            <w:tcW w:w="8260" w:type="dxa"/>
            <w:vAlign w:val="bottom"/>
          </w:tcPr>
          <w:p>
            <w:pPr>
              <w:ind w:left="460"/>
              <w:spacing w:after="0"/>
              <w:rPr>
                <w:sz w:val="20"/>
                <w:szCs w:val="20"/>
                <w:color w:val="auto"/>
              </w:rPr>
            </w:pPr>
            <w:r>
              <w:rPr>
                <w:rFonts w:ascii="Arial" w:cs="Arial" w:eastAsia="Arial" w:hAnsi="Arial"/>
                <w:sz w:val="11"/>
                <w:szCs w:val="11"/>
                <w:b w:val="1"/>
                <w:bCs w:val="1"/>
                <w:color w:val="auto"/>
              </w:rPr>
              <w:t>Total assets</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115,834</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112,249</w:t>
            </w:r>
          </w:p>
        </w:tc>
      </w:tr>
      <w:tr>
        <w:trPr>
          <w:trHeight w:val="167"/>
        </w:trPr>
        <w:tc>
          <w:tcPr>
            <w:tcW w:w="826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Reserve for property and casualty insurance claims and claims expense</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27,544</w:t>
            </w:r>
          </w:p>
        </w:tc>
        <w:tc>
          <w:tcPr>
            <w:tcW w:w="220" w:type="dxa"/>
            <w:vAlign w:val="bottom"/>
          </w:tcPr>
          <w:p>
            <w:pPr>
              <w:spacing w:after="0"/>
              <w:rPr>
                <w:sz w:val="15"/>
                <w:szCs w:val="15"/>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27,423</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Reserve for life-contingent contract benefits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12,200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12,208</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Contractholder funds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18,161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18,371</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Unearned premiums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14,323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14,510</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Claim payments outstanding</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891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1,007</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Deferred income taxes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817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425</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Other liabilities and accrued expenses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8,977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7,737</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Long-term debt</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6,453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6,451</w:t>
            </w:r>
          </w:p>
        </w:tc>
      </w:tr>
      <w:tr>
        <w:trPr>
          <w:trHeight w:val="182"/>
        </w:trPr>
        <w:tc>
          <w:tcPr>
            <w:tcW w:w="8260" w:type="dxa"/>
            <w:vAlign w:val="bottom"/>
          </w:tcPr>
          <w:p>
            <w:pPr>
              <w:ind w:left="20"/>
              <w:spacing w:after="0"/>
              <w:rPr>
                <w:sz w:val="20"/>
                <w:szCs w:val="20"/>
                <w:color w:val="auto"/>
              </w:rPr>
            </w:pPr>
            <w:r>
              <w:rPr>
                <w:rFonts w:ascii="Arial" w:cs="Arial" w:eastAsia="Arial" w:hAnsi="Arial"/>
                <w:sz w:val="11"/>
                <w:szCs w:val="11"/>
                <w:color w:val="auto"/>
              </w:rPr>
              <w:t>Separate Accounts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3,050</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2,805</w:t>
            </w:r>
          </w:p>
        </w:tc>
      </w:tr>
      <w:tr>
        <w:trPr>
          <w:trHeight w:val="160"/>
        </w:trPr>
        <w:tc>
          <w:tcPr>
            <w:tcW w:w="8260" w:type="dxa"/>
            <w:vAlign w:val="bottom"/>
          </w:tcPr>
          <w:p>
            <w:pPr>
              <w:ind w:left="460"/>
              <w:spacing w:after="0"/>
              <w:rPr>
                <w:sz w:val="20"/>
                <w:szCs w:val="20"/>
                <w:color w:val="auto"/>
              </w:rPr>
            </w:pPr>
            <w:r>
              <w:rPr>
                <w:rFonts w:ascii="Arial" w:cs="Arial" w:eastAsia="Arial" w:hAnsi="Arial"/>
                <w:sz w:val="11"/>
                <w:szCs w:val="11"/>
                <w:b w:val="1"/>
                <w:bCs w:val="1"/>
                <w:color w:val="auto"/>
              </w:rPr>
              <w:t>Total liabilities</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92,416</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90,937</w:t>
            </w:r>
          </w:p>
        </w:tc>
      </w:tr>
      <w:tr>
        <w:trPr>
          <w:trHeight w:val="167"/>
        </w:trPr>
        <w:tc>
          <w:tcPr>
            <w:tcW w:w="8260" w:type="dxa"/>
            <w:vAlign w:val="bottom"/>
          </w:tcPr>
          <w:p>
            <w:pPr>
              <w:spacing w:after="0"/>
              <w:rPr>
                <w:sz w:val="20"/>
                <w:szCs w:val="20"/>
                <w:color w:val="auto"/>
              </w:rPr>
            </w:pPr>
            <w:r>
              <w:rPr>
                <w:rFonts w:ascii="Arial" w:cs="Arial" w:eastAsia="Arial" w:hAnsi="Arial"/>
                <w:sz w:val="11"/>
                <w:szCs w:val="11"/>
                <w:b w:val="1"/>
                <w:bCs w:val="1"/>
                <w:color w:val="auto"/>
              </w:rPr>
              <w:t>Shareholders’ equity</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Preferred stock and additional capital paid-in, $1 par value, 79.8 thousand shares issued and outstanding, $1,995 aggregate liquidation preference</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1,930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1,930</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Common stock, $.01 par value, 900 million issued, 333 million and 332 million shares outstanding</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9</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Additional capital paid-in</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3,291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3,310</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Retained income</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45,148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44,033</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Deferred Employee Stock Ownership Plan expense</w:t>
            </w:r>
          </w:p>
        </w:tc>
        <w:tc>
          <w:tcPr>
            <w:tcW w:w="240" w:type="dxa"/>
            <w:vAlign w:val="bottom"/>
          </w:tcPr>
          <w:p>
            <w:pPr>
              <w:spacing w:after="0"/>
              <w:rPr>
                <w:sz w:val="15"/>
                <w:szCs w:val="15"/>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(3)</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Treasury stock, at cost (567 million and 568 million shares)</w:t>
            </w:r>
          </w:p>
        </w:tc>
        <w:tc>
          <w:tcPr>
            <w:tcW w:w="240" w:type="dxa"/>
            <w:vAlign w:val="bottom"/>
          </w:tcPr>
          <w:p>
            <w:pPr>
              <w:spacing w:after="0"/>
              <w:rPr>
                <w:sz w:val="15"/>
                <w:szCs w:val="15"/>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(28,042)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(28,085)</w:t>
            </w:r>
          </w:p>
        </w:tc>
      </w:tr>
      <w:tr>
        <w:trPr>
          <w:trHeight w:val="180"/>
        </w:trPr>
        <w:tc>
          <w:tcPr>
            <w:tcW w:w="8260" w:type="dxa"/>
            <w:vAlign w:val="bottom"/>
          </w:tcPr>
          <w:p>
            <w:pPr>
              <w:ind w:left="20"/>
              <w:spacing w:after="0"/>
              <w:rPr>
                <w:sz w:val="20"/>
                <w:szCs w:val="20"/>
                <w:color w:val="auto"/>
              </w:rPr>
            </w:pPr>
            <w:r>
              <w:rPr>
                <w:rFonts w:ascii="Arial" w:cs="Arial" w:eastAsia="Arial" w:hAnsi="Arial"/>
                <w:sz w:val="11"/>
                <w:szCs w:val="11"/>
                <w:color w:val="auto"/>
              </w:rPr>
              <w:t>Accumulated other comprehensive income:</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Unrealized net capital gains and losses:</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0"/>
        </w:trPr>
        <w:tc>
          <w:tcPr>
            <w:tcW w:w="8260" w:type="dxa"/>
            <w:vAlign w:val="bottom"/>
          </w:tcPr>
          <w:p>
            <w:pPr>
              <w:ind w:left="320"/>
              <w:spacing w:after="0"/>
              <w:rPr>
                <w:sz w:val="20"/>
                <w:szCs w:val="20"/>
                <w:color w:val="auto"/>
              </w:rPr>
            </w:pPr>
            <w:r>
              <w:rPr>
                <w:rFonts w:ascii="Arial" w:cs="Arial" w:eastAsia="Arial" w:hAnsi="Arial"/>
                <w:sz w:val="11"/>
                <w:szCs w:val="11"/>
                <w:color w:val="auto"/>
              </w:rPr>
              <w:t>Unrealized net capital gains and losses on fixed income securities with OTTI</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73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6"/>
              <w:spacing w:after="0"/>
              <w:rPr>
                <w:sz w:val="20"/>
                <w:szCs w:val="20"/>
                <w:color w:val="auto"/>
              </w:rPr>
            </w:pPr>
            <w:r>
              <w:rPr>
                <w:rFonts w:ascii="Arial" w:cs="Arial" w:eastAsia="Arial" w:hAnsi="Arial"/>
                <w:sz w:val="11"/>
                <w:szCs w:val="11"/>
                <w:color w:val="auto"/>
              </w:rPr>
              <w:t>75</w:t>
            </w:r>
          </w:p>
        </w:tc>
      </w:tr>
      <w:tr>
        <w:trPr>
          <w:trHeight w:val="180"/>
        </w:trPr>
        <w:tc>
          <w:tcPr>
            <w:tcW w:w="8260" w:type="dxa"/>
            <w:vAlign w:val="bottom"/>
          </w:tcPr>
          <w:p>
            <w:pPr>
              <w:ind w:left="320"/>
              <w:spacing w:after="0"/>
              <w:rPr>
                <w:sz w:val="20"/>
                <w:szCs w:val="20"/>
                <w:color w:val="auto"/>
              </w:rPr>
            </w:pPr>
            <w:r>
              <w:rPr>
                <w:rFonts w:ascii="Arial" w:cs="Arial" w:eastAsia="Arial" w:hAnsi="Arial"/>
                <w:sz w:val="11"/>
                <w:szCs w:val="11"/>
                <w:color w:val="auto"/>
              </w:rPr>
              <w:t>Other unrealized net capital gains and losses</w:t>
            </w:r>
          </w:p>
        </w:tc>
        <w:tc>
          <w:tcPr>
            <w:tcW w:w="240" w:type="dxa"/>
            <w:vAlign w:val="bottom"/>
          </w:tcPr>
          <w:p>
            <w:pPr>
              <w:spacing w:after="0"/>
              <w:rPr>
                <w:sz w:val="15"/>
                <w:szCs w:val="15"/>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1,003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(51)</w:t>
            </w:r>
          </w:p>
        </w:tc>
      </w:tr>
      <w:tr>
        <w:trPr>
          <w:trHeight w:val="187"/>
        </w:trPr>
        <w:tc>
          <w:tcPr>
            <w:tcW w:w="8260" w:type="dxa"/>
            <w:vAlign w:val="bottom"/>
          </w:tcPr>
          <w:p>
            <w:pPr>
              <w:ind w:left="320"/>
              <w:spacing w:after="0"/>
              <w:rPr>
                <w:sz w:val="20"/>
                <w:szCs w:val="20"/>
                <w:color w:val="auto"/>
              </w:rPr>
            </w:pPr>
            <w:r>
              <w:rPr>
                <w:rFonts w:ascii="Arial" w:cs="Arial" w:eastAsia="Arial" w:hAnsi="Arial"/>
                <w:sz w:val="11"/>
                <w:szCs w:val="11"/>
                <w:color w:val="auto"/>
              </w:rPr>
              <w:t>Unrealized adjustment to DAC, DSI and insurance reserves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(104)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(26)</w:t>
            </w:r>
          </w:p>
        </w:tc>
      </w:tr>
      <w:tr>
        <w:trPr>
          <w:trHeight w:val="154"/>
        </w:trPr>
        <w:tc>
          <w:tcPr>
            <w:tcW w:w="8260" w:type="dxa"/>
            <w:vAlign w:val="bottom"/>
          </w:tcPr>
          <w:p>
            <w:pPr>
              <w:ind w:left="180"/>
              <w:spacing w:after="0"/>
              <w:rPr>
                <w:sz w:val="20"/>
                <w:szCs w:val="20"/>
                <w:color w:val="auto"/>
              </w:rPr>
            </w:pPr>
            <w:r>
              <w:rPr>
                <w:rFonts w:ascii="Arial" w:cs="Arial" w:eastAsia="Arial" w:hAnsi="Arial"/>
                <w:sz w:val="11"/>
                <w:szCs w:val="11"/>
                <w:color w:val="auto"/>
              </w:rPr>
              <w:t>Unrealized net capital gains and losses</w:t>
            </w:r>
          </w:p>
        </w:tc>
        <w:tc>
          <w:tcPr>
            <w:tcW w:w="240" w:type="dxa"/>
            <w:vAlign w:val="bottom"/>
          </w:tcPr>
          <w:p>
            <w:pPr>
              <w:spacing w:after="0"/>
              <w:rPr>
                <w:sz w:val="13"/>
                <w:szCs w:val="13"/>
                <w:color w:val="auto"/>
              </w:rPr>
            </w:pPr>
          </w:p>
        </w:tc>
        <w:tc>
          <w:tcPr>
            <w:tcW w:w="1280" w:type="dxa"/>
            <w:vAlign w:val="bottom"/>
          </w:tcPr>
          <w:p>
            <w:pPr>
              <w:jc w:val="right"/>
              <w:ind w:right="66"/>
              <w:spacing w:after="0"/>
              <w:rPr>
                <w:sz w:val="20"/>
                <w:szCs w:val="20"/>
                <w:color w:val="auto"/>
              </w:rPr>
            </w:pPr>
            <w:r>
              <w:rPr>
                <w:rFonts w:ascii="Arial" w:cs="Arial" w:eastAsia="Arial" w:hAnsi="Arial"/>
                <w:sz w:val="11"/>
                <w:szCs w:val="11"/>
                <w:color w:val="auto"/>
              </w:rPr>
              <w:t>972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(2)</w:t>
            </w:r>
          </w:p>
        </w:tc>
      </w:tr>
      <w:tr>
        <w:trPr>
          <w:trHeight w:val="180"/>
        </w:trPr>
        <w:tc>
          <w:tcPr>
            <w:tcW w:w="8260" w:type="dxa"/>
            <w:vAlign w:val="bottom"/>
          </w:tcPr>
          <w:p>
            <w:pPr>
              <w:ind w:left="180"/>
              <w:spacing w:after="0"/>
              <w:rPr>
                <w:sz w:val="20"/>
                <w:szCs w:val="20"/>
                <w:color w:val="auto"/>
              </w:rPr>
            </w:pPr>
            <w:r>
              <w:rPr>
                <w:rFonts w:ascii="Arial" w:cs="Arial" w:eastAsia="Arial" w:hAnsi="Arial"/>
                <w:sz w:val="11"/>
                <w:szCs w:val="11"/>
                <w:color w:val="auto"/>
              </w:rPr>
              <w:t>Unrealized foreign currency translation adjustments</w:t>
            </w:r>
          </w:p>
        </w:tc>
        <w:tc>
          <w:tcPr>
            <w:tcW w:w="240" w:type="dxa"/>
            <w:vAlign w:val="bottom"/>
          </w:tcPr>
          <w:p>
            <w:pPr>
              <w:spacing w:after="0"/>
              <w:rPr>
                <w:sz w:val="15"/>
                <w:szCs w:val="15"/>
                <w:color w:val="auto"/>
              </w:rPr>
            </w:pP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26"/>
              <w:spacing w:after="0"/>
              <w:rPr>
                <w:sz w:val="20"/>
                <w:szCs w:val="20"/>
                <w:color w:val="auto"/>
              </w:rPr>
            </w:pPr>
            <w:r>
              <w:rPr>
                <w:rFonts w:ascii="Arial" w:cs="Arial" w:eastAsia="Arial" w:hAnsi="Arial"/>
                <w:sz w:val="11"/>
                <w:szCs w:val="11"/>
                <w:color w:val="auto"/>
              </w:rPr>
              <w:t>(49)</w:t>
            </w:r>
          </w:p>
        </w:tc>
      </w:tr>
      <w:tr>
        <w:trPr>
          <w:trHeight w:val="187"/>
        </w:trPr>
        <w:tc>
          <w:tcPr>
            <w:tcW w:w="8260" w:type="dxa"/>
            <w:vAlign w:val="bottom"/>
          </w:tcPr>
          <w:p>
            <w:pPr>
              <w:ind w:left="180"/>
              <w:spacing w:after="0"/>
              <w:rPr>
                <w:sz w:val="20"/>
                <w:szCs w:val="20"/>
                <w:color w:val="auto"/>
              </w:rPr>
            </w:pPr>
            <w:r>
              <w:rPr>
                <w:rFonts w:ascii="Arial" w:cs="Arial" w:eastAsia="Arial" w:hAnsi="Arial"/>
                <w:sz w:val="11"/>
                <w:szCs w:val="11"/>
                <w:color w:val="auto"/>
              </w:rPr>
              <w:t>Unamortized pension and other postretirement prior service credit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157</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169</w:t>
            </w:r>
          </w:p>
        </w:tc>
      </w:tr>
      <w:tr>
        <w:trPr>
          <w:trHeight w:val="156"/>
        </w:trPr>
        <w:tc>
          <w:tcPr>
            <w:tcW w:w="8260" w:type="dxa"/>
            <w:vAlign w:val="bottom"/>
          </w:tcPr>
          <w:p>
            <w:pPr>
              <w:ind w:left="460"/>
              <w:spacing w:after="0"/>
              <w:rPr>
                <w:sz w:val="20"/>
                <w:szCs w:val="20"/>
                <w:color w:val="auto"/>
              </w:rPr>
            </w:pPr>
            <w:r>
              <w:rPr>
                <w:rFonts w:ascii="Arial" w:cs="Arial" w:eastAsia="Arial" w:hAnsi="Arial"/>
                <w:sz w:val="11"/>
                <w:szCs w:val="11"/>
                <w:color w:val="auto"/>
              </w:rPr>
              <w:t>Total accumulated other comprehensive income</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1,085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118</w:t>
            </w:r>
          </w:p>
        </w:tc>
      </w:tr>
      <w:tr>
        <w:trPr>
          <w:trHeight w:val="160"/>
        </w:trPr>
        <w:tc>
          <w:tcPr>
            <w:tcW w:w="8260" w:type="dxa"/>
            <w:vAlign w:val="bottom"/>
          </w:tcPr>
          <w:p>
            <w:pPr>
              <w:ind w:left="460"/>
              <w:spacing w:after="0"/>
              <w:rPr>
                <w:sz w:val="20"/>
                <w:szCs w:val="20"/>
                <w:color w:val="auto"/>
              </w:rPr>
            </w:pPr>
            <w:r>
              <w:rPr>
                <w:rFonts w:ascii="Arial" w:cs="Arial" w:eastAsia="Arial" w:hAnsi="Arial"/>
                <w:sz w:val="11"/>
                <w:szCs w:val="11"/>
                <w:b w:val="1"/>
                <w:bCs w:val="1"/>
                <w:color w:val="auto"/>
              </w:rPr>
              <w:t>Total shareholders’ equity</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23,418</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21,312</w:t>
            </w:r>
          </w:p>
        </w:tc>
      </w:tr>
      <w:tr>
        <w:trPr>
          <w:trHeight w:val="169"/>
        </w:trPr>
        <w:tc>
          <w:tcPr>
            <w:tcW w:w="8260" w:type="dxa"/>
            <w:vAlign w:val="bottom"/>
          </w:tcPr>
          <w:p>
            <w:pPr>
              <w:ind w:left="460"/>
              <w:spacing w:after="0"/>
              <w:rPr>
                <w:sz w:val="20"/>
                <w:szCs w:val="20"/>
                <w:color w:val="auto"/>
              </w:rPr>
            </w:pPr>
            <w:r>
              <w:rPr>
                <w:rFonts w:ascii="Arial" w:cs="Arial" w:eastAsia="Arial" w:hAnsi="Arial"/>
                <w:sz w:val="11"/>
                <w:szCs w:val="11"/>
                <w:b w:val="1"/>
                <w:bCs w:val="1"/>
                <w:color w:val="auto"/>
              </w:rPr>
              <w:t>Total liabilities and shareholders’ equity</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115,834</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112,249</w:t>
            </w:r>
          </w:p>
        </w:tc>
      </w:tr>
    </w:tbl>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399" w:right="19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2"/>
          <w:szCs w:val="12"/>
          <w:b w:val="1"/>
          <w:bCs w:val="1"/>
          <w:color w:val="auto"/>
        </w:rPr>
        <w:t>THE ALLSTATE CORPORATION AND SUBSIDIARIES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CONDENSED CONSOLIDATED STATEMENTS OF OPERATIONS (UNAUDITED)</w:t>
      </w:r>
    </w:p>
    <w:p>
      <w:pPr>
        <w:spacing w:after="0" w:line="163" w:lineRule="exact"/>
        <w:rPr>
          <w:sz w:val="20"/>
          <w:szCs w:val="20"/>
          <w:color w:val="auto"/>
        </w:rPr>
      </w:pPr>
    </w:p>
    <w:p>
      <w:pPr>
        <w:spacing w:after="0"/>
        <w:tabs>
          <w:tab w:leader="none" w:pos="9120" w:val="left"/>
        </w:tabs>
        <w:rPr>
          <w:sz w:val="20"/>
          <w:szCs w:val="20"/>
          <w:color w:val="auto"/>
        </w:rPr>
      </w:pPr>
      <w:r>
        <w:rPr>
          <w:rFonts w:ascii="Arial" w:cs="Arial" w:eastAsia="Arial" w:hAnsi="Arial"/>
          <w:sz w:val="10"/>
          <w:szCs w:val="10"/>
          <w:b w:val="1"/>
          <w:bCs w:val="1"/>
          <w:color w:val="auto"/>
        </w:rPr>
        <w:t>($ in millions, except per share data)</w:t>
      </w:r>
      <w:r>
        <w:rPr>
          <w:sz w:val="20"/>
          <w:szCs w:val="20"/>
          <w:color w:val="auto"/>
        </w:rPr>
        <w:tab/>
      </w: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19672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45" w:lineRule="exact"/>
        <w:rPr>
          <w:sz w:val="20"/>
          <w:szCs w:val="20"/>
          <w:color w:val="auto"/>
        </w:rPr>
      </w:pPr>
    </w:p>
    <w:p>
      <w:pPr>
        <w:jc w:val="both"/>
        <w:ind w:left="9000"/>
        <w:spacing w:after="0"/>
        <w:tabs>
          <w:tab w:leader="none" w:pos="10600" w:val="left"/>
        </w:tabs>
        <w:rPr>
          <w:sz w:val="20"/>
          <w:szCs w:val="20"/>
          <w:color w:val="auto"/>
        </w:rPr>
      </w:pPr>
      <w:r>
        <w:rPr>
          <w:rFonts w:ascii="Arial" w:cs="Arial" w:eastAsia="Arial" w:hAnsi="Arial"/>
          <w:sz w:val="11"/>
          <w:szCs w:val="11"/>
          <w:b w:val="1"/>
          <w:bCs w:val="1"/>
          <w:color w:val="auto"/>
        </w:rPr>
        <w:t>2019</w:t>
      </w:r>
      <w:r>
        <w:rPr>
          <w:sz w:val="20"/>
          <w:szCs w:val="20"/>
          <w:color w:val="auto"/>
        </w:rPr>
        <w:tab/>
      </w:r>
      <w:r>
        <w:rPr>
          <w:rFonts w:ascii="Arial" w:cs="Arial" w:eastAsia="Arial" w:hAnsi="Arial"/>
          <w:sz w:val="11"/>
          <w:szCs w:val="11"/>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23495</wp:posOffset>
            </wp:positionV>
            <wp:extent cx="196723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Revenues</w:t>
      </w:r>
    </w:p>
    <w:p>
      <w:pPr>
        <w:sectPr>
          <w:pgSz w:w="11900" w:h="16838" w:orient="portrait"/>
          <w:cols w:equalWidth="0" w:num="1">
            <w:col w:w="11400"/>
          </w:cols>
          <w:pgMar w:left="220" w:top="395" w:right="279" w:bottom="1440" w:gutter="0" w:footer="0" w:header="0"/>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380" w:type="dxa"/>
            <w:vAlign w:val="bottom"/>
          </w:tcPr>
          <w:p>
            <w:pPr>
              <w:spacing w:after="0"/>
              <w:rPr>
                <w:sz w:val="20"/>
                <w:szCs w:val="20"/>
                <w:color w:val="auto"/>
              </w:rPr>
            </w:pPr>
            <w:r>
              <w:rPr>
                <w:rFonts w:ascii="Arial" w:cs="Arial" w:eastAsia="Arial" w:hAnsi="Arial"/>
                <w:sz w:val="11"/>
                <w:szCs w:val="11"/>
                <w:color w:val="auto"/>
              </w:rPr>
              <w:t>Property and casualty insurance premiums</w:t>
            </w:r>
          </w:p>
        </w:tc>
        <w:tc>
          <w:tcPr>
            <w:tcW w:w="560" w:type="dxa"/>
            <w:vAlign w:val="bottom"/>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8,802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Life premiums and contract charges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628</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Other revenue</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250</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Net investment income</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648</w:t>
            </w:r>
          </w:p>
        </w:tc>
        <w:tc>
          <w:tcPr>
            <w:tcW w:w="200" w:type="dxa"/>
            <w:vAlign w:val="bottom"/>
          </w:tcPr>
          <w:p>
            <w:pPr>
              <w:spacing w:after="0"/>
              <w:rPr>
                <w:sz w:val="15"/>
                <w:szCs w:val="15"/>
                <w:color w:val="auto"/>
              </w:rPr>
            </w:pPr>
          </w:p>
        </w:tc>
      </w:tr>
      <w:tr>
        <w:trPr>
          <w:trHeight w:val="198"/>
        </w:trPr>
        <w:tc>
          <w:tcPr>
            <w:tcW w:w="8380" w:type="dxa"/>
            <w:vAlign w:val="bottom"/>
          </w:tcPr>
          <w:p>
            <w:pPr>
              <w:spacing w:after="0"/>
              <w:rPr>
                <w:sz w:val="20"/>
                <w:szCs w:val="20"/>
                <w:color w:val="auto"/>
              </w:rPr>
            </w:pPr>
            <w:r>
              <w:rPr>
                <w:rFonts w:ascii="Arial" w:cs="Arial" w:eastAsia="Arial" w:hAnsi="Arial"/>
                <w:sz w:val="11"/>
                <w:szCs w:val="11"/>
                <w:color w:val="auto"/>
              </w:rPr>
              <w:t>Realized capital gains and losses: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0"/>
        </w:trPr>
        <w:tc>
          <w:tcPr>
            <w:tcW w:w="8380" w:type="dxa"/>
            <w:vAlign w:val="bottom"/>
          </w:tcPr>
          <w:p>
            <w:pPr>
              <w:ind w:left="160"/>
              <w:spacing w:after="0"/>
              <w:rPr>
                <w:sz w:val="20"/>
                <w:szCs w:val="20"/>
                <w:color w:val="auto"/>
              </w:rPr>
            </w:pPr>
            <w:r>
              <w:rPr>
                <w:rFonts w:ascii="Arial" w:cs="Arial" w:eastAsia="Arial" w:hAnsi="Arial"/>
                <w:sz w:val="11"/>
                <w:szCs w:val="11"/>
                <w:color w:val="auto"/>
              </w:rPr>
              <w:t>Total other-than-temporary impairment (“OTTI”) losses</w:t>
            </w:r>
          </w:p>
        </w:tc>
        <w:tc>
          <w:tcPr>
            <w:tcW w:w="5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200" w:type="dxa"/>
            <w:vAlign w:val="bottom"/>
          </w:tcPr>
          <w:p>
            <w:pPr>
              <w:spacing w:after="0"/>
              <w:rPr>
                <w:sz w:val="15"/>
                <w:szCs w:val="15"/>
                <w:color w:val="auto"/>
              </w:rPr>
            </w:pPr>
          </w:p>
        </w:tc>
      </w:tr>
      <w:tr>
        <w:trPr>
          <w:trHeight w:val="187"/>
        </w:trPr>
        <w:tc>
          <w:tcPr>
            <w:tcW w:w="8380" w:type="dxa"/>
            <w:vAlign w:val="bottom"/>
          </w:tcPr>
          <w:p>
            <w:pPr>
              <w:ind w:left="160"/>
              <w:spacing w:after="0"/>
              <w:rPr>
                <w:sz w:val="20"/>
                <w:szCs w:val="20"/>
                <w:color w:val="auto"/>
              </w:rPr>
            </w:pPr>
            <w:r>
              <w:rPr>
                <w:rFonts w:ascii="Arial" w:cs="Arial" w:eastAsia="Arial" w:hAnsi="Arial"/>
                <w:sz w:val="11"/>
                <w:szCs w:val="11"/>
                <w:color w:val="auto"/>
              </w:rPr>
              <w:t>OTTI losses reclassified to (from) other comprehensive income</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6"/>
                <w:szCs w:val="16"/>
                <w:color w:val="auto"/>
              </w:rPr>
            </w:pPr>
          </w:p>
        </w:tc>
      </w:tr>
      <w:tr>
        <w:trPr>
          <w:trHeight w:val="154"/>
        </w:trPr>
        <w:tc>
          <w:tcPr>
            <w:tcW w:w="8380" w:type="dxa"/>
            <w:vAlign w:val="bottom"/>
          </w:tcPr>
          <w:p>
            <w:pPr>
              <w:ind w:left="300"/>
              <w:spacing w:after="0"/>
              <w:rPr>
                <w:sz w:val="20"/>
                <w:szCs w:val="20"/>
                <w:color w:val="auto"/>
              </w:rPr>
            </w:pPr>
            <w:r>
              <w:rPr>
                <w:rFonts w:ascii="Arial" w:cs="Arial" w:eastAsia="Arial" w:hAnsi="Arial"/>
                <w:sz w:val="11"/>
                <w:szCs w:val="11"/>
                <w:color w:val="auto"/>
              </w:rPr>
              <w:t>Net OTTI losses recognized in earnings</w:t>
            </w:r>
          </w:p>
        </w:tc>
        <w:tc>
          <w:tcPr>
            <w:tcW w:w="56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200" w:type="dxa"/>
            <w:vAlign w:val="bottom"/>
          </w:tcPr>
          <w:p>
            <w:pPr>
              <w:spacing w:after="0"/>
              <w:rPr>
                <w:sz w:val="13"/>
                <w:szCs w:val="13"/>
                <w:color w:val="auto"/>
              </w:rPr>
            </w:pPr>
          </w:p>
        </w:tc>
      </w:tr>
      <w:tr>
        <w:trPr>
          <w:trHeight w:val="187"/>
        </w:trPr>
        <w:tc>
          <w:tcPr>
            <w:tcW w:w="8380" w:type="dxa"/>
            <w:vAlign w:val="bottom"/>
          </w:tcPr>
          <w:p>
            <w:pPr>
              <w:ind w:left="160"/>
              <w:spacing w:after="0"/>
              <w:rPr>
                <w:sz w:val="20"/>
                <w:szCs w:val="20"/>
                <w:color w:val="auto"/>
              </w:rPr>
            </w:pPr>
            <w:r>
              <w:rPr>
                <w:rFonts w:ascii="Arial" w:cs="Arial" w:eastAsia="Arial" w:hAnsi="Arial"/>
                <w:sz w:val="11"/>
                <w:szCs w:val="11"/>
                <w:color w:val="auto"/>
              </w:rPr>
              <w:t>Sales and valuation changes on equity investments and derivatives</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676</w:t>
            </w:r>
          </w:p>
        </w:tc>
        <w:tc>
          <w:tcPr>
            <w:tcW w:w="200" w:type="dxa"/>
            <w:vAlign w:val="bottom"/>
          </w:tcPr>
          <w:p>
            <w:pPr>
              <w:spacing w:after="0"/>
              <w:rPr>
                <w:sz w:val="16"/>
                <w:szCs w:val="16"/>
                <w:color w:val="auto"/>
              </w:rPr>
            </w:pPr>
          </w:p>
        </w:tc>
      </w:tr>
      <w:tr>
        <w:trPr>
          <w:trHeight w:val="156"/>
        </w:trPr>
        <w:tc>
          <w:tcPr>
            <w:tcW w:w="8380" w:type="dxa"/>
            <w:vAlign w:val="bottom"/>
          </w:tcPr>
          <w:p>
            <w:pPr>
              <w:ind w:left="300"/>
              <w:spacing w:after="0"/>
              <w:rPr>
                <w:sz w:val="20"/>
                <w:szCs w:val="20"/>
                <w:color w:val="auto"/>
              </w:rPr>
            </w:pPr>
            <w:r>
              <w:rPr>
                <w:rFonts w:ascii="Arial" w:cs="Arial" w:eastAsia="Arial" w:hAnsi="Arial"/>
                <w:sz w:val="11"/>
                <w:szCs w:val="11"/>
                <w:color w:val="auto"/>
              </w:rPr>
              <w:t>Total realized capital gains and losses</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662</w:t>
            </w:r>
          </w:p>
        </w:tc>
        <w:tc>
          <w:tcPr>
            <w:tcW w:w="200" w:type="dxa"/>
            <w:vAlign w:val="bottom"/>
          </w:tcPr>
          <w:p>
            <w:pPr>
              <w:spacing w:after="0"/>
              <w:rPr>
                <w:sz w:val="13"/>
                <w:szCs w:val="13"/>
                <w:color w:val="auto"/>
              </w:rPr>
            </w:pPr>
          </w:p>
        </w:tc>
      </w:tr>
      <w:tr>
        <w:trPr>
          <w:trHeight w:val="160"/>
        </w:trPr>
        <w:tc>
          <w:tcPr>
            <w:tcW w:w="8380" w:type="dxa"/>
            <w:vAlign w:val="bottom"/>
          </w:tcPr>
          <w:p>
            <w:pPr>
              <w:spacing w:after="0"/>
              <w:rPr>
                <w:sz w:val="20"/>
                <w:szCs w:val="20"/>
                <w:color w:val="auto"/>
              </w:rPr>
            </w:pPr>
            <w:r>
              <w:rPr>
                <w:rFonts w:ascii="Arial" w:cs="Arial" w:eastAsia="Arial" w:hAnsi="Arial"/>
                <w:sz w:val="11"/>
                <w:szCs w:val="11"/>
                <w:b w:val="1"/>
                <w:bCs w:val="1"/>
                <w:color w:val="auto"/>
              </w:rPr>
              <w:t>Total revenues</w:t>
            </w: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10,990</w:t>
            </w:r>
          </w:p>
        </w:tc>
        <w:tc>
          <w:tcPr>
            <w:tcW w:w="200" w:type="dxa"/>
            <w:vAlign w:val="bottom"/>
          </w:tcPr>
          <w:p>
            <w:pPr>
              <w:spacing w:after="0"/>
              <w:rPr>
                <w:sz w:val="13"/>
                <w:szCs w:val="13"/>
                <w:color w:val="auto"/>
              </w:rPr>
            </w:pPr>
          </w:p>
        </w:tc>
      </w:tr>
      <w:tr>
        <w:trPr>
          <w:trHeight w:val="347"/>
        </w:trPr>
        <w:tc>
          <w:tcPr>
            <w:tcW w:w="8380" w:type="dxa"/>
            <w:vAlign w:val="bottom"/>
          </w:tcPr>
          <w:p>
            <w:pPr>
              <w:spacing w:after="0"/>
              <w:rPr>
                <w:sz w:val="20"/>
                <w:szCs w:val="20"/>
                <w:color w:val="auto"/>
              </w:rPr>
            </w:pPr>
            <w:r>
              <w:rPr>
                <w:rFonts w:ascii="Arial" w:cs="Arial" w:eastAsia="Arial" w:hAnsi="Arial"/>
                <w:sz w:val="11"/>
                <w:szCs w:val="11"/>
                <w:b w:val="1"/>
                <w:bCs w:val="1"/>
                <w:color w:val="auto"/>
              </w:rPr>
              <w:t>Costs and expenses</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Property and casualty insurance claims and claims expense</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5,820</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Life contract benefits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497</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Interest credited to contractholder funds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162</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Amortization of deferred policy acquisition costs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1,364</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Operating costs and expenses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1,380</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Pension and other postretirement remeasurement gains and losses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Amortization of purchased intangible assets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15"/>
                <w:szCs w:val="15"/>
                <w:color w:val="auto"/>
              </w:rPr>
            </w:pPr>
          </w:p>
        </w:tc>
      </w:tr>
      <w:tr>
        <w:trPr>
          <w:trHeight w:val="180"/>
        </w:trPr>
        <w:tc>
          <w:tcPr>
            <w:tcW w:w="8380" w:type="dxa"/>
            <w:vAlign w:val="bottom"/>
          </w:tcPr>
          <w:p>
            <w:pPr>
              <w:spacing w:after="0"/>
              <w:rPr>
                <w:sz w:val="20"/>
                <w:szCs w:val="20"/>
                <w:color w:val="auto"/>
              </w:rPr>
            </w:pPr>
            <w:r>
              <w:rPr>
                <w:rFonts w:ascii="Arial" w:cs="Arial" w:eastAsia="Arial" w:hAnsi="Arial"/>
                <w:sz w:val="11"/>
                <w:szCs w:val="11"/>
                <w:color w:val="auto"/>
              </w:rPr>
              <w:t>Restructuring and related charges</w:t>
            </w:r>
          </w:p>
        </w:tc>
        <w:tc>
          <w:tcPr>
            <w:tcW w:w="560" w:type="dxa"/>
            <w:vAlign w:val="bottom"/>
          </w:tcPr>
          <w:p>
            <w:pPr>
              <w:spacing w:after="0"/>
              <w:rPr>
                <w:sz w:val="15"/>
                <w:szCs w:val="15"/>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18</w:t>
            </w:r>
          </w:p>
        </w:tc>
        <w:tc>
          <w:tcPr>
            <w:tcW w:w="200" w:type="dxa"/>
            <w:vAlign w:val="bottom"/>
          </w:tcPr>
          <w:p>
            <w:pPr>
              <w:spacing w:after="0"/>
              <w:rPr>
                <w:sz w:val="15"/>
                <w:szCs w:val="15"/>
                <w:color w:val="auto"/>
              </w:rPr>
            </w:pPr>
          </w:p>
        </w:tc>
      </w:tr>
      <w:tr>
        <w:trPr>
          <w:trHeight w:val="182"/>
        </w:trPr>
        <w:tc>
          <w:tcPr>
            <w:tcW w:w="8380" w:type="dxa"/>
            <w:vAlign w:val="bottom"/>
          </w:tcPr>
          <w:p>
            <w:pPr>
              <w:spacing w:after="0"/>
              <w:rPr>
                <w:sz w:val="20"/>
                <w:szCs w:val="20"/>
                <w:color w:val="auto"/>
              </w:rPr>
            </w:pPr>
            <w:r>
              <w:rPr>
                <w:rFonts w:ascii="Arial" w:cs="Arial" w:eastAsia="Arial" w:hAnsi="Arial"/>
                <w:sz w:val="11"/>
                <w:szCs w:val="11"/>
                <w:color w:val="auto"/>
              </w:rPr>
              <w:t>Interest expense</w:t>
            </w: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83</w:t>
            </w:r>
          </w:p>
        </w:tc>
        <w:tc>
          <w:tcPr>
            <w:tcW w:w="200" w:type="dxa"/>
            <w:vAlign w:val="bottom"/>
          </w:tcPr>
          <w:p>
            <w:pPr>
              <w:spacing w:after="0"/>
              <w:rPr>
                <w:sz w:val="15"/>
                <w:szCs w:val="15"/>
                <w:color w:val="auto"/>
              </w:rPr>
            </w:pPr>
          </w:p>
        </w:tc>
      </w:tr>
      <w:tr>
        <w:trPr>
          <w:trHeight w:val="165"/>
        </w:trPr>
        <w:tc>
          <w:tcPr>
            <w:tcW w:w="8380" w:type="dxa"/>
            <w:vAlign w:val="bottom"/>
          </w:tcPr>
          <w:p>
            <w:pPr>
              <w:spacing w:after="0"/>
              <w:rPr>
                <w:sz w:val="20"/>
                <w:szCs w:val="20"/>
                <w:color w:val="auto"/>
              </w:rPr>
            </w:pPr>
            <w:r>
              <w:rPr>
                <w:rFonts w:ascii="Arial" w:cs="Arial" w:eastAsia="Arial" w:hAnsi="Arial"/>
                <w:sz w:val="11"/>
                <w:szCs w:val="11"/>
                <w:b w:val="1"/>
                <w:bCs w:val="1"/>
                <w:color w:val="auto"/>
              </w:rPr>
              <w:t>Total costs and expenses</w:t>
            </w: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9,371</w:t>
            </w:r>
          </w:p>
        </w:tc>
        <w:tc>
          <w:tcPr>
            <w:tcW w:w="200" w:type="dxa"/>
            <w:vAlign w:val="bottom"/>
          </w:tcPr>
          <w:p>
            <w:pPr>
              <w:spacing w:after="0"/>
              <w:rPr>
                <w:sz w:val="14"/>
                <w:szCs w:val="14"/>
                <w:color w:val="auto"/>
              </w:rPr>
            </w:pPr>
          </w:p>
        </w:tc>
      </w:tr>
      <w:tr>
        <w:trPr>
          <w:trHeight w:val="282"/>
        </w:trPr>
        <w:tc>
          <w:tcPr>
            <w:tcW w:w="8380" w:type="dxa"/>
            <w:vAlign w:val="bottom"/>
          </w:tcPr>
          <w:p>
            <w:pPr>
              <w:ind w:left="20"/>
              <w:spacing w:after="0"/>
              <w:rPr>
                <w:sz w:val="20"/>
                <w:szCs w:val="20"/>
                <w:color w:val="auto"/>
              </w:rPr>
            </w:pPr>
            <w:r>
              <w:rPr>
                <w:rFonts w:ascii="Arial" w:cs="Arial" w:eastAsia="Arial" w:hAnsi="Arial"/>
                <w:sz w:val="11"/>
                <w:szCs w:val="11"/>
                <w:color w:val="auto"/>
              </w:rPr>
              <w:t>Gain on disposition of operations</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24"/>
                <w:szCs w:val="24"/>
                <w:color w:val="auto"/>
              </w:rPr>
            </w:pPr>
          </w:p>
        </w:tc>
      </w:tr>
      <w:tr>
        <w:trPr>
          <w:trHeight w:val="284"/>
        </w:trPr>
        <w:tc>
          <w:tcPr>
            <w:tcW w:w="8380" w:type="dxa"/>
            <w:vAlign w:val="bottom"/>
          </w:tcPr>
          <w:p>
            <w:pPr>
              <w:spacing w:after="0"/>
              <w:rPr>
                <w:sz w:val="20"/>
                <w:szCs w:val="20"/>
                <w:color w:val="auto"/>
              </w:rPr>
            </w:pPr>
            <w:r>
              <w:rPr>
                <w:rFonts w:ascii="Arial" w:cs="Arial" w:eastAsia="Arial" w:hAnsi="Arial"/>
                <w:sz w:val="11"/>
                <w:szCs w:val="11"/>
                <w:b w:val="1"/>
                <w:bCs w:val="1"/>
                <w:color w:val="auto"/>
              </w:rPr>
              <w:t>Income from operations before income tax expense</w:t>
            </w:r>
          </w:p>
        </w:tc>
        <w:tc>
          <w:tcPr>
            <w:tcW w:w="560" w:type="dxa"/>
            <w:vAlign w:val="bottom"/>
          </w:tcPr>
          <w:p>
            <w:pPr>
              <w:spacing w:after="0"/>
              <w:rPr>
                <w:sz w:val="24"/>
                <w:szCs w:val="24"/>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1,620</w:t>
            </w:r>
          </w:p>
        </w:tc>
        <w:tc>
          <w:tcPr>
            <w:tcW w:w="200" w:type="dxa"/>
            <w:vAlign w:val="bottom"/>
          </w:tcPr>
          <w:p>
            <w:pPr>
              <w:spacing w:after="0"/>
              <w:rPr>
                <w:sz w:val="24"/>
                <w:szCs w:val="24"/>
                <w:color w:val="auto"/>
              </w:rPr>
            </w:pPr>
          </w:p>
        </w:tc>
      </w:tr>
      <w:tr>
        <w:trPr>
          <w:trHeight w:val="299"/>
        </w:trPr>
        <w:tc>
          <w:tcPr>
            <w:tcW w:w="8380" w:type="dxa"/>
            <w:vAlign w:val="bottom"/>
          </w:tcPr>
          <w:p>
            <w:pPr>
              <w:ind w:left="20"/>
              <w:spacing w:after="0"/>
              <w:rPr>
                <w:sz w:val="20"/>
                <w:szCs w:val="20"/>
                <w:color w:val="auto"/>
              </w:rPr>
            </w:pPr>
            <w:r>
              <w:rPr>
                <w:rFonts w:ascii="Arial" w:cs="Arial" w:eastAsia="Arial" w:hAnsi="Arial"/>
                <w:sz w:val="11"/>
                <w:szCs w:val="11"/>
                <w:color w:val="auto"/>
              </w:rPr>
              <w:t>Income tax expense</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328</w:t>
            </w:r>
          </w:p>
        </w:tc>
        <w:tc>
          <w:tcPr>
            <w:tcW w:w="200" w:type="dxa"/>
            <w:vAlign w:val="bottom"/>
          </w:tcPr>
          <w:p>
            <w:pPr>
              <w:spacing w:after="0"/>
              <w:rPr>
                <w:sz w:val="24"/>
                <w:szCs w:val="24"/>
                <w:color w:val="auto"/>
              </w:rPr>
            </w:pPr>
          </w:p>
        </w:tc>
      </w:tr>
      <w:tr>
        <w:trPr>
          <w:trHeight w:val="291"/>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Net income</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1,292</w:t>
            </w:r>
          </w:p>
        </w:tc>
        <w:tc>
          <w:tcPr>
            <w:tcW w:w="200" w:type="dxa"/>
            <w:vAlign w:val="bottom"/>
          </w:tcPr>
          <w:p>
            <w:pPr>
              <w:spacing w:after="0"/>
              <w:rPr>
                <w:sz w:val="24"/>
                <w:szCs w:val="24"/>
                <w:color w:val="auto"/>
              </w:rPr>
            </w:pPr>
          </w:p>
        </w:tc>
      </w:tr>
      <w:tr>
        <w:trPr>
          <w:trHeight w:val="282"/>
        </w:trPr>
        <w:tc>
          <w:tcPr>
            <w:tcW w:w="8380" w:type="dxa"/>
            <w:vAlign w:val="bottom"/>
          </w:tcPr>
          <w:p>
            <w:pPr>
              <w:ind w:left="20"/>
              <w:spacing w:after="0"/>
              <w:rPr>
                <w:sz w:val="20"/>
                <w:szCs w:val="20"/>
                <w:color w:val="auto"/>
              </w:rPr>
            </w:pPr>
            <w:r>
              <w:rPr>
                <w:rFonts w:ascii="Arial" w:cs="Arial" w:eastAsia="Arial" w:hAnsi="Arial"/>
                <w:sz w:val="11"/>
                <w:szCs w:val="11"/>
                <w:color w:val="auto"/>
              </w:rPr>
              <w:t>Preferred stock dividends</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24"/>
                <w:szCs w:val="24"/>
                <w:color w:val="auto"/>
              </w:rPr>
            </w:pPr>
          </w:p>
        </w:tc>
      </w:tr>
      <w:tr>
        <w:trPr>
          <w:trHeight w:val="295"/>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Net income applicable to common shareholders</w:t>
            </w: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1,261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65"/>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Earnings per common share: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8"/>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Net income applicable to common shareholders per common share – Basic</w:t>
            </w: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3.79</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95"/>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Weighted average common shares – Basic</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332.6</w:t>
            </w:r>
          </w:p>
        </w:tc>
        <w:tc>
          <w:tcPr>
            <w:tcW w:w="200" w:type="dxa"/>
            <w:vAlign w:val="bottom"/>
          </w:tcPr>
          <w:p>
            <w:pPr>
              <w:spacing w:after="0"/>
              <w:rPr>
                <w:sz w:val="24"/>
                <w:szCs w:val="24"/>
                <w:color w:val="auto"/>
              </w:rPr>
            </w:pPr>
          </w:p>
        </w:tc>
      </w:tr>
      <w:tr>
        <w:trPr>
          <w:trHeight w:val="295"/>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Net income applicable to common shareholders per common share – Diluted</w:t>
            </w:r>
          </w:p>
        </w:tc>
        <w:tc>
          <w:tcPr>
            <w:tcW w:w="5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3.74</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95"/>
        </w:trPr>
        <w:tc>
          <w:tcPr>
            <w:tcW w:w="8380" w:type="dxa"/>
            <w:vAlign w:val="bottom"/>
          </w:tcPr>
          <w:p>
            <w:pPr>
              <w:ind w:left="20"/>
              <w:spacing w:after="0"/>
              <w:rPr>
                <w:sz w:val="20"/>
                <w:szCs w:val="20"/>
                <w:color w:val="auto"/>
              </w:rPr>
            </w:pPr>
            <w:r>
              <w:rPr>
                <w:rFonts w:ascii="Arial" w:cs="Arial" w:eastAsia="Arial" w:hAnsi="Arial"/>
                <w:sz w:val="11"/>
                <w:szCs w:val="11"/>
                <w:b w:val="1"/>
                <w:bCs w:val="1"/>
                <w:color w:val="auto"/>
              </w:rPr>
              <w:t>Weighted average common shares – Diluted</w:t>
            </w: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337.5</w:t>
            </w: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0"/>
          <w:szCs w:val="10"/>
          <w:color w:val="auto"/>
        </w:rPr>
        <w:t>8,286</w:t>
      </w:r>
    </w:p>
    <w:p>
      <w:pPr>
        <w:spacing w:after="0" w:line="6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616</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216</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786</w:t>
      </w: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10160</wp:posOffset>
            </wp:positionV>
            <wp:extent cx="9378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0"/>
          <w:szCs w:val="10"/>
          <w:color w:val="auto"/>
        </w:rPr>
        <w:t>9,770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23495</wp:posOffset>
            </wp:positionV>
            <wp:extent cx="9378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ind w:right="40"/>
        <w:spacing w:after="0"/>
        <w:rPr>
          <w:sz w:val="20"/>
          <w:szCs w:val="20"/>
          <w:color w:val="auto"/>
        </w:rPr>
      </w:pPr>
      <w:r>
        <w:rPr>
          <w:rFonts w:ascii="Arial" w:cs="Arial" w:eastAsia="Arial" w:hAnsi="Arial"/>
          <w:sz w:val="10"/>
          <w:szCs w:val="10"/>
          <w:color w:val="auto"/>
        </w:rPr>
        <w:t>5,129</w:t>
      </w:r>
    </w:p>
    <w:p>
      <w:pPr>
        <w:spacing w:after="0" w:line="6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504</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161</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0"/>
          <w:szCs w:val="10"/>
          <w:color w:val="auto"/>
        </w:rPr>
        <w:t>1,273</w:t>
      </w:r>
    </w:p>
    <w:p>
      <w:pPr>
        <w:spacing w:after="0" w:line="65" w:lineRule="exact"/>
        <w:rPr>
          <w:sz w:val="20"/>
          <w:szCs w:val="20"/>
          <w:color w:val="auto"/>
        </w:rPr>
      </w:pPr>
    </w:p>
    <w:p>
      <w:pPr>
        <w:jc w:val="right"/>
        <w:ind w:right="40"/>
        <w:spacing w:after="0"/>
        <w:rPr>
          <w:sz w:val="20"/>
          <w:szCs w:val="20"/>
          <w:color w:val="auto"/>
        </w:rPr>
      </w:pPr>
      <w:r>
        <w:rPr>
          <w:rFonts w:ascii="Arial" w:cs="Arial" w:eastAsia="Arial" w:hAnsi="Arial"/>
          <w:sz w:val="10"/>
          <w:szCs w:val="10"/>
          <w:color w:val="auto"/>
        </w:rPr>
        <w:t>1,303</w:t>
      </w:r>
    </w:p>
    <w:p>
      <w:pPr>
        <w:spacing w:after="0" w:line="6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14</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22</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19</w:t>
      </w:r>
    </w:p>
    <w:p>
      <w:pPr>
        <w:spacing w:after="0" w:line="54"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0"/>
          <w:szCs w:val="10"/>
          <w:color w:val="auto"/>
        </w:rPr>
        <w:t>8,508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23495</wp:posOffset>
            </wp:positionV>
            <wp:extent cx="9378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10160</wp:posOffset>
            </wp:positionV>
            <wp:extent cx="9378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1"/>
          <w:szCs w:val="11"/>
          <w:color w:val="auto"/>
        </w:rPr>
        <w:t>1,263</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1"/>
          <w:szCs w:val="11"/>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60" w:lineRule="exact"/>
        <w:rPr>
          <w:sz w:val="20"/>
          <w:szCs w:val="20"/>
          <w:color w:val="auto"/>
        </w:rPr>
      </w:pPr>
    </w:p>
    <w:p>
      <w:pPr>
        <w:ind w:left="140"/>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1"/>
          <w:szCs w:val="11"/>
          <w:color w:val="auto"/>
        </w:rPr>
        <w:t>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7895" cy="571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27305</wp:posOffset>
            </wp:positionV>
            <wp:extent cx="9378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1"/>
          <w:szCs w:val="11"/>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10160</wp:posOffset>
            </wp:positionV>
            <wp:extent cx="9378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7895" cy="571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21590</wp:posOffset>
            </wp:positionV>
            <wp:extent cx="9378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1"/>
          <w:szCs w:val="11"/>
          <w:color w:val="auto"/>
        </w:rPr>
        <w:t>354.1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10160</wp:posOffset>
            </wp:positionV>
            <wp:extent cx="9378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7895" cy="571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21590</wp:posOffset>
            </wp:positionV>
            <wp:extent cx="9378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1"/>
          <w:szCs w:val="11"/>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10160</wp:posOffset>
            </wp:positionV>
            <wp:extent cx="93789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7895" cy="571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21590</wp:posOffset>
            </wp:positionV>
            <wp:extent cx="9378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color w:val="auto"/>
        </w:rPr>
        <w:t>359.9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15875</wp:posOffset>
            </wp:positionV>
            <wp:extent cx="9378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7895" cy="5715"/>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27305</wp:posOffset>
            </wp:positionV>
            <wp:extent cx="9378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7895" cy="571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10380" w:space="720"/>
            <w:col w:w="300"/>
          </w:cols>
          <w:pgMar w:left="220" w:top="395" w:right="279" w:bottom="1440" w:gutter="0" w:footer="0" w:header="0"/>
          <w:type w:val="continuous"/>
        </w:sectPr>
      </w:pP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400"/>
          </w:cols>
          <w:pgMar w:left="220" w:top="395" w:right="2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0"/>
          <w:szCs w:val="10"/>
          <w:b w:val="1"/>
          <w:bCs w:val="1"/>
          <w:color w:val="auto"/>
        </w:rPr>
        <w:t>Definitions of Non-GAAP Measures</w:t>
      </w:r>
    </w:p>
    <w:p>
      <w:pPr>
        <w:spacing w:after="0" w:line="5" w:lineRule="exact"/>
        <w:rPr>
          <w:sz w:val="20"/>
          <w:szCs w:val="20"/>
          <w:color w:val="auto"/>
        </w:rPr>
      </w:pPr>
    </w:p>
    <w:p>
      <w:pPr>
        <w:ind w:right="280"/>
        <w:spacing w:after="0" w:line="232" w:lineRule="auto"/>
        <w:rPr>
          <w:sz w:val="20"/>
          <w:szCs w:val="20"/>
          <w:color w:val="auto"/>
        </w:rPr>
      </w:pPr>
      <w:r>
        <w:rPr>
          <w:rFonts w:ascii="Arial" w:cs="Arial" w:eastAsia="Arial" w:hAnsi="Arial"/>
          <w:sz w:val="10"/>
          <w:szCs w:val="10"/>
          <w:color w:val="auto"/>
        </w:rPr>
        <w:t>We believe that investors’ understanding of Allstate’s performance is enhanced by our disclosure of the following non-GAAP measures. Our methods for calculating these measures may differ from those used by other companies and therefore comparability may be limited.</w:t>
      </w:r>
    </w:p>
    <w:p>
      <w:pPr>
        <w:spacing w:after="0" w:line="7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Adjusted net income </w:t>
      </w:r>
      <w:r>
        <w:rPr>
          <w:rFonts w:ascii="Arial" w:cs="Arial" w:eastAsia="Arial" w:hAnsi="Arial"/>
          <w:sz w:val="10"/>
          <w:szCs w:val="10"/>
          <w:color w:val="auto"/>
        </w:rPr>
        <w:t>is net income applicable to common shareholders, excluding:</w:t>
      </w:r>
    </w:p>
    <w:p>
      <w:pPr>
        <w:spacing w:after="0" w:line="16" w:lineRule="exact"/>
        <w:rPr>
          <w:sz w:val="20"/>
          <w:szCs w:val="20"/>
          <w:color w:val="auto"/>
        </w:rPr>
      </w:pPr>
    </w:p>
    <w:p>
      <w:pPr>
        <w:ind w:left="160" w:hanging="114"/>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realized capital gains and losses, after-tax, except for periodic settlements and accruals on non-hedge derivative instruments, which are reported with realized capital gains and losses but included in adjusted net income,</w:t>
      </w:r>
    </w:p>
    <w:p>
      <w:pPr>
        <w:ind w:left="160" w:hanging="114"/>
        <w:spacing w:after="0" w:line="225" w:lineRule="auto"/>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Pension and other postretirement remeasurement gains and losses, after-tax,</w:t>
      </w:r>
    </w:p>
    <w:p>
      <w:pPr>
        <w:ind w:left="160" w:hanging="114"/>
        <w:spacing w:after="0" w:line="225" w:lineRule="auto"/>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valuation changes on embedded derivatives not hedged, after-tax,</w:t>
      </w:r>
    </w:p>
    <w:p>
      <w:pPr>
        <w:ind w:left="160" w:hanging="114"/>
        <w:spacing w:after="0"/>
        <w:tabs>
          <w:tab w:leader="none" w:pos="160" w:val="left"/>
        </w:tabs>
        <w:numPr>
          <w:ilvl w:val="0"/>
          <w:numId w:val="10"/>
        </w:numPr>
        <w:rPr>
          <w:rFonts w:ascii="Arial" w:cs="Arial" w:eastAsia="Arial" w:hAnsi="Arial"/>
          <w:sz w:val="8"/>
          <w:szCs w:val="8"/>
          <w:color w:val="auto"/>
        </w:rPr>
      </w:pPr>
      <w:r>
        <w:rPr>
          <w:rFonts w:ascii="Arial" w:cs="Arial" w:eastAsia="Arial" w:hAnsi="Arial"/>
          <w:sz w:val="8"/>
          <w:szCs w:val="8"/>
          <w:color w:val="auto"/>
        </w:rPr>
        <w:t>amortization of deferred policy acquisition costs (“DAC”) and deferred sales inducements (“DSI”), to the extent they resulted from the recognition of certain realized capital gains and losses or valuation changes on embedded derivatives not hedged, after-tax,</w:t>
      </w:r>
    </w:p>
    <w:p>
      <w:pPr>
        <w:spacing w:after="0" w:line="16" w:lineRule="exact"/>
        <w:rPr>
          <w:rFonts w:ascii="Arial" w:cs="Arial" w:eastAsia="Arial" w:hAnsi="Arial"/>
          <w:sz w:val="8"/>
          <w:szCs w:val="8"/>
          <w:color w:val="auto"/>
        </w:rPr>
      </w:pPr>
    </w:p>
    <w:p>
      <w:pPr>
        <w:ind w:left="160" w:hanging="114"/>
        <w:spacing w:after="0" w:line="225" w:lineRule="auto"/>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business combination expenses and the amortization of purchased intangible assets, after-tax,</w:t>
      </w:r>
    </w:p>
    <w:p>
      <w:pPr>
        <w:ind w:left="160" w:hanging="114"/>
        <w:spacing w:after="0" w:line="225" w:lineRule="auto"/>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gain (loss) on disposition of operations, after-tax, and</w:t>
      </w:r>
    </w:p>
    <w:p>
      <w:pPr>
        <w:ind w:left="160" w:hanging="114"/>
        <w:spacing w:after="0"/>
        <w:tabs>
          <w:tab w:leader="none" w:pos="1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adjustments for other significant non-recurring, infrequent or unusual items, when (a) the nature of the charge or gain is such that it is reasonably unlikely to recur within two years, or (b) there has been no similar charge or gain within the prior two years.</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Net income applicable to common shareholders is the GAAP measure that is most directly comparable to adjusted net income.</w:t>
      </w:r>
    </w:p>
    <w:p>
      <w:pPr>
        <w:spacing w:after="0" w:line="65" w:lineRule="exact"/>
        <w:rPr>
          <w:sz w:val="20"/>
          <w:szCs w:val="20"/>
          <w:color w:val="auto"/>
        </w:rPr>
      </w:pPr>
    </w:p>
    <w:p>
      <w:pPr>
        <w:ind w:right="20"/>
        <w:spacing w:after="0" w:line="286" w:lineRule="auto"/>
        <w:rPr>
          <w:sz w:val="20"/>
          <w:szCs w:val="20"/>
          <w:color w:val="auto"/>
        </w:rPr>
      </w:pPr>
      <w:r>
        <w:rPr>
          <w:rFonts w:ascii="Arial" w:cs="Arial" w:eastAsia="Arial" w:hAnsi="Arial"/>
          <w:sz w:val="8"/>
          <w:szCs w:val="8"/>
          <w:color w:val="auto"/>
        </w:rPr>
        <w:t>We use adjusted net income as an important measure to evaluate our results of operations. We believe that the measure provides investors with a valuable measure of the company’s ongoing performance because it reveals trends in our insurance and financial services business that may be obscured by the net effect of realized capital gains and losses, pension and other postretirement remeasurement gains and losses, valuation changes on embedded derivatives not hedged, business combination expenses and the amortization of purchased intangible assets, gain (loss) on disposition of operations and adjustments for other significant non-recurring, infrequent or unusual items. Realized capital gains and losses, pension and other postretirement remeasurement gains and losses, valuation changes on embedded derivatives not hedged and gain (loss) on disposition of operations may vary significantly between periods and are generally driven by business decisions and external economic developments such as capital market conditions, the timing of which is unrelated to the insurance underwriting process. Consistent with our intent to protect results or earn additional income, adjusted net income includes periodic settlements and accruals on certain derivative instruments that are reported in realized capital gains and losses because they do not qualify for hedge accounting or are not designated as hedges for accounting purposes. These instruments are used for economic hedges and to replicate fixed income securities, and by including them in adjusted net income, we are appropriately reflecting their trends in our performance and in a manner consistent with the economically hedged investments, product attributes (e.g. net investment income and interest credited to contractholder funds) or replicated investments. Business combination expenses are excluded because they are non-recurring in nature and the amortization of purchased intangible assets is excluded because it relates to the acquisition purchase price and is not indicative of our underlying business results or trends. Non-recurring items are excluded because, by their nature, they are not indicative of our business or economic trends. Accordingly, adjusted net income excludes the effect of items that tend to be highly variable from period to period and highlights the results from ongoing operations and the underlying profitability of our business. A byproduct of excluding these items to determine adjusted net income is the transparency and understanding of their significance to net income variability and profitability while recognizing these or similar items may recur in subsequent periods. Adjusted net income is used by management along with the other components of net income applicable to common shareholders to assess our performance. We use adjusted measures of adjusted net income in incentive compensation. Therefore, we believe it is useful for investors to evaluate net income applicable to common shareholders, adjusted net income and their components separately and in the aggregate when reviewing and evaluating our performance. We note that investors, financial analysts, financial and business media organizations and rating agencies utilize adjusted net income results in their evaluation of our and our industry’s financial performance and in their investment decisions, recommendations and communications as it represents a reliable, representative and consistent measurement of the industry and the company and management’s performance. We note that the price to earnings multiple commonly used by insurance investors as a forward-looking valuation technique uses adjusted net income as the denominator. Adjusted net income should not be considered a substitute for net income applicable to common shareholders and does not reflect the overall profitability of our business.</w:t>
      </w:r>
    </w:p>
    <w:p>
      <w:pPr>
        <w:spacing w:after="0" w:line="268" w:lineRule="exact"/>
        <w:rPr>
          <w:sz w:val="20"/>
          <w:szCs w:val="20"/>
          <w:color w:val="auto"/>
        </w:rPr>
      </w:pPr>
    </w:p>
    <w:p>
      <w:pPr>
        <w:ind w:right="140"/>
        <w:spacing w:after="0" w:line="232" w:lineRule="auto"/>
        <w:rPr>
          <w:sz w:val="20"/>
          <w:szCs w:val="20"/>
          <w:color w:val="auto"/>
        </w:rPr>
      </w:pPr>
      <w:r>
        <w:rPr>
          <w:rFonts w:ascii="Arial" w:cs="Arial" w:eastAsia="Arial" w:hAnsi="Arial"/>
          <w:sz w:val="10"/>
          <w:szCs w:val="10"/>
          <w:color w:val="auto"/>
        </w:rPr>
        <w:t>The following tables reconcile net income applicable to common shareholders and adjusted net income. Taxes on adjustments to reconcile net income applicable to common shareholders and adjusted net income generally use a 21% effective tax rate and are reported net of income taxes as the reconciling adjustment.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200" w:type="dxa"/>
            <w:vAlign w:val="bottom"/>
          </w:tcPr>
          <w:p>
            <w:pPr>
              <w:ind w:left="20"/>
              <w:spacing w:after="0"/>
              <w:rPr>
                <w:sz w:val="20"/>
                <w:szCs w:val="20"/>
                <w:color w:val="auto"/>
              </w:rPr>
            </w:pPr>
            <w:r>
              <w:rPr>
                <w:rFonts w:ascii="Arial" w:cs="Arial" w:eastAsia="Arial" w:hAnsi="Arial"/>
                <w:sz w:val="10"/>
                <w:szCs w:val="10"/>
                <w:b w:val="1"/>
                <w:bCs w:val="1"/>
                <w:color w:val="auto"/>
              </w:rPr>
              <w:t>($ in millions, except per share data)</w:t>
            </w: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Consolidated</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0"/>
                <w:szCs w:val="10"/>
                <w:b w:val="1"/>
                <w:bCs w:val="1"/>
                <w:color w:val="auto"/>
              </w:rPr>
              <w:t>Per diluted common share</w:t>
            </w:r>
          </w:p>
        </w:tc>
        <w:tc>
          <w:tcPr>
            <w:tcW w:w="0" w:type="dxa"/>
            <w:vAlign w:val="bottom"/>
          </w:tcPr>
          <w:p>
            <w:pPr>
              <w:spacing w:after="0"/>
              <w:rPr>
                <w:sz w:val="1"/>
                <w:szCs w:val="1"/>
                <w:color w:val="auto"/>
              </w:rPr>
            </w:pPr>
          </w:p>
        </w:tc>
      </w:tr>
      <w:tr>
        <w:trPr>
          <w:trHeight w:val="165"/>
        </w:trPr>
        <w:tc>
          <w:tcPr>
            <w:tcW w:w="6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2018</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60"/>
        </w:trPr>
        <w:tc>
          <w:tcPr>
            <w:tcW w:w="6200" w:type="dxa"/>
            <w:vAlign w:val="bottom"/>
          </w:tcPr>
          <w:p>
            <w:pPr>
              <w:spacing w:after="0"/>
              <w:rPr>
                <w:sz w:val="20"/>
                <w:szCs w:val="20"/>
                <w:color w:val="auto"/>
              </w:rPr>
            </w:pPr>
            <w:r>
              <w:rPr>
                <w:rFonts w:ascii="Arial" w:cs="Arial" w:eastAsia="Arial" w:hAnsi="Arial"/>
                <w:sz w:val="10"/>
                <w:szCs w:val="10"/>
                <w:b w:val="1"/>
                <w:bCs w:val="1"/>
                <w:color w:val="auto"/>
              </w:rPr>
              <w:t>Net income applicable to common shareholders</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1,261</w:t>
            </w:r>
          </w:p>
        </w:tc>
        <w:tc>
          <w:tcPr>
            <w:tcW w:w="24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977</w:t>
            </w:r>
          </w:p>
        </w:tc>
        <w:tc>
          <w:tcPr>
            <w:tcW w:w="220" w:type="dxa"/>
            <w:vAlign w:val="bottom"/>
          </w:tcPr>
          <w:p>
            <w:pPr>
              <w:spacing w:after="0"/>
              <w:rPr>
                <w:sz w:val="13"/>
                <w:szCs w:val="13"/>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3.74</w:t>
            </w:r>
          </w:p>
        </w:tc>
        <w:tc>
          <w:tcPr>
            <w:tcW w:w="220" w:type="dxa"/>
            <w:vAlign w:val="bottom"/>
          </w:tcPr>
          <w:p>
            <w:pPr>
              <w:spacing w:after="0"/>
              <w:rPr>
                <w:sz w:val="13"/>
                <w:szCs w:val="13"/>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2.71</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0"/>
                <w:szCs w:val="10"/>
                <w:color w:val="auto"/>
              </w:rPr>
              <w:t>Realized capital gains and losses, after-tax</w:t>
            </w:r>
          </w:p>
        </w:tc>
        <w:tc>
          <w:tcPr>
            <w:tcW w:w="2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(524)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106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(1.55)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0.29</w:t>
            </w:r>
          </w:p>
        </w:tc>
        <w:tc>
          <w:tcPr>
            <w:tcW w:w="0" w:type="dxa"/>
            <w:vAlign w:val="bottom"/>
          </w:tcPr>
          <w:p>
            <w:pPr>
              <w:spacing w:after="0"/>
              <w:rPr>
                <w:sz w:val="1"/>
                <w:szCs w:val="1"/>
                <w:color w:val="auto"/>
              </w:rPr>
            </w:pPr>
          </w:p>
        </w:tc>
      </w:tr>
      <w:tr>
        <w:trPr>
          <w:trHeight w:val="144"/>
        </w:trPr>
        <w:tc>
          <w:tcPr>
            <w:tcW w:w="6200" w:type="dxa"/>
            <w:vAlign w:val="bottom"/>
          </w:tcPr>
          <w:p>
            <w:pPr>
              <w:ind w:left="20"/>
              <w:spacing w:after="0"/>
              <w:rPr>
                <w:sz w:val="20"/>
                <w:szCs w:val="20"/>
                <w:color w:val="auto"/>
              </w:rPr>
            </w:pPr>
            <w:r>
              <w:rPr>
                <w:rFonts w:ascii="Arial" w:cs="Arial" w:eastAsia="Arial" w:hAnsi="Arial"/>
                <w:sz w:val="10"/>
                <w:szCs w:val="10"/>
                <w:color w:val="auto"/>
              </w:rPr>
              <w:t>Pension and other postretirement remeasurement gains and losses, after-tax</w:t>
            </w:r>
          </w:p>
        </w:tc>
        <w:tc>
          <w:tcPr>
            <w:tcW w:w="28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11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restart"/>
          </w:tcPr>
          <w:p>
            <w:pPr>
              <w:jc w:val="right"/>
              <w:ind w:right="72"/>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0.03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72"/>
              <w:spacing w:after="0"/>
              <w:rPr>
                <w:sz w:val="20"/>
                <w:szCs w:val="20"/>
                <w:color w:val="auto"/>
              </w:rPr>
            </w:pPr>
            <w:r>
              <w:rPr>
                <w:rFonts w:ascii="Arial" w:cs="Arial" w:eastAsia="Arial" w:hAnsi="Arial"/>
                <w:sz w:val="10"/>
                <w:szCs w:val="10"/>
                <w:color w:val="auto"/>
              </w:rPr>
              <w:t>0.03</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0"/>
                <w:szCs w:val="10"/>
                <w:color w:val="auto"/>
              </w:rPr>
              <w:t>Valuation changes on embedded derivatives not hedged, after-tax</w:t>
            </w: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0"/>
                <w:szCs w:val="10"/>
                <w:color w:val="auto"/>
              </w:rPr>
              <w:t>(4)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0.01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(0.01)</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0"/>
                <w:szCs w:val="10"/>
                <w:color w:val="auto"/>
                <w:w w:val="98"/>
              </w:rPr>
              <w:t>DAC and DSI amortization relating to realized capital gains and losses and valuation changes on embedded derivatives not hedged, after-tax</w:t>
            </w: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0.01</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0"/>
                <w:szCs w:val="10"/>
                <w:color w:val="auto"/>
              </w:rPr>
              <w:t>Reclassification of periodic settlements and accruals on non-hedge derivative instruments, after-tax</w:t>
            </w:r>
          </w:p>
        </w:tc>
        <w:tc>
          <w:tcPr>
            <w:tcW w:w="2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0"/>
                <w:szCs w:val="10"/>
                <w:color w:val="auto"/>
              </w:rPr>
              <w:t>Business combination expenses and the amortization of purchased intangible assets, after-tax</w:t>
            </w:r>
          </w:p>
        </w:tc>
        <w:tc>
          <w:tcPr>
            <w:tcW w:w="28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0.07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0.05</w:t>
            </w:r>
          </w:p>
        </w:tc>
        <w:tc>
          <w:tcPr>
            <w:tcW w:w="0" w:type="dxa"/>
            <w:vAlign w:val="bottom"/>
          </w:tcPr>
          <w:p>
            <w:pPr>
              <w:spacing w:after="0"/>
              <w:rPr>
                <w:sz w:val="1"/>
                <w:szCs w:val="1"/>
                <w:color w:val="auto"/>
              </w:rPr>
            </w:pPr>
          </w:p>
        </w:tc>
      </w:tr>
      <w:tr>
        <w:trPr>
          <w:trHeight w:val="180"/>
        </w:trPr>
        <w:tc>
          <w:tcPr>
            <w:tcW w:w="6200" w:type="dxa"/>
            <w:vAlign w:val="bottom"/>
          </w:tcPr>
          <w:p>
            <w:pPr>
              <w:ind w:left="20"/>
              <w:spacing w:after="0"/>
              <w:rPr>
                <w:sz w:val="20"/>
                <w:szCs w:val="20"/>
                <w:color w:val="auto"/>
              </w:rPr>
            </w:pPr>
            <w:r>
              <w:rPr>
                <w:rFonts w:ascii="Arial" w:cs="Arial" w:eastAsia="Arial" w:hAnsi="Arial"/>
                <w:sz w:val="10"/>
                <w:szCs w:val="10"/>
                <w:color w:val="auto"/>
              </w:rPr>
              <w:t>Gain on disposition of operations, after-tax</w:t>
            </w:r>
          </w:p>
        </w:tc>
        <w:tc>
          <w:tcPr>
            <w:tcW w:w="280" w:type="dxa"/>
            <w:vAlign w:val="bottom"/>
          </w:tcPr>
          <w:p>
            <w:pPr>
              <w:spacing w:after="0"/>
              <w:rPr>
                <w:sz w:val="15"/>
                <w:szCs w:val="15"/>
                <w:color w:val="auto"/>
              </w:rPr>
            </w:pPr>
          </w:p>
        </w:tc>
        <w:tc>
          <w:tcPr>
            <w:tcW w:w="88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20"/>
                <w:szCs w:val="20"/>
                <w:color w:val="auto"/>
              </w:rPr>
            </w:pPr>
            <w:r>
              <w:rPr>
                <w:rFonts w:ascii="Arial" w:cs="Arial" w:eastAsia="Arial" w:hAnsi="Arial"/>
                <w:sz w:val="10"/>
                <w:szCs w:val="10"/>
                <w:b w:val="1"/>
                <w:bCs w:val="1"/>
                <w:color w:val="auto"/>
              </w:rPr>
              <w:t>Adjusted net income*</w:t>
            </w: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776</w:t>
            </w:r>
          </w:p>
        </w:tc>
        <w:tc>
          <w:tcPr>
            <w:tcW w:w="2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1,108</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2.30</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293" w:right="199" w:bottom="1440" w:gutter="0" w:footer="0" w:header="0"/>
        </w:sectPr>
      </w:pPr>
    </w:p>
    <w:bookmarkStart w:id="11" w:name="page12"/>
    <w:bookmarkEnd w:id="11"/>
    <w:p>
      <w:pPr>
        <w:spacing w:after="0" w:line="228" w:lineRule="auto"/>
        <w:rPr>
          <w:sz w:val="20"/>
          <w:szCs w:val="20"/>
          <w:color w:val="auto"/>
        </w:rPr>
      </w:pPr>
      <w:r>
        <w:rPr>
          <w:rFonts w:ascii="Arial" w:cs="Arial" w:eastAsia="Arial" w:hAnsi="Arial"/>
          <w:sz w:val="10"/>
          <w:szCs w:val="10"/>
          <w:b w:val="1"/>
          <w:bCs w:val="1"/>
          <w:color w:val="auto"/>
        </w:rPr>
        <w:t xml:space="preserve">Adjusted net income return on common shareholders’ equity </w:t>
      </w:r>
      <w:r>
        <w:rPr>
          <w:rFonts w:ascii="Arial" w:cs="Arial" w:eastAsia="Arial" w:hAnsi="Arial"/>
          <w:sz w:val="10"/>
          <w:szCs w:val="10"/>
          <w:color w:val="auto"/>
        </w:rPr>
        <w:t>is a ratio that uses a non-GAAP measure. It is calculated by dividing the rolling 12-month adjusted net income by the average of common shareholders’ equity at the beginning and at the end of the 12-months, after excluding the effect of unrealized net capital gains and losses. Return on common shareholders’ equity is the most directly comparable GAAP measure. We use adjusted net income as the numerator for the same reasons we use adjusted net income, as discussed above. We use average common shareholders’ equity excluding the effect of unrealized net capital gains and losses for the denominator as a representation of common shareholders’ equity primarily attributable to the company’s earned and realized business operations because it eliminates the effect of items that are unrealized and vary significantly between periods due to external economic developments such as capital market conditions like changes in equity prices and interest rates, the amount and timing of which are unrelated to the insurance underwriting process. We use it to supplement our evaluation of net income applicable to common shareholders and return on common shareholders’ equity because it excludes the effect of items that tend to be highly variable from period to period. We believe that this measure is useful to investors and that it provides a valuable tool for investors when considered along with return on common shareholders’ equity because it eliminates the after-tax effects of realized and unrealized net capital gains and losses that can fluctuate significantly from period to period and that are driven by economic developments, the magnitude and timing of which are generally not influenced by management. In addition, it eliminates non-recurring items that are not indicative of our ongoing business or economic trends. A byproduct of excluding the items noted above to determine adjusted net income return on common shareholders’ equity from return on common shareholders’ equity is the transparency and understanding of their significance to return on common shareholders’ equity variability and profitability while recognizing these or similar items may recur in subsequent periods. We use adjusted measures of adjusted net income return on common shareholders’ equity in incentive compensation. Therefore, we believe it is useful for investors to have adjusted net income return on common shareholders’ equity and return on common shareholders’ equity when evaluating our performance. We note that investors, financial analysts, financial and business media organizations and rating agencies utilize adjusted net income return on common shareholders’ equity results in their evaluation of our and our industry’s financial performance and in their investment decisions, recommendations and communications as it represents a reliable, representative and consistent measurement of the industry and the company and management’s utilization of capital. Adjusted net income return on common shareholders’ equity should not be considered a substitute for return on common shareholders’ equity and does not reflect the overall profitability of our business.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20" w:type="dxa"/>
            <w:vAlign w:val="bottom"/>
          </w:tcPr>
          <w:p>
            <w:pPr>
              <w:spacing w:after="0"/>
              <w:rPr>
                <w:sz w:val="20"/>
                <w:szCs w:val="20"/>
                <w:color w:val="auto"/>
              </w:rPr>
            </w:pPr>
            <w:r>
              <w:rPr>
                <w:rFonts w:ascii="Arial" w:cs="Arial" w:eastAsia="Arial" w:hAnsi="Arial"/>
                <w:sz w:val="10"/>
                <w:szCs w:val="10"/>
                <w:color w:val="auto"/>
              </w:rPr>
              <w:t>The following tables reconcile return on common shareholders’ equity and adjusted net income return on common shareholders’ equity.</w:t>
            </w: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20"/>
        </w:trPr>
        <w:tc>
          <w:tcPr>
            <w:tcW w:w="7020" w:type="dxa"/>
            <w:vAlign w:val="bottom"/>
          </w:tcPr>
          <w:p>
            <w:pPr>
              <w:ind w:left="1640"/>
              <w:spacing w:after="0"/>
              <w:rPr>
                <w:sz w:val="20"/>
                <w:szCs w:val="20"/>
                <w:color w:val="auto"/>
              </w:rPr>
            </w:pPr>
            <w:r>
              <w:rPr>
                <w:rFonts w:ascii="Arial" w:cs="Arial" w:eastAsia="Arial" w:hAnsi="Arial"/>
                <w:sz w:val="10"/>
                <w:szCs w:val="10"/>
                <w:b w:val="1"/>
                <w:bCs w:val="1"/>
                <w:color w:val="auto"/>
              </w:rPr>
              <w:t>($ in millions)</w:t>
            </w: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0"/>
                <w:szCs w:val="10"/>
                <w:b w:val="1"/>
                <w:bCs w:val="1"/>
                <w:color w:val="auto"/>
              </w:rPr>
              <w:t>For the twelve months ended March 31,</w:t>
            </w:r>
          </w:p>
        </w:tc>
      </w:tr>
      <w:tr>
        <w:trPr>
          <w:trHeight w:val="165"/>
        </w:trPr>
        <w:tc>
          <w:tcPr>
            <w:tcW w:w="7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2018</w:t>
            </w:r>
          </w:p>
        </w:tc>
      </w:tr>
      <w:tr>
        <w:trPr>
          <w:trHeight w:val="169"/>
        </w:trPr>
        <w:tc>
          <w:tcPr>
            <w:tcW w:w="7020" w:type="dxa"/>
            <w:vAlign w:val="bottom"/>
          </w:tcPr>
          <w:p>
            <w:pPr>
              <w:ind w:left="1640"/>
              <w:spacing w:after="0"/>
              <w:rPr>
                <w:sz w:val="20"/>
                <w:szCs w:val="20"/>
                <w:color w:val="auto"/>
              </w:rPr>
            </w:pPr>
            <w:r>
              <w:rPr>
                <w:rFonts w:ascii="Arial" w:cs="Arial" w:eastAsia="Arial" w:hAnsi="Arial"/>
                <w:sz w:val="10"/>
                <w:szCs w:val="10"/>
                <w:b w:val="1"/>
                <w:bCs w:val="1"/>
                <w:color w:val="auto"/>
              </w:rPr>
              <w:t>Return on common shareholders’ equity</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7020" w:type="dxa"/>
            <w:vAlign w:val="bottom"/>
          </w:tcPr>
          <w:p>
            <w:pPr>
              <w:ind w:left="1640"/>
              <w:spacing w:after="0"/>
              <w:rPr>
                <w:sz w:val="20"/>
                <w:szCs w:val="20"/>
                <w:color w:val="auto"/>
              </w:rPr>
            </w:pPr>
            <w:r>
              <w:rPr>
                <w:rFonts w:ascii="Arial" w:cs="Arial" w:eastAsia="Arial" w:hAnsi="Arial"/>
                <w:sz w:val="10"/>
                <w:szCs w:val="10"/>
                <w:color w:val="auto"/>
              </w:rPr>
              <w:t>Numerator:</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7020" w:type="dxa"/>
            <w:vAlign w:val="bottom"/>
          </w:tcPr>
          <w:p>
            <w:pPr>
              <w:ind w:left="1800"/>
              <w:spacing w:after="0"/>
              <w:rPr>
                <w:sz w:val="20"/>
                <w:szCs w:val="20"/>
                <w:color w:val="auto"/>
              </w:rPr>
            </w:pPr>
            <w:r>
              <w:rPr>
                <w:rFonts w:ascii="Arial" w:cs="Arial" w:eastAsia="Arial" w:hAnsi="Arial"/>
                <w:sz w:val="10"/>
                <w:szCs w:val="10"/>
                <w:color w:val="auto"/>
              </w:rPr>
              <w:t>Net income applicable to common shareholders</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2,296</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3,630</w:t>
            </w:r>
          </w:p>
        </w:tc>
      </w:tr>
      <w:tr>
        <w:trPr>
          <w:trHeight w:val="172"/>
        </w:trPr>
        <w:tc>
          <w:tcPr>
            <w:tcW w:w="7020" w:type="dxa"/>
            <w:vAlign w:val="bottom"/>
          </w:tcPr>
          <w:p>
            <w:pPr>
              <w:ind w:left="1640"/>
              <w:spacing w:after="0"/>
              <w:rPr>
                <w:sz w:val="20"/>
                <w:szCs w:val="20"/>
                <w:color w:val="auto"/>
              </w:rPr>
            </w:pPr>
            <w:r>
              <w:rPr>
                <w:rFonts w:ascii="Arial" w:cs="Arial" w:eastAsia="Arial" w:hAnsi="Arial"/>
                <w:sz w:val="10"/>
                <w:szCs w:val="10"/>
                <w:color w:val="auto"/>
              </w:rPr>
              <w:t>Denominator: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7020" w:type="dxa"/>
            <w:vAlign w:val="bottom"/>
          </w:tcPr>
          <w:p>
            <w:pPr>
              <w:ind w:left="1800"/>
              <w:spacing w:after="0"/>
              <w:rPr>
                <w:sz w:val="20"/>
                <w:szCs w:val="20"/>
                <w:color w:val="auto"/>
              </w:rPr>
            </w:pPr>
            <w:r>
              <w:rPr>
                <w:rFonts w:ascii="Arial" w:cs="Arial" w:eastAsia="Arial" w:hAnsi="Arial"/>
                <w:sz w:val="10"/>
                <w:szCs w:val="10"/>
                <w:color w:val="auto"/>
              </w:rPr>
              <w:t xml:space="preserve">Beginning common shareholders’ equity </w:t>
            </w:r>
            <w:r>
              <w:rPr>
                <w:rFonts w:ascii="Arial" w:cs="Arial" w:eastAsia="Arial" w:hAnsi="Arial"/>
                <w:sz w:val="11"/>
                <w:szCs w:val="11"/>
                <w:color w:val="auto"/>
                <w:vertAlign w:val="superscript"/>
              </w:rPr>
              <w:t>(1)</w:t>
            </w: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20,970</w:t>
            </w:r>
          </w:p>
        </w:tc>
        <w:tc>
          <w:tcPr>
            <w:tcW w:w="16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19,495</w:t>
            </w:r>
          </w:p>
        </w:tc>
      </w:tr>
      <w:tr>
        <w:trPr>
          <w:trHeight w:val="180"/>
        </w:trPr>
        <w:tc>
          <w:tcPr>
            <w:tcW w:w="7020" w:type="dxa"/>
            <w:vAlign w:val="bottom"/>
          </w:tcPr>
          <w:p>
            <w:pPr>
              <w:ind w:left="1800"/>
              <w:spacing w:after="0"/>
              <w:rPr>
                <w:sz w:val="20"/>
                <w:szCs w:val="20"/>
                <w:color w:val="auto"/>
              </w:rPr>
            </w:pPr>
            <w:r>
              <w:rPr>
                <w:rFonts w:ascii="Arial" w:cs="Arial" w:eastAsia="Arial" w:hAnsi="Arial"/>
                <w:sz w:val="10"/>
                <w:szCs w:val="10"/>
                <w:color w:val="auto"/>
              </w:rPr>
              <w:t xml:space="preserve">Ending common shareholders’ equity </w:t>
            </w:r>
            <w:r>
              <w:rPr>
                <w:rFonts w:ascii="Arial" w:cs="Arial" w:eastAsia="Arial" w:hAnsi="Arial"/>
                <w:sz w:val="11"/>
                <w:szCs w:val="11"/>
                <w:color w:val="auto"/>
                <w:vertAlign w:val="superscript"/>
              </w:rPr>
              <w:t>(1)</w:t>
            </w:r>
          </w:p>
        </w:tc>
        <w:tc>
          <w:tcPr>
            <w:tcW w:w="30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21,488</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20,970</w:t>
            </w:r>
          </w:p>
        </w:tc>
      </w:tr>
      <w:tr>
        <w:trPr>
          <w:trHeight w:val="151"/>
        </w:trPr>
        <w:tc>
          <w:tcPr>
            <w:tcW w:w="7020" w:type="dxa"/>
            <w:vAlign w:val="bottom"/>
          </w:tcPr>
          <w:p>
            <w:pPr>
              <w:ind w:left="1800"/>
              <w:spacing w:after="0"/>
              <w:rPr>
                <w:sz w:val="20"/>
                <w:szCs w:val="20"/>
                <w:color w:val="auto"/>
              </w:rPr>
            </w:pPr>
            <w:r>
              <w:rPr>
                <w:rFonts w:ascii="Arial" w:cs="Arial" w:eastAsia="Arial" w:hAnsi="Arial"/>
                <w:sz w:val="10"/>
                <w:szCs w:val="10"/>
                <w:color w:val="auto"/>
              </w:rPr>
              <w:t>Average common shareholders’ equity</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21,229</w:t>
            </w:r>
          </w:p>
        </w:tc>
        <w:tc>
          <w:tcPr>
            <w:tcW w:w="160" w:type="dxa"/>
            <w:vAlign w:val="bottom"/>
          </w:tcPr>
          <w:p>
            <w:pPr>
              <w:spacing w:after="0"/>
              <w:rPr>
                <w:sz w:val="13"/>
                <w:szCs w:val="13"/>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20,233</w:t>
            </w:r>
          </w:p>
        </w:tc>
      </w:tr>
      <w:tr>
        <w:trPr>
          <w:trHeight w:val="160"/>
        </w:trPr>
        <w:tc>
          <w:tcPr>
            <w:tcW w:w="7020" w:type="dxa"/>
            <w:vAlign w:val="bottom"/>
          </w:tcPr>
          <w:p>
            <w:pPr>
              <w:ind w:left="1640"/>
              <w:spacing w:after="0"/>
              <w:rPr>
                <w:sz w:val="20"/>
                <w:szCs w:val="20"/>
                <w:color w:val="auto"/>
              </w:rPr>
            </w:pPr>
            <w:r>
              <w:rPr>
                <w:rFonts w:ascii="Arial" w:cs="Arial" w:eastAsia="Arial" w:hAnsi="Arial"/>
                <w:sz w:val="10"/>
                <w:szCs w:val="10"/>
                <w:color w:val="auto"/>
              </w:rPr>
              <w:t>Return on common shareholders’ equity</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w:t>
            </w:r>
          </w:p>
        </w:tc>
      </w:tr>
    </w:tbl>
    <w:p>
      <w:pPr>
        <w:spacing w:after="0" w:line="99" w:lineRule="exact"/>
        <w:rPr>
          <w:sz w:val="20"/>
          <w:szCs w:val="20"/>
          <w:color w:val="auto"/>
        </w:rPr>
      </w:pPr>
    </w:p>
    <w:tbl>
      <w:tblPr>
        <w:tblLayout w:type="fixed"/>
        <w:tblInd w:w="1640" w:type="dxa"/>
        <w:tblCellMar>
          <w:top w:w="0" w:type="dxa"/>
          <w:left w:w="0" w:type="dxa"/>
          <w:bottom w:w="0" w:type="dxa"/>
          <w:right w:w="0" w:type="dxa"/>
        </w:tblCellMar>
      </w:tblPr>
      <w:tr>
        <w:trPr>
          <w:trHeight w:val="131"/>
        </w:trPr>
        <w:tc>
          <w:tcPr>
            <w:tcW w:w="5380" w:type="dxa"/>
            <w:vAlign w:val="bottom"/>
          </w:tcPr>
          <w:p>
            <w:pPr>
              <w:spacing w:after="0"/>
              <w:rPr>
                <w:sz w:val="20"/>
                <w:szCs w:val="20"/>
                <w:color w:val="auto"/>
              </w:rPr>
            </w:pPr>
            <w:r>
              <w:rPr>
                <w:rFonts w:ascii="Arial" w:cs="Arial" w:eastAsia="Arial" w:hAnsi="Arial"/>
                <w:sz w:val="10"/>
                <w:szCs w:val="10"/>
                <w:b w:val="1"/>
                <w:bCs w:val="1"/>
                <w:color w:val="auto"/>
              </w:rPr>
              <w:t>($ in millions)</w:t>
            </w:r>
          </w:p>
        </w:tc>
        <w:tc>
          <w:tcPr>
            <w:tcW w:w="3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0"/>
                <w:szCs w:val="10"/>
                <w:b w:val="1"/>
                <w:bCs w:val="1"/>
                <w:color w:val="auto"/>
              </w:rPr>
              <w:t>For the twelve months ended March 31,</w:t>
            </w:r>
          </w:p>
        </w:tc>
      </w:tr>
      <w:tr>
        <w:trPr>
          <w:trHeight w:val="165"/>
        </w:trPr>
        <w:tc>
          <w:tcPr>
            <w:tcW w:w="5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2019</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2018</w:t>
            </w:r>
          </w:p>
        </w:tc>
      </w:tr>
      <w:tr>
        <w:trPr>
          <w:trHeight w:val="169"/>
        </w:trPr>
        <w:tc>
          <w:tcPr>
            <w:tcW w:w="5380" w:type="dxa"/>
            <w:vAlign w:val="bottom"/>
          </w:tcPr>
          <w:p>
            <w:pPr>
              <w:spacing w:after="0"/>
              <w:rPr>
                <w:sz w:val="20"/>
                <w:szCs w:val="20"/>
                <w:color w:val="auto"/>
              </w:rPr>
            </w:pPr>
            <w:r>
              <w:rPr>
                <w:rFonts w:ascii="Arial" w:cs="Arial" w:eastAsia="Arial" w:hAnsi="Arial"/>
                <w:sz w:val="10"/>
                <w:szCs w:val="10"/>
                <w:b w:val="1"/>
                <w:bCs w:val="1"/>
                <w:color w:val="auto"/>
              </w:rPr>
              <w:t>Adjusted net income return on common shareholders’ equity</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5380" w:type="dxa"/>
            <w:vAlign w:val="bottom"/>
          </w:tcPr>
          <w:p>
            <w:pPr>
              <w:spacing w:after="0"/>
              <w:rPr>
                <w:sz w:val="20"/>
                <w:szCs w:val="20"/>
                <w:color w:val="auto"/>
              </w:rPr>
            </w:pPr>
            <w:r>
              <w:rPr>
                <w:rFonts w:ascii="Arial" w:cs="Arial" w:eastAsia="Arial" w:hAnsi="Arial"/>
                <w:sz w:val="10"/>
                <w:szCs w:val="10"/>
                <w:color w:val="auto"/>
              </w:rPr>
              <w:t>Numerator:</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5380" w:type="dxa"/>
            <w:vAlign w:val="bottom"/>
          </w:tcPr>
          <w:p>
            <w:pPr>
              <w:ind w:left="160"/>
              <w:spacing w:after="0"/>
              <w:rPr>
                <w:sz w:val="20"/>
                <w:szCs w:val="20"/>
                <w:color w:val="auto"/>
              </w:rPr>
            </w:pPr>
            <w:r>
              <w:rPr>
                <w:rFonts w:ascii="Arial" w:cs="Arial" w:eastAsia="Arial" w:hAnsi="Arial"/>
                <w:sz w:val="10"/>
                <w:szCs w:val="10"/>
                <w:color w:val="auto"/>
              </w:rPr>
              <w:t>Adjusted net income *</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2,797</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3,157</w:t>
            </w:r>
          </w:p>
        </w:tc>
      </w:tr>
      <w:tr>
        <w:trPr>
          <w:trHeight w:val="361"/>
        </w:trPr>
        <w:tc>
          <w:tcPr>
            <w:tcW w:w="5380" w:type="dxa"/>
            <w:vAlign w:val="bottom"/>
          </w:tcPr>
          <w:p>
            <w:pPr>
              <w:spacing w:after="0"/>
              <w:rPr>
                <w:sz w:val="20"/>
                <w:szCs w:val="20"/>
                <w:color w:val="auto"/>
              </w:rPr>
            </w:pPr>
            <w:r>
              <w:rPr>
                <w:rFonts w:ascii="Arial" w:cs="Arial" w:eastAsia="Arial" w:hAnsi="Arial"/>
                <w:sz w:val="10"/>
                <w:szCs w:val="10"/>
                <w:color w:val="auto"/>
              </w:rPr>
              <w:t>Denominator:</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5380" w:type="dxa"/>
            <w:vAlign w:val="bottom"/>
          </w:tcPr>
          <w:p>
            <w:pPr>
              <w:ind w:left="160"/>
              <w:spacing w:after="0"/>
              <w:rPr>
                <w:sz w:val="20"/>
                <w:szCs w:val="20"/>
                <w:color w:val="auto"/>
              </w:rPr>
            </w:pPr>
            <w:r>
              <w:rPr>
                <w:rFonts w:ascii="Arial" w:cs="Arial" w:eastAsia="Arial" w:hAnsi="Arial"/>
                <w:sz w:val="10"/>
                <w:szCs w:val="10"/>
                <w:color w:val="auto"/>
              </w:rPr>
              <w:t xml:space="preserve">Beginning common shareholders’ equity </w:t>
            </w:r>
            <w:r>
              <w:rPr>
                <w:rFonts w:ascii="Arial" w:cs="Arial" w:eastAsia="Arial" w:hAnsi="Arial"/>
                <w:sz w:val="11"/>
                <w:szCs w:val="11"/>
                <w:color w:val="auto"/>
                <w:vertAlign w:val="superscript"/>
              </w:rPr>
              <w:t>(1)</w:t>
            </w:r>
          </w:p>
        </w:tc>
        <w:tc>
          <w:tcPr>
            <w:tcW w:w="3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20,970</w:t>
            </w:r>
          </w:p>
        </w:tc>
        <w:tc>
          <w:tcPr>
            <w:tcW w:w="160" w:type="dxa"/>
            <w:vAlign w:val="bottom"/>
          </w:tcPr>
          <w:p>
            <w:pPr>
              <w:spacing w:after="0"/>
              <w:rPr>
                <w:sz w:val="18"/>
                <w:szCs w:val="18"/>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19,495</w:t>
            </w:r>
          </w:p>
        </w:tc>
      </w:tr>
      <w:tr>
        <w:trPr>
          <w:trHeight w:val="149"/>
        </w:trPr>
        <w:tc>
          <w:tcPr>
            <w:tcW w:w="5380" w:type="dxa"/>
            <w:vAlign w:val="bottom"/>
          </w:tcPr>
          <w:p>
            <w:pPr>
              <w:ind w:left="160"/>
              <w:spacing w:after="0"/>
              <w:rPr>
                <w:sz w:val="20"/>
                <w:szCs w:val="20"/>
                <w:color w:val="auto"/>
              </w:rPr>
            </w:pPr>
            <w:r>
              <w:rPr>
                <w:rFonts w:ascii="Arial" w:cs="Arial" w:eastAsia="Arial" w:hAnsi="Arial"/>
                <w:sz w:val="10"/>
                <w:szCs w:val="10"/>
                <w:color w:val="auto"/>
              </w:rPr>
              <w:t>Less: Unrealized net capital gains and losses</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187</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1,256</w:t>
            </w:r>
          </w:p>
        </w:tc>
      </w:tr>
      <w:tr>
        <w:trPr>
          <w:trHeight w:val="156"/>
        </w:trPr>
        <w:tc>
          <w:tcPr>
            <w:tcW w:w="5380" w:type="dxa"/>
            <w:vAlign w:val="bottom"/>
          </w:tcPr>
          <w:p>
            <w:pPr>
              <w:ind w:left="160"/>
              <w:spacing w:after="0"/>
              <w:rPr>
                <w:sz w:val="20"/>
                <w:szCs w:val="20"/>
                <w:color w:val="auto"/>
              </w:rPr>
            </w:pPr>
            <w:r>
              <w:rPr>
                <w:rFonts w:ascii="Arial" w:cs="Arial" w:eastAsia="Arial" w:hAnsi="Arial"/>
                <w:sz w:val="10"/>
                <w:szCs w:val="10"/>
                <w:color w:val="auto"/>
              </w:rPr>
              <w:t>Adjusted beginning common shareholders’ equity</w:t>
            </w:r>
          </w:p>
        </w:tc>
        <w:tc>
          <w:tcPr>
            <w:tcW w:w="300" w:type="dxa"/>
            <w:vAlign w:val="bottom"/>
          </w:tcPr>
          <w:p>
            <w:pPr>
              <w:spacing w:after="0"/>
              <w:rPr>
                <w:sz w:val="13"/>
                <w:szCs w:val="13"/>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20,783</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18,239</w:t>
            </w:r>
          </w:p>
        </w:tc>
      </w:tr>
      <w:tr>
        <w:trPr>
          <w:trHeight w:val="405"/>
        </w:trPr>
        <w:tc>
          <w:tcPr>
            <w:tcW w:w="5380" w:type="dxa"/>
            <w:vAlign w:val="bottom"/>
          </w:tcPr>
          <w:p>
            <w:pPr>
              <w:ind w:left="160"/>
              <w:spacing w:after="0"/>
              <w:rPr>
                <w:sz w:val="20"/>
                <w:szCs w:val="20"/>
                <w:color w:val="auto"/>
              </w:rPr>
            </w:pPr>
            <w:r>
              <w:rPr>
                <w:rFonts w:ascii="Arial" w:cs="Arial" w:eastAsia="Arial" w:hAnsi="Arial"/>
                <w:sz w:val="10"/>
                <w:szCs w:val="10"/>
                <w:color w:val="auto"/>
              </w:rPr>
              <w:t xml:space="preserve">Ending common shareholders’ equity </w:t>
            </w:r>
            <w:r>
              <w:rPr>
                <w:rFonts w:ascii="Arial" w:cs="Arial" w:eastAsia="Arial" w:hAnsi="Arial"/>
                <w:sz w:val="11"/>
                <w:szCs w:val="11"/>
                <w:color w:val="auto"/>
                <w:vertAlign w:val="superscript"/>
              </w:rPr>
              <w:t>(1)</w:t>
            </w:r>
          </w:p>
        </w:tc>
        <w:tc>
          <w:tcPr>
            <w:tcW w:w="30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21,488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20,970</w:t>
            </w:r>
          </w:p>
        </w:tc>
      </w:tr>
      <w:tr>
        <w:trPr>
          <w:trHeight w:val="149"/>
        </w:trPr>
        <w:tc>
          <w:tcPr>
            <w:tcW w:w="5380" w:type="dxa"/>
            <w:vAlign w:val="bottom"/>
          </w:tcPr>
          <w:p>
            <w:pPr>
              <w:ind w:left="160"/>
              <w:spacing w:after="0"/>
              <w:rPr>
                <w:sz w:val="20"/>
                <w:szCs w:val="20"/>
                <w:color w:val="auto"/>
              </w:rPr>
            </w:pPr>
            <w:r>
              <w:rPr>
                <w:rFonts w:ascii="Arial" w:cs="Arial" w:eastAsia="Arial" w:hAnsi="Arial"/>
                <w:sz w:val="10"/>
                <w:szCs w:val="10"/>
                <w:color w:val="auto"/>
              </w:rPr>
              <w:t>Less: Unrealized net capital gains and losses</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972</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187</w:t>
            </w:r>
          </w:p>
        </w:tc>
      </w:tr>
      <w:tr>
        <w:trPr>
          <w:trHeight w:val="156"/>
        </w:trPr>
        <w:tc>
          <w:tcPr>
            <w:tcW w:w="5380" w:type="dxa"/>
            <w:vAlign w:val="bottom"/>
          </w:tcPr>
          <w:p>
            <w:pPr>
              <w:ind w:left="160"/>
              <w:spacing w:after="0"/>
              <w:rPr>
                <w:sz w:val="20"/>
                <w:szCs w:val="20"/>
                <w:color w:val="auto"/>
              </w:rPr>
            </w:pPr>
            <w:r>
              <w:rPr>
                <w:rFonts w:ascii="Arial" w:cs="Arial" w:eastAsia="Arial" w:hAnsi="Arial"/>
                <w:sz w:val="10"/>
                <w:szCs w:val="10"/>
                <w:color w:val="auto"/>
              </w:rPr>
              <w:t>Adjusted ending common shareholders’ equity</w:t>
            </w:r>
          </w:p>
        </w:tc>
        <w:tc>
          <w:tcPr>
            <w:tcW w:w="300" w:type="dxa"/>
            <w:vAlign w:val="bottom"/>
          </w:tcPr>
          <w:p>
            <w:pPr>
              <w:spacing w:after="0"/>
              <w:rPr>
                <w:sz w:val="13"/>
                <w:szCs w:val="13"/>
                <w:color w:val="auto"/>
              </w:rPr>
            </w:pP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20,516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20,783</w:t>
            </w:r>
          </w:p>
        </w:tc>
      </w:tr>
      <w:tr>
        <w:trPr>
          <w:trHeight w:val="186"/>
        </w:trPr>
        <w:tc>
          <w:tcPr>
            <w:tcW w:w="5380" w:type="dxa"/>
            <w:vAlign w:val="bottom"/>
          </w:tcPr>
          <w:p>
            <w:pPr>
              <w:ind w:left="160"/>
              <w:spacing w:after="0"/>
              <w:rPr>
                <w:sz w:val="20"/>
                <w:szCs w:val="20"/>
                <w:color w:val="auto"/>
              </w:rPr>
            </w:pPr>
            <w:r>
              <w:rPr>
                <w:rFonts w:ascii="Arial" w:cs="Arial" w:eastAsia="Arial" w:hAnsi="Arial"/>
                <w:sz w:val="10"/>
                <w:szCs w:val="10"/>
                <w:color w:val="auto"/>
              </w:rPr>
              <w:t>Average adjusted common shareholders’ equity</w:t>
            </w:r>
          </w:p>
        </w:tc>
        <w:tc>
          <w:tcPr>
            <w:tcW w:w="30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20,650</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19,511</w:t>
            </w:r>
          </w:p>
        </w:tc>
      </w:tr>
      <w:tr>
        <w:trPr>
          <w:trHeight w:val="160"/>
        </w:trPr>
        <w:tc>
          <w:tcPr>
            <w:tcW w:w="5380" w:type="dxa"/>
            <w:vAlign w:val="bottom"/>
          </w:tcPr>
          <w:p>
            <w:pPr>
              <w:spacing w:after="0"/>
              <w:rPr>
                <w:sz w:val="20"/>
                <w:szCs w:val="20"/>
                <w:color w:val="auto"/>
              </w:rPr>
            </w:pPr>
            <w:r>
              <w:rPr>
                <w:rFonts w:ascii="Arial" w:cs="Arial" w:eastAsia="Arial" w:hAnsi="Arial"/>
                <w:sz w:val="10"/>
                <w:szCs w:val="10"/>
                <w:color w:val="auto"/>
              </w:rPr>
              <w:t>Adjusted net income return on common shareholders’ equity *</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w:t>
            </w:r>
          </w:p>
        </w:tc>
      </w:tr>
    </w:tbl>
    <w:p>
      <w:pPr>
        <w:spacing w:after="0" w:line="3" w:lineRule="exact"/>
        <w:rPr>
          <w:sz w:val="20"/>
          <w:szCs w:val="20"/>
          <w:color w:val="auto"/>
        </w:rPr>
      </w:pPr>
    </w:p>
    <w:p>
      <w:pPr>
        <w:ind w:left="840"/>
        <w:spacing w:after="0"/>
        <w:rPr>
          <w:sz w:val="20"/>
          <w:szCs w:val="20"/>
          <w:color w:val="auto"/>
        </w:rPr>
      </w:pPr>
      <w:r>
        <w:rPr>
          <w:rFonts w:ascii="Arial" w:cs="Arial" w:eastAsia="Arial" w:hAnsi="Arial"/>
          <w:sz w:val="10"/>
          <w:szCs w:val="10"/>
          <w:color w:val="auto"/>
        </w:rPr>
        <w:t>_____________</w:t>
      </w:r>
    </w:p>
    <w:p>
      <w:pPr>
        <w:spacing w:after="0" w:line="6" w:lineRule="exact"/>
        <w:rPr>
          <w:sz w:val="20"/>
          <w:szCs w:val="20"/>
          <w:color w:val="auto"/>
        </w:rPr>
      </w:pPr>
    </w:p>
    <w:p>
      <w:pPr>
        <w:ind w:left="960" w:hanging="103"/>
        <w:spacing w:after="0"/>
        <w:tabs>
          <w:tab w:leader="none" w:pos="960" w:val="left"/>
        </w:tabs>
        <w:numPr>
          <w:ilvl w:val="0"/>
          <w:numId w:val="11"/>
        </w:numPr>
        <w:rPr>
          <w:rFonts w:ascii="Arial" w:cs="Arial" w:eastAsia="Arial" w:hAnsi="Arial"/>
          <w:sz w:val="12"/>
          <w:szCs w:val="12"/>
          <w:color w:val="auto"/>
          <w:vertAlign w:val="superscript"/>
        </w:rPr>
      </w:pPr>
      <w:r>
        <w:rPr>
          <w:rFonts w:ascii="Arial" w:cs="Arial" w:eastAsia="Arial" w:hAnsi="Arial"/>
          <w:sz w:val="10"/>
          <w:szCs w:val="10"/>
          <w:color w:val="auto"/>
        </w:rPr>
        <w:t>Excludes equity related to preferred stock of $1,930 million as of March 31, 2019, $2,303 million as of March 31, 2018 and $1,746 million as of March 31, 2017.</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0"/>
          </w:cols>
          <w:pgMar w:left="220" w:top="365" w:right="219" w:bottom="1440" w:gutter="0" w:footer="0" w:header="0"/>
        </w:sectPr>
      </w:pPr>
    </w:p>
    <w:bookmarkStart w:id="12" w:name="page13"/>
    <w:bookmarkEnd w:id="12"/>
    <w:p>
      <w:pPr>
        <w:spacing w:after="0" w:line="231" w:lineRule="auto"/>
        <w:rPr>
          <w:sz w:val="20"/>
          <w:szCs w:val="20"/>
          <w:color w:val="auto"/>
        </w:rPr>
      </w:pPr>
      <w:r>
        <w:rPr>
          <w:rFonts w:ascii="Arial" w:cs="Arial" w:eastAsia="Arial" w:hAnsi="Arial"/>
          <w:sz w:val="10"/>
          <w:szCs w:val="10"/>
          <w:b w:val="1"/>
          <w:bCs w:val="1"/>
          <w:color w:val="auto"/>
        </w:rPr>
        <w:t xml:space="preserve">Combined ratio excluding the effect of catastrophes, prior year reserve reestimates and amortization of purchased intangible assets (“underlying combined ratio”) </w:t>
      </w:r>
      <w:r>
        <w:rPr>
          <w:rFonts w:ascii="Arial" w:cs="Arial" w:eastAsia="Arial" w:hAnsi="Arial"/>
          <w:sz w:val="10"/>
          <w:szCs w:val="10"/>
          <w:color w:val="auto"/>
        </w:rPr>
        <w:t>is a non-GAAP ratio, which is computed as the difference between four GAAP operating ratios:</w:t>
      </w:r>
      <w:r>
        <w:rPr>
          <w:rFonts w:ascii="Arial" w:cs="Arial" w:eastAsia="Arial" w:hAnsi="Arial"/>
          <w:sz w:val="10"/>
          <w:szCs w:val="10"/>
          <w:b w:val="1"/>
          <w:bCs w:val="1"/>
          <w:color w:val="auto"/>
        </w:rPr>
        <w:t xml:space="preserve"> </w:t>
      </w:r>
      <w:r>
        <w:rPr>
          <w:rFonts w:ascii="Arial" w:cs="Arial" w:eastAsia="Arial" w:hAnsi="Arial"/>
          <w:sz w:val="10"/>
          <w:szCs w:val="10"/>
          <w:color w:val="auto"/>
        </w:rPr>
        <w:t>the combined ratio, the effect of catastrophes on the combined ratio, the effect of prior year non-catastrophe reserve reestimates on the combined ratio, and the effect of amortization of purchased intangible assets on the combined ratio. We believe that this ratio is useful to investors and it is used by management to reveal the trends in our Property-Liability business that may be obscured by catastrophe losses, prior year reserve reestimates and amortization of purchased intangible assets. Catastrophe losses cause our loss trends to vary significantly between periods as a result of their incidence of occurrence and magnitude, and can have a significant impact on the combined ratio. Prior year reserve reestimates are caused by unexpected loss development on historical reserves, which could increase or decrease current year net income. Amortization of purchased intangible assets relates to the acquisition purchase price and is not indicative of our underlying insurance business results or trends. We believe it is useful for investors to evaluate these components separately and in the aggregate when reviewing our underwriting performance. We also provide it to facilitate a comparison to our outlook on the underlying combined ratio. The most directly comparable GAAP measure is the combined ratio. The underlying combined ratio should not be considered a substitute for the combined ratio and does not reflect the overall underwriting profitability of our business.</w:t>
      </w:r>
    </w:p>
    <w:p>
      <w:pPr>
        <w:sectPr>
          <w:pgSz w:w="11900" w:h="16838" w:orient="portrait"/>
          <w:cols w:equalWidth="0" w:num="1">
            <w:col w:w="11480"/>
          </w:cols>
          <w:pgMar w:left="220" w:top="293" w:right="19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8"/>
          <w:szCs w:val="8"/>
          <w:color w:val="auto"/>
        </w:rPr>
        <w:t>The following tables reconcile the respective combined ratio to the underlying combined ratio. Underwriting margin is calculated as 100% minus the combined ratio.</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1"/>
          <w:szCs w:val="11"/>
          <w:b w:val="1"/>
          <w:bCs w:val="1"/>
          <w:u w:val="single" w:color="auto"/>
          <w:color w:val="auto"/>
        </w:rPr>
        <w:t>Property-Liability</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Combined ratio</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0"/>
          <w:szCs w:val="10"/>
          <w:color w:val="auto"/>
        </w:rPr>
        <w:t>Effect of catastrophe losses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0"/>
          <w:szCs w:val="10"/>
          <w:color w:val="auto"/>
        </w:rPr>
        <w:t>Effect of prior year non-catastrophe reserve reestimates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0"/>
          <w:szCs w:val="10"/>
          <w:color w:val="auto"/>
        </w:rPr>
        <w:t>Effect of amortization of purchased intangible assets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Underlying combined ratio*</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0"/>
          <w:szCs w:val="10"/>
          <w:color w:val="auto"/>
        </w:rPr>
        <w:t>Effect of prior year catastrophe reserve reestimates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1"/>
          <w:szCs w:val="11"/>
          <w:b w:val="1"/>
          <w:bCs w:val="1"/>
          <w:u w:val="single" w:color="auto"/>
          <w:color w:val="auto"/>
        </w:rPr>
        <w:t>Allstate brand - Total</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18815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1505" cy="57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38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11"/>
                <w:szCs w:val="11"/>
                <w:color w:val="auto"/>
              </w:rPr>
            </w:pPr>
          </w:p>
        </w:tc>
      </w:tr>
      <w:tr>
        <w:trPr>
          <w:trHeight w:val="156"/>
        </w:trPr>
        <w:tc>
          <w:tcPr>
            <w:tcW w:w="1380" w:type="dxa"/>
            <w:vAlign w:val="bottom"/>
            <w:gridSpan w:val="2"/>
          </w:tcPr>
          <w:p>
            <w:pPr>
              <w:jc w:val="right"/>
              <w:ind w:right="72"/>
              <w:spacing w:after="0"/>
              <w:rPr>
                <w:sz w:val="20"/>
                <w:szCs w:val="20"/>
                <w:color w:val="auto"/>
              </w:rPr>
            </w:pPr>
            <w:r>
              <w:rPr>
                <w:rFonts w:ascii="Arial" w:cs="Arial" w:eastAsia="Arial" w:hAnsi="Arial"/>
                <w:sz w:val="10"/>
                <w:szCs w:val="10"/>
                <w:color w:val="auto"/>
              </w:rPr>
              <w:t>91.8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52"/>
              <w:spacing w:after="0"/>
              <w:rPr>
                <w:sz w:val="20"/>
                <w:szCs w:val="20"/>
                <w:color w:val="auto"/>
              </w:rPr>
            </w:pPr>
            <w:r>
              <w:rPr>
                <w:rFonts w:ascii="Arial" w:cs="Arial" w:eastAsia="Arial" w:hAnsi="Arial"/>
                <w:sz w:val="10"/>
                <w:szCs w:val="10"/>
                <w:color w:val="auto"/>
              </w:rPr>
              <w:t>87.5</w:t>
            </w:r>
          </w:p>
        </w:tc>
        <w:tc>
          <w:tcPr>
            <w:tcW w:w="40" w:type="dxa"/>
            <w:vAlign w:val="bottom"/>
          </w:tcPr>
          <w:p>
            <w:pPr>
              <w:spacing w:after="0"/>
              <w:rPr>
                <w:sz w:val="13"/>
                <w:szCs w:val="13"/>
                <w:color w:val="auto"/>
              </w:rPr>
            </w:pPr>
          </w:p>
        </w:tc>
      </w:tr>
      <w:tr>
        <w:trPr>
          <w:trHeight w:val="180"/>
        </w:trPr>
        <w:tc>
          <w:tcPr>
            <w:tcW w:w="1380" w:type="dxa"/>
            <w:vAlign w:val="bottom"/>
            <w:gridSpan w:val="2"/>
          </w:tcPr>
          <w:p>
            <w:pPr>
              <w:jc w:val="right"/>
              <w:ind w:right="52"/>
              <w:spacing w:after="0"/>
              <w:rPr>
                <w:sz w:val="20"/>
                <w:szCs w:val="20"/>
                <w:color w:val="auto"/>
              </w:rPr>
            </w:pPr>
            <w:r>
              <w:rPr>
                <w:rFonts w:ascii="Arial" w:cs="Arial" w:eastAsia="Arial" w:hAnsi="Arial"/>
                <w:sz w:val="10"/>
                <w:szCs w:val="10"/>
                <w:color w:val="auto"/>
              </w:rPr>
              <w:t>(8.0)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32"/>
              <w:spacing w:after="0"/>
              <w:rPr>
                <w:sz w:val="20"/>
                <w:szCs w:val="20"/>
                <w:color w:val="auto"/>
              </w:rPr>
            </w:pPr>
            <w:r>
              <w:rPr>
                <w:rFonts w:ascii="Arial" w:cs="Arial" w:eastAsia="Arial" w:hAnsi="Arial"/>
                <w:sz w:val="10"/>
                <w:szCs w:val="10"/>
                <w:color w:val="auto"/>
              </w:rPr>
              <w:t>(4.5)</w:t>
            </w:r>
          </w:p>
        </w:tc>
        <w:tc>
          <w:tcPr>
            <w:tcW w:w="40" w:type="dxa"/>
            <w:vAlign w:val="bottom"/>
          </w:tcPr>
          <w:p>
            <w:pPr>
              <w:spacing w:after="0"/>
              <w:rPr>
                <w:sz w:val="15"/>
                <w:szCs w:val="15"/>
                <w:color w:val="auto"/>
              </w:rPr>
            </w:pPr>
          </w:p>
        </w:tc>
      </w:tr>
      <w:tr>
        <w:trPr>
          <w:trHeight w:val="180"/>
        </w:trPr>
        <w:tc>
          <w:tcPr>
            <w:tcW w:w="1380" w:type="dxa"/>
            <w:vAlign w:val="bottom"/>
            <w:gridSpan w:val="2"/>
          </w:tcPr>
          <w:p>
            <w:pPr>
              <w:jc w:val="right"/>
              <w:ind w:right="72"/>
              <w:spacing w:after="0"/>
              <w:rPr>
                <w:sz w:val="20"/>
                <w:szCs w:val="20"/>
                <w:color w:val="auto"/>
              </w:rPr>
            </w:pPr>
            <w:r>
              <w:rPr>
                <w:rFonts w:ascii="Arial" w:cs="Arial" w:eastAsia="Arial" w:hAnsi="Arial"/>
                <w:sz w:val="10"/>
                <w:szCs w:val="10"/>
                <w:color w:val="auto"/>
              </w:rPr>
              <w:t>0.4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52"/>
              <w:spacing w:after="0"/>
              <w:rPr>
                <w:sz w:val="20"/>
                <w:szCs w:val="20"/>
                <w:color w:val="auto"/>
              </w:rPr>
            </w:pPr>
            <w:r>
              <w:rPr>
                <w:rFonts w:ascii="Arial" w:cs="Arial" w:eastAsia="Arial" w:hAnsi="Arial"/>
                <w:sz w:val="10"/>
                <w:szCs w:val="10"/>
                <w:color w:val="auto"/>
              </w:rPr>
              <w:t>0.6</w:t>
            </w:r>
          </w:p>
        </w:tc>
        <w:tc>
          <w:tcPr>
            <w:tcW w:w="4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6"/>
                <w:szCs w:val="16"/>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6"/>
                <w:szCs w:val="16"/>
                <w:color w:val="auto"/>
              </w:rPr>
            </w:pPr>
          </w:p>
        </w:tc>
      </w:tr>
      <w:tr>
        <w:trPr>
          <w:trHeight w:val="162"/>
        </w:trPr>
        <w:tc>
          <w:tcPr>
            <w:tcW w:w="1380" w:type="dxa"/>
            <w:vAlign w:val="bottom"/>
            <w:tcBorders>
              <w:top w:val="single" w:sz="8" w:color="auto"/>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84.2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top w:val="single" w:sz="8" w:color="auto"/>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83.6</w:t>
            </w:r>
          </w:p>
        </w:tc>
        <w:tc>
          <w:tcPr>
            <w:tcW w:w="40" w:type="dxa"/>
            <w:vAlign w:val="bottom"/>
          </w:tcPr>
          <w:p>
            <w:pPr>
              <w:spacing w:after="0"/>
              <w:rPr>
                <w:sz w:val="14"/>
                <w:szCs w:val="14"/>
                <w:color w:val="auto"/>
              </w:rPr>
            </w:pPr>
          </w:p>
        </w:tc>
      </w:tr>
      <w:tr>
        <w:trPr>
          <w:trHeight w:val="279"/>
        </w:trPr>
        <w:tc>
          <w:tcPr>
            <w:tcW w:w="13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0.6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692"/>
              <w:spacing w:after="0"/>
              <w:rPr>
                <w:sz w:val="20"/>
                <w:szCs w:val="20"/>
                <w:color w:val="auto"/>
              </w:rPr>
            </w:pPr>
            <w:r>
              <w:rPr>
                <w:rFonts w:ascii="Arial" w:cs="Arial" w:eastAsia="Arial" w:hAnsi="Arial"/>
                <w:sz w:val="10"/>
                <w:szCs w:val="10"/>
                <w:b w:val="1"/>
                <w:bCs w:val="1"/>
                <w:color w:val="auto"/>
              </w:rPr>
              <w:t>Three months ended March 31,</w:t>
            </w:r>
          </w:p>
        </w:tc>
        <w:tc>
          <w:tcPr>
            <w:tcW w:w="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b w:val="1"/>
                <w:bCs w:val="1"/>
                <w:color w:val="auto"/>
              </w:rPr>
              <w:t>2019</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2018</w:t>
            </w:r>
          </w:p>
        </w:tc>
        <w:tc>
          <w:tcPr>
            <w:tcW w:w="40" w:type="dxa"/>
            <w:vAlign w:val="bottom"/>
            <w:tcBorders>
              <w:bottom w:val="single" w:sz="8" w:color="auto"/>
            </w:tcBorders>
          </w:tcPr>
          <w:p>
            <w:pPr>
              <w:spacing w:after="0"/>
              <w:rPr>
                <w:sz w:val="14"/>
                <w:szCs w:val="14"/>
                <w:color w:val="auto"/>
              </w:rPr>
            </w:pPr>
          </w:p>
        </w:tc>
      </w:tr>
    </w:tbl>
    <w:p>
      <w:pPr>
        <w:spacing w:after="0" w:line="36" w:lineRule="exact"/>
        <w:rPr>
          <w:sz w:val="20"/>
          <w:szCs w:val="20"/>
          <w:color w:val="auto"/>
        </w:rPr>
      </w:pPr>
    </w:p>
    <w:p>
      <w:pPr>
        <w:sectPr>
          <w:pgSz w:w="11900" w:h="16838" w:orient="portrait"/>
          <w:cols w:equalWidth="0" w:num="2">
            <w:col w:w="7760" w:space="720"/>
            <w:col w:w="3000"/>
          </w:cols>
          <w:pgMar w:left="220" w:top="293" w:right="199" w:bottom="1440" w:gutter="0" w:footer="0" w:header="0"/>
          <w:type w:val="continuous"/>
        </w:sectPr>
      </w:pPr>
    </w:p>
    <w:tbl>
      <w:tblPr>
        <w:tblLayout w:type="fixed"/>
        <w:tblInd w:w="20" w:type="dxa"/>
        <w:tblCellMar>
          <w:top w:w="0" w:type="dxa"/>
          <w:left w:w="0" w:type="dxa"/>
          <w:bottom w:w="0" w:type="dxa"/>
          <w:right w:w="0" w:type="dxa"/>
        </w:tblCellMar>
      </w:tblPr>
      <w:tr>
        <w:trPr>
          <w:trHeight w:val="127"/>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Combined ratio</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90.9</w:t>
            </w:r>
          </w:p>
        </w:tc>
        <w:tc>
          <w:tcPr>
            <w:tcW w:w="220" w:type="dxa"/>
            <w:vAlign w:val="bottom"/>
          </w:tcPr>
          <w:p>
            <w:pPr>
              <w:spacing w:after="0"/>
              <w:rPr>
                <w:sz w:val="11"/>
                <w:szCs w:val="11"/>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86.3</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catastrophe losses</w:t>
            </w: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(8.3)</w:t>
            </w:r>
          </w:p>
        </w:tc>
        <w:tc>
          <w:tcPr>
            <w:tcW w:w="22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(4.5)</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non-catastrophe reserve reestimates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0.6</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0.8</w:t>
            </w:r>
          </w:p>
        </w:tc>
      </w:tr>
      <w:tr>
        <w:trPr>
          <w:trHeight w:val="166"/>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Underlying combined ratio*</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83.2</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82.6</w:t>
            </w:r>
          </w:p>
        </w:tc>
      </w:tr>
      <w:tr>
        <w:trPr>
          <w:trHeight w:val="268"/>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catastrophe reserve reestimates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r>
        <w:trPr>
          <w:trHeight w:val="216"/>
        </w:trPr>
        <w:tc>
          <w:tcPr>
            <w:tcW w:w="8480" w:type="dxa"/>
            <w:vAlign w:val="bottom"/>
            <w:gridSpan w:val="4"/>
          </w:tcPr>
          <w:p>
            <w:pPr>
              <w:spacing w:after="0"/>
              <w:rPr>
                <w:sz w:val="20"/>
                <w:szCs w:val="20"/>
                <w:color w:val="auto"/>
              </w:rPr>
            </w:pPr>
            <w:r>
              <w:rPr>
                <w:rFonts w:ascii="Arial" w:cs="Arial" w:eastAsia="Arial" w:hAnsi="Arial"/>
                <w:sz w:val="11"/>
                <w:szCs w:val="11"/>
                <w:b w:val="1"/>
                <w:bCs w:val="1"/>
                <w:color w:val="auto"/>
              </w:rPr>
              <w:t>Allstate brand - Auto Insurance</w:t>
            </w:r>
          </w:p>
        </w:tc>
        <w:tc>
          <w:tcPr>
            <w:tcW w:w="2980" w:type="dxa"/>
            <w:vAlign w:val="bottom"/>
            <w:gridSpan w:val="3"/>
          </w:tcPr>
          <w:p>
            <w:pPr>
              <w:jc w:val="right"/>
              <w:ind w:right="732"/>
              <w:spacing w:after="0"/>
              <w:rPr>
                <w:sz w:val="20"/>
                <w:szCs w:val="20"/>
                <w:color w:val="auto"/>
              </w:rPr>
            </w:pPr>
            <w:r>
              <w:rPr>
                <w:rFonts w:ascii="Arial" w:cs="Arial" w:eastAsia="Arial" w:hAnsi="Arial"/>
                <w:sz w:val="10"/>
                <w:szCs w:val="10"/>
                <w:b w:val="1"/>
                <w:bCs w:val="1"/>
                <w:color w:val="auto"/>
              </w:rPr>
              <w:t>Three months ended March 31,</w:t>
            </w: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7"/>
        </w:trPr>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3"/>
                <w:szCs w:val="13"/>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2018</w:t>
            </w:r>
          </w:p>
        </w:tc>
      </w:tr>
      <w:tr>
        <w:trPr>
          <w:trHeight w:val="160"/>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Combined ratio</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90.4</w:t>
            </w:r>
          </w:p>
        </w:tc>
        <w:tc>
          <w:tcPr>
            <w:tcW w:w="220" w:type="dxa"/>
            <w:vAlign w:val="bottom"/>
          </w:tcPr>
          <w:p>
            <w:pPr>
              <w:spacing w:after="0"/>
              <w:rPr>
                <w:sz w:val="13"/>
                <w:szCs w:val="13"/>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87.9</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catastrophe losses</w:t>
            </w: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(1.3)</w:t>
            </w:r>
          </w:p>
        </w:tc>
        <w:tc>
          <w:tcPr>
            <w:tcW w:w="220" w:type="dxa"/>
            <w:vAlign w:val="bottom"/>
          </w:tcPr>
          <w:p>
            <w:pPr>
              <w:spacing w:after="0"/>
              <w:rPr>
                <w:sz w:val="15"/>
                <w:szCs w:val="15"/>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non-catastrophe reserve reestimates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w:t>
            </w:r>
          </w:p>
        </w:tc>
      </w:tr>
      <w:tr>
        <w:trPr>
          <w:trHeight w:val="166"/>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Underlying combined ratio*</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90.2</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89.4</w:t>
            </w:r>
          </w:p>
        </w:tc>
      </w:tr>
      <w:tr>
        <w:trPr>
          <w:trHeight w:val="268"/>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catastrophe reserve reestimates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(0.5)</w:t>
            </w:r>
          </w:p>
        </w:tc>
      </w:tr>
      <w:tr>
        <w:trPr>
          <w:trHeight w:val="216"/>
        </w:trPr>
        <w:tc>
          <w:tcPr>
            <w:tcW w:w="8480" w:type="dxa"/>
            <w:vAlign w:val="bottom"/>
            <w:gridSpan w:val="4"/>
          </w:tcPr>
          <w:p>
            <w:pPr>
              <w:spacing w:after="0"/>
              <w:rPr>
                <w:sz w:val="20"/>
                <w:szCs w:val="20"/>
                <w:color w:val="auto"/>
              </w:rPr>
            </w:pPr>
            <w:r>
              <w:rPr>
                <w:rFonts w:ascii="Arial" w:cs="Arial" w:eastAsia="Arial" w:hAnsi="Arial"/>
                <w:sz w:val="11"/>
                <w:szCs w:val="11"/>
                <w:b w:val="1"/>
                <w:bCs w:val="1"/>
                <w:color w:val="auto"/>
              </w:rPr>
              <w:t>Allstate brand - Homeowners Insurance</w:t>
            </w:r>
          </w:p>
        </w:tc>
        <w:tc>
          <w:tcPr>
            <w:tcW w:w="2980" w:type="dxa"/>
            <w:vAlign w:val="bottom"/>
            <w:gridSpan w:val="3"/>
          </w:tcPr>
          <w:p>
            <w:pPr>
              <w:jc w:val="right"/>
              <w:ind w:right="732"/>
              <w:spacing w:after="0"/>
              <w:rPr>
                <w:sz w:val="20"/>
                <w:szCs w:val="20"/>
                <w:color w:val="auto"/>
              </w:rPr>
            </w:pPr>
            <w:r>
              <w:rPr>
                <w:rFonts w:ascii="Arial" w:cs="Arial" w:eastAsia="Arial" w:hAnsi="Arial"/>
                <w:sz w:val="10"/>
                <w:szCs w:val="10"/>
                <w:b w:val="1"/>
                <w:bCs w:val="1"/>
                <w:color w:val="auto"/>
              </w:rPr>
              <w:t>Three months ended March 31,</w:t>
            </w: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7"/>
        </w:trPr>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3"/>
                <w:szCs w:val="13"/>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2018</w:t>
            </w:r>
          </w:p>
        </w:tc>
      </w:tr>
      <w:tr>
        <w:trPr>
          <w:trHeight w:val="160"/>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Combined ratio</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92.2</w:t>
            </w:r>
          </w:p>
        </w:tc>
        <w:tc>
          <w:tcPr>
            <w:tcW w:w="220" w:type="dxa"/>
            <w:vAlign w:val="bottom"/>
          </w:tcPr>
          <w:p>
            <w:pPr>
              <w:spacing w:after="0"/>
              <w:rPr>
                <w:sz w:val="13"/>
                <w:szCs w:val="13"/>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80.5</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catastrophe losses</w:t>
            </w: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(28.2)</w:t>
            </w:r>
          </w:p>
        </w:tc>
        <w:tc>
          <w:tcPr>
            <w:tcW w:w="22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(17.4)</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non-catastrophe reserve reestimates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(0.3)</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r>
        <w:trPr>
          <w:trHeight w:val="166"/>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Underlying combined ratio*</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63.7</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63.1</w:t>
            </w:r>
          </w:p>
        </w:tc>
      </w:tr>
      <w:tr>
        <w:trPr>
          <w:trHeight w:val="268"/>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catastrophe reserve reestimates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w:t>
            </w:r>
          </w:p>
        </w:tc>
      </w:tr>
      <w:tr>
        <w:trPr>
          <w:trHeight w:val="216"/>
        </w:trPr>
        <w:tc>
          <w:tcPr>
            <w:tcW w:w="8480" w:type="dxa"/>
            <w:vAlign w:val="bottom"/>
            <w:gridSpan w:val="4"/>
          </w:tcPr>
          <w:p>
            <w:pPr>
              <w:spacing w:after="0"/>
              <w:rPr>
                <w:sz w:val="20"/>
                <w:szCs w:val="20"/>
                <w:color w:val="auto"/>
              </w:rPr>
            </w:pPr>
            <w:r>
              <w:rPr>
                <w:rFonts w:ascii="Arial" w:cs="Arial" w:eastAsia="Arial" w:hAnsi="Arial"/>
                <w:sz w:val="11"/>
                <w:szCs w:val="11"/>
                <w:b w:val="1"/>
                <w:bCs w:val="1"/>
                <w:color w:val="auto"/>
              </w:rPr>
              <w:t>Esurance brand - Total</w:t>
            </w:r>
          </w:p>
        </w:tc>
        <w:tc>
          <w:tcPr>
            <w:tcW w:w="2980" w:type="dxa"/>
            <w:vAlign w:val="bottom"/>
            <w:gridSpan w:val="3"/>
          </w:tcPr>
          <w:p>
            <w:pPr>
              <w:jc w:val="right"/>
              <w:ind w:right="732"/>
              <w:spacing w:after="0"/>
              <w:rPr>
                <w:sz w:val="20"/>
                <w:szCs w:val="20"/>
                <w:color w:val="auto"/>
              </w:rPr>
            </w:pPr>
            <w:r>
              <w:rPr>
                <w:rFonts w:ascii="Arial" w:cs="Arial" w:eastAsia="Arial" w:hAnsi="Arial"/>
                <w:sz w:val="10"/>
                <w:szCs w:val="10"/>
                <w:b w:val="1"/>
                <w:bCs w:val="1"/>
                <w:color w:val="auto"/>
              </w:rPr>
              <w:t>Three months ended March 31,</w:t>
            </w: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7"/>
        </w:trPr>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3"/>
                <w:szCs w:val="13"/>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2018</w:t>
            </w:r>
          </w:p>
        </w:tc>
      </w:tr>
      <w:tr>
        <w:trPr>
          <w:trHeight w:val="160"/>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Combined ratio</w:t>
            </w: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99.4</w:t>
            </w:r>
          </w:p>
        </w:tc>
        <w:tc>
          <w:tcPr>
            <w:tcW w:w="220" w:type="dxa"/>
            <w:vAlign w:val="bottom"/>
          </w:tcPr>
          <w:p>
            <w:pPr>
              <w:spacing w:after="0"/>
              <w:rPr>
                <w:sz w:val="13"/>
                <w:szCs w:val="13"/>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99.3</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catastrophe losses</w:t>
            </w: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(1.2)</w:t>
            </w:r>
          </w:p>
        </w:tc>
        <w:tc>
          <w:tcPr>
            <w:tcW w:w="22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(0.7)</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non-catastrophe reserve reestimates</w:t>
            </w: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(0.6)</w:t>
            </w:r>
          </w:p>
        </w:tc>
        <w:tc>
          <w:tcPr>
            <w:tcW w:w="220" w:type="dxa"/>
            <w:vAlign w:val="bottom"/>
          </w:tcPr>
          <w:p>
            <w:pPr>
              <w:spacing w:after="0"/>
              <w:rPr>
                <w:sz w:val="15"/>
                <w:szCs w:val="15"/>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amortization of purchased intangible assets</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(0.2)</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(0.2)</w:t>
            </w:r>
          </w:p>
        </w:tc>
      </w:tr>
      <w:tr>
        <w:trPr>
          <w:trHeight w:val="166"/>
        </w:trPr>
        <w:tc>
          <w:tcPr>
            <w:tcW w:w="8480" w:type="dxa"/>
            <w:vAlign w:val="bottom"/>
            <w:gridSpan w:val="4"/>
          </w:tcPr>
          <w:p>
            <w:pPr>
              <w:spacing w:after="0"/>
              <w:rPr>
                <w:sz w:val="20"/>
                <w:szCs w:val="20"/>
                <w:color w:val="auto"/>
              </w:rPr>
            </w:pPr>
            <w:r>
              <w:rPr>
                <w:rFonts w:ascii="Arial" w:cs="Arial" w:eastAsia="Arial" w:hAnsi="Arial"/>
                <w:sz w:val="10"/>
                <w:szCs w:val="10"/>
                <w:b w:val="1"/>
                <w:bCs w:val="1"/>
                <w:color w:val="auto"/>
              </w:rPr>
              <w:t>Underlying combined ratio*</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97.4</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98.4</w:t>
            </w:r>
          </w:p>
        </w:tc>
      </w:tr>
      <w:tr>
        <w:trPr>
          <w:trHeight w:val="259"/>
        </w:trPr>
        <w:tc>
          <w:tcPr>
            <w:tcW w:w="8480" w:type="dxa"/>
            <w:vAlign w:val="bottom"/>
            <w:gridSpan w:val="4"/>
          </w:tcPr>
          <w:p>
            <w:pPr>
              <w:spacing w:after="0"/>
              <w:rPr>
                <w:sz w:val="20"/>
                <w:szCs w:val="20"/>
                <w:color w:val="auto"/>
              </w:rPr>
            </w:pPr>
            <w:r>
              <w:rPr>
                <w:rFonts w:ascii="Arial" w:cs="Arial" w:eastAsia="Arial" w:hAnsi="Arial"/>
                <w:sz w:val="10"/>
                <w:szCs w:val="10"/>
                <w:color w:val="auto"/>
              </w:rPr>
              <w:t>Effect of prior year catastrophe reserve reestimates</w:t>
            </w: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bl>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293" w:right="1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1"/>
          <w:szCs w:val="11"/>
          <w:b w:val="1"/>
          <w:bCs w:val="1"/>
          <w:u w:val="single" w:color="auto"/>
          <w:color w:val="auto"/>
        </w:rPr>
        <w:t>Encompass brand - Total</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Combined ratio</w:t>
      </w:r>
    </w:p>
    <w:p>
      <w:pPr>
        <w:spacing w:after="0" w:line="77" w:lineRule="exact"/>
        <w:rPr>
          <w:sz w:val="20"/>
          <w:szCs w:val="20"/>
          <w:color w:val="auto"/>
        </w:rPr>
      </w:pPr>
    </w:p>
    <w:p>
      <w:pPr>
        <w:spacing w:after="0"/>
        <w:rPr>
          <w:sz w:val="20"/>
          <w:szCs w:val="20"/>
          <w:color w:val="auto"/>
        </w:rPr>
      </w:pPr>
      <w:r>
        <w:rPr>
          <w:rFonts w:ascii="Arial" w:cs="Arial" w:eastAsia="Arial" w:hAnsi="Arial"/>
          <w:sz w:val="10"/>
          <w:szCs w:val="10"/>
          <w:color w:val="auto"/>
        </w:rPr>
        <w:t>Effect of catastrophe losses</w:t>
      </w:r>
    </w:p>
    <w:p>
      <w:pPr>
        <w:spacing w:after="0" w:line="65" w:lineRule="exact"/>
        <w:rPr>
          <w:sz w:val="20"/>
          <w:szCs w:val="20"/>
          <w:color w:val="auto"/>
        </w:rPr>
      </w:pPr>
    </w:p>
    <w:p>
      <w:pPr>
        <w:spacing w:after="0"/>
        <w:rPr>
          <w:sz w:val="20"/>
          <w:szCs w:val="20"/>
          <w:color w:val="auto"/>
        </w:rPr>
      </w:pPr>
      <w:r>
        <w:rPr>
          <w:rFonts w:ascii="Arial" w:cs="Arial" w:eastAsia="Arial" w:hAnsi="Arial"/>
          <w:sz w:val="8"/>
          <w:szCs w:val="8"/>
          <w:color w:val="auto"/>
        </w:rPr>
        <w:t>Effect of prior year non-catastrophe reserve reestimates</w:t>
      </w:r>
    </w:p>
    <w:p>
      <w:pPr>
        <w:spacing w:after="0" w:line="7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Underlying combined ratio*</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Effect of prior year catastrophe reserve reestimates</w:t>
      </w:r>
    </w:p>
    <w:p>
      <w:pPr>
        <w:spacing w:after="0" w:line="20" w:lineRule="exact"/>
        <w:rPr>
          <w:sz w:val="20"/>
          <w:szCs w:val="20"/>
          <w:color w:val="auto"/>
        </w:rPr>
      </w:pPr>
      <w:r>
        <w:rPr>
          <w:sz w:val="20"/>
          <w:szCs w:val="20"/>
          <w:color w:val="auto"/>
        </w:rPr>
        <w:br w:type="column"/>
      </w:r>
    </w:p>
    <w:p>
      <w:pPr>
        <w:ind w:left="374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12700</wp:posOffset>
            </wp:positionV>
            <wp:extent cx="18929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2935" cy="5715"/>
                    </a:xfrm>
                    <a:prstGeom prst="rect">
                      <a:avLst/>
                    </a:prstGeom>
                    <a:noFill/>
                  </pic:spPr>
                </pic:pic>
              </a:graphicData>
            </a:graphic>
          </wp:anchor>
        </w:drawing>
      </w:r>
    </w:p>
    <w:p>
      <w:pPr>
        <w:spacing w:after="0" w:line="54" w:lineRule="exact"/>
        <w:rPr>
          <w:sz w:val="20"/>
          <w:szCs w:val="20"/>
          <w:color w:val="auto"/>
        </w:rPr>
      </w:pPr>
    </w:p>
    <w:tbl>
      <w:tblPr>
        <w:tblLayout w:type="fixed"/>
        <w:tblInd w:w="2960" w:type="dxa"/>
        <w:tblCellMar>
          <w:top w:w="0" w:type="dxa"/>
          <w:left w:w="0" w:type="dxa"/>
          <w:bottom w:w="0" w:type="dxa"/>
          <w:right w:w="0" w:type="dxa"/>
        </w:tblCellMar>
      </w:tblPr>
      <w:tr>
        <w:trPr>
          <w:trHeight w:val="131"/>
        </w:trPr>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1"/>
                <w:szCs w:val="11"/>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2018</w:t>
            </w:r>
          </w:p>
        </w:tc>
      </w:tr>
      <w:tr>
        <w:trPr>
          <w:trHeight w:val="156"/>
        </w:trPr>
        <w:tc>
          <w:tcPr>
            <w:tcW w:w="1380" w:type="dxa"/>
            <w:vAlign w:val="bottom"/>
          </w:tcPr>
          <w:p>
            <w:pPr>
              <w:jc w:val="right"/>
              <w:ind w:right="72"/>
              <w:spacing w:after="0"/>
              <w:rPr>
                <w:sz w:val="20"/>
                <w:szCs w:val="20"/>
                <w:color w:val="auto"/>
              </w:rPr>
            </w:pPr>
            <w:r>
              <w:rPr>
                <w:rFonts w:ascii="Arial" w:cs="Arial" w:eastAsia="Arial" w:hAnsi="Arial"/>
                <w:sz w:val="10"/>
                <w:szCs w:val="10"/>
                <w:color w:val="auto"/>
              </w:rPr>
              <w:t>100.8</w:t>
            </w:r>
          </w:p>
        </w:tc>
        <w:tc>
          <w:tcPr>
            <w:tcW w:w="220" w:type="dxa"/>
            <w:vAlign w:val="bottom"/>
          </w:tcPr>
          <w:p>
            <w:pPr>
              <w:spacing w:after="0"/>
              <w:rPr>
                <w:sz w:val="13"/>
                <w:szCs w:val="13"/>
                <w:color w:val="auto"/>
              </w:rPr>
            </w:pPr>
          </w:p>
        </w:tc>
        <w:tc>
          <w:tcPr>
            <w:tcW w:w="1380" w:type="dxa"/>
            <w:vAlign w:val="bottom"/>
          </w:tcPr>
          <w:p>
            <w:pPr>
              <w:jc w:val="right"/>
              <w:ind w:right="72"/>
              <w:spacing w:after="0"/>
              <w:rPr>
                <w:sz w:val="20"/>
                <w:szCs w:val="20"/>
                <w:color w:val="auto"/>
              </w:rPr>
            </w:pPr>
            <w:r>
              <w:rPr>
                <w:rFonts w:ascii="Arial" w:cs="Arial" w:eastAsia="Arial" w:hAnsi="Arial"/>
                <w:sz w:val="10"/>
                <w:szCs w:val="10"/>
                <w:color w:val="auto"/>
              </w:rPr>
              <w:t>97.7</w:t>
            </w:r>
          </w:p>
        </w:tc>
      </w:tr>
      <w:tr>
        <w:trPr>
          <w:trHeight w:val="180"/>
        </w:trPr>
        <w:tc>
          <w:tcPr>
            <w:tcW w:w="1380" w:type="dxa"/>
            <w:vAlign w:val="bottom"/>
          </w:tcPr>
          <w:p>
            <w:pPr>
              <w:jc w:val="right"/>
              <w:ind w:right="32"/>
              <w:spacing w:after="0"/>
              <w:rPr>
                <w:sz w:val="20"/>
                <w:szCs w:val="20"/>
                <w:color w:val="auto"/>
              </w:rPr>
            </w:pPr>
            <w:r>
              <w:rPr>
                <w:rFonts w:ascii="Arial" w:cs="Arial" w:eastAsia="Arial" w:hAnsi="Arial"/>
                <w:sz w:val="10"/>
                <w:szCs w:val="10"/>
                <w:color w:val="auto"/>
              </w:rPr>
              <w:t>(11.9)</w:t>
            </w:r>
          </w:p>
        </w:tc>
        <w:tc>
          <w:tcPr>
            <w:tcW w:w="22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0"/>
                <w:szCs w:val="10"/>
                <w:color w:val="auto"/>
              </w:rPr>
              <w:t>(11.3)</w:t>
            </w:r>
          </w:p>
        </w:tc>
      </w:tr>
      <w:tr>
        <w:trPr>
          <w:trHeight w:val="184"/>
        </w:trPr>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(0.4)</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0.8</w:t>
            </w:r>
          </w:p>
        </w:tc>
      </w:tr>
      <w:tr>
        <w:trPr>
          <w:trHeight w:val="162"/>
        </w:trPr>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88.5</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87.2</w:t>
            </w:r>
          </w:p>
        </w:tc>
      </w:tr>
      <w:tr>
        <w:trPr>
          <w:trHeight w:val="268"/>
        </w:trPr>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0"/>
          <w:szCs w:val="10"/>
          <w:color w:val="auto"/>
        </w:rPr>
        <w:t># # # # #</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11</w:t>
      </w:r>
    </w:p>
    <w:p>
      <w:pPr>
        <w:sectPr>
          <w:pgSz w:w="11900" w:h="16838" w:orient="portrait"/>
          <w:cols w:equalWidth="0" w:num="2">
            <w:col w:w="4800" w:space="720"/>
            <w:col w:w="5940"/>
          </w:cols>
          <w:pgMar w:left="240" w:top="399" w:right="19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6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6508115</wp:posOffset>
            </wp:positionV>
            <wp:extent cx="724471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6508115</wp:posOffset>
            </wp:positionV>
            <wp:extent cx="724471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6502400</wp:posOffset>
            </wp:positionV>
            <wp:extent cx="724471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633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63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690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69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2019-12-28T13:21:58Z</dcterms:created>
  <dcterms:modified xsi:type="dcterms:W3CDTF">2019-12-28T13:21:58Z</dcterms:modified>
</cp:coreProperties>
</file>