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6993255" cy="5323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23205"/>
                    </a:xfrm>
                    <a:prstGeom prst="rect">
                      <a:avLst/>
                    </a:prstGeom>
                    <a:noFill/>
                  </pic:spPr>
                </pic:pic>
              </a:graphicData>
            </a:graphic>
          </wp:anchor>
        </w:drawing>
      </w:r>
    </w:p>
    <w:p>
      <w:pPr>
        <w:spacing w:after="0" w:line="118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8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KEANE MARGARET M</w:t>
              </w:r>
            </w:hyperlink>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3"/>
          </w:tcPr>
          <w:p>
            <w:pPr>
              <w:ind w:left="60"/>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ALLSTATE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Borders>
              <w:bottom w:val="single" w:sz="8" w:color="0000EE"/>
            </w:tcBorders>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THE ALLSTATE CORPORATION</w:t>
            </w:r>
          </w:p>
        </w:tc>
        <w:tc>
          <w:tcPr>
            <w:tcW w:w="1760" w:type="dxa"/>
            <w:vAlign w:val="bottom"/>
            <w:gridSpan w:val="3"/>
            <w:vMerge w:val="continue"/>
          </w:tcPr>
          <w:p>
            <w:pPr>
              <w:spacing w:after="0"/>
              <w:rPr>
                <w:sz w:val="11"/>
                <w:szCs w:val="11"/>
                <w:color w:val="auto"/>
              </w:rPr>
            </w:pPr>
          </w:p>
        </w:tc>
        <w:tc>
          <w:tcPr>
            <w:tcW w:w="2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3100 SANDERS ROAD</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0"/>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06/01/2026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1,603</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18,282.718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1,603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20" w:type="dxa"/>
            <w:vAlign w:val="bottom"/>
            <w:vMerge w:val="restart"/>
          </w:tcPr>
          <w:p>
            <w:pPr>
              <w:jc w:val="right"/>
              <w:ind w:right="119"/>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7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1,603</w:t>
            </w:r>
          </w:p>
        </w:tc>
        <w:tc>
          <w:tcPr>
            <w:tcW w:w="760" w:type="dxa"/>
            <w:vAlign w:val="bottom"/>
            <w:gridSpan w:val="2"/>
            <w:vMerge w:val="restart"/>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760" w:type="dxa"/>
            <w:vAlign w:val="bottom"/>
            <w:gridSpan w:val="2"/>
            <w:vMerge w:val="restart"/>
          </w:tcPr>
          <w:p>
            <w:pPr>
              <w:jc w:val="right"/>
              <w:ind w:right="78"/>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6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917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20" w:type="dxa"/>
            <w:vAlign w:val="bottom"/>
            <w:vMerge w:val="restart"/>
          </w:tcPr>
          <w:p>
            <w:pPr>
              <w:jc w:val="right"/>
              <w:ind w:right="119"/>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7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9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917</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21"/>
              <w:spacing w:after="0" w:line="143" w:lineRule="exact"/>
              <w:rPr>
                <w:sz w:val="20"/>
                <w:szCs w:val="20"/>
                <w:color w:val="auto"/>
              </w:rPr>
            </w:pPr>
            <w:r>
              <w:rPr>
                <w:rFonts w:ascii="Times New Roman" w:cs="Times New Roman" w:eastAsia="Times New Roman" w:hAnsi="Times New Roman"/>
                <w:sz w:val="13"/>
                <w:szCs w:val="13"/>
                <w:color w:val="0000FF"/>
              </w:rPr>
              <w:t>917</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-2455545</wp:posOffset>
            </wp:positionV>
            <wp:extent cx="29210" cy="2460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06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into an equal number of common shares, without the payment of any consideration, pursuant to The Allstate Corporation 2017 Equity Compensation Plan for Non-Employee Directors.</w:t>
      </w:r>
    </w:p>
    <w:p>
      <w:pPr>
        <w:spacing w:after="0" w:line="16" w:lineRule="exact"/>
        <w:rPr>
          <w:rFonts w:ascii="Times New Roman" w:cs="Times New Roman" w:eastAsia="Times New Roman" w:hAnsi="Times New Roman"/>
          <w:sz w:val="13"/>
          <w:szCs w:val="13"/>
          <w:color w:val="008000"/>
        </w:rPr>
      </w:pPr>
    </w:p>
    <w:p>
      <w:pPr>
        <w:ind w:left="40" w:right="240" w:firstLine="3"/>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Allstate Corporation 2017 Equity Compensation Plan for Non-Employee Directors providing that each RSU represents the right to receive one share of Allstate common stock following either a standard restriction period or a deferred period of restriction if elected. The RSUs reported will convert into common stock upon the earlier of (i) the third anniversary of the date of grant, (ii) the day following the date on which the reporting person's Board service terminates, and (iii) the day following the date of the reporting person's death or disability.</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Meghan E. Jauhar, attorney- </w:t>
      </w:r>
      <w:r>
        <w:rPr>
          <w:rFonts w:ascii="Times New Roman" w:cs="Times New Roman" w:eastAsia="Times New Roman" w:hAnsi="Times New Roman"/>
          <w:sz w:val="32"/>
          <w:szCs w:val="32"/>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Margaret M.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95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540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7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4718"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2026-06-02T19:34:55Z</dcterms:created>
  <dcterms:modified xsi:type="dcterms:W3CDTF">2026-06-02T19:34:55Z</dcterms:modified>
</cp:coreProperties>
</file>