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 (d) OF THE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 xml:space="preserve">Date of report (Date of earliest event reported): </w:t>
      </w:r>
      <w:r>
        <w:rPr>
          <w:rFonts w:ascii="Arial" w:cs="Arial" w:eastAsia="Arial" w:hAnsi="Arial"/>
          <w:sz w:val="18"/>
          <w:szCs w:val="18"/>
          <w:color w:val="auto"/>
        </w:rPr>
        <w:t>February 20, 2025</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THE ALLSTATE CORPORATION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93" w:right="339" w:bottom="1440" w:gutter="0" w:footer="0" w:header="0"/>
        </w:sectPr>
      </w:pPr>
    </w:p>
    <w:p>
      <w:pPr>
        <w:spacing w:after="0" w:line="329" w:lineRule="exact"/>
        <w:rPr>
          <w:sz w:val="24"/>
          <w:szCs w:val="24"/>
          <w:color w:val="auto"/>
        </w:rPr>
      </w:pPr>
    </w:p>
    <w:p>
      <w:pPr>
        <w:ind w:left="13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7"/>
          <w:szCs w:val="17"/>
          <w:b w:val="1"/>
          <w:bCs w:val="1"/>
          <w:color w:val="auto"/>
        </w:rPr>
        <w:t>1-11840</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36-3871531</w:t>
      </w:r>
    </w:p>
    <w:p>
      <w:pPr>
        <w:spacing w:after="0" w:line="34" w:lineRule="exact"/>
        <w:rPr>
          <w:sz w:val="24"/>
          <w:szCs w:val="24"/>
          <w:color w:val="auto"/>
        </w:rPr>
      </w:pPr>
    </w:p>
    <w:p>
      <w:pPr>
        <w:sectPr>
          <w:pgSz w:w="11900" w:h="16838" w:orient="portrait"/>
          <w:cols w:equalWidth="0" w:num="3">
            <w:col w:w="4540" w:space="720"/>
            <w:col w:w="3020" w:space="720"/>
            <w:col w:w="2240"/>
          </w:cols>
          <w:pgMar w:left="320" w:top="993" w:right="339" w:bottom="1440" w:gutter="0" w:footer="0" w:header="0"/>
          <w:type w:val="continuous"/>
        </w:sectPr>
      </w:pPr>
    </w:p>
    <w:p>
      <w:pPr>
        <w:jc w:val="center"/>
        <w:ind w:right="900"/>
        <w:spacing w:after="0"/>
        <w:rPr>
          <w:sz w:val="20"/>
          <w:szCs w:val="20"/>
          <w:color w:val="auto"/>
        </w:rPr>
      </w:pPr>
      <w:r>
        <w:rPr>
          <w:rFonts w:ascii="Arial" w:cs="Arial" w:eastAsia="Arial" w:hAnsi="Arial"/>
          <w:sz w:val="18"/>
          <w:szCs w:val="18"/>
          <w:color w:val="auto"/>
        </w:rPr>
        <w:t>(State or other</w:t>
      </w:r>
    </w:p>
    <w:p>
      <w:pPr>
        <w:jc w:val="center"/>
        <w:ind w:right="900"/>
        <w:spacing w:after="0"/>
        <w:rPr>
          <w:sz w:val="20"/>
          <w:szCs w:val="20"/>
          <w:color w:val="auto"/>
        </w:rPr>
      </w:pPr>
      <w:r>
        <w:rPr>
          <w:rFonts w:ascii="Arial" w:cs="Arial" w:eastAsia="Arial" w:hAnsi="Arial"/>
          <w:sz w:val="17"/>
          <w:szCs w:val="17"/>
          <w:color w:val="auto"/>
        </w:rPr>
        <w:t>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w:t>
      </w:r>
    </w:p>
    <w:p>
      <w:pPr>
        <w:ind w:left="20"/>
        <w:spacing w:after="0"/>
        <w:rPr>
          <w:sz w:val="20"/>
          <w:szCs w:val="20"/>
          <w:color w:val="auto"/>
        </w:rPr>
      </w:pPr>
      <w:r>
        <w:rPr>
          <w:rFonts w:ascii="Arial" w:cs="Arial" w:eastAsia="Arial" w:hAnsi="Arial"/>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8"/>
          <w:szCs w:val="18"/>
          <w:color w:val="auto"/>
        </w:rPr>
        <w:t>(IRS Employer</w:t>
      </w: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111" w:lineRule="exact"/>
        <w:rPr>
          <w:sz w:val="24"/>
          <w:szCs w:val="24"/>
          <w:color w:val="auto"/>
        </w:rPr>
      </w:pPr>
    </w:p>
    <w:p>
      <w:pPr>
        <w:sectPr>
          <w:pgSz w:w="11900" w:h="16838" w:orient="portrait"/>
          <w:cols w:equalWidth="0" w:num="3">
            <w:col w:w="4340" w:space="720"/>
            <w:col w:w="3000" w:space="720"/>
            <w:col w:w="2460"/>
          </w:cols>
          <w:pgMar w:left="320" w:top="993" w:right="339" w:bottom="1440" w:gutter="0" w:footer="0" w:header="0"/>
          <w:type w:val="continuous"/>
        </w:sectPr>
      </w:pPr>
    </w:p>
    <w:p>
      <w:pPr>
        <w:jc w:val="center"/>
        <w:ind w:right="-339"/>
        <w:spacing w:after="0"/>
        <w:tabs>
          <w:tab w:leader="none" w:pos="180" w:val="left"/>
        </w:tabs>
        <w:rPr>
          <w:sz w:val="20"/>
          <w:szCs w:val="20"/>
          <w:color w:val="auto"/>
        </w:rPr>
      </w:pPr>
      <w:r>
        <w:rPr>
          <w:rFonts w:ascii="Arial" w:cs="Arial" w:eastAsia="Arial" w:hAnsi="Arial"/>
          <w:sz w:val="18"/>
          <w:szCs w:val="18"/>
          <w:b w:val="1"/>
          <w:bCs w:val="1"/>
          <w:color w:val="auto"/>
        </w:rPr>
        <w:t>3100 Sanders Road, Northbrook, Illinois</w:t>
      </w:r>
      <w:r>
        <w:rPr>
          <w:sz w:val="20"/>
          <w:szCs w:val="20"/>
          <w:color w:val="auto"/>
        </w:rPr>
        <w:tab/>
      </w:r>
      <w:r>
        <w:rPr>
          <w:rFonts w:ascii="Arial" w:cs="Arial" w:eastAsia="Arial" w:hAnsi="Arial"/>
          <w:sz w:val="17"/>
          <w:szCs w:val="17"/>
          <w:b w:val="1"/>
          <w:bCs w:val="1"/>
          <w:color w:val="auto"/>
        </w:rPr>
        <w:t>60062</w:t>
      </w:r>
    </w:p>
    <w:p>
      <w:pPr>
        <w:sectPr>
          <w:pgSz w:w="11900" w:h="16838" w:orient="portrait"/>
          <w:cols w:equalWidth="0" w:num="1">
            <w:col w:w="11240"/>
          </w:cols>
          <w:pgMar w:left="320" w:top="993" w:right="339" w:bottom="1440" w:gutter="0" w:footer="0" w:header="0"/>
          <w:type w:val="continuous"/>
        </w:sectPr>
      </w:pPr>
    </w:p>
    <w:p>
      <w:pPr>
        <w:spacing w:after="0" w:line="117" w:lineRule="exact"/>
        <w:rPr>
          <w:sz w:val="24"/>
          <w:szCs w:val="24"/>
          <w:color w:val="auto"/>
        </w:rPr>
      </w:pPr>
    </w:p>
    <w:p>
      <w:pPr>
        <w:ind w:left="372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7"/>
          <w:szCs w:val="17"/>
          <w:color w:val="auto"/>
        </w:rPr>
        <w:t>(Zip Code)</w:t>
      </w:r>
    </w:p>
    <w:p>
      <w:pPr>
        <w:spacing w:after="0" w:line="75" w:lineRule="exact"/>
        <w:rPr>
          <w:sz w:val="24"/>
          <w:szCs w:val="24"/>
          <w:color w:val="auto"/>
        </w:rPr>
      </w:pPr>
    </w:p>
    <w:p>
      <w:pPr>
        <w:sectPr>
          <w:pgSz w:w="11900" w:h="16838" w:orient="portrait"/>
          <w:cols w:equalWidth="0" w:num="2">
            <w:col w:w="6800" w:space="200"/>
            <w:col w:w="4240"/>
          </w:cols>
          <w:pgMar w:left="320" w:top="993" w:right="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402-2800</w:t>
      </w:r>
    </w:p>
    <w:p>
      <w:pPr>
        <w:spacing w:after="0" w:line="63"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7080" w:type="dxa"/>
            <w:vAlign w:val="bottom"/>
            <w:gridSpan w:val="2"/>
            <w:vMerge w:val="restart"/>
          </w:tcPr>
          <w:p>
            <w:pPr>
              <w:ind w:left="3120"/>
              <w:spacing w:after="0"/>
              <w:rPr>
                <w:sz w:val="20"/>
                <w:szCs w:val="20"/>
                <w:color w:val="auto"/>
              </w:rPr>
            </w:pPr>
            <w:r>
              <w:rPr>
                <w:rFonts w:ascii="Arial" w:cs="Arial" w:eastAsia="Arial" w:hAnsi="Arial"/>
                <w:sz w:val="14"/>
                <w:szCs w:val="14"/>
                <w:b w:val="1"/>
                <w:bCs w:val="1"/>
                <w:color w:val="auto"/>
              </w:rPr>
              <w:t>Title of each class</w:t>
            </w:r>
          </w:p>
        </w:tc>
        <w:tc>
          <w:tcPr>
            <w:tcW w:w="1420" w:type="dxa"/>
            <w:vAlign w:val="bottom"/>
          </w:tcPr>
          <w:p>
            <w:pPr>
              <w:jc w:val="center"/>
              <w:ind w:left="308"/>
              <w:spacing w:after="0"/>
              <w:rPr>
                <w:sz w:val="20"/>
                <w:szCs w:val="20"/>
                <w:color w:val="auto"/>
              </w:rPr>
            </w:pPr>
            <w:r>
              <w:rPr>
                <w:rFonts w:ascii="Arial" w:cs="Arial" w:eastAsia="Arial" w:hAnsi="Arial"/>
                <w:sz w:val="14"/>
                <w:szCs w:val="14"/>
                <w:b w:val="1"/>
                <w:bCs w:val="1"/>
                <w:color w:val="auto"/>
              </w:rPr>
              <w:t>Trading</w:t>
            </w:r>
          </w:p>
        </w:tc>
        <w:tc>
          <w:tcPr>
            <w:tcW w:w="2480" w:type="dxa"/>
            <w:vAlign w:val="bottom"/>
          </w:tcPr>
          <w:p>
            <w:pPr>
              <w:jc w:val="center"/>
              <w:ind w:left="108"/>
              <w:spacing w:after="0"/>
              <w:rPr>
                <w:sz w:val="20"/>
                <w:szCs w:val="20"/>
                <w:color w:val="auto"/>
              </w:rPr>
            </w:pPr>
            <w:r>
              <w:rPr>
                <w:rFonts w:ascii="Arial" w:cs="Arial" w:eastAsia="Arial" w:hAnsi="Arial"/>
                <w:sz w:val="14"/>
                <w:szCs w:val="14"/>
                <w:b w:val="1"/>
                <w:bCs w:val="1"/>
                <w:color w:val="auto"/>
              </w:rPr>
              <w:t>Name of each exchange on which</w:t>
            </w:r>
          </w:p>
        </w:tc>
        <w:tc>
          <w:tcPr>
            <w:tcW w:w="0" w:type="dxa"/>
            <w:vAlign w:val="bottom"/>
          </w:tcPr>
          <w:p>
            <w:pPr>
              <w:spacing w:after="0"/>
              <w:rPr>
                <w:sz w:val="1"/>
                <w:szCs w:val="1"/>
                <w:color w:val="auto"/>
              </w:rPr>
            </w:pPr>
          </w:p>
        </w:tc>
      </w:tr>
      <w:tr>
        <w:trPr>
          <w:trHeight w:val="193"/>
        </w:trPr>
        <w:tc>
          <w:tcPr>
            <w:tcW w:w="7080" w:type="dxa"/>
            <w:vAlign w:val="bottom"/>
            <w:gridSpan w:val="2"/>
            <w:vMerge w:val="continue"/>
          </w:tcPr>
          <w:p>
            <w:pPr>
              <w:spacing w:after="0"/>
              <w:rPr>
                <w:sz w:val="16"/>
                <w:szCs w:val="16"/>
                <w:color w:val="auto"/>
              </w:rPr>
            </w:pPr>
          </w:p>
        </w:tc>
        <w:tc>
          <w:tcPr>
            <w:tcW w:w="1420" w:type="dxa"/>
            <w:vAlign w:val="bottom"/>
          </w:tcPr>
          <w:p>
            <w:pPr>
              <w:jc w:val="center"/>
              <w:ind w:left="308"/>
              <w:spacing w:after="0"/>
              <w:rPr>
                <w:sz w:val="20"/>
                <w:szCs w:val="20"/>
                <w:color w:val="auto"/>
              </w:rPr>
            </w:pPr>
            <w:r>
              <w:rPr>
                <w:rFonts w:ascii="Arial" w:cs="Arial" w:eastAsia="Arial" w:hAnsi="Arial"/>
                <w:sz w:val="14"/>
                <w:szCs w:val="14"/>
                <w:b w:val="1"/>
                <w:bCs w:val="1"/>
                <w:color w:val="auto"/>
              </w:rPr>
              <w:t>Symbols</w:t>
            </w:r>
          </w:p>
        </w:tc>
        <w:tc>
          <w:tcPr>
            <w:tcW w:w="2480" w:type="dxa"/>
            <w:vAlign w:val="bottom"/>
          </w:tcPr>
          <w:p>
            <w:pPr>
              <w:jc w:val="center"/>
              <w:ind w:left="108"/>
              <w:spacing w:after="0"/>
              <w:rPr>
                <w:sz w:val="20"/>
                <w:szCs w:val="20"/>
                <w:color w:val="auto"/>
              </w:rPr>
            </w:pPr>
            <w:r>
              <w:rPr>
                <w:rFonts w:ascii="Arial" w:cs="Arial" w:eastAsia="Arial" w:hAnsi="Arial"/>
                <w:sz w:val="14"/>
                <w:szCs w:val="14"/>
                <w:b w:val="1"/>
                <w:bCs w:val="1"/>
                <w:color w:val="auto"/>
              </w:rPr>
              <w:t>registered</w:t>
            </w:r>
          </w:p>
        </w:tc>
        <w:tc>
          <w:tcPr>
            <w:tcW w:w="0" w:type="dxa"/>
            <w:vAlign w:val="bottom"/>
          </w:tcPr>
          <w:p>
            <w:pPr>
              <w:spacing w:after="0"/>
              <w:rPr>
                <w:sz w:val="1"/>
                <w:szCs w:val="1"/>
                <w:color w:val="auto"/>
              </w:rPr>
            </w:pPr>
          </w:p>
        </w:tc>
      </w:tr>
      <w:tr>
        <w:trPr>
          <w:trHeight w:val="144"/>
        </w:trPr>
        <w:tc>
          <w:tcPr>
            <w:tcW w:w="3860" w:type="dxa"/>
            <w:vAlign w:val="bottom"/>
            <w:vMerge w:val="restart"/>
          </w:tcPr>
          <w:p>
            <w:pPr>
              <w:spacing w:after="0"/>
              <w:rPr>
                <w:sz w:val="20"/>
                <w:szCs w:val="20"/>
                <w:color w:val="auto"/>
              </w:rPr>
            </w:pPr>
            <w:r>
              <w:rPr>
                <w:rFonts w:ascii="Arial" w:cs="Arial" w:eastAsia="Arial" w:hAnsi="Arial"/>
                <w:sz w:val="14"/>
                <w:szCs w:val="14"/>
                <w:color w:val="auto"/>
              </w:rPr>
              <w:t>Common Stock, par value $0.01 per share</w:t>
            </w:r>
          </w:p>
        </w:tc>
        <w:tc>
          <w:tcPr>
            <w:tcW w:w="3220" w:type="dxa"/>
            <w:vAlign w:val="bottom"/>
          </w:tcPr>
          <w:p>
            <w:pPr>
              <w:spacing w:after="0"/>
              <w:rPr>
                <w:sz w:val="12"/>
                <w:szCs w:val="12"/>
                <w:color w:val="auto"/>
              </w:rPr>
            </w:pPr>
          </w:p>
        </w:tc>
        <w:tc>
          <w:tcPr>
            <w:tcW w:w="1420" w:type="dxa"/>
            <w:vAlign w:val="bottom"/>
            <w:vMerge w:val="restart"/>
          </w:tcPr>
          <w:p>
            <w:pPr>
              <w:jc w:val="center"/>
              <w:ind w:left="328"/>
              <w:spacing w:after="0"/>
              <w:rPr>
                <w:sz w:val="20"/>
                <w:szCs w:val="20"/>
                <w:color w:val="auto"/>
              </w:rPr>
            </w:pPr>
            <w:r>
              <w:rPr>
                <w:rFonts w:ascii="Arial" w:cs="Arial" w:eastAsia="Arial" w:hAnsi="Arial"/>
                <w:sz w:val="14"/>
                <w:szCs w:val="14"/>
                <w:color w:val="auto"/>
              </w:rPr>
              <w:t>ALL</w:t>
            </w:r>
          </w:p>
        </w:tc>
        <w:tc>
          <w:tcPr>
            <w:tcW w:w="2480" w:type="dxa"/>
            <w:vAlign w:val="bottom"/>
          </w:tcPr>
          <w:p>
            <w:pPr>
              <w:jc w:val="center"/>
              <w:ind w:left="108"/>
              <w:spacing w:after="0" w:line="145" w:lineRule="exact"/>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13"/>
        </w:trPr>
        <w:tc>
          <w:tcPr>
            <w:tcW w:w="3860" w:type="dxa"/>
            <w:vAlign w:val="bottom"/>
            <w:vMerge w:val="continue"/>
          </w:tcPr>
          <w:p>
            <w:pPr>
              <w:spacing w:after="0"/>
              <w:rPr>
                <w:sz w:val="9"/>
                <w:szCs w:val="9"/>
                <w:color w:val="auto"/>
              </w:rPr>
            </w:pPr>
          </w:p>
        </w:tc>
        <w:tc>
          <w:tcPr>
            <w:tcW w:w="32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2480" w:type="dxa"/>
            <w:vAlign w:val="bottom"/>
            <w:vMerge w:val="restart"/>
          </w:tcPr>
          <w:p>
            <w:pPr>
              <w:jc w:val="center"/>
              <w:ind w:left="108"/>
              <w:spacing w:after="0"/>
              <w:rPr>
                <w:sz w:val="20"/>
                <w:szCs w:val="20"/>
                <w:color w:val="auto"/>
              </w:rPr>
            </w:pPr>
            <w:r>
              <w:rPr>
                <w:rFonts w:ascii="Arial" w:cs="Arial" w:eastAsia="Arial" w:hAnsi="Arial"/>
                <w:sz w:val="14"/>
                <w:szCs w:val="14"/>
                <w:color w:val="auto"/>
              </w:rPr>
              <w:t>Chicago Stock Exchange</w:t>
            </w:r>
          </w:p>
        </w:tc>
        <w:tc>
          <w:tcPr>
            <w:tcW w:w="0" w:type="dxa"/>
            <w:vAlign w:val="bottom"/>
          </w:tcPr>
          <w:p>
            <w:pPr>
              <w:spacing w:after="0"/>
              <w:rPr>
                <w:sz w:val="1"/>
                <w:szCs w:val="1"/>
                <w:color w:val="auto"/>
              </w:rPr>
            </w:pPr>
          </w:p>
        </w:tc>
      </w:tr>
      <w:tr>
        <w:trPr>
          <w:trHeight w:val="77"/>
        </w:trPr>
        <w:tc>
          <w:tcPr>
            <w:tcW w:w="38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80" w:type="dxa"/>
            <w:vAlign w:val="bottom"/>
            <w:gridSpan w:val="2"/>
          </w:tcPr>
          <w:p>
            <w:pPr>
              <w:spacing w:after="0"/>
              <w:rPr>
                <w:sz w:val="20"/>
                <w:szCs w:val="20"/>
                <w:color w:val="auto"/>
              </w:rPr>
            </w:pPr>
            <w:r>
              <w:rPr>
                <w:rFonts w:ascii="Arial" w:cs="Arial" w:eastAsia="Arial" w:hAnsi="Arial"/>
                <w:sz w:val="14"/>
                <w:szCs w:val="14"/>
                <w:color w:val="auto"/>
              </w:rPr>
              <w:t>5.100% Fixed-to-Floating Rate Subordinated Debentures due 2053</w:t>
            </w:r>
          </w:p>
        </w:tc>
        <w:tc>
          <w:tcPr>
            <w:tcW w:w="1420" w:type="dxa"/>
            <w:vAlign w:val="bottom"/>
          </w:tcPr>
          <w:p>
            <w:pPr>
              <w:jc w:val="center"/>
              <w:ind w:left="328"/>
              <w:spacing w:after="0"/>
              <w:rPr>
                <w:sz w:val="20"/>
                <w:szCs w:val="20"/>
                <w:color w:val="auto"/>
              </w:rPr>
            </w:pPr>
            <w:r>
              <w:rPr>
                <w:rFonts w:ascii="Arial" w:cs="Arial" w:eastAsia="Arial" w:hAnsi="Arial"/>
                <w:sz w:val="14"/>
                <w:szCs w:val="14"/>
                <w:color w:val="auto"/>
              </w:rPr>
              <w:t>ALL.PR.B</w:t>
            </w:r>
          </w:p>
        </w:tc>
        <w:tc>
          <w:tcPr>
            <w:tcW w:w="2480" w:type="dxa"/>
            <w:vAlign w:val="bottom"/>
          </w:tcPr>
          <w:p>
            <w:pPr>
              <w:jc w:val="center"/>
              <w:ind w:left="10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4"/>
                <w:szCs w:val="14"/>
                <w:color w:val="auto"/>
              </w:rPr>
              <w:t>Depositary Shares represent 1/1,000th of a share of 5.100%</w:t>
            </w:r>
          </w:p>
        </w:tc>
        <w:tc>
          <w:tcPr>
            <w:tcW w:w="3220" w:type="dxa"/>
            <w:vAlign w:val="bottom"/>
          </w:tcPr>
          <w:p>
            <w:pPr>
              <w:ind w:left="20"/>
              <w:spacing w:after="0"/>
              <w:rPr>
                <w:sz w:val="20"/>
                <w:szCs w:val="20"/>
                <w:color w:val="auto"/>
              </w:rPr>
            </w:pPr>
            <w:r>
              <w:rPr>
                <w:rFonts w:ascii="Arial" w:cs="Arial" w:eastAsia="Arial" w:hAnsi="Arial"/>
                <w:sz w:val="14"/>
                <w:szCs w:val="14"/>
                <w:color w:val="auto"/>
              </w:rPr>
              <w:t>Noncumulative Preferred Stock, Series H</w:t>
            </w:r>
          </w:p>
        </w:tc>
        <w:tc>
          <w:tcPr>
            <w:tcW w:w="1420" w:type="dxa"/>
            <w:vAlign w:val="bottom"/>
          </w:tcPr>
          <w:p>
            <w:pPr>
              <w:jc w:val="center"/>
              <w:ind w:left="308"/>
              <w:spacing w:after="0"/>
              <w:rPr>
                <w:sz w:val="20"/>
                <w:szCs w:val="20"/>
                <w:color w:val="auto"/>
              </w:rPr>
            </w:pPr>
            <w:r>
              <w:rPr>
                <w:rFonts w:ascii="Arial" w:cs="Arial" w:eastAsia="Arial" w:hAnsi="Arial"/>
                <w:sz w:val="14"/>
                <w:szCs w:val="14"/>
                <w:color w:val="auto"/>
              </w:rPr>
              <w:t>ALL PR H</w:t>
            </w:r>
          </w:p>
        </w:tc>
        <w:tc>
          <w:tcPr>
            <w:tcW w:w="2480" w:type="dxa"/>
            <w:vAlign w:val="bottom"/>
          </w:tcPr>
          <w:p>
            <w:pPr>
              <w:jc w:val="center"/>
              <w:ind w:left="10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4"/>
                <w:szCs w:val="14"/>
                <w:color w:val="auto"/>
              </w:rPr>
              <w:t>Depositary Shares represent 1/1,000th of a share of 4.750%</w:t>
            </w:r>
          </w:p>
        </w:tc>
        <w:tc>
          <w:tcPr>
            <w:tcW w:w="3220" w:type="dxa"/>
            <w:vAlign w:val="bottom"/>
          </w:tcPr>
          <w:p>
            <w:pPr>
              <w:ind w:left="20"/>
              <w:spacing w:after="0"/>
              <w:rPr>
                <w:sz w:val="20"/>
                <w:szCs w:val="20"/>
                <w:color w:val="auto"/>
              </w:rPr>
            </w:pPr>
            <w:r>
              <w:rPr>
                <w:rFonts w:ascii="Arial" w:cs="Arial" w:eastAsia="Arial" w:hAnsi="Arial"/>
                <w:sz w:val="14"/>
                <w:szCs w:val="14"/>
                <w:color w:val="auto"/>
              </w:rPr>
              <w:t>Noncumulative Preferred Stock, Series I</w:t>
            </w:r>
          </w:p>
        </w:tc>
        <w:tc>
          <w:tcPr>
            <w:tcW w:w="1420" w:type="dxa"/>
            <w:vAlign w:val="bottom"/>
          </w:tcPr>
          <w:p>
            <w:pPr>
              <w:jc w:val="center"/>
              <w:ind w:left="328"/>
              <w:spacing w:after="0"/>
              <w:rPr>
                <w:sz w:val="20"/>
                <w:szCs w:val="20"/>
                <w:color w:val="auto"/>
              </w:rPr>
            </w:pPr>
            <w:r>
              <w:rPr>
                <w:rFonts w:ascii="Arial" w:cs="Arial" w:eastAsia="Arial" w:hAnsi="Arial"/>
                <w:sz w:val="14"/>
                <w:szCs w:val="14"/>
                <w:color w:val="auto"/>
              </w:rPr>
              <w:t>ALL PR I</w:t>
            </w:r>
          </w:p>
        </w:tc>
        <w:tc>
          <w:tcPr>
            <w:tcW w:w="2480" w:type="dxa"/>
            <w:vAlign w:val="bottom"/>
          </w:tcPr>
          <w:p>
            <w:pPr>
              <w:jc w:val="center"/>
              <w:ind w:left="10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4"/>
                <w:szCs w:val="14"/>
                <w:color w:val="auto"/>
              </w:rPr>
              <w:t>Depositary Shares represent 1/1,000th of a share of 7.375%</w:t>
            </w:r>
          </w:p>
        </w:tc>
        <w:tc>
          <w:tcPr>
            <w:tcW w:w="3220" w:type="dxa"/>
            <w:vAlign w:val="bottom"/>
          </w:tcPr>
          <w:p>
            <w:pPr>
              <w:ind w:left="20"/>
              <w:spacing w:after="0"/>
              <w:rPr>
                <w:sz w:val="20"/>
                <w:szCs w:val="20"/>
                <w:color w:val="auto"/>
              </w:rPr>
            </w:pPr>
            <w:r>
              <w:rPr>
                <w:rFonts w:ascii="Arial" w:cs="Arial" w:eastAsia="Arial" w:hAnsi="Arial"/>
                <w:sz w:val="14"/>
                <w:szCs w:val="14"/>
                <w:color w:val="auto"/>
              </w:rPr>
              <w:t>Noncumulative Preferred Stock, Series J</w:t>
            </w:r>
          </w:p>
        </w:tc>
        <w:tc>
          <w:tcPr>
            <w:tcW w:w="1420" w:type="dxa"/>
            <w:vAlign w:val="bottom"/>
          </w:tcPr>
          <w:p>
            <w:pPr>
              <w:jc w:val="center"/>
              <w:ind w:left="328"/>
              <w:spacing w:after="0"/>
              <w:rPr>
                <w:sz w:val="20"/>
                <w:szCs w:val="20"/>
                <w:color w:val="auto"/>
              </w:rPr>
            </w:pPr>
            <w:r>
              <w:rPr>
                <w:rFonts w:ascii="Arial" w:cs="Arial" w:eastAsia="Arial" w:hAnsi="Arial"/>
                <w:sz w:val="14"/>
                <w:szCs w:val="14"/>
                <w:color w:val="auto"/>
              </w:rPr>
              <w:t>ALL PR J</w:t>
            </w:r>
          </w:p>
        </w:tc>
        <w:tc>
          <w:tcPr>
            <w:tcW w:w="2480" w:type="dxa"/>
            <w:vAlign w:val="bottom"/>
          </w:tcPr>
          <w:p>
            <w:pPr>
              <w:jc w:val="center"/>
              <w:ind w:left="10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313"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2" w:lineRule="exact"/>
        <w:rPr>
          <w:sz w:val="24"/>
          <w:szCs w:val="24"/>
          <w:color w:val="auto"/>
        </w:rPr>
      </w:pPr>
    </w:p>
    <w:p>
      <w:pPr>
        <w:ind w:left="6580"/>
        <w:spacing w:after="0" w:line="207" w:lineRule="exact"/>
        <w:tabs>
          <w:tab w:leader="none" w:pos="94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83" w:lineRule="exact"/>
        <w:rPr>
          <w:sz w:val="24"/>
          <w:szCs w:val="24"/>
          <w:color w:val="auto"/>
        </w:rPr>
      </w:pPr>
    </w:p>
    <w:p>
      <w:pPr>
        <w:ind w:right="80"/>
        <w:spacing w:after="0" w:line="28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Registrant’s press release dated February 20, 2025, announcing estimated catastrophe losses and policies in force for January</w:t>
      </w:r>
    </w:p>
    <w:p>
      <w:pPr>
        <w:spacing w:after="0" w:line="1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2025 is posted on allstateinvestors.com and attached hereto as Exhibit 99 which is incorporated herein by reference. This exhibit is furnished and not filed, pursuant to Instruction B.2 of Form 8-K.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6720" w:type="dxa"/>
            <w:vAlign w:val="bottom"/>
            <w:gridSpan w:val="4"/>
          </w:tcPr>
          <w:p>
            <w:pPr>
              <w:ind w:left="7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24"/>
        </w:trPr>
        <w:tc>
          <w:tcPr>
            <w:tcW w:w="20" w:type="dxa"/>
            <w:vAlign w:val="bottom"/>
          </w:tcPr>
          <w:p>
            <w:pPr>
              <w:spacing w:after="0"/>
              <w:rPr>
                <w:sz w:val="24"/>
                <w:szCs w:val="24"/>
                <w:color w:val="auto"/>
              </w:rPr>
            </w:pPr>
          </w:p>
        </w:tc>
        <w:tc>
          <w:tcPr>
            <w:tcW w:w="1560" w:type="dxa"/>
            <w:vAlign w:val="bottom"/>
            <w:gridSpan w:val="2"/>
          </w:tcPr>
          <w:p>
            <w:pPr>
              <w:ind w:left="640"/>
              <w:spacing w:after="0"/>
              <w:rPr>
                <w:sz w:val="20"/>
                <w:szCs w:val="20"/>
                <w:color w:val="auto"/>
              </w:rPr>
            </w:pPr>
            <w:r>
              <w:rPr>
                <w:rFonts w:ascii="Arial" w:cs="Arial" w:eastAsia="Arial" w:hAnsi="Arial"/>
                <w:sz w:val="18"/>
                <w:szCs w:val="18"/>
                <w:color w:val="auto"/>
              </w:rPr>
              <w:t>(d)</w:t>
            </w:r>
          </w:p>
        </w:tc>
        <w:tc>
          <w:tcPr>
            <w:tcW w:w="6720" w:type="dxa"/>
            <w:vAlign w:val="bottom"/>
            <w:gridSpan w:val="4"/>
          </w:tcPr>
          <w:p>
            <w:pPr>
              <w:ind w:left="740"/>
              <w:spacing w:after="0"/>
              <w:rPr>
                <w:sz w:val="20"/>
                <w:szCs w:val="20"/>
                <w:color w:val="auto"/>
              </w:rPr>
            </w:pPr>
            <w:r>
              <w:rPr>
                <w:rFonts w:ascii="Arial" w:cs="Arial" w:eastAsia="Arial" w:hAnsi="Arial"/>
                <w:sz w:val="18"/>
                <w:szCs w:val="18"/>
                <w:color w:val="auto"/>
              </w:rPr>
              <w:t>Exhibits</w:t>
            </w:r>
          </w:p>
        </w:tc>
      </w:tr>
      <w:tr>
        <w:trPr>
          <w:trHeight w:val="52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w:t>
            </w:r>
          </w:p>
        </w:tc>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0000FF"/>
              </w:rPr>
              <w:t>The Registrant’s press release dated February 20, 2025</w:t>
            </w:r>
          </w:p>
        </w:tc>
      </w:tr>
      <w:tr>
        <w:trPr>
          <w:trHeight w:val="20"/>
        </w:trPr>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4"/>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9"/>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274"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ALLSTATE CORPORATION</w:t>
      </w:r>
    </w:p>
    <w:p>
      <w:pPr>
        <w:spacing w:after="0" w:line="4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64" w:lineRule="exact"/>
        <w:rPr>
          <w:sz w:val="20"/>
          <w:szCs w:val="20"/>
          <w:color w:val="auto"/>
        </w:rPr>
      </w:pPr>
    </w:p>
    <w:p>
      <w:pPr>
        <w:ind w:left="476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K. Ferren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17780</wp:posOffset>
            </wp:positionV>
            <wp:extent cx="311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Eric K. Ferren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 Senior Vice President, Controller and Chief Accounting Officer</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Date:</w:t>
        <w:tab/>
        <w:t>February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88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3285490</wp:posOffset>
            </wp:positionH>
            <wp:positionV relativeFrom="page">
              <wp:posOffset>577850</wp:posOffset>
            </wp:positionV>
            <wp:extent cx="985520"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985520" cy="60833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54"/>
          <w:szCs w:val="54"/>
          <w:color w:val="auto"/>
        </w:rPr>
        <w:t>NEWS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ectPr>
          <w:pgSz w:w="11900" w:h="16838" w:orient="portrait"/>
          <w:cols w:equalWidth="0" w:num="1">
            <w:col w:w="11240"/>
          </w:cols>
          <w:pgMar w:left="320" w:top="1440" w:right="339" w:bottom="1440" w:gutter="0" w:footer="0" w:header="0"/>
        </w:sectPr>
      </w:pPr>
    </w:p>
    <w:p>
      <w:pPr>
        <w:spacing w:after="0" w:line="266" w:lineRule="exact"/>
        <w:rPr>
          <w:sz w:val="20"/>
          <w:szCs w:val="20"/>
          <w:color w:val="auto"/>
        </w:rPr>
      </w:pPr>
    </w:p>
    <w:p>
      <w:pPr>
        <w:ind w:left="20" w:right="300"/>
        <w:spacing w:after="0" w:line="284" w:lineRule="auto"/>
        <w:rPr>
          <w:sz w:val="20"/>
          <w:szCs w:val="20"/>
          <w:color w:val="auto"/>
        </w:rPr>
      </w:pPr>
      <w:r>
        <w:rPr>
          <w:rFonts w:ascii="Arial" w:cs="Arial" w:eastAsia="Arial" w:hAnsi="Arial"/>
          <w:sz w:val="18"/>
          <w:szCs w:val="18"/>
          <w:color w:val="auto"/>
        </w:rPr>
        <w:t>Nick Nottoli Media Relations (847) 402-5600</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Allister Gobin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(847) 402-2800</w:t>
      </w:r>
    </w:p>
    <w:p>
      <w:pPr>
        <w:spacing w:after="0" w:line="259" w:lineRule="exact"/>
        <w:rPr>
          <w:sz w:val="20"/>
          <w:szCs w:val="20"/>
          <w:color w:val="auto"/>
        </w:rPr>
      </w:pPr>
    </w:p>
    <w:p>
      <w:pPr>
        <w:sectPr>
          <w:pgSz w:w="11900" w:h="16838" w:orient="portrait"/>
          <w:cols w:equalWidth="0" w:num="2">
            <w:col w:w="1620" w:space="720"/>
            <w:col w:w="8900"/>
          </w:cols>
          <w:pgMar w:left="320" w:top="1440" w:right="339" w:bottom="1440" w:gutter="0" w:footer="0" w:header="0"/>
          <w:type w:val="continuous"/>
        </w:sectPr>
      </w:pP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Allstate Announces January 2025 Catastrophe Losses and Policies in Force</w:t>
      </w:r>
    </w:p>
    <w:p>
      <w:pPr>
        <w:sectPr>
          <w:pgSz w:w="11900" w:h="16838" w:orient="portrait"/>
          <w:cols w:equalWidth="0" w:num="1">
            <w:col w:w="11240"/>
          </w:cols>
          <w:pgMar w:left="320" w:top="1440" w:right="339" w:bottom="1440" w:gutter="0" w:footer="0" w:header="0"/>
          <w:type w:val="continuous"/>
        </w:sectPr>
      </w:pPr>
    </w:p>
    <w:p>
      <w:pPr>
        <w:spacing w:after="0" w:line="25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NORTHBROOK, Ill., February 20, 2025 – The Allstate Corporation (NYSE: ALL) today announced estimated catastrophe losses for the month of January of $1.08 billion or $849 million, after-tax.</w:t>
      </w:r>
    </w:p>
    <w:p>
      <w:pPr>
        <w:spacing w:after="0" w:line="4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Catastrophe losses included three events with approximately $1.07 billion related to the California wildfires. The California wildfire event estimate includes reinsurance reinstatement premiums, an estimated California FAIR Plan assessment and is net of estimated reinsurance recoveries of $1.40 billion.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Allstate Protection policies in force are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Allstate Protection Policies in Force </w:t>
      </w:r>
      <w:r>
        <w:rPr>
          <w:rFonts w:ascii="Arial" w:cs="Arial" w:eastAsia="Arial" w:hAnsi="Arial"/>
          <w:sz w:val="21"/>
          <w:szCs w:val="21"/>
          <w:b w:val="1"/>
          <w:bCs w:val="1"/>
          <w:color w:val="auto"/>
          <w:vertAlign w:val="superscript"/>
        </w:rPr>
        <w:t>(1)</w:t>
      </w:r>
    </w:p>
    <w:tbl>
      <w:tblPr>
        <w:tblLayout w:type="fixed"/>
        <w:tblInd w:w="0" w:type="dxa"/>
        <w:tblCellMar>
          <w:top w:w="0" w:type="dxa"/>
          <w:left w:w="0" w:type="dxa"/>
          <w:bottom w:w="0" w:type="dxa"/>
          <w:right w:w="0" w:type="dxa"/>
        </w:tblCellMar>
      </w:tblPr>
      <w:tr>
        <w:trPr>
          <w:trHeight w:val="155"/>
        </w:trPr>
        <w:tc>
          <w:tcPr>
            <w:tcW w:w="29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January 31, 2025</w:t>
            </w:r>
          </w:p>
        </w:tc>
        <w:tc>
          <w:tcPr>
            <w:tcW w:w="152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6"/>
                <w:szCs w:val="16"/>
                <w:b w:val="1"/>
                <w:bCs w:val="1"/>
                <w:color w:val="auto"/>
              </w:rPr>
              <w:t>December 31,</w:t>
            </w:r>
          </w:p>
        </w:tc>
        <w:tc>
          <w:tcPr>
            <w:tcW w:w="15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January 31, 2024</w:t>
            </w:r>
          </w:p>
        </w:tc>
        <w:tc>
          <w:tcPr>
            <w:tcW w:w="188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6"/>
                <w:szCs w:val="16"/>
                <w:b w:val="1"/>
                <w:bCs w:val="1"/>
                <w:color w:val="auto"/>
              </w:rPr>
              <w:t>Jan. 31, 2025 v Dec.</w:t>
            </w:r>
          </w:p>
        </w:tc>
        <w:tc>
          <w:tcPr>
            <w:tcW w:w="1800" w:type="dxa"/>
            <w:vAlign w:val="bottom"/>
            <w:tcBorders>
              <w:top w:val="single" w:sz="8" w:color="auto"/>
            </w:tcBorders>
          </w:tcPr>
          <w:p>
            <w:pPr>
              <w:jc w:val="right"/>
              <w:ind w:right="59"/>
              <w:spacing w:after="0" w:line="155" w:lineRule="exact"/>
              <w:rPr>
                <w:sz w:val="20"/>
                <w:szCs w:val="20"/>
                <w:color w:val="auto"/>
              </w:rPr>
            </w:pPr>
            <w:r>
              <w:rPr>
                <w:rFonts w:ascii="Arial" w:cs="Arial" w:eastAsia="Arial" w:hAnsi="Arial"/>
                <w:sz w:val="16"/>
                <w:szCs w:val="16"/>
                <w:b w:val="1"/>
                <w:bCs w:val="1"/>
                <w:color w:val="auto"/>
              </w:rPr>
              <w:t>Jan. 31, 2025 v Jan.</w:t>
            </w:r>
          </w:p>
        </w:tc>
        <w:tc>
          <w:tcPr>
            <w:tcW w:w="0" w:type="dxa"/>
            <w:vAlign w:val="bottom"/>
          </w:tcPr>
          <w:p>
            <w:pPr>
              <w:spacing w:after="0"/>
              <w:rPr>
                <w:sz w:val="1"/>
                <w:szCs w:val="1"/>
                <w:color w:val="auto"/>
              </w:rPr>
            </w:pPr>
          </w:p>
        </w:tc>
      </w:tr>
      <w:tr>
        <w:trPr>
          <w:trHeight w:val="216"/>
        </w:trPr>
        <w:tc>
          <w:tcPr>
            <w:tcW w:w="2960" w:type="dxa"/>
            <w:vAlign w:val="bottom"/>
            <w:gridSpan w:val="2"/>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780" w:type="dxa"/>
            <w:vAlign w:val="bottom"/>
          </w:tcPr>
          <w:p>
            <w:pPr>
              <w:jc w:val="right"/>
              <w:ind w:right="499"/>
              <w:spacing w:after="0"/>
              <w:rPr>
                <w:sz w:val="20"/>
                <w:szCs w:val="20"/>
                <w:color w:val="auto"/>
              </w:rPr>
            </w:pPr>
            <w:r>
              <w:rPr>
                <w:rFonts w:ascii="Arial" w:cs="Arial" w:eastAsia="Arial" w:hAnsi="Arial"/>
                <w:sz w:val="16"/>
                <w:szCs w:val="16"/>
                <w:b w:val="1"/>
                <w:bCs w:val="1"/>
                <w:color w:val="auto"/>
              </w:rPr>
              <w:t>31, 2024</w:t>
            </w:r>
          </w:p>
        </w:tc>
        <w:tc>
          <w:tcPr>
            <w:tcW w:w="100" w:type="dxa"/>
            <w:vAlign w:val="bottom"/>
          </w:tcPr>
          <w:p>
            <w:pPr>
              <w:spacing w:after="0"/>
              <w:rPr>
                <w:sz w:val="18"/>
                <w:szCs w:val="18"/>
                <w:color w:val="auto"/>
              </w:rPr>
            </w:pPr>
          </w:p>
        </w:tc>
        <w:tc>
          <w:tcPr>
            <w:tcW w:w="1800" w:type="dxa"/>
            <w:vAlign w:val="bottom"/>
          </w:tcPr>
          <w:p>
            <w:pPr>
              <w:jc w:val="right"/>
              <w:ind w:right="499"/>
              <w:spacing w:after="0"/>
              <w:rPr>
                <w:sz w:val="20"/>
                <w:szCs w:val="20"/>
                <w:color w:val="auto"/>
              </w:rPr>
            </w:pPr>
            <w:r>
              <w:rPr>
                <w:rFonts w:ascii="Arial" w:cs="Arial" w:eastAsia="Arial" w:hAnsi="Arial"/>
                <w:sz w:val="16"/>
                <w:szCs w:val="16"/>
                <w:b w:val="1"/>
                <w:bCs w:val="1"/>
                <w:color w:val="auto"/>
              </w:rPr>
              <w:t>31, 2024</w:t>
            </w:r>
          </w:p>
        </w:tc>
        <w:tc>
          <w:tcPr>
            <w:tcW w:w="0" w:type="dxa"/>
            <w:vAlign w:val="bottom"/>
          </w:tcPr>
          <w:p>
            <w:pPr>
              <w:spacing w:after="0"/>
              <w:rPr>
                <w:sz w:val="1"/>
                <w:szCs w:val="1"/>
                <w:color w:val="auto"/>
              </w:rPr>
            </w:pPr>
          </w:p>
        </w:tc>
      </w:tr>
      <w:tr>
        <w:trPr>
          <w:trHeight w:val="208"/>
        </w:trPr>
        <w:tc>
          <w:tcPr>
            <w:tcW w:w="2820" w:type="dxa"/>
            <w:vAlign w:val="bottom"/>
            <w:tcBorders>
              <w:top w:val="single" w:sz="8" w:color="0033A0"/>
            </w:tcBorders>
          </w:tcPr>
          <w:p>
            <w:pPr>
              <w:ind w:left="20"/>
              <w:spacing w:after="0"/>
              <w:rPr>
                <w:sz w:val="20"/>
                <w:szCs w:val="20"/>
                <w:color w:val="auto"/>
              </w:rPr>
            </w:pPr>
            <w:r>
              <w:rPr>
                <w:rFonts w:ascii="Arial" w:cs="Arial" w:eastAsia="Arial" w:hAnsi="Arial"/>
                <w:sz w:val="16"/>
                <w:szCs w:val="16"/>
                <w:color w:val="auto"/>
              </w:rPr>
              <w:t>Auto</w:t>
            </w:r>
          </w:p>
        </w:tc>
        <w:tc>
          <w:tcPr>
            <w:tcW w:w="140" w:type="dxa"/>
            <w:vAlign w:val="bottom"/>
          </w:tcPr>
          <w:p>
            <w:pPr>
              <w:spacing w:after="0"/>
              <w:rPr>
                <w:sz w:val="18"/>
                <w:szCs w:val="18"/>
                <w:color w:val="auto"/>
              </w:rPr>
            </w:pPr>
          </w:p>
        </w:tc>
        <w:tc>
          <w:tcPr>
            <w:tcW w:w="140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24,835</w:t>
            </w:r>
          </w:p>
        </w:tc>
        <w:tc>
          <w:tcPr>
            <w:tcW w:w="160" w:type="dxa"/>
            <w:vAlign w:val="bottom"/>
          </w:tcPr>
          <w:p>
            <w:pPr>
              <w:spacing w:after="0"/>
              <w:rPr>
                <w:sz w:val="18"/>
                <w:szCs w:val="18"/>
                <w:color w:val="auto"/>
              </w:rPr>
            </w:pPr>
          </w:p>
        </w:tc>
        <w:tc>
          <w:tcPr>
            <w:tcW w:w="142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24,936</w:t>
            </w:r>
          </w:p>
        </w:tc>
        <w:tc>
          <w:tcPr>
            <w:tcW w:w="100" w:type="dxa"/>
            <w:vAlign w:val="bottom"/>
          </w:tcPr>
          <w:p>
            <w:pPr>
              <w:spacing w:after="0"/>
              <w:rPr>
                <w:sz w:val="18"/>
                <w:szCs w:val="18"/>
                <w:color w:val="auto"/>
              </w:rPr>
            </w:pPr>
          </w:p>
        </w:tc>
        <w:tc>
          <w:tcPr>
            <w:tcW w:w="142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25,155</w:t>
            </w:r>
          </w:p>
        </w:tc>
        <w:tc>
          <w:tcPr>
            <w:tcW w:w="100" w:type="dxa"/>
            <w:vAlign w:val="bottom"/>
          </w:tcPr>
          <w:p>
            <w:pPr>
              <w:spacing w:after="0"/>
              <w:rPr>
                <w:sz w:val="18"/>
                <w:szCs w:val="18"/>
                <w:color w:val="auto"/>
              </w:rPr>
            </w:pPr>
          </w:p>
        </w:tc>
        <w:tc>
          <w:tcPr>
            <w:tcW w:w="178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80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Homeowners</w:t>
            </w:r>
          </w:p>
        </w:tc>
        <w:tc>
          <w:tcPr>
            <w:tcW w:w="1400" w:type="dxa"/>
            <w:vAlign w:val="bottom"/>
          </w:tcPr>
          <w:p>
            <w:pPr>
              <w:jc w:val="right"/>
              <w:spacing w:after="0"/>
              <w:rPr>
                <w:sz w:val="20"/>
                <w:szCs w:val="20"/>
                <w:color w:val="auto"/>
              </w:rPr>
            </w:pPr>
            <w:r>
              <w:rPr>
                <w:rFonts w:ascii="Arial" w:cs="Arial" w:eastAsia="Arial" w:hAnsi="Arial"/>
                <w:sz w:val="16"/>
                <w:szCs w:val="16"/>
                <w:color w:val="auto"/>
              </w:rPr>
              <w:t>7,521</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7,511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7,341</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Other personal lines</w:t>
            </w:r>
          </w:p>
        </w:tc>
        <w:tc>
          <w:tcPr>
            <w:tcW w:w="1400" w:type="dxa"/>
            <w:vAlign w:val="bottom"/>
          </w:tcPr>
          <w:p>
            <w:pPr>
              <w:jc w:val="right"/>
              <w:spacing w:after="0"/>
              <w:rPr>
                <w:sz w:val="20"/>
                <w:szCs w:val="20"/>
                <w:color w:val="auto"/>
              </w:rPr>
            </w:pPr>
            <w:r>
              <w:rPr>
                <w:rFonts w:ascii="Arial" w:cs="Arial" w:eastAsia="Arial" w:hAnsi="Arial"/>
                <w:sz w:val="16"/>
                <w:szCs w:val="16"/>
                <w:color w:val="auto"/>
              </w:rPr>
              <w:t>4,866</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4,870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4,850</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7"/>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Commercial lines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0"/>
        </w:trPr>
        <w:tc>
          <w:tcPr>
            <w:tcW w:w="29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37,426</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37,626</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320" w:firstLine="8"/>
        <w:spacing w:after="0" w:line="292" w:lineRule="auto"/>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2"/>
          <w:szCs w:val="12"/>
          <w:color w:val="auto"/>
        </w:rPr>
        <w:t>Policy counts are based on items rather than customers. A multi-car customer would generate multiple item (policy) counts, even if all cars were insured under one policy. Lender-placed policies are excluded from policy counts because relationships are with the lenders.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Financial information, including material announcements about The Allstate Corporation, is routinely posted on </w:t>
      </w:r>
      <w:r>
        <w:rPr>
          <w:rFonts w:ascii="Arial" w:cs="Arial" w:eastAsia="Arial" w:hAnsi="Arial"/>
          <w:sz w:val="18"/>
          <w:szCs w:val="18"/>
          <w:color w:val="484848"/>
        </w:rPr>
        <w:t>www.allstateinvestors.com.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This news release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However,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may be found in our filings with the U.S. Securities and Exchange Commission, including the “Risk Factors” section in our most recent annual report on Form 10-K. Forward-looking statements are as of the date on which they are made, and we assume no obligation to update or revise any forward-looking statement.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 #</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2025-02-20T06:55:07Z</dcterms:created>
  <dcterms:modified xsi:type="dcterms:W3CDTF">2025-02-20T06:55:07Z</dcterms:modified>
</cp:coreProperties>
</file>