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TRAQUINA PERRY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224.41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8,254.5</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8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161"/>
        <w:gridCol w:w="801"/>
        <w:gridCol w:w="1026"/>
        <w:gridCol w:w="831"/>
        <w:gridCol w:w="846"/>
      </w:tblGrid>
      <w:tr>
        <w:trPr>
          <w:tblHeader w:val="true"/>
        </w:trPr>
        <w:tc>
          <w:tcPr>
            <w:tcW w:w="1238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7,816.206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7,816.206</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acquired pursuant to election to receive stock in lieu of cash compensation under The Allstate Corporation 2017 Equity Compensation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also reflects 28.045 shares acquired during the period of July 2, 2026, through October 1, 2026, through the Shareholder Service Plus Plan, which reinvests dividends paid on The Allstate Corporation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common share units were acquired pursuant to The Allstate Corporation Amended and Restated Deferred Compensation Plan for Non-Employee Directors and represent director's fees deferred under the Plan and converted into units based on the market value of The Allstate Corporation's common shares. The units are credited with amounts representing dividends on common shares, as declared, which are also converted into units. For the period of July 2, 2026 through October 1, 2026, the reporting person acquired 37.436 of common share units representing those dividends.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Perry M. Traquina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8062"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3981</Characters>
  <CharactersWithSpaces>4627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