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629"/>
        <w:gridCol w:w="3375"/>
        <w:gridCol w:w="3201"/>
      </w:tblGrid>
      <w:tr>
        <w:trPr/>
        <w:tc>
          <w:tcPr>
            <w:tcW w:w="3629"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509"/>
            </w:tblGrid>
            <w:tr>
              <w:trPr/>
              <w:tc>
                <w:tcPr>
                  <w:tcW w:w="3509" w:type="dxa"/>
                  <w:tcBorders/>
                  <w:vAlign w:val="center"/>
                </w:tcPr>
                <w:p>
                  <w:pPr>
                    <w:pStyle w:val="TableContents"/>
                    <w:bidi w:val="0"/>
                    <w:spacing w:before="0" w:after="283"/>
                    <w:jc w:val="left"/>
                    <w:rPr/>
                  </w:pPr>
                  <w:hyperlink r:id="rId4">
                    <w:r>
                      <w:rPr>
                        <w:rStyle w:val="InternetLink"/>
                      </w:rPr>
                      <w:t>Merten Jesse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69"/>
              <w:gridCol w:w="1170"/>
              <w:gridCol w:w="1170"/>
            </w:tblGrid>
            <w:tr>
              <w:trPr/>
              <w:tc>
                <w:tcPr>
                  <w:tcW w:w="11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509"/>
            </w:tblGrid>
            <w:tr>
              <w:trPr/>
              <w:tc>
                <w:tcPr>
                  <w:tcW w:w="350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ALLSTATE CORPORATION</w:t>
                  </w:r>
                </w:p>
              </w:tc>
            </w:tr>
            <w:tr>
              <w:trPr/>
              <w:tc>
                <w:tcPr>
                  <w:tcW w:w="350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SANDERS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69"/>
              <w:gridCol w:w="1170"/>
              <w:gridCol w:w="1170"/>
            </w:tblGrid>
            <w:tr>
              <w:trPr/>
              <w:tc>
                <w:tcPr>
                  <w:tcW w:w="116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117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7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69"/>
              <w:gridCol w:w="1170"/>
              <w:gridCol w:w="1170"/>
            </w:tblGrid>
            <w:tr>
              <w:trPr/>
              <w:tc>
                <w:tcPr>
                  <w:tcW w:w="11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375"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ALLSTATE CORP</w:t>
              </w:r>
            </w:hyperlink>
            <w:r>
              <w:rPr/>
              <w:t xml:space="preserve"> [ </w:t>
            </w:r>
            <w:r>
              <w:rPr>
                <w:rFonts w:ascii="Times;serif" w:hAnsi="Times;serif"/>
                <w:color w:val="0000FF"/>
                <w:sz w:val="24"/>
                <w:shd w:fill="FFFFFF" w:val="clear"/>
              </w:rPr>
              <w:t>ALL</w:t>
            </w:r>
            <w:r>
              <w:rPr/>
              <w:t xml:space="preserve"> ] </w:t>
              <w:br/>
            </w:r>
            <w:r>
              <w:rPr>
                <w:rFonts w:ascii="arial;helvetica;sans-serif" w:hAnsi="arial;helvetica;sans-serif"/>
                <w:sz w:val="20"/>
              </w:rPr>
              <w:t>Foreign Trading Symbol</w:t>
            </w:r>
          </w:p>
        </w:tc>
        <w:tc>
          <w:tcPr>
            <w:tcW w:w="320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61"/>
              <w:gridCol w:w="1079"/>
              <w:gridCol w:w="462"/>
              <w:gridCol w:w="1079"/>
            </w:tblGrid>
            <w:tr>
              <w:trPr/>
              <w:tc>
                <w:tcPr>
                  <w:tcW w:w="46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6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6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6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308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PresPersonalProperty-Liability</w:t>
                  </w:r>
                </w:p>
              </w:tc>
            </w:tr>
          </w:tbl>
          <w:p>
            <w:pPr>
              <w:pStyle w:val="TableContents"/>
              <w:bidi w:val="0"/>
              <w:spacing w:before="0" w:after="283"/>
              <w:jc w:val="left"/>
              <w:rPr>
                <w:sz w:val="4"/>
                <w:szCs w:val="4"/>
              </w:rPr>
            </w:pPr>
            <w:r>
              <w:rPr>
                <w:sz w:val="4"/>
                <w:szCs w:val="4"/>
              </w:rPr>
            </w:r>
          </w:p>
        </w:tc>
      </w:tr>
      <w:tr>
        <w:trPr/>
        <w:tc>
          <w:tcPr>
            <w:tcW w:w="362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375"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10/03/2026</w:t>
            </w:r>
          </w:p>
        </w:tc>
        <w:tc>
          <w:tcPr>
            <w:tcW w:w="32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629"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375"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20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61"/>
              <w:gridCol w:w="2620"/>
            </w:tblGrid>
            <w:tr>
              <w:trPr/>
              <w:tc>
                <w:tcPr>
                  <w:tcW w:w="46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6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61"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32,319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223.74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32,311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8,015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52"/>
        <w:gridCol w:w="44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4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of previously awarded Restricted Stock Units (RSUs) into an equal number of common shares, without the payment of any consideration, pursuant to The Allstate Corporation 2019 Equity Incentive Plan. The remaining RSUs will convert on October 3, 2027 and October 3,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Meghan E. Jauhar, attorney-in-fact for Jesse E. Merten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5539" TargetMode="External"/><Relationship Id="rId5" Type="http://schemas.openxmlformats.org/officeDocument/2006/relationships/hyperlink" Target="http://www.sec.gov/cgi-bin/browse-edgar?action=getcompany&amp;CIK=00008990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3482</Characters>
  <CharactersWithSpaces>4033</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