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UNITED STATES</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SECURITIES AND EXCHANGE COMMISSION</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Washington, D.C. 20549</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 xml:space="preserve">FORM 8-K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CURRENT REPORT</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PURSUANT TO SECTION 13 OR 15 (d) OF THE</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SECURITIES EXCHANGE ACT OF 1934</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Date of report (Date of earliest event reported): July 14, 2026</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THE ALLSTATE CORPORATION</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(Exact name of registrant as specified in its charter)</w:t>
      </w:r>
    </w:p>
    <w:p>
      <w:pPr>
        <w:pStyle w:val="TextBody"/>
        <w:bidi w:val="0"/>
        <w:spacing w:lineRule="auto" w:line="288" w:before="0" w:after="0"/>
        <w:jc w:val="center"/>
        <w:rPr>
          <w:color w:val="000000"/>
        </w:rPr>
      </w:pPr>
      <w:r>
        <w:rPr>
          <w:color w:val="000000"/>
        </w:rPr>
        <w:t> </w:t>
      </w:r>
    </w:p>
    <w:tbl>
      <w:tblPr>
        <w:tblW w:w="9892" w:type="dxa"/>
        <w:jc w:val="center"/>
        <w:tblInd w:w="0" w:type="dxa"/>
        <w:tblLayout w:type="fixed"/>
        <w:tblCellMar>
          <w:top w:w="28" w:type="dxa"/>
          <w:left w:w="28" w:type="dxa"/>
          <w:bottom w:w="28" w:type="dxa"/>
          <w:right w:w="28" w:type="dxa"/>
        </w:tblCellMar>
      </w:tblPr>
      <w:tblGrid>
        <w:gridCol w:w="1377"/>
        <w:gridCol w:w="1210"/>
        <w:gridCol w:w="1222"/>
        <w:gridCol w:w="109"/>
        <w:gridCol w:w="109"/>
        <w:gridCol w:w="109"/>
        <w:gridCol w:w="802"/>
        <w:gridCol w:w="802"/>
        <w:gridCol w:w="810"/>
        <w:gridCol w:w="109"/>
        <w:gridCol w:w="109"/>
        <w:gridCol w:w="109"/>
        <w:gridCol w:w="880"/>
        <w:gridCol w:w="880"/>
        <w:gridCol w:w="1255"/>
      </w:tblGrid>
      <w:tr>
        <w:trPr/>
        <w:tc>
          <w:tcPr>
            <w:tcW w:w="137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1-11840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36-3871531</w:t>
            </w:r>
          </w:p>
        </w:tc>
      </w:tr>
      <w:tr>
        <w:trPr/>
        <w:tc>
          <w:tcPr>
            <w:tcW w:w="3809" w:type="dxa"/>
            <w:gridSpan w:val="3"/>
            <w:tcBorders/>
            <w:tcMar>
              <w:top w:w="0" w:type="dxa"/>
              <w:left w:w="0" w:type="dxa"/>
              <w:bottom w:w="0" w:type="dxa"/>
              <w:right w:w="0" w:type="dxa"/>
            </w:tcMar>
            <w:vAlign w:val="center"/>
          </w:tcPr>
          <w:p>
            <w:pPr>
              <w:pStyle w:val="TableContents"/>
              <w:bidi w:val="0"/>
              <w:spacing w:lineRule="auto" w:line="232" w:before="75" w:after="30"/>
              <w:jc w:val="center"/>
              <w:rPr>
                <w:rFonts w:ascii="Arial;sans-serif" w:hAnsi="Arial;sans-serif"/>
                <w:b w:val="false"/>
                <w:color w:val="000000"/>
                <w:sz w:val="20"/>
              </w:rPr>
            </w:pPr>
            <w:r>
              <w:rPr>
                <w:rFonts w:ascii="Arial;sans-serif" w:hAnsi="Arial;sans-serif"/>
                <w:b w:val="false"/>
                <w:color w:val="000000"/>
                <w:sz w:val="20"/>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14" w:type="dxa"/>
            <w:gridSpan w:val="3"/>
            <w:tcBorders/>
            <w:tcMar>
              <w:top w:w="0" w:type="dxa"/>
              <w:left w:w="0" w:type="dxa"/>
              <w:bottom w:w="0" w:type="dxa"/>
              <w:right w:w="0" w:type="dxa"/>
            </w:tcMar>
            <w:vAlign w:val="center"/>
          </w:tcPr>
          <w:p>
            <w:pPr>
              <w:pStyle w:val="TableContents"/>
              <w:bidi w:val="0"/>
              <w:spacing w:lineRule="auto" w:line="232" w:before="75" w:after="30"/>
              <w:jc w:val="left"/>
              <w:rPr>
                <w:rFonts w:ascii="Arial;sans-serif" w:hAnsi="Arial;sans-serif"/>
                <w:b w:val="false"/>
                <w:color w:val="000000"/>
                <w:sz w:val="20"/>
              </w:rPr>
            </w:pPr>
            <w:r>
              <w:rPr>
                <w:rFonts w:ascii="Arial;sans-serif" w:hAnsi="Arial;sans-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15" w:type="dxa"/>
            <w:gridSpan w:val="3"/>
            <w:tcBorders/>
            <w:tcMar>
              <w:top w:w="0" w:type="dxa"/>
              <w:left w:w="0" w:type="dxa"/>
              <w:bottom w:w="0" w:type="dxa"/>
              <w:right w:w="0" w:type="dxa"/>
            </w:tcMar>
            <w:vAlign w:val="center"/>
          </w:tcPr>
          <w:p>
            <w:pPr>
              <w:pStyle w:val="TableContents"/>
              <w:bidi w:val="0"/>
              <w:spacing w:lineRule="auto" w:line="232" w:before="75" w:after="30"/>
              <w:jc w:val="center"/>
              <w:rPr>
                <w:rFonts w:ascii="Arial;sans-serif" w:hAnsi="Arial;sans-serif"/>
                <w:b w:val="false"/>
                <w:color w:val="000000"/>
                <w:sz w:val="20"/>
              </w:rPr>
            </w:pPr>
            <w:r>
              <w:rPr>
                <w:rFonts w:ascii="Arial;sans-serif" w:hAnsi="Arial;sans-serif"/>
                <w:b w:val="false"/>
                <w:color w:val="000000"/>
                <w:sz w:val="20"/>
              </w:rPr>
              <w:t>(IRS Employer Identification No.)</w:t>
            </w:r>
          </w:p>
        </w:tc>
      </w:tr>
    </w:tbl>
    <w:p>
      <w:pPr>
        <w:pStyle w:val="TextBody"/>
        <w:bidi w:val="0"/>
        <w:spacing w:lineRule="auto" w:line="288" w:before="120" w:after="120"/>
        <w:ind w:left="0" w:right="0" w:firstLine="360"/>
        <w:jc w:val="center"/>
        <w:rPr>
          <w:rFonts w:ascii="Arial;sans-serif" w:hAnsi="Arial;sans-serif"/>
          <w:b/>
          <w:color w:val="000000"/>
          <w:sz w:val="20"/>
        </w:rPr>
      </w:pPr>
      <w:r>
        <w:rPr>
          <w:rFonts w:ascii="Arial;sans-serif" w:hAnsi="Arial;sans-serif"/>
          <w:b/>
          <w:color w:val="000000"/>
          <w:sz w:val="20"/>
        </w:rPr>
        <w:t xml:space="preserve">3100 Sanders Road, Northbrook, Illinois    60062 </w:t>
      </w:r>
    </w:p>
    <w:p>
      <w:pPr>
        <w:pStyle w:val="TextBody"/>
        <w:bidi w:val="0"/>
        <w:spacing w:lineRule="auto" w:line="288" w:before="0" w:after="60"/>
        <w:ind w:left="0" w:right="0" w:firstLine="360"/>
        <w:jc w:val="center"/>
        <w:rPr>
          <w:rFonts w:ascii="Arial;sans-serif" w:hAnsi="Arial;sans-serif"/>
          <w:b w:val="false"/>
          <w:color w:val="000000"/>
          <w:sz w:val="20"/>
        </w:rPr>
      </w:pPr>
      <w:r>
        <w:rPr>
          <w:rFonts w:ascii="Arial;sans-serif" w:hAnsi="Arial;sans-serif"/>
          <w:b w:val="false"/>
          <w:color w:val="000000"/>
          <w:sz w:val="20"/>
        </w:rPr>
        <w:t>(Address of principal executive offices)    (Zip Code)</w:t>
      </w:r>
    </w:p>
    <w:p>
      <w:pPr>
        <w:pStyle w:val="TextBody"/>
        <w:bidi w:val="0"/>
        <w:spacing w:lineRule="auto" w:line="288" w:before="0" w:after="60"/>
        <w:jc w:val="center"/>
        <w:rPr/>
      </w:pPr>
      <w:r>
        <w:rPr>
          <w:rFonts w:ascii="Arial;sans-serif" w:hAnsi="Arial;sans-serif"/>
          <w:b w:val="false"/>
          <w:color w:val="000000"/>
          <w:sz w:val="20"/>
        </w:rPr>
        <w:t>Registrant’s telephone number, including area code  </w:t>
      </w:r>
      <w:r>
        <w:rPr>
          <w:rFonts w:ascii="Arial;sans-serif" w:hAnsi="Arial;sans-serif"/>
          <w:b/>
          <w:color w:val="000000"/>
          <w:sz w:val="20"/>
        </w:rPr>
        <w:t xml:space="preserve">(847) 402-2800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xml:space="preserve">☐ </w:t>
      </w:r>
      <w:r>
        <w:rPr>
          <w:rFonts w:ascii="Arial;sans-serif" w:hAnsi="Arial;sans-serif"/>
          <w:b w:val="false"/>
          <w:color w:val="000000"/>
          <w:sz w:val="20"/>
        </w:rPr>
        <w:t>Written communications pursuant to Rule 425 under the Securities Act (17 CFR 230.425)</w:t>
      </w:r>
    </w:p>
    <w:p>
      <w:pPr>
        <w:pStyle w:val="TextBody"/>
        <w:bidi w:val="0"/>
        <w:spacing w:lineRule="auto" w:line="288" w:before="0" w:after="0"/>
        <w:jc w:val="left"/>
        <w:rPr>
          <w:color w:val="000000"/>
        </w:rPr>
      </w:pPr>
      <w:r>
        <w:rPr>
          <w:color w:val="000000"/>
        </w:rPr>
        <w:t xml:space="preserve">☐ </w:t>
      </w:r>
      <w:r>
        <w:rPr>
          <w:rFonts w:ascii="Arial;sans-serif" w:hAnsi="Arial;sans-serif"/>
          <w:b w:val="false"/>
          <w:color w:val="000000"/>
          <w:sz w:val="20"/>
        </w:rPr>
        <w:t>Soliciting material pursuant to Rule 14a-12 under the Exchange Act (17 CFR 240.14a-12)</w:t>
      </w:r>
    </w:p>
    <w:p>
      <w:pPr>
        <w:pStyle w:val="TextBody"/>
        <w:bidi w:val="0"/>
        <w:spacing w:lineRule="auto" w:line="288" w:before="0" w:after="0"/>
        <w:jc w:val="left"/>
        <w:rPr>
          <w:color w:val="000000"/>
        </w:rPr>
      </w:pPr>
      <w:r>
        <w:rPr>
          <w:color w:val="000000"/>
        </w:rPr>
        <w:t xml:space="preserve">☐ </w:t>
      </w:r>
      <w:r>
        <w:rPr>
          <w:rFonts w:ascii="Arial;sans-serif" w:hAnsi="Arial;sans-serif"/>
          <w:b w:val="false"/>
          <w:color w:val="000000"/>
          <w:sz w:val="20"/>
        </w:rPr>
        <w:t>Pre-commencement communications pursuant to Rule 14d-2(b) under the Exchange Act (17 CFR 240.14d-2(b))</w:t>
      </w:r>
    </w:p>
    <w:p>
      <w:pPr>
        <w:pStyle w:val="TextBody"/>
        <w:bidi w:val="0"/>
        <w:spacing w:lineRule="auto" w:line="288" w:before="0" w:after="0"/>
        <w:jc w:val="left"/>
        <w:rPr>
          <w:color w:val="000000"/>
        </w:rPr>
      </w:pPr>
      <w:r>
        <w:rPr>
          <w:color w:val="000000"/>
        </w:rPr>
        <w:t xml:space="preserve">☐ </w:t>
      </w:r>
      <w:r>
        <w:rPr>
          <w:rFonts w:ascii="Arial;sans-serif" w:hAnsi="Arial;sans-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2233"/>
        <w:gridCol w:w="1839"/>
        <w:gridCol w:w="1860"/>
        <w:gridCol w:w="432"/>
        <w:gridCol w:w="429"/>
        <w:gridCol w:w="430"/>
        <w:gridCol w:w="871"/>
        <w:gridCol w:w="871"/>
        <w:gridCol w:w="1240"/>
      </w:tblGrid>
      <w:tr>
        <w:trPr/>
        <w:tc>
          <w:tcPr>
            <w:tcW w:w="2233"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186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r>
      <w:tr>
        <w:trPr/>
        <w:tc>
          <w:tcPr>
            <w:tcW w:w="59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Title of each class</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Trading Symbols</w:t>
            </w:r>
          </w:p>
        </w:tc>
        <w:tc>
          <w:tcPr>
            <w:tcW w:w="29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Name of each exchange on which registered</w:t>
            </w:r>
          </w:p>
        </w:tc>
      </w:tr>
      <w:tr>
        <w:trPr/>
        <w:tc>
          <w:tcPr>
            <w:tcW w:w="59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Common Stock, par value $0.01 per share</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ALL</w:t>
            </w:r>
          </w:p>
        </w:tc>
        <w:tc>
          <w:tcPr>
            <w:tcW w:w="2982" w:type="dxa"/>
            <w:gridSpan w:val="3"/>
            <w:tcBorders/>
            <w:tcMar>
              <w:top w:w="0" w:type="dxa"/>
              <w:left w:w="0" w:type="dxa"/>
              <w:bottom w:w="0" w:type="dxa"/>
              <w:right w:w="0" w:type="dxa"/>
            </w:tcMar>
            <w:vAlign w:val="center"/>
          </w:tcPr>
          <w:p>
            <w:pPr>
              <w:pStyle w:val="TableContents"/>
              <w:bidi w:val="0"/>
              <w:spacing w:lineRule="auto" w:line="232" w:before="0" w:after="283"/>
              <w:jc w:val="center"/>
              <w:rPr>
                <w:rFonts w:ascii="Arial;sans-serif" w:hAnsi="Arial;sans-serif"/>
                <w:b w:val="false"/>
                <w:color w:val="000000"/>
                <w:sz w:val="16"/>
              </w:rPr>
            </w:pPr>
            <w:r>
              <w:rPr>
                <w:rFonts w:ascii="Arial;sans-serif" w:hAnsi="Arial;sans-serif"/>
                <w:b w:val="false"/>
                <w:color w:val="000000"/>
                <w:sz w:val="16"/>
              </w:rPr>
              <w:t xml:space="preserve">New York Stock Exchange </w:t>
              <w:br/>
              <w:t>NYSE Texas</w:t>
            </w:r>
          </w:p>
        </w:tc>
      </w:tr>
      <w:tr>
        <w:trPr/>
        <w:tc>
          <w:tcPr>
            <w:tcW w:w="59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5.100% Fixed-to-Floating Rate Subordinated Debentures due 2053</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ALL.PR.B</w:t>
            </w:r>
          </w:p>
        </w:tc>
        <w:tc>
          <w:tcPr>
            <w:tcW w:w="29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New York Stock Exchange</w:t>
            </w:r>
          </w:p>
        </w:tc>
      </w:tr>
      <w:tr>
        <w:trPr/>
        <w:tc>
          <w:tcPr>
            <w:tcW w:w="59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Depositary Shares represent 1/1,000th of a share of 5.100% Noncumulative Preferred Stock, Series H</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ALL PR H</w:t>
            </w:r>
          </w:p>
        </w:tc>
        <w:tc>
          <w:tcPr>
            <w:tcW w:w="29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New York Stock Exchange</w:t>
            </w:r>
          </w:p>
        </w:tc>
      </w:tr>
      <w:tr>
        <w:trPr/>
        <w:tc>
          <w:tcPr>
            <w:tcW w:w="59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Depositary Shares represent 1/1,000th of a share of 4.750% Noncumulative Preferred Stock, Series I</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ALL PR I</w:t>
            </w:r>
          </w:p>
        </w:tc>
        <w:tc>
          <w:tcPr>
            <w:tcW w:w="29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New York Stock Exchange</w:t>
            </w:r>
          </w:p>
        </w:tc>
      </w:tr>
      <w:tr>
        <w:trPr/>
        <w:tc>
          <w:tcPr>
            <w:tcW w:w="59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Depositary Shares represent 1/1,000th of a share of 7.375% Noncumulative Preferred Stock, Series J</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ALL PR J</w:t>
            </w:r>
          </w:p>
        </w:tc>
        <w:tc>
          <w:tcPr>
            <w:tcW w:w="29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New York Stock Exchange</w:t>
            </w:r>
          </w:p>
        </w:tc>
      </w:tr>
    </w:tbl>
    <w:p>
      <w:pPr>
        <w:pStyle w:val="TextBody"/>
        <w:bidi w:val="0"/>
        <w:spacing w:before="120" w:after="283"/>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tbl>
      <w:tblPr>
        <w:tblW w:w="345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804"/>
        <w:gridCol w:w="804"/>
        <w:gridCol w:w="8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r>
    </w:tbl>
    <w:p>
      <w:pPr>
        <w:pStyle w:val="TextBody"/>
        <w:bidi w:val="0"/>
        <w:spacing w:before="120" w:after="283"/>
        <w:jc w:val="left"/>
        <w:rPr/>
      </w:pPr>
      <w:r>
        <w:rPr/>
      </w:r>
    </w:p>
    <w:p>
      <w:pPr>
        <w:pStyle w:val="TextBody"/>
        <w:bidi w:val="0"/>
        <w:spacing w:lineRule="auto" w:line="288" w:before="0" w:after="120"/>
        <w:jc w:val="left"/>
        <w:rPr/>
      </w:pPr>
      <w:r>
        <w:rPr>
          <w:rFonts w:ascii="Arial;sans-serif" w:hAnsi="Arial;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Section 5 - Corporate Governance and Management</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Item 5.02. 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6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The Allstate Corporation today announced that effective August 3, 2026, Christian M. Lown will join Allstate as Executive Vice President and Chief Financial Officer of The Allstate Corporation and Allstate Insurance Company.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Prior to joining Allstate, Mr. Lown, age 56, served as the chief financial officer of CoStar Group, Inc. from July 2024 to July 2026 and executive vice president and chief financial officer of the Federal Home Loan Mortgage Corporation (Freddie Mac) from June 2020 to June 2024. Mr. Lown holds a BA from the University of Lynchburg and an MBA from the University of Virginia.</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Arial;sans-serif" w:hAnsi="Arial;sans-serif"/>
          <w:b w:val="false"/>
          <w:color w:val="000000"/>
          <w:sz w:val="20"/>
        </w:rPr>
      </w:pPr>
      <w:r>
        <w:rPr>
          <w:rFonts w:ascii="Arial;sans-serif" w:hAnsi="Arial;sans-serif"/>
          <w:b w:val="false"/>
          <w:color w:val="000000"/>
          <w:sz w:val="20"/>
        </w:rPr>
        <w:t>Effective August 3, 2026, Mr. Lown will receive an annual base salary of $875,000. In addition, Mr. Lown will be eligible for discretionary cash incentive awards, with an annual target opportunity of 200% of salary and an equity incentive opportunity of 375% of salary delivered 60% in performance stock awards, 20% in restricted stock units (“RSUs”) and 20% in stock options. Mr. Lown’s 2026 cash incentive and equity opportunity will be pro-rated based on his hire date. Mr. Lown will receive a one-time cash sign-on bonus of $2,000,000 within 60 days of his start date and be eligible for a sign-on equity grant of $4,100,000 in RSUs, with ratable 3-year vesting, on the third business day of the month following his start date.</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68" w:before="0" w:after="0"/>
        <w:jc w:val="left"/>
        <w:rPr>
          <w:rFonts w:ascii="Arial;sans-serif" w:hAnsi="Arial;sans-serif"/>
          <w:b/>
          <w:color w:val="000000"/>
          <w:sz w:val="22"/>
        </w:rPr>
      </w:pPr>
      <w:r>
        <w:rPr>
          <w:rFonts w:ascii="Arial;sans-serif" w:hAnsi="Arial;sans-serif"/>
          <w:b/>
          <w:color w:val="000000"/>
          <w:sz w:val="22"/>
        </w:rPr>
        <w:t>Section 7 - Regulation FD</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Item 7.01. Regulation FD Disclosure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On July 14, 2026, the Registrant issued a press release announcing the appointment of Christian M. Lown as its Executive Vice President and Chief Financial Officer. A copy of the press release is attached as Exhibit 99.1 to this report. This exhibit is furnished and not filed, pursuant to Instruction B.2 of Form 8-K.</w:t>
      </w:r>
    </w:p>
    <w:p>
      <w:pPr>
        <w:pStyle w:val="TextBody"/>
        <w:bidi w:val="0"/>
        <w:spacing w:before="0" w:after="0"/>
        <w:jc w:val="left"/>
        <w:rPr/>
      </w:pPr>
      <w:r>
        <w:rPr/>
      </w:r>
    </w:p>
    <w:p>
      <w:pPr>
        <w:pStyle w:val="TextBody"/>
        <w:bidi w:val="0"/>
        <w:spacing w:lineRule="auto" w:line="333" w:before="0" w:after="0"/>
        <w:jc w:val="left"/>
        <w:rPr>
          <w:rFonts w:ascii="Arial;sans-serif" w:hAnsi="Arial;sans-serif"/>
          <w:b/>
          <w:color w:val="000000"/>
          <w:sz w:val="22"/>
        </w:rPr>
      </w:pPr>
      <w:r>
        <w:rPr>
          <w:rFonts w:ascii="Arial;sans-serif" w:hAnsi="Arial;sans-serif"/>
          <w:b/>
          <w:color w:val="000000"/>
          <w:sz w:val="22"/>
        </w:rPr>
        <w:t>Item 9.01. Financial Statements and Exhibits</w:t>
      </w:r>
    </w:p>
    <w:p>
      <w:pPr>
        <w:pStyle w:val="TextBody"/>
        <w:bidi w:val="0"/>
        <w:spacing w:before="0" w:after="0"/>
        <w:jc w:val="left"/>
        <w:rPr/>
      </w:pPr>
      <w:r>
        <w:rPr/>
      </w:r>
    </w:p>
    <w:p>
      <w:pPr>
        <w:pStyle w:val="TextBody"/>
        <w:bidi w:val="0"/>
        <w:spacing w:lineRule="auto" w:line="333" w:before="0" w:after="0"/>
        <w:ind w:left="0" w:right="0" w:firstLine="720"/>
        <w:jc w:val="left"/>
        <w:rPr>
          <w:rFonts w:ascii="Arial;sans-serif" w:hAnsi="Arial;sans-serif"/>
          <w:b w:val="false"/>
          <w:color w:val="000000"/>
          <w:sz w:val="22"/>
        </w:rPr>
      </w:pPr>
      <w:r>
        <w:rPr>
          <w:rFonts w:ascii="Arial;sans-serif" w:hAnsi="Arial;sans-serif"/>
          <w:b w:val="false"/>
          <w:color w:val="000000"/>
          <w:sz w:val="22"/>
        </w:rPr>
        <w:t>(d)   Exhibits</w:t>
      </w:r>
    </w:p>
    <w:p>
      <w:pPr>
        <w:pStyle w:val="TextBody"/>
        <w:bidi w:val="0"/>
        <w:spacing w:before="0" w:after="140"/>
        <w:ind w:left="0" w:right="0" w:firstLine="720"/>
        <w:jc w:val="left"/>
        <w:rPr/>
      </w:pPr>
      <w:r>
        <w:rPr/>
      </w:r>
    </w:p>
    <w:tbl>
      <w:tblPr>
        <w:tblW w:w="6807" w:type="dxa"/>
        <w:jc w:val="left"/>
        <w:tblInd w:w="0" w:type="dxa"/>
        <w:tblLayout w:type="fixed"/>
        <w:tblCellMar>
          <w:top w:w="28" w:type="dxa"/>
          <w:left w:w="28" w:type="dxa"/>
          <w:bottom w:w="28" w:type="dxa"/>
          <w:right w:w="28" w:type="dxa"/>
        </w:tblCellMar>
      </w:tblPr>
      <w:tblGrid>
        <w:gridCol w:w="391"/>
        <w:gridCol w:w="344"/>
        <w:gridCol w:w="346"/>
        <w:gridCol w:w="109"/>
        <w:gridCol w:w="109"/>
        <w:gridCol w:w="109"/>
        <w:gridCol w:w="1575"/>
        <w:gridCol w:w="1575"/>
        <w:gridCol w:w="2249"/>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c>
          <w:tcPr>
            <w:tcW w:w="2249"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Description</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hibit991lowncfoappointme.htm">
              <w:r>
                <w:rPr>
                  <w:rStyle w:val="InternetLink"/>
                  <w:rFonts w:ascii="Arial;sans-serif" w:hAnsi="Arial;sans-serif"/>
                  <w:b w:val="false"/>
                  <w:color w:val="0000FF"/>
                  <w:sz w:val="20"/>
                  <w:u w:val="single"/>
                </w:rPr>
                <w:t>The Registrant’s Press Release Dated July 14, 2026</w:t>
              </w:r>
            </w:hyperlink>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Cover Page Interactive Data File (formatted as inline XBRL).</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SIGNATURES</w:t>
      </w:r>
    </w:p>
    <w:p>
      <w:pPr>
        <w:pStyle w:val="TextBody"/>
        <w:bidi w:val="0"/>
        <w:spacing w:before="0" w:after="0"/>
        <w:jc w:val="left"/>
        <w:rPr/>
      </w:pPr>
      <w:r>
        <w:rPr/>
      </w:r>
    </w:p>
    <w:p>
      <w:pPr>
        <w:pStyle w:val="TextBody"/>
        <w:bidi w:val="0"/>
        <w:spacing w:lineRule="auto" w:line="288" w:before="0" w:after="0"/>
        <w:ind w:left="0" w:right="0" w:firstLine="490"/>
        <w:jc w:val="left"/>
        <w:rPr>
          <w:rFonts w:ascii="Arial;sans-serif" w:hAnsi="Arial;sans-serif"/>
          <w:b w:val="false"/>
          <w:color w:val="000000"/>
          <w:sz w:val="22"/>
        </w:rPr>
      </w:pPr>
      <w:r>
        <w:rPr>
          <w:rFonts w:ascii="Arial;sans-serif" w:hAnsi="Arial;sans-serif"/>
          <w:b w:val="false"/>
          <w:color w:val="000000"/>
          <w:sz w:val="22"/>
        </w:rPr>
        <w:t>Pursuant to the requirements of the Securities Exchange Act of 1934, the registrant has duly caused this report to be signed on its behalf by the undersigned hereunto duly authorized.</w:t>
      </w:r>
    </w:p>
    <w:tbl>
      <w:tblPr>
        <w:tblW w:w="10143" w:type="dxa"/>
        <w:jc w:val="left"/>
        <w:tblInd w:w="0" w:type="dxa"/>
        <w:tblLayout w:type="fixed"/>
        <w:tblCellMar>
          <w:top w:w="28" w:type="dxa"/>
          <w:left w:w="28" w:type="dxa"/>
          <w:bottom w:w="28" w:type="dxa"/>
          <w:right w:w="28" w:type="dxa"/>
        </w:tblCellMar>
      </w:tblPr>
      <w:tblGrid>
        <w:gridCol w:w="679"/>
        <w:gridCol w:w="595"/>
        <w:gridCol w:w="601"/>
        <w:gridCol w:w="561"/>
        <w:gridCol w:w="561"/>
        <w:gridCol w:w="561"/>
        <w:gridCol w:w="1927"/>
        <w:gridCol w:w="1927"/>
        <w:gridCol w:w="2731"/>
      </w:tblGrid>
      <w:tr>
        <w:trPr/>
        <w:tc>
          <w:tcPr>
            <w:tcW w:w="679"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2731"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268"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22"/>
              </w:rPr>
            </w:pPr>
            <w:r>
              <w:rPr>
                <w:rFonts w:ascii="Arial;sans-serif" w:hAnsi="Arial;sans-serif"/>
                <w:b/>
                <w:color w:val="000000"/>
                <w:sz w:val="22"/>
              </w:rPr>
              <w:t>THE ALLSTATE CORPORATION</w:t>
            </w:r>
          </w:p>
          <w:p>
            <w:pPr>
              <w:pStyle w:val="TableContents"/>
              <w:bidi w:val="0"/>
              <w:spacing w:lineRule="auto" w:line="288" w:before="0" w:after="0"/>
              <w:jc w:val="left"/>
              <w:rPr>
                <w:rFonts w:ascii="Arial;sans-serif" w:hAnsi="Arial;sans-serif"/>
                <w:b/>
                <w:color w:val="000000"/>
                <w:sz w:val="22"/>
              </w:rPr>
            </w:pPr>
            <w:r>
              <w:rPr>
                <w:rFonts w:ascii="Arial;sans-serif" w:hAnsi="Arial;sans-serif"/>
                <w:b/>
                <w:color w:val="000000"/>
                <w:sz w:val="22"/>
              </w:rPr>
              <w:t>(Registrant)</w:t>
            </w:r>
          </w:p>
        </w:tc>
      </w:tr>
      <w:tr>
        <w:trPr/>
        <w:tc>
          <w:tcPr>
            <w:tcW w:w="187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683"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6585"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187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By:</w:t>
            </w:r>
          </w:p>
        </w:tc>
        <w:tc>
          <w:tcPr>
            <w:tcW w:w="6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/s/Julie Cho</w:t>
            </w:r>
          </w:p>
        </w:tc>
      </w:tr>
      <w:tr>
        <w:trPr/>
        <w:tc>
          <w:tcPr>
            <w:tcW w:w="187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Name:</w:t>
            </w:r>
          </w:p>
        </w:tc>
        <w:tc>
          <w:tcPr>
            <w:tcW w:w="65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Julie Cho</w:t>
            </w:r>
          </w:p>
        </w:tc>
      </w:tr>
      <w:tr>
        <w:trPr/>
        <w:tc>
          <w:tcPr>
            <w:tcW w:w="187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Title:</w:t>
            </w:r>
          </w:p>
        </w:tc>
        <w:tc>
          <w:tcPr>
            <w:tcW w:w="6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Vice President, Deputy General Counsel and Corporate Secretary</w:t>
            </w:r>
          </w:p>
        </w:tc>
      </w:tr>
      <w:tr>
        <w:trPr/>
        <w:tc>
          <w:tcPr>
            <w:tcW w:w="187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683"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6585"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18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2"/>
              </w:rPr>
              <w:t xml:space="preserve">Date: </w:t>
            </w:r>
            <w:r>
              <w:rPr>
                <w:rFonts w:ascii="Arial;sans-serif" w:hAnsi="Arial;sans-serif"/>
                <w:b w:val="false"/>
                <w:color w:val="000000"/>
                <w:sz w:val="20"/>
              </w:rPr>
              <w:t>July 14, 2026</w:t>
            </w:r>
          </w:p>
        </w:tc>
        <w:tc>
          <w:tcPr>
            <w:tcW w:w="1683"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6585"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center"/>
        <w:rPr/>
      </w:pPr>
      <w:r>
        <w:rPr/>
      </w:r>
    </w:p>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4"/>
        </w:rPr>
      </w:pPr>
      <w:r>
        <w:rPr>
          <w:rFonts w:ascii="Arial;sans-serif" w:hAnsi="Arial;sans-serif"/>
          <w:b/>
          <w:color w:val="000000"/>
          <w:sz w:val="24"/>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5.3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3</w:t>
                      </w:r>
                    </w:p>
                  </w:txbxContent>
                </v:textbox>
                <w10:wrap type="none"/>
              </v:rect>
            </w:pict>
          </mc:Fallback>
        </mc:AlternateContent>
      </w:r>
    </w:p>
    <w:p>
      <w:pPr>
        <w:pStyle w:val="TextBody"/>
        <w:bidi w:val="0"/>
        <w:spacing w:before="0" w:after="160"/>
        <w:jc w:val="center"/>
        <w:rPr/>
      </w:pPr>
      <w:r>
        <w:rPr/>
        <w:drawing>
          <wp:inline distT="0" distB="0" distL="0" distR="0">
            <wp:extent cx="1581150" cy="9334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581150" cy="933450"/>
                    </a:xfrm>
                    <a:prstGeom prst="rect">
                      <a:avLst/>
                    </a:prstGeom>
                  </pic:spPr>
                </pic:pic>
              </a:graphicData>
            </a:graphic>
          </wp:inline>
        </w:drawing>
      </w:r>
    </w:p>
    <w:p>
      <w:pPr>
        <w:pStyle w:val="TextBody"/>
        <w:bidi w:val="0"/>
        <w:spacing w:before="0" w:after="0"/>
        <w:jc w:val="left"/>
        <w:rPr/>
      </w:pPr>
      <w:r>
        <w:rPr/>
      </w:r>
    </w:p>
    <w:p>
      <w:pPr>
        <w:pStyle w:val="TextBody"/>
        <w:bidi w:val="0"/>
        <w:spacing w:lineRule="atLeast" w:line="240" w:before="0" w:after="0"/>
        <w:jc w:val="left"/>
        <w:rPr>
          <w:rFonts w:ascii="Arial;sans-serif" w:hAnsi="Arial;sans-serif"/>
          <w:b/>
          <w:color w:val="000000"/>
          <w:sz w:val="20"/>
        </w:rPr>
      </w:pPr>
      <w:r>
        <w:rPr>
          <w:rFonts w:ascii="Arial;sans-serif" w:hAnsi="Arial;sans-serif"/>
          <w:b/>
          <w:color w:val="000000"/>
          <w:sz w:val="20"/>
        </w:rPr>
        <w:t xml:space="preserve">FOR IMMEDIATE RELEASE </w:t>
      </w:r>
    </w:p>
    <w:p>
      <w:pPr>
        <w:pStyle w:val="TextBody"/>
        <w:bidi w:val="0"/>
        <w:spacing w:before="0" w:after="0"/>
        <w:jc w:val="left"/>
        <w:rPr/>
      </w:pPr>
      <w:r>
        <w:rPr/>
      </w:r>
    </w:p>
    <w:p>
      <w:pPr>
        <w:pStyle w:val="TextBody"/>
        <w:bidi w:val="0"/>
        <w:spacing w:lineRule="atLeast" w:line="240" w:before="0" w:after="0"/>
        <w:jc w:val="left"/>
        <w:rPr>
          <w:rFonts w:ascii="Arial;sans-serif" w:hAnsi="Arial;sans-serif"/>
          <w:b w:val="false"/>
          <w:color w:val="000000"/>
          <w:sz w:val="20"/>
        </w:rPr>
      </w:pPr>
      <w:r>
        <w:rPr>
          <w:rFonts w:ascii="Arial;sans-serif" w:hAnsi="Arial;sans-serif"/>
          <w:b w:val="false"/>
          <w:color w:val="000000"/>
          <w:sz w:val="20"/>
        </w:rPr>
        <w:t xml:space="preserve">Contacts: </w:t>
      </w:r>
    </w:p>
    <w:tbl>
      <w:tblPr>
        <w:tblW w:w="4217" w:type="dxa"/>
        <w:jc w:val="left"/>
        <w:tblInd w:w="0" w:type="dxa"/>
        <w:tblLayout w:type="fixed"/>
        <w:tblCellMar>
          <w:top w:w="28" w:type="dxa"/>
          <w:left w:w="28" w:type="dxa"/>
          <w:bottom w:w="28" w:type="dxa"/>
          <w:right w:w="28" w:type="dxa"/>
        </w:tblCellMar>
      </w:tblPr>
      <w:tblGrid>
        <w:gridCol w:w="848"/>
        <w:gridCol w:w="746"/>
        <w:gridCol w:w="747"/>
        <w:gridCol w:w="549"/>
        <w:gridCol w:w="549"/>
        <w:gridCol w:w="778"/>
      </w:tblGrid>
      <w:tr>
        <w:trPr/>
        <w:tc>
          <w:tcPr>
            <w:tcW w:w="84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r>
      <w:tr>
        <w:trPr/>
        <w:tc>
          <w:tcPr>
            <w:tcW w:w="2341" w:type="dxa"/>
            <w:gridSpan w:val="3"/>
            <w:tcBorders/>
            <w:tcMar>
              <w:top w:w="0" w:type="dxa"/>
              <w:left w:w="0" w:type="dxa"/>
              <w:bottom w:w="0" w:type="dxa"/>
              <w:right w:w="0" w:type="dxa"/>
            </w:tcMar>
            <w:vAlign w:val="center"/>
          </w:tcPr>
          <w:p>
            <w:pPr>
              <w:pStyle w:val="TableContents"/>
              <w:bidi w:val="0"/>
              <w:spacing w:lineRule="atLeast" w:line="240" w:before="0" w:after="0"/>
              <w:jc w:val="left"/>
              <w:rPr>
                <w:rFonts w:ascii="Arial;sans-serif" w:hAnsi="Arial;sans-serif"/>
                <w:b w:val="false"/>
                <w:color w:val="000000"/>
                <w:sz w:val="20"/>
              </w:rPr>
            </w:pPr>
            <w:r>
              <w:rPr>
                <w:rFonts w:ascii="Arial;sans-serif" w:hAnsi="Arial;sans-serif"/>
                <w:b w:val="false"/>
                <w:color w:val="000000"/>
                <w:sz w:val="20"/>
              </w:rPr>
              <w:t>Nick Nottoli</w:t>
            </w:r>
          </w:p>
          <w:p>
            <w:pPr>
              <w:pStyle w:val="TableContents"/>
              <w:bidi w:val="0"/>
              <w:spacing w:lineRule="atLeast" w:line="240" w:before="0" w:after="0"/>
              <w:jc w:val="left"/>
              <w:rPr>
                <w:rFonts w:ascii="Arial;sans-serif" w:hAnsi="Arial;sans-serif"/>
                <w:b w:val="false"/>
                <w:color w:val="000000"/>
                <w:sz w:val="20"/>
              </w:rPr>
            </w:pPr>
            <w:r>
              <w:rPr>
                <w:rFonts w:ascii="Arial;sans-serif" w:hAnsi="Arial;sans-serif"/>
                <w:b w:val="false"/>
                <w:color w:val="000000"/>
                <w:sz w:val="20"/>
              </w:rPr>
              <w:t>Media Relations</w:t>
            </w:r>
          </w:p>
          <w:p>
            <w:pPr>
              <w:pStyle w:val="TableContents"/>
              <w:bidi w:val="0"/>
              <w:spacing w:lineRule="atLeast" w:line="240" w:before="0" w:after="0"/>
              <w:jc w:val="left"/>
              <w:rPr>
                <w:rFonts w:ascii="Arial;sans-serif" w:hAnsi="Arial;sans-serif"/>
                <w:b w:val="false"/>
                <w:color w:val="0000FF"/>
                <w:sz w:val="20"/>
                <w:u w:val="single"/>
              </w:rPr>
            </w:pPr>
            <w:r>
              <w:rPr>
                <w:rFonts w:ascii="Arial;sans-serif" w:hAnsi="Arial;sans-serif"/>
                <w:b w:val="false"/>
                <w:color w:val="0000FF"/>
                <w:sz w:val="20"/>
                <w:u w:val="single"/>
              </w:rPr>
              <w:t>mediateam@allstate.com</w:t>
            </w:r>
          </w:p>
        </w:tc>
        <w:tc>
          <w:tcPr>
            <w:tcW w:w="1876" w:type="dxa"/>
            <w:gridSpan w:val="3"/>
            <w:tcBorders/>
            <w:tcMar>
              <w:top w:w="0" w:type="dxa"/>
              <w:left w:w="0" w:type="dxa"/>
              <w:bottom w:w="0" w:type="dxa"/>
              <w:right w:w="0" w:type="dxa"/>
            </w:tcMar>
            <w:vAlign w:val="center"/>
          </w:tcPr>
          <w:p>
            <w:pPr>
              <w:pStyle w:val="TableContents"/>
              <w:bidi w:val="0"/>
              <w:spacing w:lineRule="atLeast" w:line="240" w:before="0" w:after="0"/>
              <w:jc w:val="left"/>
              <w:rPr>
                <w:rFonts w:ascii="Arial;sans-serif" w:hAnsi="Arial;sans-serif"/>
                <w:b w:val="false"/>
                <w:color w:val="000000"/>
                <w:sz w:val="20"/>
              </w:rPr>
            </w:pPr>
            <w:r>
              <w:rPr>
                <w:rFonts w:ascii="Arial;sans-serif" w:hAnsi="Arial;sans-serif"/>
                <w:b w:val="false"/>
                <w:color w:val="000000"/>
                <w:sz w:val="20"/>
              </w:rPr>
              <w:t>Allister Gobin</w:t>
            </w:r>
          </w:p>
          <w:p>
            <w:pPr>
              <w:pStyle w:val="TableContents"/>
              <w:bidi w:val="0"/>
              <w:spacing w:lineRule="atLeast" w:line="240" w:before="0" w:after="0"/>
              <w:jc w:val="left"/>
              <w:rPr>
                <w:rFonts w:ascii="Arial;sans-serif" w:hAnsi="Arial;sans-serif"/>
                <w:b w:val="false"/>
                <w:color w:val="000000"/>
                <w:sz w:val="20"/>
              </w:rPr>
            </w:pPr>
            <w:r>
              <w:rPr>
                <w:rFonts w:ascii="Arial;sans-serif" w:hAnsi="Arial;sans-serif"/>
                <w:b w:val="false"/>
                <w:color w:val="000000"/>
                <w:sz w:val="20"/>
              </w:rPr>
              <w:t>Investor Relations</w:t>
            </w:r>
          </w:p>
          <w:p>
            <w:pPr>
              <w:pStyle w:val="TableContents"/>
              <w:bidi w:val="0"/>
              <w:spacing w:lineRule="atLeast" w:line="240" w:before="0" w:after="0"/>
              <w:jc w:val="left"/>
              <w:rPr>
                <w:rFonts w:ascii="Arial;sans-serif" w:hAnsi="Arial;sans-serif"/>
                <w:b w:val="false"/>
                <w:color w:val="0000FF"/>
                <w:sz w:val="20"/>
                <w:u w:val="single"/>
              </w:rPr>
            </w:pPr>
            <w:r>
              <w:rPr>
                <w:rFonts w:ascii="Arial;sans-serif" w:hAnsi="Arial;sans-serif"/>
                <w:b w:val="false"/>
                <w:color w:val="0000FF"/>
                <w:sz w:val="20"/>
                <w:u w:val="single"/>
              </w:rPr>
              <w:t>invrel@allstate.com</w:t>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Allstate names Christian Lown Chief Financial Officer</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0"/>
        </w:rPr>
        <w:t>NORTHBROOK, Ill., July 14, 2026</w:t>
      </w:r>
      <w:r>
        <w:rPr>
          <w:color w:val="000000"/>
        </w:rPr>
        <w:t xml:space="preserve"> – </w:t>
      </w:r>
      <w:r>
        <w:rPr>
          <w:rFonts w:ascii="Arial;sans-serif" w:hAnsi="Arial;sans-serif"/>
          <w:b w:val="false"/>
          <w:color w:val="000000"/>
          <w:sz w:val="20"/>
        </w:rPr>
        <w:t>The Allstate Corporation (NYSE: ALL) today announced Christian (Chris) Lown as Executive Vice President and Chief Financial Officer, effective Aug. 3. Lown will report to Tom Wilson, Chair, President and CEO of The Allstate Corporation.</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Arial;sans-serif" w:hAnsi="Arial;sans-serif"/>
          <w:b w:val="false"/>
          <w:color w:val="000000"/>
          <w:sz w:val="20"/>
        </w:rPr>
        <w:t>Chris’s leadership and capital markets expertise will enable us to continue increasing Property-Liability market share and expand protection provided to customers,” said Tom Wilson, who leads Allstate.</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Arial;sans-serif" w:hAnsi="Arial;sans-serif"/>
          <w:b w:val="false"/>
          <w:color w:val="000000"/>
          <w:sz w:val="20"/>
        </w:rPr>
        <w:t>Allstate’s purpose, strategy and execution have led it to be ranked among the world’s best-managed companies,” said Lown. “I am thrilled to be joining this team.”</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With more than 25 years of senior leadership experience in finance and capital markets, Lown has led organizations through growth, transformation and complex market environments. He joins Allstate from CoStar Group, where he served as Chief Financial Officer and led finance, investor relations, business development and facilities. He previously served as Chief Financial Officer at Freddie Mac and Navient Corporation, following senior finance roles at Morgan Stanley and UBS.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Lown earned an MBA from the University of Virginia Darden School of Business and a bachelor’s degree in international relations from the University of Lynchburg.</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Lown succeeds Jess Merten, who was named President of Property-Liability in October 2025 after serving as Allstate's Chief Financial Officer. John Dugenske, President, Investments and Corporate Strategy, has served as interim Chief Financial Officer and will continue in that role until Lown joins Allstate.</w: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0"/>
        </w:rPr>
        <w:t>About Allstate</w:t>
      </w:r>
      <w:r>
        <w:rPr>
          <w:rFonts w:ascii="Arial;sans-serif" w:hAnsi="Arial;sans-serif"/>
          <w:b w:val="false"/>
          <w:color w:val="000000"/>
          <w:sz w:val="20"/>
        </w:rPr>
        <w:br/>
        <w:t>The Allstate Corporation (NYSE: ALL) protects people from life’s uncertainties with affordable, simple and connected protection for </w:t>
      </w:r>
      <w:r>
        <w:rPr>
          <w:rFonts w:ascii="Arial;sans-serif" w:hAnsi="Arial;sans-serif"/>
          <w:b/>
          <w:color w:val="0000FF"/>
          <w:sz w:val="20"/>
          <w:u w:val="single"/>
        </w:rPr>
        <w:t>autos</w:t>
      </w:r>
      <w:r>
        <w:rPr>
          <w:rFonts w:ascii="Arial;sans-serif" w:hAnsi="Arial;sans-serif"/>
          <w:b w:val="false"/>
          <w:color w:val="000000"/>
          <w:sz w:val="20"/>
        </w:rPr>
        <w:t>, </w:t>
      </w:r>
      <w:r>
        <w:rPr>
          <w:rFonts w:ascii="Arial;sans-serif" w:hAnsi="Arial;sans-serif"/>
          <w:b/>
          <w:color w:val="0000FF"/>
          <w:sz w:val="20"/>
          <w:u w:val="single"/>
        </w:rPr>
        <w:t>homes</w:t>
      </w:r>
      <w:r>
        <w:rPr>
          <w:rFonts w:ascii="Arial;sans-serif" w:hAnsi="Arial;sans-serif"/>
          <w:b w:val="false"/>
          <w:color w:val="000000"/>
          <w:sz w:val="20"/>
        </w:rPr>
        <w:t>, electronic devices and </w:t>
      </w:r>
      <w:r>
        <w:rPr>
          <w:rFonts w:ascii="Arial;sans-serif" w:hAnsi="Arial;sans-serif"/>
          <w:b/>
          <w:color w:val="0000FF"/>
          <w:sz w:val="20"/>
          <w:u w:val="single"/>
        </w:rPr>
        <w:t>identities</w:t>
      </w:r>
      <w:r>
        <w:rPr>
          <w:rFonts w:ascii="Arial;sans-serif" w:hAnsi="Arial;sans-serif"/>
          <w:b w:val="false"/>
          <w:color w:val="000000"/>
          <w:sz w:val="20"/>
        </w:rPr>
        <w:t>. Products are available through a broad distribution network including Allstate agents, independent agents, major retailers, online, and at the workplace. Allstate has more than 212 million policies in force and is widely known for the slogan “You’re in Good Hands with Allstate.” For more information, visit </w:t>
      </w:r>
      <w:r>
        <w:rPr>
          <w:rFonts w:ascii="Arial;sans-serif" w:hAnsi="Arial;sans-serif"/>
          <w:b/>
          <w:color w:val="0000FF"/>
          <w:sz w:val="20"/>
          <w:u w:val="single"/>
        </w:rPr>
        <w:t>www.allstate.com</w:t>
      </w:r>
      <w:r>
        <w:rPr>
          <w:rFonts w:ascii="Arial;sans-serif" w:hAnsi="Arial;sans-serif"/>
          <w:b w:val="false"/>
          <w:color w:val="000000"/>
          <w:sz w:val="20"/>
        </w:rPr>
        <w:t>. </w:t>
      </w:r>
    </w:p>
    <w:p>
      <w:pPr>
        <w:pStyle w:val="TextBody"/>
        <w:bidi w:val="0"/>
        <w:spacing w:before="0" w:after="16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1093</Words>
  <Characters>6105</Characters>
  <CharactersWithSpaces>7132</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