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Carter Andrea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40"/>
        <w:spacing w:after="0" w:line="330"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77"/>
        <w:spacing w:after="0"/>
        <w:rPr>
          <w:sz w:val="20"/>
          <w:szCs w:val="20"/>
          <w:color w:val="auto"/>
        </w:rPr>
      </w:pPr>
      <w:r>
        <w:rPr>
          <w:rFonts w:ascii="Times New Roman" w:cs="Times New Roman" w:eastAsia="Times New Roman" w:hAnsi="Times New Roman"/>
          <w:sz w:val="17"/>
          <w:szCs w:val="17"/>
          <w:color w:val="0000FF"/>
        </w:rPr>
        <w:t>EVP, Chief HR Officer - AIC</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00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60062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06/04/2026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4,025</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4,025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06/04/2026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1,654</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210.84</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2,371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4,025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100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4,025</w:t>
            </w:r>
          </w:p>
        </w:tc>
        <w:tc>
          <w:tcPr>
            <w:tcW w:w="820" w:type="dxa"/>
            <w:vAlign w:val="bottom"/>
            <w:gridSpan w:val="2"/>
            <w:vMerge w:val="continue"/>
          </w:tcPr>
          <w:p>
            <w:pPr>
              <w:spacing w:after="0"/>
              <w:rPr>
                <w:sz w:val="5"/>
                <w:szCs w:val="5"/>
                <w:color w:val="auto"/>
              </w:rPr>
            </w:pPr>
          </w:p>
        </w:tc>
        <w:tc>
          <w:tcPr>
            <w:tcW w:w="70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06/04/2028</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8,050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(RSUs) into an equal number of common shares, without the payment of any consideration, pursuant to The Allstate Corporation 2019 Equity Incentive Plan. The remaining RSUs will convert on June 4, 2027 and June 4, 2028.</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Andrea M. Carter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217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9476"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2026-06-08T15:25:44Z</dcterms:created>
  <dcterms:modified xsi:type="dcterms:W3CDTF">2026-06-08T15:25:44Z</dcterms:modified>
</cp:coreProperties>
</file>