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8"/>
          <w:szCs w:val="18"/>
          <w:color w:val="auto"/>
        </w:rPr>
        <w:t>UNITED STATES</w:t>
      </w:r>
    </w:p>
    <w:p>
      <w:pPr>
        <w:jc w:val="center"/>
        <w:ind w:right="-139"/>
        <w:spacing w:after="0" w:line="234" w:lineRule="auto"/>
        <w:rPr>
          <w:sz w:val="20"/>
          <w:szCs w:val="20"/>
          <w:color w:val="auto"/>
        </w:rPr>
      </w:pPr>
      <w:r>
        <w:rPr>
          <w:rFonts w:ascii="Arial" w:cs="Arial" w:eastAsia="Arial" w:hAnsi="Arial"/>
          <w:sz w:val="18"/>
          <w:szCs w:val="18"/>
          <w:color w:val="auto"/>
        </w:rPr>
        <w:t>SECURITIES AND EXCHANGE COMMISSION</w:t>
      </w:r>
    </w:p>
    <w:p>
      <w:pPr>
        <w:spacing w:after="0" w:line="1"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Washington, D.C. 20549</w:t>
      </w:r>
    </w:p>
    <w:p>
      <w:pPr>
        <w:spacing w:after="0" w:line="212"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SCHEDULE 14A</w:t>
      </w:r>
    </w:p>
    <w:p>
      <w:pPr>
        <w:spacing w:after="0" w:line="207"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Proxy Statement Pursuant to Section 14(a) of the</w:t>
      </w:r>
    </w:p>
    <w:p>
      <w:pPr>
        <w:ind w:left="3700"/>
        <w:spacing w:after="0"/>
        <w:rPr>
          <w:sz w:val="20"/>
          <w:szCs w:val="20"/>
          <w:color w:val="auto"/>
        </w:rPr>
      </w:pPr>
      <w:r>
        <w:rPr>
          <w:rFonts w:ascii="Arial" w:cs="Arial" w:eastAsia="Arial" w:hAnsi="Arial"/>
          <w:sz w:val="18"/>
          <w:szCs w:val="18"/>
          <w:color w:val="auto"/>
        </w:rPr>
        <w:t>Securities Exchange Act of 1934 (Amendment No. )</w:t>
      </w:r>
    </w:p>
    <w:p>
      <w:pPr>
        <w:spacing w:after="0" w:line="147" w:lineRule="exact"/>
        <w:rPr>
          <w:sz w:val="24"/>
          <w:szCs w:val="24"/>
          <w:color w:val="auto"/>
        </w:rPr>
      </w:pPr>
    </w:p>
    <w:p>
      <w:pPr>
        <w:spacing w:after="0" w:line="242" w:lineRule="exact"/>
        <w:tabs>
          <w:tab w:leader="none" w:pos="7580" w:val="left"/>
        </w:tabs>
        <w:rPr>
          <w:sz w:val="20"/>
          <w:szCs w:val="20"/>
          <w:color w:val="auto"/>
        </w:rPr>
      </w:pPr>
      <w:r>
        <w:rPr>
          <w:rFonts w:ascii="MS PGothic" w:cs="MS PGothic" w:eastAsia="MS PGothic" w:hAnsi="MS PGothic"/>
          <w:sz w:val="21"/>
          <w:szCs w:val="21"/>
          <w:color w:val="auto"/>
        </w:rPr>
        <w:t>☑</w:t>
      </w:r>
      <w:r>
        <w:rPr>
          <w:rFonts w:ascii="Arial" w:cs="Arial" w:eastAsia="Arial" w:hAnsi="Arial"/>
          <w:sz w:val="18"/>
          <w:szCs w:val="18"/>
          <w:color w:val="auto"/>
        </w:rPr>
        <w:t xml:space="preserve"> Filed by the Registrant</w:t>
      </w:r>
      <w:r>
        <w:rPr>
          <w:sz w:val="20"/>
          <w:szCs w:val="20"/>
          <w:color w:val="auto"/>
        </w:rPr>
        <w:tab/>
      </w:r>
      <w:r>
        <w:rPr>
          <w:rFonts w:ascii="MS PGothic" w:cs="MS PGothic" w:eastAsia="MS PGothic" w:hAnsi="MS PGothic"/>
          <w:sz w:val="22"/>
          <w:szCs w:val="22"/>
          <w:color w:val="auto"/>
        </w:rPr>
        <w:t xml:space="preserve">☐ </w:t>
      </w:r>
      <w:r>
        <w:rPr>
          <w:rFonts w:ascii="Arial" w:cs="Arial" w:eastAsia="Arial" w:hAnsi="Arial"/>
          <w:sz w:val="17"/>
          <w:szCs w:val="17"/>
          <w:color w:val="auto"/>
        </w:rPr>
        <w:t>Filed by a Party other than the Registrant</w:t>
      </w:r>
    </w:p>
    <w:p>
      <w:pPr>
        <w:spacing w:after="0" w:line="323" w:lineRule="exact"/>
        <w:rPr>
          <w:sz w:val="24"/>
          <w:szCs w:val="24"/>
          <w:color w:val="auto"/>
        </w:rPr>
      </w:pPr>
    </w:p>
    <w:p>
      <w:pPr>
        <w:ind w:left="80"/>
        <w:spacing w:after="0"/>
        <w:rPr>
          <w:sz w:val="20"/>
          <w:szCs w:val="20"/>
          <w:color w:val="auto"/>
        </w:rPr>
      </w:pPr>
      <w:r>
        <w:rPr>
          <w:rFonts w:ascii="Arial" w:cs="Arial" w:eastAsia="Arial" w:hAnsi="Arial"/>
          <w:sz w:val="18"/>
          <w:szCs w:val="18"/>
          <w:color w:val="auto"/>
        </w:rPr>
        <w:t>CHECK THE APPROPRIATE BOX:</w:t>
      </w:r>
    </w:p>
    <w:p>
      <w:pPr>
        <w:spacing w:after="0" w:line="33" w:lineRule="exact"/>
        <w:rPr>
          <w:sz w:val="24"/>
          <w:szCs w:val="24"/>
          <w:color w:val="auto"/>
        </w:rPr>
      </w:pPr>
    </w:p>
    <w:p>
      <w:pPr>
        <w:ind w:left="540" w:hanging="460"/>
        <w:spacing w:after="0"/>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Preliminary Proxy Statement</w:t>
      </w:r>
    </w:p>
    <w:p>
      <w:pPr>
        <w:spacing w:after="0" w:line="45" w:lineRule="exact"/>
        <w:rPr>
          <w:rFonts w:ascii="MS PGothic" w:cs="MS PGothic" w:eastAsia="MS PGothic" w:hAnsi="MS PGothic"/>
          <w:sz w:val="22"/>
          <w:szCs w:val="22"/>
          <w:color w:val="auto"/>
        </w:rPr>
      </w:pPr>
    </w:p>
    <w:p>
      <w:pPr>
        <w:ind w:left="540" w:hanging="460"/>
        <w:spacing w:after="0" w:line="222" w:lineRule="auto"/>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Confidential, For Use of the Commission Only (as permitted by Rule 14a-6(e)(2))</w:t>
      </w:r>
    </w:p>
    <w:p>
      <w:pPr>
        <w:spacing w:after="0" w:line="46" w:lineRule="exact"/>
        <w:rPr>
          <w:rFonts w:ascii="MS PGothic" w:cs="MS PGothic" w:eastAsia="MS PGothic" w:hAnsi="MS PGothic"/>
          <w:sz w:val="22"/>
          <w:szCs w:val="22"/>
          <w:color w:val="auto"/>
        </w:rPr>
      </w:pPr>
    </w:p>
    <w:p>
      <w:pPr>
        <w:ind w:left="540" w:hanging="460"/>
        <w:spacing w:after="0" w:line="222" w:lineRule="auto"/>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Definitive Proxy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-478155</wp:posOffset>
            </wp:positionV>
            <wp:extent cx="7246620" cy="8147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14705"/>
                    </a:xfrm>
                    <a:prstGeom prst="rect">
                      <a:avLst/>
                    </a:prstGeom>
                    <a:noFill/>
                  </pic:spPr>
                </pic:pic>
              </a:graphicData>
            </a:graphic>
          </wp:anchor>
        </w:drawing>
      </w:r>
    </w:p>
    <w:p>
      <w:pPr>
        <w:spacing w:after="0" w:line="10" w:lineRule="exact"/>
        <w:rPr>
          <w:sz w:val="24"/>
          <w:szCs w:val="24"/>
          <w:color w:val="auto"/>
        </w:rPr>
      </w:pPr>
    </w:p>
    <w:p>
      <w:pPr>
        <w:ind w:left="540" w:hanging="460"/>
        <w:spacing w:after="0"/>
        <w:tabs>
          <w:tab w:leader="none" w:pos="540" w:val="left"/>
        </w:tabs>
        <w:numPr>
          <w:ilvl w:val="0"/>
          <w:numId w:val="2"/>
        </w:numPr>
        <w:rPr>
          <w:rFonts w:ascii="MS PGothic" w:cs="MS PGothic" w:eastAsia="MS PGothic" w:hAnsi="MS PGothic"/>
          <w:sz w:val="22"/>
          <w:szCs w:val="22"/>
          <w:color w:val="auto"/>
        </w:rPr>
      </w:pPr>
      <w:r>
        <w:rPr>
          <w:rFonts w:ascii="Arial" w:cs="Arial" w:eastAsia="Arial" w:hAnsi="Arial"/>
          <w:sz w:val="18"/>
          <w:szCs w:val="18"/>
          <w:color w:val="auto"/>
        </w:rPr>
        <w:t>Definitive Additional Materials</w:t>
      </w:r>
    </w:p>
    <w:p>
      <w:pPr>
        <w:spacing w:after="0" w:line="29" w:lineRule="exact"/>
        <w:rPr>
          <w:sz w:val="24"/>
          <w:szCs w:val="24"/>
          <w:color w:val="auto"/>
        </w:rPr>
      </w:pPr>
    </w:p>
    <w:p>
      <w:pPr>
        <w:ind w:left="540" w:hanging="460"/>
        <w:spacing w:after="0"/>
        <w:tabs>
          <w:tab w:leader="none" w:pos="540" w:val="left"/>
        </w:tabs>
        <w:numPr>
          <w:ilvl w:val="0"/>
          <w:numId w:val="3"/>
        </w:numPr>
        <w:rPr>
          <w:rFonts w:ascii="MS PGothic" w:cs="MS PGothic" w:eastAsia="MS PGothic" w:hAnsi="MS PGothic"/>
          <w:sz w:val="22"/>
          <w:szCs w:val="22"/>
          <w:color w:val="auto"/>
        </w:rPr>
      </w:pPr>
      <w:r>
        <w:rPr>
          <w:rFonts w:ascii="Arial" w:cs="Arial" w:eastAsia="Arial" w:hAnsi="Arial"/>
          <w:sz w:val="18"/>
          <w:szCs w:val="18"/>
          <w:color w:val="auto"/>
        </w:rPr>
        <w:t>Soliciting Material Under Rule 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155575</wp:posOffset>
            </wp:positionV>
            <wp:extent cx="2066925" cy="5918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66925" cy="5918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The Allstate Corporation</w:t>
      </w:r>
    </w:p>
    <w:p>
      <w:pPr>
        <w:spacing w:after="0" w:line="226"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auto"/>
        </w:rPr>
        <w:t>(Name of Registrant as Specified In Its Charter)</w:t>
      </w:r>
    </w:p>
    <w:p>
      <w:pPr>
        <w:jc w:val="center"/>
        <w:ind w:right="-139"/>
        <w:spacing w:after="0"/>
        <w:rPr>
          <w:sz w:val="20"/>
          <w:szCs w:val="20"/>
          <w:color w:val="auto"/>
        </w:rPr>
      </w:pPr>
      <w:r>
        <w:rPr>
          <w:rFonts w:ascii="Arial" w:cs="Arial" w:eastAsia="Arial" w:hAnsi="Arial"/>
          <w:sz w:val="14"/>
          <w:szCs w:val="14"/>
          <w:color w:val="auto"/>
        </w:rPr>
        <w:t>(Name of Person(s) Filing Proxy Statement, if Other Than the Registrant)</w:t>
      </w:r>
    </w:p>
    <w:p>
      <w:pPr>
        <w:spacing w:after="0" w:line="221" w:lineRule="exact"/>
        <w:rPr>
          <w:sz w:val="24"/>
          <w:szCs w:val="24"/>
          <w:color w:val="auto"/>
        </w:rPr>
      </w:pPr>
    </w:p>
    <w:p>
      <w:pPr>
        <w:ind w:left="80"/>
        <w:spacing w:after="0"/>
        <w:rPr>
          <w:sz w:val="20"/>
          <w:szCs w:val="20"/>
          <w:color w:val="auto"/>
        </w:rPr>
      </w:pPr>
      <w:r>
        <w:rPr>
          <w:rFonts w:ascii="Arial" w:cs="Arial" w:eastAsia="Arial" w:hAnsi="Arial"/>
          <w:sz w:val="18"/>
          <w:szCs w:val="18"/>
          <w:color w:val="auto"/>
        </w:rPr>
        <w:t>PAYMENT OF FILING FEE (CHECK THE APPROPRIATE BOX):</w:t>
      </w:r>
    </w:p>
    <w:p>
      <w:pPr>
        <w:spacing w:after="0" w:line="33" w:lineRule="exact"/>
        <w:rPr>
          <w:sz w:val="24"/>
          <w:szCs w:val="24"/>
          <w:color w:val="auto"/>
        </w:rPr>
      </w:pPr>
    </w:p>
    <w:p>
      <w:pPr>
        <w:ind w:left="540" w:hanging="460"/>
        <w:spacing w:after="0"/>
        <w:tabs>
          <w:tab w:leader="none" w:pos="540" w:val="left"/>
        </w:tabs>
        <w:numPr>
          <w:ilvl w:val="0"/>
          <w:numId w:val="4"/>
        </w:numPr>
        <w:rPr>
          <w:rFonts w:ascii="MS PGothic" w:cs="MS PGothic" w:eastAsia="MS PGothic" w:hAnsi="MS PGothic"/>
          <w:sz w:val="22"/>
          <w:szCs w:val="22"/>
          <w:color w:val="auto"/>
        </w:rPr>
      </w:pPr>
      <w:r>
        <w:rPr>
          <w:rFonts w:ascii="Arial" w:cs="Arial" w:eastAsia="Arial" w:hAnsi="Arial"/>
          <w:sz w:val="18"/>
          <w:szCs w:val="18"/>
          <w:color w:val="auto"/>
        </w:rPr>
        <w:t>No fee required.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697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697990"/>
                    </a:xfrm>
                    <a:prstGeom prst="rect">
                      <a:avLst/>
                    </a:prstGeom>
                    <a:noFill/>
                  </pic:spPr>
                </pic:pic>
              </a:graphicData>
            </a:graphic>
          </wp:anchor>
        </w:drawing>
      </w:r>
    </w:p>
    <w:p>
      <w:pPr>
        <w:spacing w:after="0" w:line="9" w:lineRule="exact"/>
        <w:rPr>
          <w:sz w:val="24"/>
          <w:szCs w:val="24"/>
          <w:color w:val="auto"/>
        </w:rPr>
      </w:pPr>
    </w:p>
    <w:p>
      <w:pPr>
        <w:ind w:left="540" w:hanging="460"/>
        <w:spacing w:after="0"/>
        <w:tabs>
          <w:tab w:leader="none" w:pos="540" w:val="left"/>
        </w:tabs>
        <w:numPr>
          <w:ilvl w:val="0"/>
          <w:numId w:val="5"/>
        </w:numPr>
        <w:rPr>
          <w:rFonts w:ascii="MS PGothic" w:cs="MS PGothic" w:eastAsia="MS PGothic" w:hAnsi="MS PGothic"/>
          <w:sz w:val="22"/>
          <w:szCs w:val="22"/>
          <w:color w:val="auto"/>
        </w:rPr>
      </w:pPr>
      <w:r>
        <w:rPr>
          <w:rFonts w:ascii="Arial" w:cs="Arial" w:eastAsia="Arial" w:hAnsi="Arial"/>
          <w:sz w:val="18"/>
          <w:szCs w:val="18"/>
          <w:color w:val="auto"/>
        </w:rPr>
        <w:t>Fee computed on table below per Exchange Act Rules 14a-6(i)(1) and 0-11.</w:t>
      </w:r>
    </w:p>
    <w:p>
      <w:pPr>
        <w:spacing w:after="0" w:line="14" w:lineRule="exact"/>
        <w:rPr>
          <w:rFonts w:ascii="MS PGothic" w:cs="MS PGothic" w:eastAsia="MS PGothic" w:hAnsi="MS PGothic"/>
          <w:sz w:val="22"/>
          <w:szCs w:val="22"/>
          <w:color w:val="auto"/>
        </w:rPr>
      </w:pPr>
    </w:p>
    <w:p>
      <w:pPr>
        <w:ind w:left="860" w:hanging="163"/>
        <w:spacing w:after="0" w:line="221" w:lineRule="auto"/>
        <w:tabs>
          <w:tab w:leader="none" w:pos="860" w:val="left"/>
        </w:tabs>
        <w:numPr>
          <w:ilvl w:val="1"/>
          <w:numId w:val="5"/>
        </w:numPr>
        <w:rPr>
          <w:rFonts w:ascii="Arial" w:cs="Arial" w:eastAsia="Arial" w:hAnsi="Arial"/>
          <w:sz w:val="14"/>
          <w:szCs w:val="14"/>
          <w:color w:val="auto"/>
        </w:rPr>
      </w:pPr>
      <w:r>
        <w:rPr>
          <w:rFonts w:ascii="Arial" w:cs="Arial" w:eastAsia="Arial" w:hAnsi="Arial"/>
          <w:sz w:val="14"/>
          <w:szCs w:val="14"/>
          <w:color w:val="auto"/>
        </w:rPr>
        <w:t>Title of each class of securities to which transaction applies:</w:t>
      </w:r>
    </w:p>
    <w:p>
      <w:pPr>
        <w:ind w:left="860" w:hanging="163"/>
        <w:spacing w:after="0" w:line="221" w:lineRule="auto"/>
        <w:tabs>
          <w:tab w:leader="none" w:pos="860" w:val="left"/>
        </w:tabs>
        <w:numPr>
          <w:ilvl w:val="1"/>
          <w:numId w:val="5"/>
        </w:numPr>
        <w:rPr>
          <w:rFonts w:ascii="Arial" w:cs="Arial" w:eastAsia="Arial" w:hAnsi="Arial"/>
          <w:sz w:val="14"/>
          <w:szCs w:val="14"/>
          <w:color w:val="auto"/>
        </w:rPr>
      </w:pPr>
      <w:r>
        <w:rPr>
          <w:rFonts w:ascii="Arial" w:cs="Arial" w:eastAsia="Arial" w:hAnsi="Arial"/>
          <w:sz w:val="14"/>
          <w:szCs w:val="14"/>
          <w:color w:val="auto"/>
        </w:rPr>
        <w:t>Aggregate number of securities to which transaction applies:</w:t>
      </w:r>
    </w:p>
    <w:p>
      <w:pPr>
        <w:ind w:left="700" w:right="60" w:hanging="3"/>
        <w:spacing w:after="0" w:line="221" w:lineRule="auto"/>
        <w:tabs>
          <w:tab w:leader="none" w:pos="857" w:val="left"/>
        </w:tabs>
        <w:numPr>
          <w:ilvl w:val="1"/>
          <w:numId w:val="5"/>
        </w:numPr>
        <w:rPr>
          <w:rFonts w:ascii="Arial" w:cs="Arial" w:eastAsia="Arial" w:hAnsi="Arial"/>
          <w:sz w:val="14"/>
          <w:szCs w:val="14"/>
          <w:color w:val="auto"/>
        </w:rPr>
      </w:pPr>
      <w:r>
        <w:rPr>
          <w:rFonts w:ascii="Arial" w:cs="Arial" w:eastAsia="Arial" w:hAnsi="Arial"/>
          <w:sz w:val="14"/>
          <w:szCs w:val="14"/>
          <w:color w:val="auto"/>
        </w:rPr>
        <w:t>Per unit price or other underlying value of transaction computed pursuant to Exchange Act Rule 0-11 (set forth the amount on which the filing fee is calculated and state how it was determined):</w:t>
      </w:r>
    </w:p>
    <w:p>
      <w:pPr>
        <w:ind w:left="860" w:hanging="163"/>
        <w:spacing w:after="0" w:line="221" w:lineRule="auto"/>
        <w:tabs>
          <w:tab w:leader="none" w:pos="860" w:val="left"/>
        </w:tabs>
        <w:numPr>
          <w:ilvl w:val="1"/>
          <w:numId w:val="5"/>
        </w:numPr>
        <w:rPr>
          <w:rFonts w:ascii="Arial" w:cs="Arial" w:eastAsia="Arial" w:hAnsi="Arial"/>
          <w:sz w:val="14"/>
          <w:szCs w:val="14"/>
          <w:color w:val="auto"/>
        </w:rPr>
      </w:pPr>
      <w:r>
        <w:rPr>
          <w:rFonts w:ascii="Arial" w:cs="Arial" w:eastAsia="Arial" w:hAnsi="Arial"/>
          <w:sz w:val="14"/>
          <w:szCs w:val="14"/>
          <w:color w:val="auto"/>
        </w:rPr>
        <w:t>Proposed maximum aggregate value of transaction:</w:t>
      </w:r>
    </w:p>
    <w:p>
      <w:pPr>
        <w:ind w:left="860" w:hanging="163"/>
        <w:spacing w:after="0"/>
        <w:tabs>
          <w:tab w:leader="none" w:pos="860" w:val="left"/>
        </w:tabs>
        <w:numPr>
          <w:ilvl w:val="1"/>
          <w:numId w:val="5"/>
        </w:numPr>
        <w:rPr>
          <w:rFonts w:ascii="Arial" w:cs="Arial" w:eastAsia="Arial" w:hAnsi="Arial"/>
          <w:sz w:val="14"/>
          <w:szCs w:val="14"/>
          <w:color w:val="auto"/>
        </w:rPr>
      </w:pPr>
      <w:r>
        <w:rPr>
          <w:rFonts w:ascii="Arial" w:cs="Arial" w:eastAsia="Arial" w:hAnsi="Arial"/>
          <w:sz w:val="14"/>
          <w:szCs w:val="14"/>
          <w:color w:val="auto"/>
        </w:rPr>
        <w:t>Total fee paid:</w:t>
      </w:r>
    </w:p>
    <w:p>
      <w:pPr>
        <w:spacing w:after="0" w:line="2" w:lineRule="exact"/>
        <w:rPr>
          <w:rFonts w:ascii="Arial" w:cs="Arial" w:eastAsia="Arial" w:hAnsi="Arial"/>
          <w:sz w:val="14"/>
          <w:szCs w:val="14"/>
          <w:color w:val="auto"/>
        </w:rPr>
      </w:pPr>
    </w:p>
    <w:p>
      <w:pPr>
        <w:ind w:left="540" w:hanging="460"/>
        <w:spacing w:after="0"/>
        <w:tabs>
          <w:tab w:leader="none" w:pos="540" w:val="left"/>
        </w:tabs>
        <w:numPr>
          <w:ilvl w:val="0"/>
          <w:numId w:val="5"/>
        </w:numPr>
        <w:rPr>
          <w:rFonts w:ascii="MS PGothic" w:cs="MS PGothic" w:eastAsia="MS PGothic" w:hAnsi="MS PGothic"/>
          <w:sz w:val="22"/>
          <w:szCs w:val="22"/>
          <w:color w:val="auto"/>
        </w:rPr>
      </w:pPr>
      <w:r>
        <w:rPr>
          <w:rFonts w:ascii="Arial" w:cs="Arial" w:eastAsia="Arial" w:hAnsi="Arial"/>
          <w:sz w:val="18"/>
          <w:szCs w:val="18"/>
          <w:color w:val="auto"/>
        </w:rPr>
        <w:t>Fee paid previously with preliminary materials:</w:t>
      </w:r>
    </w:p>
    <w:p>
      <w:pPr>
        <w:spacing w:after="0" w:line="32" w:lineRule="exact"/>
        <w:rPr>
          <w:rFonts w:ascii="MS PGothic" w:cs="MS PGothic" w:eastAsia="MS PGothic" w:hAnsi="MS PGothic"/>
          <w:sz w:val="22"/>
          <w:szCs w:val="22"/>
          <w:color w:val="auto"/>
        </w:rPr>
      </w:pPr>
    </w:p>
    <w:p>
      <w:pPr>
        <w:ind w:left="540" w:hanging="460"/>
        <w:spacing w:after="0" w:line="221" w:lineRule="auto"/>
        <w:tabs>
          <w:tab w:leader="none" w:pos="540" w:val="left"/>
        </w:tabs>
        <w:numPr>
          <w:ilvl w:val="0"/>
          <w:numId w:val="5"/>
        </w:numPr>
        <w:rPr>
          <w:rFonts w:ascii="MS PGothic" w:cs="MS PGothic" w:eastAsia="MS PGothic" w:hAnsi="MS PGothic"/>
          <w:sz w:val="22"/>
          <w:szCs w:val="22"/>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MS PGothic" w:cs="MS PGothic" w:eastAsia="MS PGothic" w:hAnsi="MS PGothic"/>
          <w:sz w:val="22"/>
          <w:szCs w:val="22"/>
          <w:color w:val="auto"/>
        </w:rPr>
      </w:pPr>
    </w:p>
    <w:p>
      <w:pPr>
        <w:ind w:left="860" w:hanging="163"/>
        <w:spacing w:after="0" w:line="221" w:lineRule="auto"/>
        <w:tabs>
          <w:tab w:leader="none" w:pos="860" w:val="left"/>
        </w:tabs>
        <w:numPr>
          <w:ilvl w:val="1"/>
          <w:numId w:val="5"/>
        </w:numPr>
        <w:rPr>
          <w:rFonts w:ascii="Arial" w:cs="Arial" w:eastAsia="Arial" w:hAnsi="Arial"/>
          <w:sz w:val="14"/>
          <w:szCs w:val="14"/>
          <w:color w:val="auto"/>
        </w:rPr>
      </w:pPr>
      <w:r>
        <w:rPr>
          <w:rFonts w:ascii="Arial" w:cs="Arial" w:eastAsia="Arial" w:hAnsi="Arial"/>
          <w:sz w:val="14"/>
          <w:szCs w:val="14"/>
          <w:color w:val="auto"/>
        </w:rPr>
        <w:t>Amount previously paid:</w:t>
      </w:r>
    </w:p>
    <w:p>
      <w:pPr>
        <w:ind w:left="860" w:hanging="163"/>
        <w:spacing w:after="0" w:line="221" w:lineRule="auto"/>
        <w:tabs>
          <w:tab w:leader="none" w:pos="860" w:val="left"/>
        </w:tabs>
        <w:numPr>
          <w:ilvl w:val="1"/>
          <w:numId w:val="5"/>
        </w:numPr>
        <w:rPr>
          <w:rFonts w:ascii="Arial" w:cs="Arial" w:eastAsia="Arial" w:hAnsi="Arial"/>
          <w:sz w:val="14"/>
          <w:szCs w:val="14"/>
          <w:color w:val="auto"/>
        </w:rPr>
      </w:pPr>
      <w:r>
        <w:rPr>
          <w:rFonts w:ascii="Arial" w:cs="Arial" w:eastAsia="Arial" w:hAnsi="Arial"/>
          <w:sz w:val="14"/>
          <w:szCs w:val="14"/>
          <w:color w:val="auto"/>
        </w:rPr>
        <w:t>Form, Schedule or Registration Statement No.:</w:t>
      </w:r>
    </w:p>
    <w:p>
      <w:pPr>
        <w:ind w:left="860" w:hanging="163"/>
        <w:spacing w:after="0" w:line="221" w:lineRule="auto"/>
        <w:tabs>
          <w:tab w:leader="none" w:pos="860" w:val="left"/>
        </w:tabs>
        <w:numPr>
          <w:ilvl w:val="1"/>
          <w:numId w:val="5"/>
        </w:numPr>
        <w:rPr>
          <w:rFonts w:ascii="Arial" w:cs="Arial" w:eastAsia="Arial" w:hAnsi="Arial"/>
          <w:sz w:val="14"/>
          <w:szCs w:val="14"/>
          <w:color w:val="auto"/>
        </w:rPr>
      </w:pPr>
      <w:r>
        <w:rPr>
          <w:rFonts w:ascii="Arial" w:cs="Arial" w:eastAsia="Arial" w:hAnsi="Arial"/>
          <w:sz w:val="14"/>
          <w:szCs w:val="14"/>
          <w:color w:val="auto"/>
        </w:rPr>
        <w:t>Filing Party:</w:t>
      </w:r>
    </w:p>
    <w:p>
      <w:pPr>
        <w:ind w:left="860" w:hanging="163"/>
        <w:spacing w:after="0"/>
        <w:tabs>
          <w:tab w:leader="none" w:pos="860" w:val="left"/>
        </w:tabs>
        <w:numPr>
          <w:ilvl w:val="1"/>
          <w:numId w:val="5"/>
        </w:numPr>
        <w:rPr>
          <w:rFonts w:ascii="Arial" w:cs="Arial" w:eastAsia="Arial" w:hAnsi="Arial"/>
          <w:sz w:val="14"/>
          <w:szCs w:val="14"/>
          <w:color w:val="auto"/>
        </w:rPr>
      </w:pPr>
      <w:r>
        <w:rPr>
          <w:rFonts w:ascii="Arial" w:cs="Arial" w:eastAsia="Arial" w:hAnsi="Arial"/>
          <w:sz w:val="14"/>
          <w:szCs w:val="14"/>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222250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00"/>
          </w:cols>
          <w:pgMar w:left="240" w:top="246" w:right="3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The Allstate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2775 Sanders Road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Northbrook, Illinois 60062</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 TO PROXY STATEMENT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2019 ANNUAL MEETING OF SHAREHOLDERS</w:t>
      </w:r>
    </w:p>
    <w:p>
      <w:pPr>
        <w:spacing w:after="0" w:line="2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8, 2019, The Allstate Corporation (the “Company”) filed with the Securities and Exchange Commission and made available to its shareholders a definitive proxy statement (the “Proxy Statement”) for the Company’s 2019 Annual Meeting of Shareholders (the “Annual Meeting”) scheduled to be held on May 21, 2019. The Proxy Statement contains, among other proposals, a proposal to approve the Company’s 2019 Equity Incentive Plan (the “Plan”). This proxy statement supplement, dated April 19, 2019, supplements the Proxy Statement (this “Supplement”). Terms used but not defined in this Supplement shall have the meaning given to them in the Proxy Statement.</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order to make information available to our shareholders and their advisors, we are providing additional information with respect to the number of shares that remain available for future grant under the Company’s equity incentive plans as of March 1, 2019, and the number and types of equity awards outstanding as of such date under these plans, such that this information as of March 1, 2019 (as compared to as of the end of fiscal 2018) is available in connection with the evaluation of the proposal to approve the Plan. The information provided in the Proxy Statement continues to apply and should be considered in voting your shares.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Data</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includes information as of March 1, 2019, with respect to The Allstate Corporation’s equity compensation plans:</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Securities Authorized for Issuance Under Equity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98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4"/>
                <w:szCs w:val="14"/>
                <w:b w:val="1"/>
                <w:bCs w:val="1"/>
                <w:color w:val="auto"/>
              </w:rPr>
              <w:t>Number of Securities</w:t>
            </w:r>
          </w:p>
        </w:tc>
      </w:tr>
      <w:tr>
        <w:trPr>
          <w:trHeight w:val="243"/>
        </w:trPr>
        <w:tc>
          <w:tcPr>
            <w:tcW w:w="498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4"/>
                <w:szCs w:val="14"/>
                <w:b w:val="1"/>
                <w:bCs w:val="1"/>
                <w:color w:val="auto"/>
              </w:rPr>
              <w:t>Remaining Available for</w:t>
            </w:r>
          </w:p>
        </w:tc>
      </w:tr>
      <w:tr>
        <w:trPr>
          <w:trHeight w:val="243"/>
        </w:trPr>
        <w:tc>
          <w:tcPr>
            <w:tcW w:w="4980" w:type="dxa"/>
            <w:vAlign w:val="bottom"/>
          </w:tcPr>
          <w:p>
            <w:pPr>
              <w:spacing w:after="0"/>
              <w:rPr>
                <w:sz w:val="21"/>
                <w:szCs w:val="21"/>
                <w:color w:val="auto"/>
              </w:rPr>
            </w:pPr>
          </w:p>
        </w:tc>
        <w:tc>
          <w:tcPr>
            <w:tcW w:w="3200" w:type="dxa"/>
            <w:vAlign w:val="bottom"/>
          </w:tcPr>
          <w:p>
            <w:pPr>
              <w:jc w:val="right"/>
              <w:ind w:right="72"/>
              <w:spacing w:after="0"/>
              <w:rPr>
                <w:sz w:val="20"/>
                <w:szCs w:val="20"/>
                <w:color w:val="auto"/>
              </w:rPr>
            </w:pPr>
            <w:r>
              <w:rPr>
                <w:rFonts w:ascii="Arial" w:cs="Arial" w:eastAsia="Arial" w:hAnsi="Arial"/>
                <w:sz w:val="14"/>
                <w:szCs w:val="14"/>
                <w:b w:val="1"/>
                <w:bCs w:val="1"/>
                <w:color w:val="auto"/>
              </w:rPr>
              <w:t>Number of Securities to</w:t>
            </w:r>
          </w:p>
        </w:tc>
        <w:tc>
          <w:tcPr>
            <w:tcW w:w="1520" w:type="dxa"/>
            <w:vAlign w:val="bottom"/>
          </w:tcPr>
          <w:p>
            <w:pPr>
              <w:jc w:val="right"/>
              <w:ind w:right="52"/>
              <w:spacing w:after="0"/>
              <w:rPr>
                <w:sz w:val="20"/>
                <w:szCs w:val="20"/>
                <w:color w:val="auto"/>
              </w:rPr>
            </w:pPr>
            <w:r>
              <w:rPr>
                <w:rFonts w:ascii="Arial" w:cs="Arial" w:eastAsia="Arial" w:hAnsi="Arial"/>
                <w:sz w:val="14"/>
                <w:szCs w:val="14"/>
                <w:b w:val="1"/>
                <w:bCs w:val="1"/>
                <w:color w:val="auto"/>
              </w:rPr>
              <w:t>Weighted-Average</w:t>
            </w:r>
          </w:p>
        </w:tc>
        <w:tc>
          <w:tcPr>
            <w:tcW w:w="1720" w:type="dxa"/>
            <w:vAlign w:val="bottom"/>
          </w:tcPr>
          <w:p>
            <w:pPr>
              <w:jc w:val="right"/>
              <w:spacing w:after="0"/>
              <w:rPr>
                <w:sz w:val="20"/>
                <w:szCs w:val="20"/>
                <w:color w:val="auto"/>
              </w:rPr>
            </w:pPr>
            <w:r>
              <w:rPr>
                <w:rFonts w:ascii="Arial" w:cs="Arial" w:eastAsia="Arial" w:hAnsi="Arial"/>
                <w:sz w:val="14"/>
                <w:szCs w:val="14"/>
                <w:b w:val="1"/>
                <w:bCs w:val="1"/>
                <w:color w:val="auto"/>
              </w:rPr>
              <w:t>Future Issuance under</w:t>
            </w:r>
          </w:p>
        </w:tc>
      </w:tr>
      <w:tr>
        <w:trPr>
          <w:trHeight w:val="243"/>
        </w:trPr>
        <w:tc>
          <w:tcPr>
            <w:tcW w:w="4980" w:type="dxa"/>
            <w:vAlign w:val="bottom"/>
          </w:tcPr>
          <w:p>
            <w:pPr>
              <w:spacing w:after="0"/>
              <w:rPr>
                <w:sz w:val="21"/>
                <w:szCs w:val="21"/>
                <w:color w:val="auto"/>
              </w:rPr>
            </w:pPr>
          </w:p>
        </w:tc>
        <w:tc>
          <w:tcPr>
            <w:tcW w:w="3200" w:type="dxa"/>
            <w:vAlign w:val="bottom"/>
          </w:tcPr>
          <w:p>
            <w:pPr>
              <w:jc w:val="right"/>
              <w:ind w:right="72"/>
              <w:spacing w:after="0"/>
              <w:rPr>
                <w:sz w:val="20"/>
                <w:szCs w:val="20"/>
                <w:color w:val="auto"/>
              </w:rPr>
            </w:pPr>
            <w:r>
              <w:rPr>
                <w:rFonts w:ascii="Arial" w:cs="Arial" w:eastAsia="Arial" w:hAnsi="Arial"/>
                <w:sz w:val="14"/>
                <w:szCs w:val="14"/>
                <w:b w:val="1"/>
                <w:bCs w:val="1"/>
                <w:color w:val="auto"/>
              </w:rPr>
              <w:t>be Issued upon Exercise</w:t>
            </w:r>
          </w:p>
        </w:tc>
        <w:tc>
          <w:tcPr>
            <w:tcW w:w="1520" w:type="dxa"/>
            <w:vAlign w:val="bottom"/>
          </w:tcPr>
          <w:p>
            <w:pPr>
              <w:jc w:val="right"/>
              <w:ind w:right="52"/>
              <w:spacing w:after="0"/>
              <w:rPr>
                <w:sz w:val="20"/>
                <w:szCs w:val="20"/>
                <w:color w:val="auto"/>
              </w:rPr>
            </w:pPr>
            <w:r>
              <w:rPr>
                <w:rFonts w:ascii="Arial" w:cs="Arial" w:eastAsia="Arial" w:hAnsi="Arial"/>
                <w:sz w:val="14"/>
                <w:szCs w:val="14"/>
                <w:b w:val="1"/>
                <w:bCs w:val="1"/>
                <w:color w:val="auto"/>
              </w:rPr>
              <w:t>Exercise Price of</w:t>
            </w:r>
          </w:p>
        </w:tc>
        <w:tc>
          <w:tcPr>
            <w:tcW w:w="1720" w:type="dxa"/>
            <w:vAlign w:val="bottom"/>
          </w:tcPr>
          <w:p>
            <w:pPr>
              <w:jc w:val="right"/>
              <w:spacing w:after="0"/>
              <w:rPr>
                <w:sz w:val="20"/>
                <w:szCs w:val="20"/>
                <w:color w:val="auto"/>
              </w:rPr>
            </w:pPr>
            <w:r>
              <w:rPr>
                <w:rFonts w:ascii="Arial" w:cs="Arial" w:eastAsia="Arial" w:hAnsi="Arial"/>
                <w:sz w:val="14"/>
                <w:szCs w:val="14"/>
                <w:b w:val="1"/>
                <w:bCs w:val="1"/>
                <w:color w:val="auto"/>
              </w:rPr>
              <w:t>Equity Compensation</w:t>
            </w:r>
          </w:p>
        </w:tc>
      </w:tr>
      <w:tr>
        <w:trPr>
          <w:trHeight w:val="243"/>
        </w:trPr>
        <w:tc>
          <w:tcPr>
            <w:tcW w:w="4980" w:type="dxa"/>
            <w:vAlign w:val="bottom"/>
          </w:tcPr>
          <w:p>
            <w:pPr>
              <w:spacing w:after="0"/>
              <w:rPr>
                <w:sz w:val="21"/>
                <w:szCs w:val="21"/>
                <w:color w:val="auto"/>
              </w:rPr>
            </w:pPr>
          </w:p>
        </w:tc>
        <w:tc>
          <w:tcPr>
            <w:tcW w:w="3200" w:type="dxa"/>
            <w:vAlign w:val="bottom"/>
          </w:tcPr>
          <w:p>
            <w:pPr>
              <w:jc w:val="right"/>
              <w:ind w:right="72"/>
              <w:spacing w:after="0"/>
              <w:rPr>
                <w:sz w:val="20"/>
                <w:szCs w:val="20"/>
                <w:color w:val="auto"/>
              </w:rPr>
            </w:pPr>
            <w:r>
              <w:rPr>
                <w:rFonts w:ascii="Arial" w:cs="Arial" w:eastAsia="Arial" w:hAnsi="Arial"/>
                <w:sz w:val="14"/>
                <w:szCs w:val="14"/>
                <w:b w:val="1"/>
                <w:bCs w:val="1"/>
                <w:color w:val="auto"/>
              </w:rPr>
              <w:t>of Outstanding Options,</w:t>
            </w:r>
          </w:p>
        </w:tc>
        <w:tc>
          <w:tcPr>
            <w:tcW w:w="1520" w:type="dxa"/>
            <w:vAlign w:val="bottom"/>
          </w:tcPr>
          <w:p>
            <w:pPr>
              <w:jc w:val="right"/>
              <w:ind w:right="72"/>
              <w:spacing w:after="0"/>
              <w:rPr>
                <w:sz w:val="20"/>
                <w:szCs w:val="20"/>
                <w:color w:val="auto"/>
              </w:rPr>
            </w:pPr>
            <w:r>
              <w:rPr>
                <w:rFonts w:ascii="Arial" w:cs="Arial" w:eastAsia="Arial" w:hAnsi="Arial"/>
                <w:sz w:val="14"/>
                <w:szCs w:val="14"/>
                <w:b w:val="1"/>
                <w:bCs w:val="1"/>
                <w:color w:val="auto"/>
                <w:w w:val="94"/>
              </w:rPr>
              <w:t>Outstanding Options,</w:t>
            </w:r>
          </w:p>
        </w:tc>
        <w:tc>
          <w:tcPr>
            <w:tcW w:w="1720" w:type="dxa"/>
            <w:vAlign w:val="bottom"/>
          </w:tcPr>
          <w:p>
            <w:pPr>
              <w:jc w:val="right"/>
              <w:spacing w:after="0"/>
              <w:rPr>
                <w:sz w:val="20"/>
                <w:szCs w:val="20"/>
                <w:color w:val="auto"/>
              </w:rPr>
            </w:pPr>
            <w:r>
              <w:rPr>
                <w:rFonts w:ascii="Arial" w:cs="Arial" w:eastAsia="Arial" w:hAnsi="Arial"/>
                <w:sz w:val="14"/>
                <w:szCs w:val="14"/>
                <w:b w:val="1"/>
                <w:bCs w:val="1"/>
                <w:color w:val="auto"/>
                <w:w w:val="92"/>
              </w:rPr>
              <w:t>Plans (Excluding Securities</w:t>
            </w:r>
          </w:p>
        </w:tc>
      </w:tr>
      <w:tr>
        <w:trPr>
          <w:trHeight w:val="243"/>
        </w:trPr>
        <w:tc>
          <w:tcPr>
            <w:tcW w:w="4980" w:type="dxa"/>
            <w:vAlign w:val="bottom"/>
          </w:tcPr>
          <w:p>
            <w:pPr>
              <w:spacing w:after="0"/>
              <w:rPr>
                <w:sz w:val="21"/>
                <w:szCs w:val="21"/>
                <w:color w:val="auto"/>
              </w:rPr>
            </w:pPr>
          </w:p>
        </w:tc>
        <w:tc>
          <w:tcPr>
            <w:tcW w:w="3200" w:type="dxa"/>
            <w:vAlign w:val="bottom"/>
          </w:tcPr>
          <w:p>
            <w:pPr>
              <w:jc w:val="right"/>
              <w:ind w:right="72"/>
              <w:spacing w:after="0"/>
              <w:rPr>
                <w:sz w:val="20"/>
                <w:szCs w:val="20"/>
                <w:color w:val="auto"/>
              </w:rPr>
            </w:pPr>
            <w:r>
              <w:rPr>
                <w:rFonts w:ascii="Arial" w:cs="Arial" w:eastAsia="Arial" w:hAnsi="Arial"/>
                <w:sz w:val="14"/>
                <w:szCs w:val="14"/>
                <w:b w:val="1"/>
                <w:bCs w:val="1"/>
                <w:color w:val="auto"/>
              </w:rPr>
              <w:t>Warrants, and Rights</w:t>
            </w:r>
          </w:p>
        </w:tc>
        <w:tc>
          <w:tcPr>
            <w:tcW w:w="1520" w:type="dxa"/>
            <w:vAlign w:val="bottom"/>
          </w:tcPr>
          <w:p>
            <w:pPr>
              <w:jc w:val="right"/>
              <w:ind w:right="72"/>
              <w:spacing w:after="0"/>
              <w:rPr>
                <w:sz w:val="20"/>
                <w:szCs w:val="20"/>
                <w:color w:val="auto"/>
              </w:rPr>
            </w:pPr>
            <w:r>
              <w:rPr>
                <w:rFonts w:ascii="Arial" w:cs="Arial" w:eastAsia="Arial" w:hAnsi="Arial"/>
                <w:sz w:val="14"/>
                <w:szCs w:val="14"/>
                <w:b w:val="1"/>
                <w:bCs w:val="1"/>
                <w:color w:val="auto"/>
                <w:w w:val="96"/>
              </w:rPr>
              <w:t>Warrants, and Rights</w:t>
            </w:r>
          </w:p>
        </w:tc>
        <w:tc>
          <w:tcPr>
            <w:tcW w:w="1720" w:type="dxa"/>
            <w:vAlign w:val="bottom"/>
          </w:tcPr>
          <w:p>
            <w:pPr>
              <w:jc w:val="right"/>
              <w:spacing w:after="0"/>
              <w:rPr>
                <w:sz w:val="20"/>
                <w:szCs w:val="20"/>
                <w:color w:val="auto"/>
              </w:rPr>
            </w:pPr>
            <w:r>
              <w:rPr>
                <w:rFonts w:ascii="Arial" w:cs="Arial" w:eastAsia="Arial" w:hAnsi="Arial"/>
                <w:sz w:val="14"/>
                <w:szCs w:val="14"/>
                <w:b w:val="1"/>
                <w:bCs w:val="1"/>
                <w:color w:val="auto"/>
              </w:rPr>
              <w:t>Reflected in Column (a))</w:t>
            </w:r>
          </w:p>
        </w:tc>
      </w:tr>
      <w:tr>
        <w:trPr>
          <w:trHeight w:val="243"/>
        </w:trPr>
        <w:tc>
          <w:tcPr>
            <w:tcW w:w="4980" w:type="dxa"/>
            <w:vAlign w:val="bottom"/>
          </w:tcPr>
          <w:p>
            <w:pPr>
              <w:spacing w:after="0"/>
              <w:rPr>
                <w:sz w:val="20"/>
                <w:szCs w:val="20"/>
                <w:color w:val="auto"/>
              </w:rPr>
            </w:pPr>
            <w:r>
              <w:rPr>
                <w:rFonts w:ascii="Arial" w:cs="Arial" w:eastAsia="Arial" w:hAnsi="Arial"/>
                <w:sz w:val="14"/>
                <w:szCs w:val="14"/>
                <w:b w:val="1"/>
                <w:bCs w:val="1"/>
                <w:color w:val="auto"/>
              </w:rPr>
              <w:t>Plan Category</w:t>
            </w:r>
          </w:p>
        </w:tc>
        <w:tc>
          <w:tcPr>
            <w:tcW w:w="3200" w:type="dxa"/>
            <w:vAlign w:val="bottom"/>
          </w:tcPr>
          <w:p>
            <w:pPr>
              <w:jc w:val="right"/>
              <w:ind w:right="72"/>
              <w:spacing w:after="0"/>
              <w:rPr>
                <w:sz w:val="20"/>
                <w:szCs w:val="20"/>
                <w:color w:val="auto"/>
              </w:rPr>
            </w:pPr>
            <w:r>
              <w:rPr>
                <w:rFonts w:ascii="Arial" w:cs="Arial" w:eastAsia="Arial" w:hAnsi="Arial"/>
                <w:sz w:val="14"/>
                <w:szCs w:val="14"/>
                <w:b w:val="1"/>
                <w:bCs w:val="1"/>
                <w:color w:val="auto"/>
              </w:rPr>
              <w:t>(a)</w:t>
            </w:r>
          </w:p>
        </w:tc>
        <w:tc>
          <w:tcPr>
            <w:tcW w:w="1520" w:type="dxa"/>
            <w:vAlign w:val="bottom"/>
          </w:tcPr>
          <w:p>
            <w:pPr>
              <w:jc w:val="right"/>
              <w:ind w:right="72"/>
              <w:spacing w:after="0"/>
              <w:rPr>
                <w:sz w:val="20"/>
                <w:szCs w:val="20"/>
                <w:color w:val="auto"/>
              </w:rPr>
            </w:pPr>
            <w:r>
              <w:rPr>
                <w:rFonts w:ascii="Arial" w:cs="Arial" w:eastAsia="Arial" w:hAnsi="Arial"/>
                <w:sz w:val="14"/>
                <w:szCs w:val="14"/>
                <w:b w:val="1"/>
                <w:bCs w:val="1"/>
                <w:color w:val="auto"/>
              </w:rPr>
              <w:t>(b)</w:t>
            </w:r>
          </w:p>
        </w:tc>
        <w:tc>
          <w:tcPr>
            <w:tcW w:w="1720" w:type="dxa"/>
            <w:vAlign w:val="bottom"/>
          </w:tcPr>
          <w:p>
            <w:pPr>
              <w:jc w:val="right"/>
              <w:spacing w:after="0"/>
              <w:rPr>
                <w:sz w:val="20"/>
                <w:szCs w:val="20"/>
                <w:color w:val="auto"/>
              </w:rPr>
            </w:pPr>
            <w:r>
              <w:rPr>
                <w:rFonts w:ascii="Arial" w:cs="Arial" w:eastAsia="Arial" w:hAnsi="Arial"/>
                <w:sz w:val="14"/>
                <w:szCs w:val="14"/>
                <w:b w:val="1"/>
                <w:bCs w:val="1"/>
                <w:color w:val="auto"/>
              </w:rPr>
              <w:t>(c)</w:t>
            </w:r>
          </w:p>
        </w:tc>
      </w:tr>
      <w:tr>
        <w:trPr>
          <w:trHeight w:val="48"/>
        </w:trPr>
        <w:tc>
          <w:tcPr>
            <w:tcW w:w="4980" w:type="dxa"/>
            <w:vAlign w:val="bottom"/>
            <w:tcBorders>
              <w:bottom w:val="single" w:sz="8" w:color="105EAB"/>
            </w:tcBorders>
          </w:tcPr>
          <w:p>
            <w:pPr>
              <w:spacing w:after="0"/>
              <w:rPr>
                <w:sz w:val="4"/>
                <w:szCs w:val="4"/>
                <w:color w:val="auto"/>
              </w:rPr>
            </w:pPr>
          </w:p>
        </w:tc>
        <w:tc>
          <w:tcPr>
            <w:tcW w:w="3200" w:type="dxa"/>
            <w:vAlign w:val="bottom"/>
            <w:tcBorders>
              <w:bottom w:val="single" w:sz="8" w:color="105EAB"/>
            </w:tcBorders>
          </w:tcPr>
          <w:p>
            <w:pPr>
              <w:spacing w:after="0"/>
              <w:rPr>
                <w:sz w:val="4"/>
                <w:szCs w:val="4"/>
                <w:color w:val="auto"/>
              </w:rPr>
            </w:pPr>
          </w:p>
        </w:tc>
        <w:tc>
          <w:tcPr>
            <w:tcW w:w="1520" w:type="dxa"/>
            <w:vAlign w:val="bottom"/>
            <w:tcBorders>
              <w:bottom w:val="single" w:sz="8" w:color="105EAB"/>
            </w:tcBorders>
          </w:tcPr>
          <w:p>
            <w:pPr>
              <w:spacing w:after="0"/>
              <w:rPr>
                <w:sz w:val="4"/>
                <w:szCs w:val="4"/>
                <w:color w:val="auto"/>
              </w:rPr>
            </w:pPr>
          </w:p>
        </w:tc>
        <w:tc>
          <w:tcPr>
            <w:tcW w:w="1720" w:type="dxa"/>
            <w:vAlign w:val="bottom"/>
            <w:tcBorders>
              <w:bottom w:val="single" w:sz="8" w:color="105EAB"/>
            </w:tcBorders>
          </w:tcPr>
          <w:p>
            <w:pPr>
              <w:spacing w:after="0"/>
              <w:rPr>
                <w:sz w:val="4"/>
                <w:szCs w:val="4"/>
                <w:color w:val="auto"/>
              </w:rPr>
            </w:pPr>
          </w:p>
        </w:tc>
      </w:tr>
      <w:tr>
        <w:trPr>
          <w:trHeight w:val="297"/>
        </w:trPr>
        <w:tc>
          <w:tcPr>
            <w:tcW w:w="4980" w:type="dxa"/>
            <w:vAlign w:val="bottom"/>
            <w:tcBorders>
              <w:bottom w:val="single" w:sz="8" w:color="DFF1FB"/>
            </w:tcBorders>
          </w:tcPr>
          <w:p>
            <w:pPr>
              <w:spacing w:after="0"/>
              <w:rPr>
                <w:sz w:val="20"/>
                <w:szCs w:val="20"/>
                <w:color w:val="auto"/>
              </w:rPr>
            </w:pPr>
            <w:r>
              <w:rPr>
                <w:rFonts w:ascii="Arial" w:cs="Arial" w:eastAsia="Arial" w:hAnsi="Arial"/>
                <w:sz w:val="14"/>
                <w:szCs w:val="14"/>
                <w:color w:val="auto"/>
              </w:rPr>
              <w:t>Equity Compensation Plans Approved by Security Holders</w:t>
            </w:r>
            <w:r>
              <w:rPr>
                <w:rFonts w:ascii="Arial" w:cs="Arial" w:eastAsia="Arial" w:hAnsi="Arial"/>
                <w:sz w:val="22"/>
                <w:szCs w:val="22"/>
                <w:color w:val="auto"/>
                <w:vertAlign w:val="superscript"/>
              </w:rPr>
              <w:t>(1)</w:t>
            </w:r>
          </w:p>
        </w:tc>
        <w:tc>
          <w:tcPr>
            <w:tcW w:w="3200" w:type="dxa"/>
            <w:vAlign w:val="bottom"/>
            <w:tcBorders>
              <w:bottom w:val="single" w:sz="8" w:color="DFF1FB"/>
            </w:tcBorders>
          </w:tcPr>
          <w:p>
            <w:pPr>
              <w:jc w:val="right"/>
              <w:ind w:right="72"/>
              <w:spacing w:after="0" w:line="297" w:lineRule="exact"/>
              <w:rPr>
                <w:sz w:val="20"/>
                <w:szCs w:val="20"/>
                <w:color w:val="auto"/>
              </w:rPr>
            </w:pPr>
            <w:r>
              <w:rPr>
                <w:rFonts w:ascii="Arial" w:cs="Arial" w:eastAsia="Arial" w:hAnsi="Arial"/>
                <w:sz w:val="14"/>
                <w:szCs w:val="14"/>
                <w:color w:val="auto"/>
              </w:rPr>
              <w:t>17,438,447</w:t>
            </w:r>
            <w:r>
              <w:rPr>
                <w:rFonts w:ascii="Arial" w:cs="Arial" w:eastAsia="Arial" w:hAnsi="Arial"/>
                <w:sz w:val="27"/>
                <w:szCs w:val="27"/>
                <w:color w:val="auto"/>
                <w:vertAlign w:val="superscript"/>
              </w:rPr>
              <w:t>(2)</w:t>
            </w:r>
          </w:p>
        </w:tc>
        <w:tc>
          <w:tcPr>
            <w:tcW w:w="1520" w:type="dxa"/>
            <w:vAlign w:val="bottom"/>
            <w:tcBorders>
              <w:bottom w:val="single" w:sz="8" w:color="DFF1FB"/>
            </w:tcBorders>
          </w:tcPr>
          <w:p>
            <w:pPr>
              <w:jc w:val="right"/>
              <w:ind w:right="72"/>
              <w:spacing w:after="0" w:line="297" w:lineRule="exact"/>
              <w:rPr>
                <w:sz w:val="20"/>
                <w:szCs w:val="20"/>
                <w:color w:val="auto"/>
              </w:rPr>
            </w:pPr>
            <w:r>
              <w:rPr>
                <w:rFonts w:ascii="Arial" w:cs="Arial" w:eastAsia="Arial" w:hAnsi="Arial"/>
                <w:sz w:val="14"/>
                <w:szCs w:val="14"/>
                <w:color w:val="auto"/>
              </w:rPr>
              <w:t>$71.56</w:t>
            </w:r>
            <w:r>
              <w:rPr>
                <w:rFonts w:ascii="Arial" w:cs="Arial" w:eastAsia="Arial" w:hAnsi="Arial"/>
                <w:sz w:val="27"/>
                <w:szCs w:val="27"/>
                <w:color w:val="auto"/>
                <w:vertAlign w:val="superscript"/>
              </w:rPr>
              <w:t>(3)</w:t>
            </w:r>
          </w:p>
        </w:tc>
        <w:tc>
          <w:tcPr>
            <w:tcW w:w="1720" w:type="dxa"/>
            <w:vAlign w:val="bottom"/>
            <w:tcBorders>
              <w:bottom w:val="single" w:sz="8" w:color="DFF1FB"/>
            </w:tcBorders>
          </w:tcPr>
          <w:p>
            <w:pPr>
              <w:jc w:val="right"/>
              <w:spacing w:after="0" w:line="297" w:lineRule="exact"/>
              <w:rPr>
                <w:sz w:val="20"/>
                <w:szCs w:val="20"/>
                <w:color w:val="auto"/>
              </w:rPr>
            </w:pPr>
            <w:r>
              <w:rPr>
                <w:rFonts w:ascii="Arial" w:cs="Arial" w:eastAsia="Arial" w:hAnsi="Arial"/>
                <w:sz w:val="14"/>
                <w:szCs w:val="14"/>
                <w:color w:val="auto"/>
              </w:rPr>
              <w:t>7,715,462</w:t>
            </w:r>
            <w:r>
              <w:rPr>
                <w:rFonts w:ascii="Arial" w:cs="Arial" w:eastAsia="Arial" w:hAnsi="Arial"/>
                <w:sz w:val="27"/>
                <w:szCs w:val="27"/>
                <w:color w:val="auto"/>
                <w:vertAlign w:val="superscript"/>
              </w:rPr>
              <w:t>(4)</w:t>
            </w:r>
          </w:p>
        </w:tc>
      </w:tr>
      <w:tr>
        <w:trPr>
          <w:trHeight w:val="298"/>
        </w:trPr>
        <w:tc>
          <w:tcPr>
            <w:tcW w:w="4980" w:type="dxa"/>
            <w:vAlign w:val="bottom"/>
            <w:tcBorders>
              <w:bottom w:val="single" w:sz="8" w:color="105EAB"/>
            </w:tcBorders>
          </w:tcPr>
          <w:p>
            <w:pPr>
              <w:spacing w:after="0"/>
              <w:rPr>
                <w:sz w:val="20"/>
                <w:szCs w:val="20"/>
                <w:color w:val="auto"/>
              </w:rPr>
            </w:pPr>
            <w:r>
              <w:rPr>
                <w:rFonts w:ascii="Arial" w:cs="Arial" w:eastAsia="Arial" w:hAnsi="Arial"/>
                <w:sz w:val="14"/>
                <w:szCs w:val="14"/>
                <w:color w:val="auto"/>
              </w:rPr>
              <w:t>Total</w:t>
            </w:r>
          </w:p>
        </w:tc>
        <w:tc>
          <w:tcPr>
            <w:tcW w:w="3200" w:type="dxa"/>
            <w:vAlign w:val="bottom"/>
            <w:tcBorders>
              <w:bottom w:val="single" w:sz="8" w:color="105EAB"/>
            </w:tcBorders>
          </w:tcPr>
          <w:p>
            <w:pPr>
              <w:jc w:val="right"/>
              <w:ind w:right="72"/>
              <w:spacing w:after="0" w:line="290" w:lineRule="exact"/>
              <w:rPr>
                <w:sz w:val="20"/>
                <w:szCs w:val="20"/>
                <w:color w:val="auto"/>
              </w:rPr>
            </w:pPr>
            <w:r>
              <w:rPr>
                <w:rFonts w:ascii="Arial" w:cs="Arial" w:eastAsia="Arial" w:hAnsi="Arial"/>
                <w:sz w:val="14"/>
                <w:szCs w:val="14"/>
                <w:color w:val="auto"/>
              </w:rPr>
              <w:t>17,438,447</w:t>
            </w:r>
            <w:r>
              <w:rPr>
                <w:rFonts w:ascii="Arial" w:cs="Arial" w:eastAsia="Arial" w:hAnsi="Arial"/>
                <w:sz w:val="27"/>
                <w:szCs w:val="27"/>
                <w:color w:val="auto"/>
                <w:vertAlign w:val="superscript"/>
              </w:rPr>
              <w:t>(2)</w:t>
            </w:r>
          </w:p>
        </w:tc>
        <w:tc>
          <w:tcPr>
            <w:tcW w:w="1520" w:type="dxa"/>
            <w:vAlign w:val="bottom"/>
            <w:tcBorders>
              <w:bottom w:val="single" w:sz="8" w:color="105EAB"/>
            </w:tcBorders>
          </w:tcPr>
          <w:p>
            <w:pPr>
              <w:jc w:val="right"/>
              <w:ind w:right="72"/>
              <w:spacing w:after="0" w:line="290" w:lineRule="exact"/>
              <w:rPr>
                <w:sz w:val="20"/>
                <w:szCs w:val="20"/>
                <w:color w:val="auto"/>
              </w:rPr>
            </w:pPr>
            <w:r>
              <w:rPr>
                <w:rFonts w:ascii="Arial" w:cs="Arial" w:eastAsia="Arial" w:hAnsi="Arial"/>
                <w:sz w:val="14"/>
                <w:szCs w:val="14"/>
                <w:color w:val="auto"/>
              </w:rPr>
              <w:t>$71.56</w:t>
            </w:r>
            <w:r>
              <w:rPr>
                <w:rFonts w:ascii="Arial" w:cs="Arial" w:eastAsia="Arial" w:hAnsi="Arial"/>
                <w:sz w:val="27"/>
                <w:szCs w:val="27"/>
                <w:color w:val="auto"/>
                <w:vertAlign w:val="superscript"/>
              </w:rPr>
              <w:t>(3)</w:t>
            </w:r>
          </w:p>
        </w:tc>
        <w:tc>
          <w:tcPr>
            <w:tcW w:w="1720" w:type="dxa"/>
            <w:vAlign w:val="bottom"/>
            <w:tcBorders>
              <w:bottom w:val="single" w:sz="8" w:color="105EAB"/>
            </w:tcBorders>
          </w:tcPr>
          <w:p>
            <w:pPr>
              <w:jc w:val="right"/>
              <w:spacing w:after="0" w:line="290" w:lineRule="exact"/>
              <w:rPr>
                <w:sz w:val="20"/>
                <w:szCs w:val="20"/>
                <w:color w:val="auto"/>
              </w:rPr>
            </w:pPr>
            <w:r>
              <w:rPr>
                <w:rFonts w:ascii="Arial" w:cs="Arial" w:eastAsia="Arial" w:hAnsi="Arial"/>
                <w:sz w:val="14"/>
                <w:szCs w:val="14"/>
                <w:color w:val="auto"/>
              </w:rPr>
              <w:t>7,715,462</w:t>
            </w:r>
            <w:r>
              <w:rPr>
                <w:rFonts w:ascii="Arial" w:cs="Arial" w:eastAsia="Arial" w:hAnsi="Arial"/>
                <w:sz w:val="27"/>
                <w:szCs w:val="27"/>
                <w:color w:val="auto"/>
                <w:vertAlign w:val="superscript"/>
              </w:rPr>
              <w:t>(4)</w:t>
            </w:r>
          </w:p>
        </w:tc>
      </w:tr>
    </w:tbl>
    <w:p>
      <w:pPr>
        <w:spacing w:after="0" w:line="232" w:lineRule="exact"/>
        <w:rPr>
          <w:sz w:val="20"/>
          <w:szCs w:val="20"/>
          <w:color w:val="auto"/>
        </w:rPr>
      </w:pPr>
    </w:p>
    <w:p>
      <w:pPr>
        <w:jc w:val="both"/>
        <w:ind w:left="420" w:hanging="412"/>
        <w:spacing w:after="0" w:line="195" w:lineRule="auto"/>
        <w:tabs>
          <w:tab w:leader="none" w:pos="420" w:val="left"/>
        </w:tabs>
        <w:numPr>
          <w:ilvl w:val="0"/>
          <w:numId w:val="6"/>
        </w:numPr>
        <w:rPr>
          <w:rFonts w:ascii="Arial" w:cs="Arial" w:eastAsia="Arial" w:hAnsi="Arial"/>
          <w:sz w:val="22"/>
          <w:szCs w:val="22"/>
          <w:color w:val="auto"/>
          <w:vertAlign w:val="superscript"/>
        </w:rPr>
      </w:pPr>
      <w:r>
        <w:rPr>
          <w:rFonts w:ascii="Arial" w:cs="Arial" w:eastAsia="Arial" w:hAnsi="Arial"/>
          <w:sz w:val="14"/>
          <w:szCs w:val="14"/>
          <w:color w:val="auto"/>
        </w:rPr>
        <w:t>Consists of the 2013 Equity Incentive Plan, which amended and restated the 2009 Equity Incentive Plan; the 2017 Equity Compensation Plan for Non-Employee Directors; the 2006 Equity Compensation Plan for Non-Employee Directors; and the Equity Incentive Plan for Non-Employee Directors (the equity plan for non-employee directors prior to 2006). The Company does not maintain any equity compensation plans not approved by stockholders.</w:t>
      </w:r>
    </w:p>
    <w:p>
      <w:pPr>
        <w:spacing w:after="0" w:line="127" w:lineRule="exact"/>
        <w:rPr>
          <w:rFonts w:ascii="Arial" w:cs="Arial" w:eastAsia="Arial" w:hAnsi="Arial"/>
          <w:sz w:val="22"/>
          <w:szCs w:val="22"/>
          <w:color w:val="auto"/>
          <w:vertAlign w:val="superscript"/>
        </w:rPr>
      </w:pPr>
    </w:p>
    <w:p>
      <w:pPr>
        <w:jc w:val="both"/>
        <w:ind w:left="420" w:hanging="412"/>
        <w:spacing w:after="0" w:line="201" w:lineRule="auto"/>
        <w:tabs>
          <w:tab w:leader="none" w:pos="420" w:val="left"/>
        </w:tabs>
        <w:numPr>
          <w:ilvl w:val="0"/>
          <w:numId w:val="6"/>
        </w:numPr>
        <w:rPr>
          <w:rFonts w:ascii="Arial" w:cs="Arial" w:eastAsia="Arial" w:hAnsi="Arial"/>
          <w:sz w:val="22"/>
          <w:szCs w:val="22"/>
          <w:color w:val="auto"/>
          <w:vertAlign w:val="superscript"/>
        </w:rPr>
      </w:pPr>
      <w:r>
        <w:rPr>
          <w:rFonts w:ascii="Arial" w:cs="Arial" w:eastAsia="Arial" w:hAnsi="Arial"/>
          <w:sz w:val="14"/>
          <w:szCs w:val="14"/>
          <w:color w:val="auto"/>
        </w:rPr>
        <w:t>As of March 1, 2019, 14,026,410 options, 958,155 restricted stock units (RSUs) and 2,453,882 performance stock awards (PSAs) were outstanding. The weighted-average exercise price of outstanding options, warrants, and rights does not take into account RSUs and PSAs, which have no exercise price. PSAs are reported at the maximum potential amount awarded for incomplete performance periods, reduced for forfeitures. For such performance periods, the actual number of shares earned may be less and are based upon measures achieved at the end of the three-year performance period for those PSAs granted in 2017, 2018 and 2019.</w:t>
      </w:r>
    </w:p>
    <w:p>
      <w:pPr>
        <w:spacing w:after="0" w:line="45" w:lineRule="exact"/>
        <w:rPr>
          <w:rFonts w:ascii="Arial" w:cs="Arial" w:eastAsia="Arial" w:hAnsi="Arial"/>
          <w:sz w:val="22"/>
          <w:szCs w:val="22"/>
          <w:color w:val="auto"/>
          <w:vertAlign w:val="superscript"/>
        </w:rPr>
      </w:pPr>
    </w:p>
    <w:p>
      <w:pPr>
        <w:ind w:left="420" w:hanging="412"/>
        <w:spacing w:after="0"/>
        <w:tabs>
          <w:tab w:leader="none" w:pos="420" w:val="left"/>
        </w:tabs>
        <w:numPr>
          <w:ilvl w:val="0"/>
          <w:numId w:val="6"/>
        </w:numPr>
        <w:rPr>
          <w:rFonts w:ascii="Arial" w:cs="Arial" w:eastAsia="Arial" w:hAnsi="Arial"/>
          <w:sz w:val="22"/>
          <w:szCs w:val="22"/>
          <w:color w:val="auto"/>
          <w:vertAlign w:val="superscript"/>
        </w:rPr>
      </w:pPr>
      <w:r>
        <w:rPr>
          <w:rFonts w:ascii="Arial" w:cs="Arial" w:eastAsia="Arial" w:hAnsi="Arial"/>
          <w:sz w:val="14"/>
          <w:szCs w:val="14"/>
          <w:color w:val="auto"/>
        </w:rPr>
        <w:t>Weighted-average remaining contractual term of outstanding options as of March 1, 2019 is 6.9 years.</w:t>
      </w:r>
    </w:p>
    <w:p>
      <w:pPr>
        <w:spacing w:after="0" w:line="124" w:lineRule="exact"/>
        <w:rPr>
          <w:rFonts w:ascii="Arial" w:cs="Arial" w:eastAsia="Arial" w:hAnsi="Arial"/>
          <w:sz w:val="22"/>
          <w:szCs w:val="22"/>
          <w:color w:val="auto"/>
          <w:vertAlign w:val="superscript"/>
        </w:rPr>
      </w:pPr>
    </w:p>
    <w:p>
      <w:pPr>
        <w:jc w:val="both"/>
        <w:ind w:left="420" w:hanging="412"/>
        <w:spacing w:after="0" w:line="201" w:lineRule="auto"/>
        <w:tabs>
          <w:tab w:leader="none" w:pos="420" w:val="left"/>
        </w:tabs>
        <w:numPr>
          <w:ilvl w:val="0"/>
          <w:numId w:val="6"/>
        </w:numPr>
        <w:rPr>
          <w:rFonts w:ascii="Arial" w:cs="Arial" w:eastAsia="Arial" w:hAnsi="Arial"/>
          <w:sz w:val="22"/>
          <w:szCs w:val="22"/>
          <w:color w:val="auto"/>
          <w:vertAlign w:val="superscript"/>
        </w:rPr>
      </w:pPr>
      <w:r>
        <w:rPr>
          <w:rFonts w:ascii="Arial" w:cs="Arial" w:eastAsia="Arial" w:hAnsi="Arial"/>
          <w:sz w:val="14"/>
          <w:szCs w:val="14"/>
          <w:color w:val="auto"/>
        </w:rPr>
        <w:t>Under the 2013 Equity Incentive Plan 7,349,139 shares may be issued in the form of stock options, unrestricted stock, restricted stock, restricted stock units, SARs, performance units, performance stock, and stock in lieu of cash (assuming PSAs at maximum potential amount). Under the 2017 Equity Compensation Plan for Non-Employee Directors 366,323 shares that may be issued in the form of stock options, unrestricted stock, restricted stock, restricted stock units, and stock in lieu of cash compensation. The 2013 Equity Incentive Plan and the 2017 Equity Compensation Plan for Non-Employee Directors are the only plans under which awards can currently be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213995</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Voting Matters</w:t>
      </w:r>
    </w:p>
    <w:p>
      <w:pPr>
        <w:spacing w:after="0" w:line="23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i w:val="1"/>
          <w:iCs w:val="1"/>
          <w:color w:val="auto"/>
        </w:rPr>
        <w:t>If you have already returned your proxy or provided voting instructions, you do not need to take any action unless you wish to change your vote</w:t>
      </w:r>
      <w:r>
        <w:rPr>
          <w:rFonts w:ascii="Arial" w:cs="Arial" w:eastAsia="Arial" w:hAnsi="Arial"/>
          <w:sz w:val="16"/>
          <w:szCs w:val="16"/>
          <w:color w:val="auto"/>
        </w:rPr>
        <w:t>. Proxies already</w:t>
      </w:r>
      <w:r>
        <w:rPr>
          <w:rFonts w:ascii="Arial" w:cs="Arial" w:eastAsia="Arial" w:hAnsi="Arial"/>
          <w:sz w:val="16"/>
          <w:szCs w:val="16"/>
          <w:i w:val="1"/>
          <w:iCs w:val="1"/>
          <w:color w:val="auto"/>
        </w:rPr>
        <w:t xml:space="preserve"> </w:t>
      </w:r>
      <w:r>
        <w:rPr>
          <w:rFonts w:ascii="Arial" w:cs="Arial" w:eastAsia="Arial" w:hAnsi="Arial"/>
          <w:sz w:val="16"/>
          <w:szCs w:val="16"/>
          <w:color w:val="auto"/>
        </w:rPr>
        <w:t>returned by shareholders (via Internet, telephone, or mail) will remain valid and will be voted at the Annual Meeting unless revoked. If you have not yet returned your proxy card or submitted your voting instructions, please complete the card or submit instructions. Important information regarding how to vote your shares and revoke proxies already submitted is available in the Proxy Statement under the caption “Other Information.”</w:t>
      </w:r>
    </w:p>
    <w:p>
      <w:pPr>
        <w:spacing w:after="0" w:line="16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148590</wp:posOffset>
            </wp:positionV>
            <wp:extent cx="1020445" cy="2146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20445" cy="21463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SUSAN L. LEES</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SECRETARY</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APRIL 19,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lvl w:ilvl="1">
      <w:lvlJc w:val="left"/>
      <w:lvlText w:val="%2)"/>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2019-12-03T07:48:17Z</dcterms:created>
  <dcterms:modified xsi:type="dcterms:W3CDTF">2019-12-03T07:48:17Z</dcterms:modified>
</cp:coreProperties>
</file>