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6993255" cy="5323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23205"/>
                    </a:xfrm>
                    <a:prstGeom prst="rect">
                      <a:avLst/>
                    </a:prstGeom>
                    <a:noFill/>
                  </pic:spPr>
                </pic:pic>
              </a:graphicData>
            </a:graphic>
          </wp:anchor>
        </w:drawing>
      </w:r>
    </w:p>
    <w:p>
      <w:pPr>
        <w:spacing w:after="0" w:line="118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80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HUME RICHARD T</w:t>
              </w:r>
            </w:hyperlink>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gridSpan w:val="3"/>
          </w:tcPr>
          <w:p>
            <w:pPr>
              <w:ind w:left="60"/>
              <w:spacing w:after="0" w:line="10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ALLSTATE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1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Borders>
              <w:bottom w:val="single" w:sz="8" w:color="0000EE"/>
            </w:tcBorders>
          </w:tcPr>
          <w:p>
            <w:pPr>
              <w:spacing w:after="0"/>
              <w:rPr>
                <w:sz w:val="6"/>
                <w:szCs w:val="6"/>
                <w:color w:val="auto"/>
              </w:rPr>
            </w:pPr>
          </w:p>
        </w:tc>
        <w:tc>
          <w:tcPr>
            <w:tcW w:w="2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1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8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840" w:type="dxa"/>
            <w:vAlign w:val="bottom"/>
            <w:vMerge w:val="restart"/>
          </w:tcPr>
          <w:p>
            <w:pPr>
              <w:ind w:left="6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1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THE ALLSTATE CORPORATION</w:t>
            </w:r>
          </w:p>
        </w:tc>
        <w:tc>
          <w:tcPr>
            <w:tcW w:w="1760" w:type="dxa"/>
            <w:vAlign w:val="bottom"/>
            <w:gridSpan w:val="3"/>
            <w:vMerge w:val="continue"/>
          </w:tcPr>
          <w:p>
            <w:pPr>
              <w:spacing w:after="0"/>
              <w:rPr>
                <w:sz w:val="11"/>
                <w:szCs w:val="11"/>
                <w:color w:val="auto"/>
              </w:rPr>
            </w:pPr>
          </w:p>
        </w:tc>
        <w:tc>
          <w:tcPr>
            <w:tcW w:w="2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3100 SANDERS ROAD</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0"/>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06/01/2026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1,603</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40"/>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5,512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0"/>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1,603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1020" w:type="dxa"/>
            <w:vAlign w:val="bottom"/>
            <w:vMerge w:val="restart"/>
          </w:tcPr>
          <w:p>
            <w:pPr>
              <w:jc w:val="right"/>
              <w:ind w:right="119"/>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7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line="143" w:lineRule="exact"/>
              <w:rPr>
                <w:sz w:val="20"/>
                <w:szCs w:val="20"/>
                <w:color w:val="auto"/>
              </w:rPr>
            </w:pPr>
            <w:r>
              <w:rPr>
                <w:rFonts w:ascii="Times New Roman" w:cs="Times New Roman" w:eastAsia="Times New Roman" w:hAnsi="Times New Roman"/>
                <w:sz w:val="13"/>
                <w:szCs w:val="13"/>
                <w:color w:val="0000FF"/>
              </w:rPr>
              <w:t>1,603</w:t>
            </w:r>
          </w:p>
        </w:tc>
        <w:tc>
          <w:tcPr>
            <w:tcW w:w="760" w:type="dxa"/>
            <w:vAlign w:val="bottom"/>
            <w:gridSpan w:val="2"/>
            <w:vMerge w:val="restart"/>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760" w:type="dxa"/>
            <w:vAlign w:val="bottom"/>
            <w:gridSpan w:val="2"/>
            <w:vMerge w:val="restart"/>
          </w:tcPr>
          <w:p>
            <w:pPr>
              <w:jc w:val="right"/>
              <w:ind w:right="78"/>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6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917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1020" w:type="dxa"/>
            <w:vAlign w:val="bottom"/>
            <w:vMerge w:val="restart"/>
          </w:tcPr>
          <w:p>
            <w:pPr>
              <w:jc w:val="right"/>
              <w:ind w:right="119"/>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7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9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917</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21"/>
              <w:spacing w:after="0" w:line="143" w:lineRule="exact"/>
              <w:rPr>
                <w:sz w:val="20"/>
                <w:szCs w:val="20"/>
                <w:color w:val="auto"/>
              </w:rPr>
            </w:pPr>
            <w:r>
              <w:rPr>
                <w:rFonts w:ascii="Times New Roman" w:cs="Times New Roman" w:eastAsia="Times New Roman" w:hAnsi="Times New Roman"/>
                <w:sz w:val="13"/>
                <w:szCs w:val="13"/>
                <w:color w:val="0000FF"/>
              </w:rPr>
              <w:t>917</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-2455545</wp:posOffset>
            </wp:positionV>
            <wp:extent cx="29210" cy="2460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06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into an equal number of common shares, without the payment of any consideration, pursuant to The Allstate Corporation 2017 Equity Compensation Plan for Non-Employee Directors.</w:t>
      </w:r>
    </w:p>
    <w:p>
      <w:pPr>
        <w:spacing w:after="0" w:line="16" w:lineRule="exact"/>
        <w:rPr>
          <w:rFonts w:ascii="Times New Roman" w:cs="Times New Roman" w:eastAsia="Times New Roman" w:hAnsi="Times New Roman"/>
          <w:sz w:val="13"/>
          <w:szCs w:val="13"/>
          <w:color w:val="008000"/>
        </w:rPr>
      </w:pPr>
    </w:p>
    <w:p>
      <w:pPr>
        <w:ind w:left="40" w:right="240" w:firstLine="3"/>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Allstate Corporation 2017 Equity Compensation Plan for Non-Employee Directors providing that each RSU represents the right to receive one share of Allstate common stock following either a standard restriction period or a deferred period of restriction if elected. The RSUs reported will convert into common stock upon the earlier of (i) the third anniversary of the date of grant, (ii) the day following the date on which the reporting person's Board service terminates, and (iii) the day following the date of the reporting person's death or disability.</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Meghan E. Jauhar, attorney- </w:t>
      </w:r>
      <w:r>
        <w:rPr>
          <w:rFonts w:ascii="Times New Roman" w:cs="Times New Roman" w:eastAsia="Times New Roman" w:hAnsi="Times New Roman"/>
          <w:sz w:val="32"/>
          <w:szCs w:val="32"/>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Richard T. Hume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94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4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7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9810"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2026-06-02T19:33:29Z</dcterms:created>
  <dcterms:modified xsi:type="dcterms:W3CDTF">2026-06-02T19:33:29Z</dcterms:modified>
</cp:coreProperties>
</file>