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29"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UNITED STATES</w:t>
      </w:r>
    </w:p>
    <w:p>
      <w:pPr>
        <w:jc w:val="center"/>
        <w:ind w:right="-139"/>
        <w:spacing w:after="0" w:line="234" w:lineRule="auto"/>
        <w:rPr>
          <w:sz w:val="20"/>
          <w:szCs w:val="20"/>
          <w:color w:val="auto"/>
        </w:rPr>
      </w:pPr>
      <w:r>
        <w:rPr>
          <w:rFonts w:ascii="Arial" w:cs="Arial" w:eastAsia="Arial" w:hAnsi="Arial"/>
          <w:sz w:val="18"/>
          <w:szCs w:val="18"/>
          <w:color w:val="auto"/>
        </w:rPr>
        <w:t>SECURITIES AND EXCHANGE COMMISSION</w:t>
      </w:r>
    </w:p>
    <w:p>
      <w:pPr>
        <w:spacing w:after="0" w:line="1"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SCHEDULE 14A</w:t>
      </w:r>
    </w:p>
    <w:p>
      <w:pPr>
        <w:spacing w:after="0" w:line="207"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Proxy Statement Pursuant to Section 14(a) of the</w:t>
      </w:r>
    </w:p>
    <w:p>
      <w:pPr>
        <w:ind w:left="3700"/>
        <w:spacing w:after="0"/>
        <w:rPr>
          <w:sz w:val="20"/>
          <w:szCs w:val="20"/>
          <w:color w:val="auto"/>
        </w:rPr>
      </w:pPr>
      <w:r>
        <w:rPr>
          <w:rFonts w:ascii="Arial" w:cs="Arial" w:eastAsia="Arial" w:hAnsi="Arial"/>
          <w:sz w:val="18"/>
          <w:szCs w:val="18"/>
          <w:color w:val="auto"/>
        </w:rPr>
        <w:t>Securities Exchange Act of 1934 (Amendment No. )</w:t>
      </w:r>
    </w:p>
    <w:p>
      <w:pPr>
        <w:spacing w:after="0" w:line="147" w:lineRule="exact"/>
        <w:rPr>
          <w:sz w:val="24"/>
          <w:szCs w:val="24"/>
          <w:color w:val="auto"/>
        </w:rPr>
      </w:pPr>
    </w:p>
    <w:p>
      <w:pPr>
        <w:spacing w:after="0" w:line="242" w:lineRule="exact"/>
        <w:tabs>
          <w:tab w:leader="none" w:pos="320" w:val="left"/>
          <w:tab w:leader="none" w:pos="7580" w:val="left"/>
        </w:tabs>
        <w:rPr>
          <w:sz w:val="20"/>
          <w:szCs w:val="20"/>
          <w:color w:val="auto"/>
        </w:rPr>
      </w:pPr>
      <w:r>
        <w:rPr>
          <w:rFonts w:ascii="MS PGothic" w:cs="MS PGothic" w:eastAsia="MS PGothic" w:hAnsi="MS PGothic"/>
          <w:sz w:val="21"/>
          <w:szCs w:val="21"/>
          <w:color w:val="auto"/>
        </w:rPr>
        <w:t>☑</w:t>
      </w:r>
      <w:r>
        <w:rPr>
          <w:rFonts w:ascii="Arial" w:cs="Arial" w:eastAsia="Arial" w:hAnsi="Arial"/>
          <w:sz w:val="18"/>
          <w:szCs w:val="18"/>
          <w:color w:val="auto"/>
        </w:rPr>
        <w:tab/>
        <w:t>Filed by the Registrant</w:t>
      </w:r>
      <w:r>
        <w:rPr>
          <w:sz w:val="20"/>
          <w:szCs w:val="20"/>
          <w:color w:val="auto"/>
        </w:rPr>
        <w:tab/>
      </w:r>
      <w:r>
        <w:rPr>
          <w:rFonts w:ascii="MS PGothic" w:cs="MS PGothic" w:eastAsia="MS PGothic" w:hAnsi="MS PGothic"/>
          <w:sz w:val="22"/>
          <w:szCs w:val="22"/>
          <w:color w:val="auto"/>
        </w:rPr>
        <w:t xml:space="preserve">☐ </w:t>
      </w:r>
      <w:r>
        <w:rPr>
          <w:rFonts w:ascii="Arial" w:cs="Arial" w:eastAsia="Arial" w:hAnsi="Arial"/>
          <w:sz w:val="17"/>
          <w:szCs w:val="17"/>
          <w:color w:val="auto"/>
        </w:rPr>
        <w:t>Filed by a Party other than the Registrant</w:t>
      </w:r>
    </w:p>
    <w:p>
      <w:pPr>
        <w:spacing w:after="0" w:line="322" w:lineRule="exact"/>
        <w:rPr>
          <w:sz w:val="24"/>
          <w:szCs w:val="24"/>
          <w:color w:val="auto"/>
        </w:rPr>
      </w:pPr>
    </w:p>
    <w:p>
      <w:pPr>
        <w:ind w:left="80"/>
        <w:spacing w:after="0"/>
        <w:rPr>
          <w:sz w:val="20"/>
          <w:szCs w:val="20"/>
          <w:color w:val="auto"/>
        </w:rPr>
      </w:pPr>
      <w:r>
        <w:rPr>
          <w:rFonts w:ascii="Arial" w:cs="Arial" w:eastAsia="Arial" w:hAnsi="Arial"/>
          <w:sz w:val="18"/>
          <w:szCs w:val="18"/>
          <w:color w:val="auto"/>
        </w:rPr>
        <w:t>CHECK THE APPROPRIATE BOX:</w:t>
      </w:r>
    </w:p>
    <w:p>
      <w:pPr>
        <w:spacing w:after="0" w:line="33" w:lineRule="exact"/>
        <w:rPr>
          <w:sz w:val="24"/>
          <w:szCs w:val="24"/>
          <w:color w:val="auto"/>
        </w:rPr>
      </w:pPr>
    </w:p>
    <w:p>
      <w:pPr>
        <w:ind w:left="540" w:hanging="460"/>
        <w:spacing w:after="0"/>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Preliminary Proxy Statement</w:t>
      </w:r>
    </w:p>
    <w:p>
      <w:pPr>
        <w:spacing w:after="0" w:line="45" w:lineRule="exact"/>
        <w:rPr>
          <w:rFonts w:ascii="MS PGothic" w:cs="MS PGothic" w:eastAsia="MS PGothic" w:hAnsi="MS PGothic"/>
          <w:sz w:val="22"/>
          <w:szCs w:val="22"/>
          <w:color w:val="auto"/>
        </w:rPr>
      </w:pPr>
    </w:p>
    <w:p>
      <w:pPr>
        <w:ind w:left="80" w:right="4480"/>
        <w:spacing w:after="0" w:line="256" w:lineRule="exact"/>
        <w:tabs>
          <w:tab w:leader="none" w:pos="548"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21"/>
          <w:szCs w:val="21"/>
          <w:color w:val="auto"/>
        </w:rPr>
        <w:t>☑</w:t>
      </w:r>
      <w:r>
        <w:rPr>
          <w:rFonts w:ascii="Arial" w:cs="Arial" w:eastAsia="Arial" w:hAnsi="Arial"/>
          <w:sz w:val="18"/>
          <w:szCs w:val="18"/>
          <w:color w:val="auto"/>
        </w:rPr>
        <w:t xml:space="preserve"> Definitive Proxy Statement</w:t>
      </w:r>
    </w:p>
    <w:p>
      <w:pPr>
        <w:ind w:left="540" w:hanging="460"/>
        <w:spacing w:after="0" w:line="222" w:lineRule="auto"/>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Definitive Additional Materials</w:t>
      </w:r>
    </w:p>
    <w:p>
      <w:pPr>
        <w:spacing w:after="0" w:line="46" w:lineRule="exact"/>
        <w:rPr>
          <w:rFonts w:ascii="MS PGothic" w:cs="MS PGothic" w:eastAsia="MS PGothic" w:hAnsi="MS PGothic"/>
          <w:sz w:val="22"/>
          <w:szCs w:val="22"/>
          <w:color w:val="auto"/>
        </w:rPr>
      </w:pPr>
    </w:p>
    <w:p>
      <w:pPr>
        <w:ind w:left="540" w:hanging="460"/>
        <w:spacing w:after="0" w:line="222" w:lineRule="auto"/>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Soliciting Material Under Rule 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-803275</wp:posOffset>
            </wp:positionV>
            <wp:extent cx="7246620" cy="15506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5506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The Allstate Corporation</w:t>
      </w:r>
    </w:p>
    <w:p>
      <w:pPr>
        <w:spacing w:after="0" w:line="236" w:lineRule="exact"/>
        <w:rPr>
          <w:sz w:val="24"/>
          <w:szCs w:val="24"/>
          <w:color w:val="auto"/>
        </w:rPr>
      </w:pPr>
    </w:p>
    <w:p>
      <w:pPr>
        <w:jc w:val="center"/>
        <w:ind w:right="-139"/>
        <w:spacing w:after="0"/>
        <w:rPr>
          <w:sz w:val="20"/>
          <w:szCs w:val="20"/>
          <w:color w:val="auto"/>
        </w:rPr>
      </w:pPr>
      <w:r>
        <w:rPr>
          <w:rFonts w:ascii="Arial" w:cs="Arial" w:eastAsia="Arial" w:hAnsi="Arial"/>
          <w:sz w:val="13"/>
          <w:szCs w:val="13"/>
          <w:color w:val="auto"/>
        </w:rPr>
        <w:t>(Name of Registrant as Specified In Its Charter)</w:t>
      </w:r>
    </w:p>
    <w:p>
      <w:pPr>
        <w:jc w:val="center"/>
        <w:ind w:right="-139"/>
        <w:spacing w:after="0"/>
        <w:rPr>
          <w:sz w:val="20"/>
          <w:szCs w:val="20"/>
          <w:color w:val="auto"/>
        </w:rPr>
      </w:pPr>
      <w:r>
        <w:rPr>
          <w:rFonts w:ascii="Arial" w:cs="Arial" w:eastAsia="Arial" w:hAnsi="Arial"/>
          <w:sz w:val="13"/>
          <w:szCs w:val="13"/>
          <w:color w:val="auto"/>
        </w:rPr>
        <w:t>(Name of Person(s) Filing Proxy Statement, if Other Than the Registrant)</w:t>
      </w:r>
    </w:p>
    <w:p>
      <w:pPr>
        <w:spacing w:after="0" w:line="232" w:lineRule="exact"/>
        <w:rPr>
          <w:sz w:val="24"/>
          <w:szCs w:val="24"/>
          <w:color w:val="auto"/>
        </w:rPr>
      </w:pPr>
    </w:p>
    <w:p>
      <w:pPr>
        <w:ind w:left="80"/>
        <w:spacing w:after="0"/>
        <w:rPr>
          <w:sz w:val="20"/>
          <w:szCs w:val="20"/>
          <w:color w:val="auto"/>
        </w:rPr>
      </w:pPr>
      <w:r>
        <w:rPr>
          <w:rFonts w:ascii="Arial" w:cs="Arial" w:eastAsia="Arial" w:hAnsi="Arial"/>
          <w:sz w:val="18"/>
          <w:szCs w:val="18"/>
          <w:color w:val="auto"/>
        </w:rPr>
        <w:t>PAYMENT OF FILING FEE (CHECK THE APPROPRIATE BOX):</w:t>
      </w:r>
    </w:p>
    <w:p>
      <w:pPr>
        <w:spacing w:after="0" w:line="33" w:lineRule="exact"/>
        <w:rPr>
          <w:sz w:val="24"/>
          <w:szCs w:val="24"/>
          <w:color w:val="auto"/>
        </w:rPr>
      </w:pPr>
    </w:p>
    <w:p>
      <w:pPr>
        <w:ind w:left="540" w:hanging="460"/>
        <w:spacing w:after="0"/>
        <w:tabs>
          <w:tab w:leader="none" w:pos="540" w:val="left"/>
        </w:tabs>
        <w:numPr>
          <w:ilvl w:val="0"/>
          <w:numId w:val="2"/>
        </w:numPr>
        <w:rPr>
          <w:rFonts w:ascii="MS PGothic" w:cs="MS PGothic" w:eastAsia="MS PGothic" w:hAnsi="MS PGothic"/>
          <w:sz w:val="22"/>
          <w:szCs w:val="22"/>
          <w:color w:val="auto"/>
        </w:rPr>
      </w:pPr>
      <w:r>
        <w:rPr>
          <w:rFonts w:ascii="Arial" w:cs="Arial" w:eastAsia="Arial" w:hAnsi="Arial"/>
          <w:sz w:val="18"/>
          <w:szCs w:val="18"/>
          <w:color w:val="auto"/>
        </w:rPr>
        <w:t>No fee required.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696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696085"/>
                    </a:xfrm>
                    <a:prstGeom prst="rect">
                      <a:avLst/>
                    </a:prstGeom>
                    <a:noFill/>
                  </pic:spPr>
                </pic:pic>
              </a:graphicData>
            </a:graphic>
          </wp:anchor>
        </w:drawing>
      </w:r>
    </w:p>
    <w:p>
      <w:pPr>
        <w:spacing w:after="0" w:line="9" w:lineRule="exact"/>
        <w:rPr>
          <w:sz w:val="24"/>
          <w:szCs w:val="24"/>
          <w:color w:val="auto"/>
        </w:rPr>
      </w:pPr>
    </w:p>
    <w:p>
      <w:pPr>
        <w:ind w:left="540" w:hanging="460"/>
        <w:spacing w:after="0"/>
        <w:tabs>
          <w:tab w:leader="none" w:pos="540" w:val="left"/>
        </w:tabs>
        <w:numPr>
          <w:ilvl w:val="0"/>
          <w:numId w:val="3"/>
        </w:numPr>
        <w:rPr>
          <w:rFonts w:ascii="MS PGothic" w:cs="MS PGothic" w:eastAsia="MS PGothic" w:hAnsi="MS PGothic"/>
          <w:sz w:val="22"/>
          <w:szCs w:val="22"/>
          <w:color w:val="auto"/>
        </w:rPr>
      </w:pPr>
      <w:r>
        <w:rPr>
          <w:rFonts w:ascii="Arial" w:cs="Arial" w:eastAsia="Arial" w:hAnsi="Arial"/>
          <w:sz w:val="18"/>
          <w:szCs w:val="18"/>
          <w:color w:val="auto"/>
        </w:rPr>
        <w:t>Fee computed on table below per Exchange Act Rules 14a-6(i)(1) and 0-11.</w:t>
      </w:r>
    </w:p>
    <w:p>
      <w:pPr>
        <w:spacing w:after="0" w:line="14" w:lineRule="exact"/>
        <w:rPr>
          <w:rFonts w:ascii="MS PGothic" w:cs="MS PGothic" w:eastAsia="MS PGothic" w:hAnsi="MS PGothic"/>
          <w:sz w:val="22"/>
          <w:szCs w:val="22"/>
          <w:color w:val="auto"/>
        </w:rPr>
      </w:pPr>
    </w:p>
    <w:p>
      <w:pPr>
        <w:ind w:left="860" w:hanging="164"/>
        <w:spacing w:after="0" w:line="238" w:lineRule="auto"/>
        <w:tabs>
          <w:tab w:leader="none" w:pos="860" w:val="left"/>
        </w:tabs>
        <w:numPr>
          <w:ilvl w:val="1"/>
          <w:numId w:val="3"/>
        </w:numPr>
        <w:rPr>
          <w:rFonts w:ascii="Arial" w:cs="Arial" w:eastAsia="Arial" w:hAnsi="Arial"/>
          <w:sz w:val="13"/>
          <w:szCs w:val="13"/>
          <w:color w:val="auto"/>
        </w:rPr>
      </w:pPr>
      <w:r>
        <w:rPr>
          <w:rFonts w:ascii="Arial" w:cs="Arial" w:eastAsia="Arial" w:hAnsi="Arial"/>
          <w:sz w:val="13"/>
          <w:szCs w:val="13"/>
          <w:color w:val="auto"/>
        </w:rPr>
        <w:t>Title of each class of securities to which transaction applies:</w:t>
      </w:r>
    </w:p>
    <w:p>
      <w:pPr>
        <w:ind w:left="860" w:hanging="164"/>
        <w:spacing w:after="0" w:line="238" w:lineRule="auto"/>
        <w:tabs>
          <w:tab w:leader="none" w:pos="860" w:val="left"/>
        </w:tabs>
        <w:numPr>
          <w:ilvl w:val="1"/>
          <w:numId w:val="3"/>
        </w:numPr>
        <w:rPr>
          <w:rFonts w:ascii="Arial" w:cs="Arial" w:eastAsia="Arial" w:hAnsi="Arial"/>
          <w:sz w:val="13"/>
          <w:szCs w:val="13"/>
          <w:color w:val="auto"/>
        </w:rPr>
      </w:pPr>
      <w:r>
        <w:rPr>
          <w:rFonts w:ascii="Arial" w:cs="Arial" w:eastAsia="Arial" w:hAnsi="Arial"/>
          <w:sz w:val="13"/>
          <w:szCs w:val="13"/>
          <w:color w:val="auto"/>
        </w:rPr>
        <w:t>Aggregate number of securities to which transaction applies:</w:t>
      </w:r>
    </w:p>
    <w:p>
      <w:pPr>
        <w:ind w:left="700" w:right="40" w:hanging="4"/>
        <w:spacing w:after="0" w:line="238" w:lineRule="auto"/>
        <w:tabs>
          <w:tab w:leader="none" w:pos="857" w:val="left"/>
        </w:tabs>
        <w:numPr>
          <w:ilvl w:val="1"/>
          <w:numId w:val="3"/>
        </w:numPr>
        <w:rPr>
          <w:rFonts w:ascii="Arial" w:cs="Arial" w:eastAsia="Arial" w:hAnsi="Arial"/>
          <w:sz w:val="13"/>
          <w:szCs w:val="13"/>
          <w:color w:val="auto"/>
        </w:rPr>
      </w:pPr>
      <w:r>
        <w:rPr>
          <w:rFonts w:ascii="Arial" w:cs="Arial" w:eastAsia="Arial" w:hAnsi="Arial"/>
          <w:sz w:val="13"/>
          <w:szCs w:val="13"/>
          <w:color w:val="auto"/>
        </w:rPr>
        <w:t>Per unit price or other underlying value of transaction computed pursuant to Exchange Act Rule 0-11 (set forth the amount on which the filing fee is calculated and state how it was determined):</w:t>
      </w:r>
    </w:p>
    <w:p>
      <w:pPr>
        <w:ind w:left="860" w:hanging="164"/>
        <w:spacing w:after="0" w:line="238" w:lineRule="auto"/>
        <w:tabs>
          <w:tab w:leader="none" w:pos="860" w:val="left"/>
        </w:tabs>
        <w:numPr>
          <w:ilvl w:val="1"/>
          <w:numId w:val="3"/>
        </w:numPr>
        <w:rPr>
          <w:rFonts w:ascii="Arial" w:cs="Arial" w:eastAsia="Arial" w:hAnsi="Arial"/>
          <w:sz w:val="13"/>
          <w:szCs w:val="13"/>
          <w:color w:val="auto"/>
        </w:rPr>
      </w:pPr>
      <w:r>
        <w:rPr>
          <w:rFonts w:ascii="Arial" w:cs="Arial" w:eastAsia="Arial" w:hAnsi="Arial"/>
          <w:sz w:val="13"/>
          <w:szCs w:val="13"/>
          <w:color w:val="auto"/>
        </w:rPr>
        <w:t>Proposed maximum aggregate value of transaction:</w:t>
      </w:r>
    </w:p>
    <w:p>
      <w:pPr>
        <w:ind w:left="860" w:hanging="164"/>
        <w:spacing w:after="0"/>
        <w:tabs>
          <w:tab w:leader="none" w:pos="860" w:val="left"/>
        </w:tabs>
        <w:numPr>
          <w:ilvl w:val="1"/>
          <w:numId w:val="3"/>
        </w:numPr>
        <w:rPr>
          <w:rFonts w:ascii="Arial" w:cs="Arial" w:eastAsia="Arial" w:hAnsi="Arial"/>
          <w:sz w:val="13"/>
          <w:szCs w:val="13"/>
          <w:color w:val="auto"/>
        </w:rPr>
      </w:pPr>
      <w:r>
        <w:rPr>
          <w:rFonts w:ascii="Arial" w:cs="Arial" w:eastAsia="Arial" w:hAnsi="Arial"/>
          <w:sz w:val="13"/>
          <w:szCs w:val="13"/>
          <w:color w:val="auto"/>
        </w:rPr>
        <w:t>Total fee paid:</w:t>
      </w:r>
    </w:p>
    <w:p>
      <w:pPr>
        <w:spacing w:after="0" w:line="13" w:lineRule="exact"/>
        <w:rPr>
          <w:rFonts w:ascii="Arial" w:cs="Arial" w:eastAsia="Arial" w:hAnsi="Arial"/>
          <w:sz w:val="13"/>
          <w:szCs w:val="13"/>
          <w:color w:val="auto"/>
        </w:rPr>
      </w:pPr>
    </w:p>
    <w:p>
      <w:pPr>
        <w:ind w:left="540" w:hanging="460"/>
        <w:spacing w:after="0"/>
        <w:tabs>
          <w:tab w:leader="none" w:pos="540" w:val="left"/>
        </w:tabs>
        <w:numPr>
          <w:ilvl w:val="0"/>
          <w:numId w:val="3"/>
        </w:numPr>
        <w:rPr>
          <w:rFonts w:ascii="MS PGothic" w:cs="MS PGothic" w:eastAsia="MS PGothic" w:hAnsi="MS PGothic"/>
          <w:sz w:val="22"/>
          <w:szCs w:val="22"/>
          <w:color w:val="auto"/>
        </w:rPr>
      </w:pPr>
      <w:r>
        <w:rPr>
          <w:rFonts w:ascii="Arial" w:cs="Arial" w:eastAsia="Arial" w:hAnsi="Arial"/>
          <w:sz w:val="18"/>
          <w:szCs w:val="18"/>
          <w:color w:val="auto"/>
        </w:rPr>
        <w:t>Fee paid previously with preliminary materials:</w:t>
      </w:r>
    </w:p>
    <w:p>
      <w:pPr>
        <w:spacing w:after="0" w:line="32" w:lineRule="exact"/>
        <w:rPr>
          <w:rFonts w:ascii="MS PGothic" w:cs="MS PGothic" w:eastAsia="MS PGothic" w:hAnsi="MS PGothic"/>
          <w:sz w:val="22"/>
          <w:szCs w:val="22"/>
          <w:color w:val="auto"/>
        </w:rPr>
      </w:pPr>
    </w:p>
    <w:p>
      <w:pPr>
        <w:ind w:left="540" w:hanging="460"/>
        <w:spacing w:after="0" w:line="221" w:lineRule="auto"/>
        <w:tabs>
          <w:tab w:leader="none" w:pos="540" w:val="left"/>
        </w:tabs>
        <w:numPr>
          <w:ilvl w:val="0"/>
          <w:numId w:val="3"/>
        </w:numPr>
        <w:rPr>
          <w:rFonts w:ascii="MS PGothic" w:cs="MS PGothic" w:eastAsia="MS PGothic" w:hAnsi="MS PGothic"/>
          <w:sz w:val="22"/>
          <w:szCs w:val="22"/>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MS PGothic" w:cs="MS PGothic" w:eastAsia="MS PGothic" w:hAnsi="MS PGothic"/>
          <w:sz w:val="22"/>
          <w:szCs w:val="22"/>
          <w:color w:val="auto"/>
        </w:rPr>
      </w:pPr>
    </w:p>
    <w:p>
      <w:pPr>
        <w:ind w:left="860" w:hanging="164"/>
        <w:spacing w:after="0" w:line="238" w:lineRule="auto"/>
        <w:tabs>
          <w:tab w:leader="none" w:pos="860" w:val="left"/>
        </w:tabs>
        <w:numPr>
          <w:ilvl w:val="1"/>
          <w:numId w:val="3"/>
        </w:numPr>
        <w:rPr>
          <w:rFonts w:ascii="Arial" w:cs="Arial" w:eastAsia="Arial" w:hAnsi="Arial"/>
          <w:sz w:val="13"/>
          <w:szCs w:val="13"/>
          <w:color w:val="auto"/>
        </w:rPr>
      </w:pPr>
      <w:r>
        <w:rPr>
          <w:rFonts w:ascii="Arial" w:cs="Arial" w:eastAsia="Arial" w:hAnsi="Arial"/>
          <w:sz w:val="13"/>
          <w:szCs w:val="13"/>
          <w:color w:val="auto"/>
        </w:rPr>
        <w:t>Amount previously paid:</w:t>
      </w:r>
    </w:p>
    <w:p>
      <w:pPr>
        <w:ind w:left="860" w:hanging="164"/>
        <w:spacing w:after="0" w:line="238" w:lineRule="auto"/>
        <w:tabs>
          <w:tab w:leader="none" w:pos="860" w:val="left"/>
        </w:tabs>
        <w:numPr>
          <w:ilvl w:val="1"/>
          <w:numId w:val="3"/>
        </w:numPr>
        <w:rPr>
          <w:rFonts w:ascii="Arial" w:cs="Arial" w:eastAsia="Arial" w:hAnsi="Arial"/>
          <w:sz w:val="13"/>
          <w:szCs w:val="13"/>
          <w:color w:val="auto"/>
        </w:rPr>
      </w:pPr>
      <w:r>
        <w:rPr>
          <w:rFonts w:ascii="Arial" w:cs="Arial" w:eastAsia="Arial" w:hAnsi="Arial"/>
          <w:sz w:val="13"/>
          <w:szCs w:val="13"/>
          <w:color w:val="auto"/>
        </w:rPr>
        <w:t>Form, Schedule or Registration Statement No.:</w:t>
      </w:r>
    </w:p>
    <w:p>
      <w:pPr>
        <w:ind w:left="860" w:hanging="164"/>
        <w:spacing w:after="0" w:line="238" w:lineRule="auto"/>
        <w:tabs>
          <w:tab w:leader="none" w:pos="860" w:val="left"/>
        </w:tabs>
        <w:numPr>
          <w:ilvl w:val="1"/>
          <w:numId w:val="3"/>
        </w:numPr>
        <w:rPr>
          <w:rFonts w:ascii="Arial" w:cs="Arial" w:eastAsia="Arial" w:hAnsi="Arial"/>
          <w:sz w:val="13"/>
          <w:szCs w:val="13"/>
          <w:color w:val="auto"/>
        </w:rPr>
      </w:pPr>
      <w:r>
        <w:rPr>
          <w:rFonts w:ascii="Arial" w:cs="Arial" w:eastAsia="Arial" w:hAnsi="Arial"/>
          <w:sz w:val="13"/>
          <w:szCs w:val="13"/>
          <w:color w:val="auto"/>
        </w:rPr>
        <w:t>Filing Party:</w:t>
      </w:r>
    </w:p>
    <w:p>
      <w:pPr>
        <w:ind w:left="860" w:hanging="164"/>
        <w:spacing w:after="0"/>
        <w:tabs>
          <w:tab w:leader="none" w:pos="860" w:val="left"/>
        </w:tabs>
        <w:numPr>
          <w:ilvl w:val="1"/>
          <w:numId w:val="3"/>
        </w:numPr>
        <w:rPr>
          <w:rFonts w:ascii="Arial" w:cs="Arial" w:eastAsia="Arial" w:hAnsi="Arial"/>
          <w:sz w:val="13"/>
          <w:szCs w:val="13"/>
          <w:color w:val="auto"/>
        </w:rPr>
      </w:pPr>
      <w:r>
        <w:rPr>
          <w:rFonts w:ascii="Arial" w:cs="Arial" w:eastAsia="Arial" w:hAnsi="Arial"/>
          <w:sz w:val="13"/>
          <w:szCs w:val="13"/>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229235</wp:posOffset>
            </wp:positionV>
            <wp:extent cx="726821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280"/>
          </w:cols>
          <w:pgMar w:left="240" w:top="229" w:right="37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1996440</wp:posOffset>
            </wp:positionV>
            <wp:extent cx="7246620" cy="50793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5079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80"/>
        <w:spacing w:after="0"/>
        <w:rPr>
          <w:sz w:val="20"/>
          <w:szCs w:val="20"/>
          <w:color w:val="auto"/>
        </w:rPr>
      </w:pPr>
      <w:r>
        <w:rPr>
          <w:rFonts w:ascii="Arial" w:cs="Arial" w:eastAsia="Arial" w:hAnsi="Arial"/>
          <w:sz w:val="76"/>
          <w:szCs w:val="76"/>
          <w:b w:val="1"/>
          <w:bCs w:val="1"/>
          <w:color w:val="105EAB"/>
        </w:rPr>
        <w:t>Notice of 2019</w:t>
      </w:r>
    </w:p>
    <w:p>
      <w:pPr>
        <w:spacing w:after="0" w:line="99" w:lineRule="exact"/>
        <w:rPr>
          <w:sz w:val="20"/>
          <w:szCs w:val="20"/>
          <w:color w:val="auto"/>
        </w:rPr>
      </w:pPr>
    </w:p>
    <w:p>
      <w:pPr>
        <w:ind w:left="280"/>
        <w:spacing w:after="0"/>
        <w:rPr>
          <w:sz w:val="20"/>
          <w:szCs w:val="20"/>
          <w:color w:val="auto"/>
        </w:rPr>
      </w:pPr>
      <w:r>
        <w:rPr>
          <w:rFonts w:ascii="Arial" w:cs="Arial" w:eastAsia="Arial" w:hAnsi="Arial"/>
          <w:sz w:val="76"/>
          <w:szCs w:val="76"/>
          <w:b w:val="1"/>
          <w:bCs w:val="1"/>
          <w:color w:val="105EAB"/>
        </w:rPr>
        <w:t>Annual Meeting</w:t>
      </w:r>
    </w:p>
    <w:p>
      <w:pPr>
        <w:spacing w:after="0" w:line="3" w:lineRule="exact"/>
        <w:rPr>
          <w:sz w:val="20"/>
          <w:szCs w:val="20"/>
          <w:color w:val="auto"/>
        </w:rPr>
      </w:pPr>
    </w:p>
    <w:p>
      <w:pPr>
        <w:ind w:left="280"/>
        <w:spacing w:after="0"/>
        <w:rPr>
          <w:sz w:val="20"/>
          <w:szCs w:val="20"/>
          <w:color w:val="auto"/>
        </w:rPr>
      </w:pPr>
      <w:r>
        <w:rPr>
          <w:rFonts w:ascii="Arial" w:cs="Arial" w:eastAsia="Arial" w:hAnsi="Arial"/>
          <w:sz w:val="76"/>
          <w:szCs w:val="76"/>
          <w:b w:val="1"/>
          <w:bCs w:val="1"/>
          <w:color w:val="105EAB"/>
        </w:rPr>
        <w:t>and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640"/>
        <w:spacing w:after="0"/>
        <w:rPr>
          <w:sz w:val="20"/>
          <w:szCs w:val="20"/>
          <w:color w:val="auto"/>
        </w:rPr>
      </w:pPr>
      <w:r>
        <w:rPr>
          <w:rFonts w:ascii="Arial" w:cs="Arial" w:eastAsia="Arial" w:hAnsi="Arial"/>
          <w:sz w:val="29"/>
          <w:szCs w:val="29"/>
          <w:b w:val="1"/>
          <w:bCs w:val="1"/>
          <w:u w:val="single" w:color="auto"/>
          <w:color w:val="105EAB"/>
        </w:rPr>
        <w:t>What’s Inside</w:t>
      </w:r>
    </w:p>
    <w:p>
      <w:pPr>
        <w:spacing w:after="0" w:line="52" w:lineRule="exact"/>
        <w:rPr>
          <w:sz w:val="20"/>
          <w:szCs w:val="20"/>
          <w:color w:val="auto"/>
        </w:rPr>
      </w:pPr>
    </w:p>
    <w:p>
      <w:pPr>
        <w:jc w:val="right"/>
        <w:ind w:right="1379"/>
        <w:spacing w:after="0"/>
        <w:rPr>
          <w:sz w:val="20"/>
          <w:szCs w:val="20"/>
          <w:color w:val="auto"/>
        </w:rPr>
      </w:pPr>
      <w:r>
        <w:rPr>
          <w:rFonts w:ascii="Arial" w:cs="Arial" w:eastAsia="Arial" w:hAnsi="Arial"/>
          <w:sz w:val="18"/>
          <w:szCs w:val="18"/>
          <w:b w:val="1"/>
          <w:bCs w:val="1"/>
          <w:color w:val="105EAB"/>
        </w:rPr>
        <w:t>Letter from Independent Directors to Stockholders</w:t>
      </w:r>
    </w:p>
    <w:p>
      <w:pPr>
        <w:spacing w:after="0" w:line="36"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105EAB"/>
        </w:rPr>
        <w:t>Information on Five Voting Issues</w:t>
      </w:r>
    </w:p>
    <w:p>
      <w:pPr>
        <w:spacing w:after="0" w:line="36"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105EAB"/>
        </w:rPr>
        <w:t>Election of Directors</w:t>
      </w:r>
    </w:p>
    <w:p>
      <w:pPr>
        <w:spacing w:after="0" w:line="36"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105EAB"/>
        </w:rPr>
        <w:t>Advisory Vote on Compensation</w:t>
      </w:r>
    </w:p>
    <w:p>
      <w:pPr>
        <w:spacing w:after="0" w:line="36"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105EAB"/>
        </w:rPr>
        <w:t>Approval of 2019 Equity Incentive Plan</w:t>
      </w:r>
    </w:p>
    <w:p>
      <w:pPr>
        <w:spacing w:after="0" w:line="36"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105EAB"/>
        </w:rPr>
        <w:t>Ratification of External Auditor</w:t>
      </w:r>
    </w:p>
    <w:p>
      <w:pPr>
        <w:spacing w:after="0" w:line="36"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105EAB"/>
        </w:rPr>
        <w:t>Stockholder Proposal</w:t>
      </w:r>
    </w:p>
    <w:p>
      <w:pPr>
        <w:spacing w:after="0" w:line="36" w:lineRule="exact"/>
        <w:rPr>
          <w:sz w:val="20"/>
          <w:szCs w:val="20"/>
          <w:color w:val="auto"/>
        </w:rPr>
      </w:pPr>
    </w:p>
    <w:p>
      <w:pPr>
        <w:ind w:left="5440"/>
        <w:spacing w:after="0"/>
        <w:rPr>
          <w:sz w:val="20"/>
          <w:szCs w:val="20"/>
          <w:color w:val="auto"/>
        </w:rPr>
      </w:pPr>
      <w:r>
        <w:rPr>
          <w:rFonts w:ascii="Arial" w:cs="Arial" w:eastAsia="Arial" w:hAnsi="Arial"/>
          <w:sz w:val="18"/>
          <w:szCs w:val="18"/>
          <w:b w:val="1"/>
          <w:bCs w:val="1"/>
          <w:color w:val="105EAB"/>
        </w:rPr>
        <w:t>Reporting Political 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417830</wp:posOffset>
            </wp:positionV>
            <wp:extent cx="7268210"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471"/>
        </w:trPr>
        <w:tc>
          <w:tcPr>
            <w:tcW w:w="7220" w:type="dxa"/>
            <w:vAlign w:val="bottom"/>
          </w:tcPr>
          <w:p>
            <w:pPr>
              <w:spacing w:after="0"/>
              <w:rPr>
                <w:sz w:val="20"/>
                <w:szCs w:val="20"/>
                <w:color w:val="auto"/>
              </w:rPr>
            </w:pPr>
            <w:r>
              <w:rPr>
                <w:rFonts w:ascii="Arial" w:cs="Arial" w:eastAsia="Arial" w:hAnsi="Arial"/>
                <w:sz w:val="41"/>
                <w:szCs w:val="41"/>
                <w:b w:val="1"/>
                <w:bCs w:val="1"/>
                <w:color w:val="105EAB"/>
              </w:rPr>
              <w:t>Letter from Independent</w:t>
            </w:r>
          </w:p>
        </w:tc>
        <w:tc>
          <w:tcPr>
            <w:tcW w:w="4200" w:type="dxa"/>
            <w:vAlign w:val="bottom"/>
            <w:vMerge w:val="restart"/>
          </w:tcPr>
          <w:p>
            <w:pPr>
              <w:ind w:left="2140"/>
              <w:spacing w:after="0"/>
              <w:rPr>
                <w:sz w:val="20"/>
                <w:szCs w:val="20"/>
                <w:color w:val="auto"/>
              </w:rPr>
            </w:pPr>
            <w:r>
              <w:rPr>
                <w:rFonts w:ascii="Arial" w:cs="Arial" w:eastAsia="Arial" w:hAnsi="Arial"/>
                <w:sz w:val="18"/>
                <w:szCs w:val="18"/>
                <w:b w:val="1"/>
                <w:bCs w:val="1"/>
                <w:color w:val="105EAB"/>
                <w:w w:val="97"/>
              </w:rPr>
              <w:t>The Allstate Corporation</w:t>
            </w:r>
          </w:p>
        </w:tc>
        <w:tc>
          <w:tcPr>
            <w:tcW w:w="0" w:type="dxa"/>
            <w:vAlign w:val="bottom"/>
          </w:tcPr>
          <w:p>
            <w:pPr>
              <w:spacing w:after="0"/>
              <w:rPr>
                <w:sz w:val="1"/>
                <w:szCs w:val="1"/>
                <w:color w:val="auto"/>
              </w:rPr>
            </w:pPr>
          </w:p>
        </w:tc>
      </w:tr>
      <w:tr>
        <w:trPr>
          <w:trHeight w:val="22"/>
        </w:trPr>
        <w:tc>
          <w:tcPr>
            <w:tcW w:w="7220" w:type="dxa"/>
            <w:vAlign w:val="bottom"/>
          </w:tcPr>
          <w:p>
            <w:pPr>
              <w:spacing w:after="0" w:line="20" w:lineRule="exact"/>
              <w:rPr>
                <w:sz w:val="1"/>
                <w:szCs w:val="1"/>
                <w:color w:val="auto"/>
              </w:rPr>
            </w:pPr>
          </w:p>
        </w:tc>
        <w:tc>
          <w:tcPr>
            <w:tcW w:w="42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220" w:type="dxa"/>
            <w:vAlign w:val="bottom"/>
            <w:vMerge w:val="restart"/>
          </w:tcPr>
          <w:p>
            <w:pPr>
              <w:spacing w:after="0" w:line="384" w:lineRule="exact"/>
              <w:rPr>
                <w:sz w:val="20"/>
                <w:szCs w:val="20"/>
                <w:color w:val="auto"/>
              </w:rPr>
            </w:pPr>
            <w:r>
              <w:rPr>
                <w:rFonts w:ascii="Arial" w:cs="Arial" w:eastAsia="Arial" w:hAnsi="Arial"/>
                <w:sz w:val="41"/>
                <w:szCs w:val="41"/>
                <w:b w:val="1"/>
                <w:bCs w:val="1"/>
                <w:color w:val="105EAB"/>
              </w:rPr>
              <w:t>Directors to Stockholders</w:t>
            </w:r>
          </w:p>
        </w:tc>
        <w:tc>
          <w:tcPr>
            <w:tcW w:w="4200" w:type="dxa"/>
            <w:vAlign w:val="bottom"/>
          </w:tcPr>
          <w:p>
            <w:pPr>
              <w:ind w:left="2140"/>
              <w:spacing w:after="0" w:line="202" w:lineRule="exact"/>
              <w:rPr>
                <w:sz w:val="20"/>
                <w:szCs w:val="20"/>
                <w:color w:val="auto"/>
              </w:rPr>
            </w:pPr>
            <w:r>
              <w:rPr>
                <w:rFonts w:ascii="Arial" w:cs="Arial" w:eastAsia="Arial" w:hAnsi="Arial"/>
                <w:sz w:val="18"/>
                <w:szCs w:val="18"/>
                <w:b w:val="1"/>
                <w:bCs w:val="1"/>
                <w:color w:val="105EAB"/>
              </w:rPr>
              <w:t>2775 Sanders Road</w:t>
            </w:r>
          </w:p>
        </w:tc>
        <w:tc>
          <w:tcPr>
            <w:tcW w:w="0" w:type="dxa"/>
            <w:vAlign w:val="bottom"/>
          </w:tcPr>
          <w:p>
            <w:pPr>
              <w:spacing w:after="0"/>
              <w:rPr>
                <w:sz w:val="1"/>
                <w:szCs w:val="1"/>
                <w:color w:val="auto"/>
              </w:rPr>
            </w:pPr>
          </w:p>
        </w:tc>
      </w:tr>
      <w:tr>
        <w:trPr>
          <w:trHeight w:val="181"/>
        </w:trPr>
        <w:tc>
          <w:tcPr>
            <w:tcW w:w="7220" w:type="dxa"/>
            <w:vAlign w:val="bottom"/>
            <w:vMerge w:val="continue"/>
          </w:tcPr>
          <w:p>
            <w:pPr>
              <w:spacing w:after="0"/>
              <w:rPr>
                <w:sz w:val="15"/>
                <w:szCs w:val="15"/>
                <w:color w:val="auto"/>
              </w:rPr>
            </w:pPr>
          </w:p>
        </w:tc>
        <w:tc>
          <w:tcPr>
            <w:tcW w:w="4200" w:type="dxa"/>
            <w:vAlign w:val="bottom"/>
            <w:vMerge w:val="restart"/>
          </w:tcPr>
          <w:p>
            <w:pPr>
              <w:ind w:left="2140"/>
              <w:spacing w:after="0"/>
              <w:rPr>
                <w:sz w:val="20"/>
                <w:szCs w:val="20"/>
                <w:color w:val="auto"/>
              </w:rPr>
            </w:pPr>
            <w:r>
              <w:rPr>
                <w:rFonts w:ascii="Arial" w:cs="Arial" w:eastAsia="Arial" w:hAnsi="Arial"/>
                <w:sz w:val="18"/>
                <w:szCs w:val="18"/>
                <w:b w:val="1"/>
                <w:bCs w:val="1"/>
                <w:color w:val="105EAB"/>
              </w:rPr>
              <w:t>Northbrook, IL 60062</w:t>
            </w:r>
          </w:p>
        </w:tc>
        <w:tc>
          <w:tcPr>
            <w:tcW w:w="0" w:type="dxa"/>
            <w:vAlign w:val="bottom"/>
          </w:tcPr>
          <w:p>
            <w:pPr>
              <w:spacing w:after="0"/>
              <w:rPr>
                <w:sz w:val="1"/>
                <w:szCs w:val="1"/>
                <w:color w:val="auto"/>
              </w:rPr>
            </w:pPr>
          </w:p>
        </w:tc>
      </w:tr>
      <w:tr>
        <w:trPr>
          <w:trHeight w:val="52"/>
        </w:trPr>
        <w:tc>
          <w:tcPr>
            <w:tcW w:w="7220" w:type="dxa"/>
            <w:vAlign w:val="bottom"/>
          </w:tcPr>
          <w:p>
            <w:pPr>
              <w:spacing w:after="0"/>
              <w:rPr>
                <w:sz w:val="4"/>
                <w:szCs w:val="4"/>
                <w:color w:val="auto"/>
              </w:rPr>
            </w:pPr>
          </w:p>
        </w:tc>
        <w:tc>
          <w:tcPr>
            <w:tcW w:w="4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94"/>
        </w:trPr>
        <w:tc>
          <w:tcPr>
            <w:tcW w:w="7220" w:type="dxa"/>
            <w:vAlign w:val="bottom"/>
          </w:tcPr>
          <w:p>
            <w:pPr>
              <w:spacing w:after="0"/>
              <w:rPr>
                <w:sz w:val="20"/>
                <w:szCs w:val="20"/>
                <w:color w:val="auto"/>
              </w:rPr>
            </w:pPr>
            <w:r>
              <w:rPr>
                <w:rFonts w:ascii="Arial" w:cs="Arial" w:eastAsia="Arial" w:hAnsi="Arial"/>
                <w:sz w:val="18"/>
                <w:szCs w:val="18"/>
                <w:b w:val="1"/>
                <w:bCs w:val="1"/>
                <w:color w:val="959595"/>
              </w:rPr>
              <w:t>April 8, 2019</w:t>
            </w:r>
          </w:p>
        </w:tc>
        <w:tc>
          <w:tcPr>
            <w:tcW w:w="4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0"/>
        </w:trPr>
        <w:tc>
          <w:tcPr>
            <w:tcW w:w="7220" w:type="dxa"/>
            <w:vAlign w:val="bottom"/>
          </w:tcPr>
          <w:p>
            <w:pPr>
              <w:spacing w:after="0"/>
              <w:rPr>
                <w:sz w:val="20"/>
                <w:szCs w:val="20"/>
                <w:color w:val="auto"/>
              </w:rPr>
            </w:pPr>
            <w:r>
              <w:rPr>
                <w:rFonts w:ascii="Arial" w:cs="Arial" w:eastAsia="Arial" w:hAnsi="Arial"/>
                <w:sz w:val="25"/>
                <w:szCs w:val="25"/>
                <w:b w:val="1"/>
                <w:bCs w:val="1"/>
                <w:color w:val="105EAB"/>
              </w:rPr>
              <w:t>Fellow Stockholders,</w:t>
            </w:r>
          </w:p>
        </w:tc>
        <w:tc>
          <w:tcPr>
            <w:tcW w:w="4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5213350</wp:posOffset>
            </wp:positionH>
            <wp:positionV relativeFrom="paragraph">
              <wp:posOffset>-1152525</wp:posOffset>
            </wp:positionV>
            <wp:extent cx="633730" cy="5054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3730" cy="505460"/>
                    </a:xfrm>
                    <a:prstGeom prst="rect">
                      <a:avLst/>
                    </a:prstGeom>
                    <a:noFill/>
                  </pic:spPr>
                </pic:pic>
              </a:graphicData>
            </a:graphic>
          </wp:anchor>
        </w:drawing>
      </w:r>
    </w:p>
    <w:p>
      <w:pPr>
        <w:spacing w:after="0" w:line="187" w:lineRule="exact"/>
        <w:rPr>
          <w:sz w:val="20"/>
          <w:szCs w:val="20"/>
          <w:color w:val="auto"/>
        </w:rPr>
      </w:pPr>
    </w:p>
    <w:p>
      <w:pPr>
        <w:ind w:right="240"/>
        <w:spacing w:after="0" w:line="249" w:lineRule="auto"/>
        <w:rPr>
          <w:sz w:val="20"/>
          <w:szCs w:val="20"/>
          <w:color w:val="auto"/>
        </w:rPr>
      </w:pPr>
      <w:r>
        <w:rPr>
          <w:rFonts w:ascii="Arial" w:cs="Arial" w:eastAsia="Arial" w:hAnsi="Arial"/>
          <w:sz w:val="13"/>
          <w:szCs w:val="13"/>
          <w:color w:val="auto"/>
        </w:rPr>
        <w:t>Thank you for trusting us to oversee the long-term prosperity of Allstate. We are committed to operating with transparency and use this letter to communicate the Board’s major initiatives in 2018.</w:t>
      </w:r>
    </w:p>
    <w:p>
      <w:pPr>
        <w:sectPr>
          <w:pgSz w:w="11900" w:h="16838" w:orient="portrait"/>
          <w:cols w:equalWidth="0" w:num="1">
            <w:col w:w="11420"/>
          </w:cols>
          <w:pgMar w:left="240" w:top="121" w:right="239" w:bottom="1440" w:gutter="0" w:footer="0" w:header="0"/>
        </w:sectPr>
      </w:pPr>
    </w:p>
    <w:p>
      <w:pPr>
        <w:spacing w:after="0" w:line="331" w:lineRule="exact"/>
        <w:rPr>
          <w:sz w:val="20"/>
          <w:szCs w:val="20"/>
          <w:color w:val="auto"/>
        </w:rPr>
      </w:pPr>
    </w:p>
    <w:p>
      <w:pPr>
        <w:spacing w:after="0"/>
        <w:rPr>
          <w:sz w:val="20"/>
          <w:szCs w:val="20"/>
          <w:color w:val="auto"/>
        </w:rPr>
      </w:pPr>
      <w:r>
        <w:rPr>
          <w:rFonts w:ascii="Arial" w:cs="Arial" w:eastAsia="Arial" w:hAnsi="Arial"/>
          <w:sz w:val="20"/>
          <w:szCs w:val="20"/>
          <w:b w:val="1"/>
          <w:bCs w:val="1"/>
          <w:color w:val="39B6E9"/>
        </w:rPr>
        <w:t>Governance and Stewardship</w:t>
      </w:r>
    </w:p>
    <w:p>
      <w:pPr>
        <w:spacing w:after="0" w:line="213" w:lineRule="exact"/>
        <w:rPr>
          <w:sz w:val="20"/>
          <w:szCs w:val="20"/>
          <w:color w:val="auto"/>
        </w:rPr>
      </w:pPr>
    </w:p>
    <w:p>
      <w:pPr>
        <w:spacing w:after="0" w:line="247" w:lineRule="auto"/>
        <w:rPr>
          <w:sz w:val="20"/>
          <w:szCs w:val="20"/>
          <w:color w:val="auto"/>
        </w:rPr>
      </w:pPr>
      <w:r>
        <w:rPr>
          <w:rFonts w:ascii="Arial" w:cs="Arial" w:eastAsia="Arial" w:hAnsi="Arial"/>
          <w:sz w:val="13"/>
          <w:szCs w:val="13"/>
          <w:b w:val="1"/>
          <w:bCs w:val="1"/>
          <w:color w:val="auto"/>
        </w:rPr>
        <w:t xml:space="preserve">Investor Engagement </w:t>
      </w:r>
      <w:r>
        <w:rPr>
          <w:rFonts w:ascii="Arial" w:cs="Arial" w:eastAsia="Arial" w:hAnsi="Arial"/>
          <w:sz w:val="13"/>
          <w:szCs w:val="13"/>
          <w:color w:val="auto"/>
        </w:rPr>
        <w:t>Over the last year, we reached out to stockholders representing almost 40% of</w:t>
      </w:r>
      <w:r>
        <w:rPr>
          <w:rFonts w:ascii="Arial" w:cs="Arial" w:eastAsia="Arial" w:hAnsi="Arial"/>
          <w:sz w:val="13"/>
          <w:szCs w:val="13"/>
          <w:b w:val="1"/>
          <w:bCs w:val="1"/>
          <w:color w:val="auto"/>
        </w:rPr>
        <w:t xml:space="preserve"> </w:t>
      </w:r>
      <w:r>
        <w:rPr>
          <w:rFonts w:ascii="Arial" w:cs="Arial" w:eastAsia="Arial" w:hAnsi="Arial"/>
          <w:sz w:val="13"/>
          <w:szCs w:val="13"/>
          <w:color w:val="auto"/>
        </w:rPr>
        <w:t>Allstate’s outstanding shares and discussed governance and sustainability topics, including Allstate’s political contributions disclosures. Allstate currently issues an annual report on political involvement that lists political expenditures by category and the largest recipients. Last year, a stockholder proposal requiring disclosure of additional funding details for trade associations and political candidates did not receive majority support from stockholders, but we decided to enhance our governance as shown on the right.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9" w:lineRule="exact"/>
        <w:rPr>
          <w:sz w:val="20"/>
          <w:szCs w:val="20"/>
          <w:color w:val="auto"/>
        </w:rPr>
      </w:pPr>
    </w:p>
    <w:p>
      <w:pPr>
        <w:ind w:left="5" w:right="480"/>
        <w:spacing w:after="0" w:line="258" w:lineRule="auto"/>
        <w:rPr>
          <w:sz w:val="20"/>
          <w:szCs w:val="20"/>
          <w:color w:val="auto"/>
        </w:rPr>
      </w:pPr>
      <w:r>
        <w:rPr>
          <w:rFonts w:ascii="Arial" w:cs="Arial" w:eastAsia="Arial" w:hAnsi="Arial"/>
          <w:sz w:val="13"/>
          <w:szCs w:val="13"/>
          <w:color w:val="105EAB"/>
        </w:rPr>
        <w:t>In response to our investor engagement, governance enhancements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-280035</wp:posOffset>
            </wp:positionV>
            <wp:extent cx="2894965" cy="9505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94965" cy="950595"/>
                    </a:xfrm>
                    <a:prstGeom prst="rect">
                      <a:avLst/>
                    </a:prstGeom>
                    <a:noFill/>
                  </pic:spPr>
                </pic:pic>
              </a:graphicData>
            </a:graphic>
          </wp:anchor>
        </w:drawing>
      </w:r>
    </w:p>
    <w:p>
      <w:pPr>
        <w:spacing w:after="0" w:line="63" w:lineRule="exact"/>
        <w:rPr>
          <w:sz w:val="20"/>
          <w:szCs w:val="20"/>
          <w:color w:val="auto"/>
        </w:rPr>
      </w:pPr>
    </w:p>
    <w:p>
      <w:pPr>
        <w:ind w:left="265" w:right="340" w:hanging="265"/>
        <w:spacing w:after="0" w:line="258" w:lineRule="auto"/>
        <w:tabs>
          <w:tab w:leader="none" w:pos="265" w:val="left"/>
        </w:tabs>
        <w:numPr>
          <w:ilvl w:val="0"/>
          <w:numId w:val="4"/>
        </w:numPr>
        <w:rPr>
          <w:rFonts w:ascii="Arial" w:cs="Arial" w:eastAsia="Arial" w:hAnsi="Arial"/>
          <w:sz w:val="13"/>
          <w:szCs w:val="13"/>
          <w:color w:val="105EAB"/>
        </w:rPr>
      </w:pPr>
      <w:r>
        <w:rPr>
          <w:rFonts w:ascii="Arial" w:cs="Arial" w:eastAsia="Arial" w:hAnsi="Arial"/>
          <w:sz w:val="13"/>
          <w:szCs w:val="13"/>
          <w:color w:val="105EAB"/>
        </w:rPr>
        <w:t>The nominating and governance committee will review the political contributions program semi-annually, and</w:t>
      </w:r>
    </w:p>
    <w:p>
      <w:pPr>
        <w:spacing w:after="0" w:line="83" w:lineRule="exact"/>
        <w:rPr>
          <w:rFonts w:ascii="Arial" w:cs="Arial" w:eastAsia="Arial" w:hAnsi="Arial"/>
          <w:sz w:val="13"/>
          <w:szCs w:val="13"/>
          <w:color w:val="105EAB"/>
        </w:rPr>
      </w:pPr>
    </w:p>
    <w:p>
      <w:pPr>
        <w:ind w:left="265" w:right="220" w:hanging="265"/>
        <w:spacing w:after="0" w:line="248" w:lineRule="auto"/>
        <w:tabs>
          <w:tab w:leader="none" w:pos="265" w:val="left"/>
        </w:tabs>
        <w:numPr>
          <w:ilvl w:val="0"/>
          <w:numId w:val="4"/>
        </w:numPr>
        <w:rPr>
          <w:rFonts w:ascii="Arial" w:cs="Arial" w:eastAsia="Arial" w:hAnsi="Arial"/>
          <w:sz w:val="13"/>
          <w:szCs w:val="13"/>
          <w:color w:val="105EAB"/>
        </w:rPr>
      </w:pPr>
      <w:r>
        <w:rPr>
          <w:rFonts w:ascii="Arial" w:cs="Arial" w:eastAsia="Arial" w:hAnsi="Arial"/>
          <w:sz w:val="13"/>
          <w:szCs w:val="13"/>
          <w:color w:val="105EAB"/>
        </w:rPr>
        <w:t>The chief risk officer will provide an annual risk and return assessment of political activities to the full Board, and the results will be reported to stockholders.</w:t>
      </w:r>
    </w:p>
    <w:p>
      <w:pPr>
        <w:spacing w:after="0" w:line="200" w:lineRule="exact"/>
        <w:rPr>
          <w:sz w:val="20"/>
          <w:szCs w:val="20"/>
          <w:color w:val="auto"/>
        </w:rPr>
      </w:pPr>
    </w:p>
    <w:p>
      <w:pPr>
        <w:sectPr>
          <w:pgSz w:w="11900" w:h="16838" w:orient="portrait"/>
          <w:cols w:equalWidth="0" w:num="2">
            <w:col w:w="6500" w:space="355"/>
            <w:col w:w="4565"/>
          </w:cols>
          <w:pgMar w:left="240" w:top="121" w:right="239" w:bottom="1440" w:gutter="0" w:footer="0" w:header="0"/>
          <w:type w:val="continuous"/>
        </w:sectPr>
      </w:pPr>
    </w:p>
    <w:p>
      <w:pPr>
        <w:spacing w:after="0" w:line="143" w:lineRule="exact"/>
        <w:rPr>
          <w:sz w:val="20"/>
          <w:szCs w:val="20"/>
          <w:color w:val="auto"/>
        </w:rPr>
      </w:pPr>
    </w:p>
    <w:p>
      <w:pPr>
        <w:ind w:right="280"/>
        <w:spacing w:after="0" w:line="284" w:lineRule="auto"/>
        <w:rPr>
          <w:sz w:val="20"/>
          <w:szCs w:val="20"/>
          <w:color w:val="auto"/>
        </w:rPr>
      </w:pPr>
      <w:r>
        <w:rPr>
          <w:rFonts w:ascii="Arial" w:cs="Arial" w:eastAsia="Arial" w:hAnsi="Arial"/>
          <w:sz w:val="13"/>
          <w:szCs w:val="13"/>
          <w:b w:val="1"/>
          <w:bCs w:val="1"/>
          <w:color w:val="auto"/>
        </w:rPr>
        <w:t xml:space="preserve">Board Effectiveness </w:t>
      </w:r>
      <w:r>
        <w:rPr>
          <w:rFonts w:ascii="Arial" w:cs="Arial" w:eastAsia="Arial" w:hAnsi="Arial"/>
          <w:sz w:val="13"/>
          <w:szCs w:val="13"/>
          <w:color w:val="auto"/>
        </w:rPr>
        <w:t>We evaluate Board performance at every meeting and conduct an evaluation annually. We made several enhancements to our processes and schedule to maximize</w:t>
      </w:r>
      <w:r>
        <w:rPr>
          <w:rFonts w:ascii="Arial" w:cs="Arial" w:eastAsia="Arial" w:hAnsi="Arial"/>
          <w:sz w:val="13"/>
          <w:szCs w:val="13"/>
          <w:b w:val="1"/>
          <w:bCs w:val="1"/>
          <w:color w:val="auto"/>
        </w:rPr>
        <w:t xml:space="preserve"> </w:t>
      </w:r>
      <w:r>
        <w:rPr>
          <w:rFonts w:ascii="Arial" w:cs="Arial" w:eastAsia="Arial" w:hAnsi="Arial"/>
          <w:sz w:val="13"/>
          <w:szCs w:val="13"/>
          <w:color w:val="auto"/>
        </w:rPr>
        <w:t>effectiveness, including:</w:t>
      </w:r>
    </w:p>
    <w:p>
      <w:pPr>
        <w:spacing w:after="0" w:line="175" w:lineRule="exact"/>
        <w:rPr>
          <w:sz w:val="20"/>
          <w:szCs w:val="20"/>
          <w:color w:val="auto"/>
        </w:rPr>
      </w:pPr>
    </w:p>
    <w:p>
      <w:pPr>
        <w:ind w:left="280" w:hanging="272"/>
        <w:spacing w:after="0"/>
        <w:tabs>
          <w:tab w:leader="none" w:pos="280" w:val="left"/>
        </w:tabs>
        <w:numPr>
          <w:ilvl w:val="0"/>
          <w:numId w:val="5"/>
        </w:numPr>
        <w:rPr>
          <w:rFonts w:ascii="Arial" w:cs="Arial" w:eastAsia="Arial" w:hAnsi="Arial"/>
          <w:sz w:val="13"/>
          <w:szCs w:val="13"/>
          <w:color w:val="105EAB"/>
        </w:rPr>
      </w:pPr>
      <w:r>
        <w:rPr>
          <w:rFonts w:ascii="Arial" w:cs="Arial" w:eastAsia="Arial" w:hAnsi="Arial"/>
          <w:sz w:val="13"/>
          <w:szCs w:val="13"/>
          <w:color w:val="auto"/>
        </w:rPr>
        <w:t>Utilized additional educational sessions outside of formal Board meetings,</w:t>
      </w:r>
    </w:p>
    <w:p>
      <w:pPr>
        <w:spacing w:after="0" w:line="106" w:lineRule="exact"/>
        <w:rPr>
          <w:rFonts w:ascii="Arial" w:cs="Arial" w:eastAsia="Arial" w:hAnsi="Arial"/>
          <w:sz w:val="13"/>
          <w:szCs w:val="13"/>
          <w:color w:val="105EAB"/>
        </w:rPr>
      </w:pPr>
    </w:p>
    <w:p>
      <w:pPr>
        <w:ind w:left="280" w:hanging="272"/>
        <w:spacing w:after="0"/>
        <w:tabs>
          <w:tab w:leader="none" w:pos="280" w:val="left"/>
        </w:tabs>
        <w:numPr>
          <w:ilvl w:val="0"/>
          <w:numId w:val="5"/>
        </w:numPr>
        <w:rPr>
          <w:rFonts w:ascii="Arial" w:cs="Arial" w:eastAsia="Arial" w:hAnsi="Arial"/>
          <w:sz w:val="13"/>
          <w:szCs w:val="13"/>
          <w:color w:val="105EAB"/>
        </w:rPr>
      </w:pPr>
      <w:r>
        <w:rPr>
          <w:rFonts w:ascii="Arial" w:cs="Arial" w:eastAsia="Arial" w:hAnsi="Arial"/>
          <w:sz w:val="13"/>
          <w:szCs w:val="13"/>
          <w:color w:val="auto"/>
        </w:rPr>
        <w:t>Met in small groups without agendas at every other meeting to share ideas and build stronger working relationships,</w:t>
      </w:r>
    </w:p>
    <w:p>
      <w:pPr>
        <w:spacing w:after="0" w:line="106" w:lineRule="exact"/>
        <w:rPr>
          <w:rFonts w:ascii="Arial" w:cs="Arial" w:eastAsia="Arial" w:hAnsi="Arial"/>
          <w:sz w:val="13"/>
          <w:szCs w:val="13"/>
          <w:color w:val="105EAB"/>
        </w:rPr>
      </w:pPr>
    </w:p>
    <w:p>
      <w:pPr>
        <w:ind w:left="280" w:hanging="272"/>
        <w:spacing w:after="0"/>
        <w:tabs>
          <w:tab w:leader="none" w:pos="280" w:val="left"/>
        </w:tabs>
        <w:numPr>
          <w:ilvl w:val="0"/>
          <w:numId w:val="5"/>
        </w:numPr>
        <w:rPr>
          <w:rFonts w:ascii="Arial" w:cs="Arial" w:eastAsia="Arial" w:hAnsi="Arial"/>
          <w:sz w:val="13"/>
          <w:szCs w:val="13"/>
          <w:color w:val="105EAB"/>
        </w:rPr>
      </w:pPr>
      <w:r>
        <w:rPr>
          <w:rFonts w:ascii="Arial" w:cs="Arial" w:eastAsia="Arial" w:hAnsi="Arial"/>
          <w:sz w:val="13"/>
          <w:szCs w:val="13"/>
          <w:color w:val="auto"/>
        </w:rPr>
        <w:t>Expanded meetings between directors and high performing officers to provide a broader set of perspectives, and</w:t>
      </w:r>
    </w:p>
    <w:p>
      <w:pPr>
        <w:spacing w:after="0" w:line="106" w:lineRule="exact"/>
        <w:rPr>
          <w:rFonts w:ascii="Arial" w:cs="Arial" w:eastAsia="Arial" w:hAnsi="Arial"/>
          <w:sz w:val="13"/>
          <w:szCs w:val="13"/>
          <w:color w:val="105EAB"/>
        </w:rPr>
      </w:pPr>
    </w:p>
    <w:p>
      <w:pPr>
        <w:ind w:left="280" w:hanging="272"/>
        <w:spacing w:after="0"/>
        <w:tabs>
          <w:tab w:leader="none" w:pos="280" w:val="left"/>
        </w:tabs>
        <w:numPr>
          <w:ilvl w:val="0"/>
          <w:numId w:val="5"/>
        </w:numPr>
        <w:rPr>
          <w:rFonts w:ascii="Arial" w:cs="Arial" w:eastAsia="Arial" w:hAnsi="Arial"/>
          <w:sz w:val="13"/>
          <w:szCs w:val="13"/>
          <w:color w:val="105EAB"/>
        </w:rPr>
      </w:pPr>
      <w:r>
        <w:rPr>
          <w:rFonts w:ascii="Arial" w:cs="Arial" w:eastAsia="Arial" w:hAnsi="Arial"/>
          <w:sz w:val="13"/>
          <w:szCs w:val="13"/>
          <w:color w:val="auto"/>
        </w:rPr>
        <w:t>Retained an external consultant to facilitate the annual evaluation and benchmark the Board’s performance against peers.</w:t>
      </w:r>
    </w:p>
    <w:p>
      <w:pPr>
        <w:spacing w:after="0" w:line="199" w:lineRule="exact"/>
        <w:rPr>
          <w:sz w:val="20"/>
          <w:szCs w:val="20"/>
          <w:color w:val="auto"/>
        </w:rPr>
      </w:pPr>
    </w:p>
    <w:p>
      <w:pPr>
        <w:ind w:right="520"/>
        <w:spacing w:after="0" w:line="284" w:lineRule="auto"/>
        <w:rPr>
          <w:sz w:val="20"/>
          <w:szCs w:val="20"/>
          <w:color w:val="auto"/>
        </w:rPr>
      </w:pPr>
      <w:r>
        <w:rPr>
          <w:rFonts w:ascii="Arial" w:cs="Arial" w:eastAsia="Arial" w:hAnsi="Arial"/>
          <w:sz w:val="13"/>
          <w:szCs w:val="13"/>
          <w:b w:val="1"/>
          <w:bCs w:val="1"/>
          <w:color w:val="auto"/>
        </w:rPr>
        <w:t xml:space="preserve">Risk and Return Oversight </w:t>
      </w:r>
      <w:r>
        <w:rPr>
          <w:rFonts w:ascii="Arial" w:cs="Arial" w:eastAsia="Arial" w:hAnsi="Arial"/>
          <w:sz w:val="13"/>
          <w:szCs w:val="13"/>
          <w:color w:val="auto"/>
        </w:rPr>
        <w:t>The full Board has oversight of risk and return given the strong linkage to strategy and operating performance, and our risk and return committee provides</w:t>
      </w:r>
      <w:r>
        <w:rPr>
          <w:rFonts w:ascii="Arial" w:cs="Arial" w:eastAsia="Arial" w:hAnsi="Arial"/>
          <w:sz w:val="13"/>
          <w:szCs w:val="13"/>
          <w:b w:val="1"/>
          <w:bCs w:val="1"/>
          <w:color w:val="auto"/>
        </w:rPr>
        <w:t xml:space="preserve"> </w:t>
      </w:r>
      <w:r>
        <w:rPr>
          <w:rFonts w:ascii="Arial" w:cs="Arial" w:eastAsia="Arial" w:hAnsi="Arial"/>
          <w:sz w:val="13"/>
          <w:szCs w:val="13"/>
          <w:color w:val="auto"/>
        </w:rPr>
        <w:t>additional reviews. Oversight of Allstate’s enterprise risk and return program included several enhancements during the year:</w:t>
      </w:r>
    </w:p>
    <w:p>
      <w:pPr>
        <w:spacing w:after="0" w:line="175" w:lineRule="exact"/>
        <w:rPr>
          <w:sz w:val="20"/>
          <w:szCs w:val="20"/>
          <w:color w:val="auto"/>
        </w:rPr>
      </w:pPr>
    </w:p>
    <w:p>
      <w:pPr>
        <w:ind w:left="280" w:hanging="272"/>
        <w:spacing w:after="0"/>
        <w:tabs>
          <w:tab w:leader="none" w:pos="280" w:val="left"/>
        </w:tabs>
        <w:numPr>
          <w:ilvl w:val="0"/>
          <w:numId w:val="6"/>
        </w:numPr>
        <w:rPr>
          <w:rFonts w:ascii="Arial" w:cs="Arial" w:eastAsia="Arial" w:hAnsi="Arial"/>
          <w:sz w:val="13"/>
          <w:szCs w:val="13"/>
          <w:color w:val="105EAB"/>
        </w:rPr>
      </w:pPr>
      <w:r>
        <w:rPr>
          <w:rFonts w:ascii="Arial" w:cs="Arial" w:eastAsia="Arial" w:hAnsi="Arial"/>
          <w:sz w:val="13"/>
          <w:szCs w:val="13"/>
          <w:color w:val="auto"/>
        </w:rPr>
        <w:t>Enterprise risk-return principles were expanded to better reflect the risks associated with the non-insurance businesses and the implications of increased use of data and analytics,</w:t>
      </w:r>
    </w:p>
    <w:p>
      <w:pPr>
        <w:spacing w:after="0" w:line="106" w:lineRule="exact"/>
        <w:rPr>
          <w:rFonts w:ascii="Arial" w:cs="Arial" w:eastAsia="Arial" w:hAnsi="Arial"/>
          <w:sz w:val="13"/>
          <w:szCs w:val="13"/>
          <w:color w:val="105EAB"/>
        </w:rPr>
      </w:pPr>
    </w:p>
    <w:p>
      <w:pPr>
        <w:ind w:left="280" w:hanging="272"/>
        <w:spacing w:after="0"/>
        <w:tabs>
          <w:tab w:leader="none" w:pos="280" w:val="left"/>
        </w:tabs>
        <w:numPr>
          <w:ilvl w:val="0"/>
          <w:numId w:val="6"/>
        </w:numPr>
        <w:rPr>
          <w:rFonts w:ascii="Arial" w:cs="Arial" w:eastAsia="Arial" w:hAnsi="Arial"/>
          <w:sz w:val="13"/>
          <w:szCs w:val="13"/>
          <w:color w:val="105EAB"/>
        </w:rPr>
      </w:pPr>
      <w:r>
        <w:rPr>
          <w:rFonts w:ascii="Arial" w:cs="Arial" w:eastAsia="Arial" w:hAnsi="Arial"/>
          <w:sz w:val="13"/>
          <w:szCs w:val="13"/>
          <w:color w:val="auto"/>
        </w:rPr>
        <w:t>Management improved the process to determine economic capital in response to an external review overseen by the risk and return committee last year,</w:t>
      </w:r>
    </w:p>
    <w:p>
      <w:pPr>
        <w:spacing w:after="0" w:line="106" w:lineRule="exact"/>
        <w:rPr>
          <w:rFonts w:ascii="Arial" w:cs="Arial" w:eastAsia="Arial" w:hAnsi="Arial"/>
          <w:sz w:val="13"/>
          <w:szCs w:val="13"/>
          <w:color w:val="105EAB"/>
        </w:rPr>
      </w:pPr>
    </w:p>
    <w:p>
      <w:pPr>
        <w:ind w:left="280" w:hanging="272"/>
        <w:spacing w:after="0"/>
        <w:tabs>
          <w:tab w:leader="none" w:pos="280" w:val="left"/>
        </w:tabs>
        <w:numPr>
          <w:ilvl w:val="0"/>
          <w:numId w:val="6"/>
        </w:numPr>
        <w:rPr>
          <w:rFonts w:ascii="Arial" w:cs="Arial" w:eastAsia="Arial" w:hAnsi="Arial"/>
          <w:sz w:val="13"/>
          <w:szCs w:val="13"/>
          <w:color w:val="105EAB"/>
        </w:rPr>
      </w:pPr>
      <w:r>
        <w:rPr>
          <w:rFonts w:ascii="Arial" w:cs="Arial" w:eastAsia="Arial" w:hAnsi="Arial"/>
          <w:sz w:val="13"/>
          <w:szCs w:val="13"/>
          <w:color w:val="auto"/>
        </w:rPr>
        <w:t>Operational risk oversight was expanded to include integrated enterprise reporting, additional metrics, and linkage to cybersecurity initiatives, and</w:t>
      </w:r>
    </w:p>
    <w:p>
      <w:pPr>
        <w:spacing w:after="0" w:line="106" w:lineRule="exact"/>
        <w:rPr>
          <w:rFonts w:ascii="Arial" w:cs="Arial" w:eastAsia="Arial" w:hAnsi="Arial"/>
          <w:sz w:val="13"/>
          <w:szCs w:val="13"/>
          <w:color w:val="105EAB"/>
        </w:rPr>
      </w:pPr>
    </w:p>
    <w:p>
      <w:pPr>
        <w:ind w:left="280" w:hanging="272"/>
        <w:spacing w:after="0"/>
        <w:tabs>
          <w:tab w:leader="none" w:pos="280" w:val="left"/>
        </w:tabs>
        <w:numPr>
          <w:ilvl w:val="0"/>
          <w:numId w:val="6"/>
        </w:numPr>
        <w:rPr>
          <w:rFonts w:ascii="Arial" w:cs="Arial" w:eastAsia="Arial" w:hAnsi="Arial"/>
          <w:sz w:val="13"/>
          <w:szCs w:val="13"/>
          <w:color w:val="105EAB"/>
        </w:rPr>
      </w:pPr>
      <w:r>
        <w:rPr>
          <w:rFonts w:ascii="Arial" w:cs="Arial" w:eastAsia="Arial" w:hAnsi="Arial"/>
          <w:sz w:val="13"/>
          <w:szCs w:val="13"/>
          <w:color w:val="auto"/>
        </w:rPr>
        <w:t>The audit committee’s relationship with an independent cybersecurity advisor was maintained to provide additional capabilities and perspective in this rapidly evolving area.</w:t>
      </w:r>
    </w:p>
    <w:p>
      <w:pPr>
        <w:spacing w:after="0" w:line="215"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3"/>
          <w:szCs w:val="13"/>
          <w:b w:val="1"/>
          <w:bCs w:val="1"/>
          <w:color w:val="105EAB"/>
        </w:rPr>
      </w:pPr>
      <w:r>
        <w:rPr>
          <w:rFonts w:ascii="Arial" w:cs="Arial" w:eastAsia="Arial" w:hAnsi="Arial"/>
          <w:sz w:val="13"/>
          <w:szCs w:val="13"/>
          <w:color w:val="105EAB"/>
        </w:rPr>
        <w:t>www.allstateproxy.com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134620</wp:posOffset>
            </wp:positionV>
            <wp:extent cx="7268210"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39B6E9"/>
        </w:rPr>
        <w:t>Strategy</w:t>
      </w:r>
    </w:p>
    <w:p>
      <w:pPr>
        <w:spacing w:after="0" w:line="213" w:lineRule="exact"/>
        <w:rPr>
          <w:sz w:val="20"/>
          <w:szCs w:val="20"/>
          <w:color w:val="auto"/>
        </w:rPr>
      </w:pPr>
    </w:p>
    <w:p>
      <w:pPr>
        <w:spacing w:after="0" w:line="284" w:lineRule="auto"/>
        <w:rPr>
          <w:sz w:val="20"/>
          <w:szCs w:val="20"/>
          <w:color w:val="auto"/>
        </w:rPr>
      </w:pPr>
      <w:r>
        <w:rPr>
          <w:rFonts w:ascii="Arial" w:cs="Arial" w:eastAsia="Arial" w:hAnsi="Arial"/>
          <w:sz w:val="13"/>
          <w:szCs w:val="13"/>
          <w:b w:val="1"/>
          <w:bCs w:val="1"/>
          <w:color w:val="auto"/>
        </w:rPr>
        <w:t xml:space="preserve">Allstate’s Purpose </w:t>
      </w:r>
      <w:r>
        <w:rPr>
          <w:rFonts w:ascii="Arial" w:cs="Arial" w:eastAsia="Arial" w:hAnsi="Arial"/>
          <w:sz w:val="13"/>
          <w:szCs w:val="13"/>
          <w:color w:val="auto"/>
        </w:rPr>
        <w:t>Allstate’s strategic goal is to increase its market share in protecting people from life’s</w:t>
      </w:r>
      <w:r>
        <w:rPr>
          <w:rFonts w:ascii="Arial" w:cs="Arial" w:eastAsia="Arial" w:hAnsi="Arial"/>
          <w:sz w:val="13"/>
          <w:szCs w:val="13"/>
          <w:b w:val="1"/>
          <w:bCs w:val="1"/>
          <w:color w:val="auto"/>
        </w:rPr>
        <w:t xml:space="preserve"> </w:t>
      </w:r>
      <w:r>
        <w:rPr>
          <w:rFonts w:ascii="Arial" w:cs="Arial" w:eastAsia="Arial" w:hAnsi="Arial"/>
          <w:sz w:val="13"/>
          <w:szCs w:val="13"/>
          <w:color w:val="auto"/>
        </w:rPr>
        <w:t>uncertainties. This year, we oversaw: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8" w:lineRule="exact"/>
        <w:rPr>
          <w:sz w:val="20"/>
          <w:szCs w:val="20"/>
          <w:color w:val="auto"/>
        </w:rPr>
      </w:pPr>
    </w:p>
    <w:p>
      <w:pPr>
        <w:ind w:right="460"/>
        <w:spacing w:after="0" w:line="248" w:lineRule="auto"/>
        <w:rPr>
          <w:sz w:val="20"/>
          <w:szCs w:val="20"/>
          <w:color w:val="auto"/>
        </w:rPr>
      </w:pPr>
      <w:r>
        <w:rPr>
          <w:rFonts w:ascii="Arial" w:cs="Arial" w:eastAsia="Arial" w:hAnsi="Arial"/>
          <w:sz w:val="13"/>
          <w:szCs w:val="13"/>
          <w:color w:val="105EAB"/>
        </w:rPr>
        <w:t>The Board reviews strategic topics at every meeting. This includes strategic initiatives for market-facing businesses and opportunities for growth by creating or acquiring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-370205</wp:posOffset>
            </wp:positionV>
            <wp:extent cx="2894965" cy="4451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94965" cy="445135"/>
                    </a:xfrm>
                    <a:prstGeom prst="rect">
                      <a:avLst/>
                    </a:prstGeom>
                    <a:noFill/>
                  </pic:spPr>
                </pic:pic>
              </a:graphicData>
            </a:graphic>
          </wp:anchor>
        </w:drawing>
      </w:r>
    </w:p>
    <w:p>
      <w:pPr>
        <w:spacing w:after="0" w:line="359" w:lineRule="exact"/>
        <w:rPr>
          <w:sz w:val="20"/>
          <w:szCs w:val="20"/>
          <w:color w:val="auto"/>
        </w:rPr>
      </w:pPr>
    </w:p>
    <w:p>
      <w:pPr>
        <w:sectPr>
          <w:pgSz w:w="11900" w:h="16838" w:orient="portrait"/>
          <w:cols w:equalWidth="0" w:num="2">
            <w:col w:w="6260" w:space="600"/>
            <w:col w:w="4580"/>
          </w:cols>
          <w:pgMar w:left="240" w:top="121" w:right="219" w:bottom="1440" w:gutter="0" w:footer="0" w:header="0"/>
        </w:sectPr>
      </w:pPr>
    </w:p>
    <w:p>
      <w:pPr>
        <w:ind w:left="280" w:right="360" w:hanging="272"/>
        <w:spacing w:after="0" w:line="258" w:lineRule="auto"/>
        <w:tabs>
          <w:tab w:leader="none" w:pos="280" w:val="left"/>
        </w:tabs>
        <w:numPr>
          <w:ilvl w:val="0"/>
          <w:numId w:val="8"/>
        </w:numPr>
        <w:rPr>
          <w:rFonts w:ascii="Arial" w:cs="Arial" w:eastAsia="Arial" w:hAnsi="Arial"/>
          <w:sz w:val="13"/>
          <w:szCs w:val="13"/>
          <w:color w:val="105EAB"/>
        </w:rPr>
      </w:pPr>
      <w:r>
        <w:rPr>
          <w:rFonts w:ascii="Arial" w:cs="Arial" w:eastAsia="Arial" w:hAnsi="Arial"/>
          <w:sz w:val="13"/>
          <w:szCs w:val="13"/>
          <w:color w:val="auto"/>
        </w:rPr>
        <w:t>Growth in policies in force of 2.4% by the property-liability businesses leading to a $1.5 billion (4.8%) increase in insurance premiums earned,</w:t>
      </w:r>
    </w:p>
    <w:p>
      <w:pPr>
        <w:spacing w:after="0" w:line="83" w:lineRule="exact"/>
        <w:rPr>
          <w:rFonts w:ascii="Arial" w:cs="Arial" w:eastAsia="Arial" w:hAnsi="Arial"/>
          <w:sz w:val="13"/>
          <w:szCs w:val="13"/>
          <w:color w:val="105EAB"/>
        </w:rPr>
      </w:pPr>
    </w:p>
    <w:p>
      <w:pPr>
        <w:ind w:left="280" w:hanging="272"/>
        <w:spacing w:after="0"/>
        <w:tabs>
          <w:tab w:leader="none" w:pos="280" w:val="left"/>
        </w:tabs>
        <w:numPr>
          <w:ilvl w:val="0"/>
          <w:numId w:val="8"/>
        </w:numPr>
        <w:rPr>
          <w:rFonts w:ascii="Arial" w:cs="Arial" w:eastAsia="Arial" w:hAnsi="Arial"/>
          <w:sz w:val="13"/>
          <w:szCs w:val="13"/>
          <w:color w:val="105EAB"/>
        </w:rPr>
      </w:pPr>
      <w:r>
        <w:rPr>
          <w:rFonts w:ascii="Arial" w:cs="Arial" w:eastAsia="Arial" w:hAnsi="Arial"/>
          <w:sz w:val="13"/>
          <w:szCs w:val="13"/>
          <w:color w:val="auto"/>
        </w:rPr>
        <w:t>Greater use of telematics in auto insurance and additional investment in Arity, the telematics platform created by Allstate,</w:t>
      </w:r>
    </w:p>
    <w:p>
      <w:pPr>
        <w:spacing w:after="0" w:line="106" w:lineRule="exact"/>
        <w:rPr>
          <w:rFonts w:ascii="Arial" w:cs="Arial" w:eastAsia="Arial" w:hAnsi="Arial"/>
          <w:sz w:val="13"/>
          <w:szCs w:val="13"/>
          <w:color w:val="105EAB"/>
        </w:rPr>
      </w:pPr>
    </w:p>
    <w:p>
      <w:pPr>
        <w:ind w:left="280" w:hanging="272"/>
        <w:spacing w:after="0"/>
        <w:tabs>
          <w:tab w:leader="none" w:pos="280" w:val="left"/>
        </w:tabs>
        <w:numPr>
          <w:ilvl w:val="0"/>
          <w:numId w:val="8"/>
        </w:numPr>
        <w:rPr>
          <w:rFonts w:ascii="Arial" w:cs="Arial" w:eastAsia="Arial" w:hAnsi="Arial"/>
          <w:sz w:val="13"/>
          <w:szCs w:val="13"/>
          <w:color w:val="105EAB"/>
        </w:rPr>
      </w:pPr>
      <w:r>
        <w:rPr>
          <w:rFonts w:ascii="Arial" w:cs="Arial" w:eastAsia="Arial" w:hAnsi="Arial"/>
          <w:sz w:val="13"/>
          <w:szCs w:val="13"/>
          <w:color w:val="auto"/>
        </w:rPr>
        <w:t>Rapid growth of SquareTrade, which added almost 30 million protection policies,</w:t>
      </w:r>
    </w:p>
    <w:p>
      <w:pPr>
        <w:spacing w:after="0" w:line="106" w:lineRule="exact"/>
        <w:rPr>
          <w:rFonts w:ascii="Arial" w:cs="Arial" w:eastAsia="Arial" w:hAnsi="Arial"/>
          <w:sz w:val="13"/>
          <w:szCs w:val="13"/>
          <w:color w:val="105EAB"/>
        </w:rPr>
      </w:pPr>
    </w:p>
    <w:p>
      <w:pPr>
        <w:ind w:left="280" w:hanging="272"/>
        <w:spacing w:after="0"/>
        <w:tabs>
          <w:tab w:leader="none" w:pos="280" w:val="left"/>
        </w:tabs>
        <w:numPr>
          <w:ilvl w:val="0"/>
          <w:numId w:val="8"/>
        </w:numPr>
        <w:rPr>
          <w:rFonts w:ascii="Arial" w:cs="Arial" w:eastAsia="Arial" w:hAnsi="Arial"/>
          <w:sz w:val="13"/>
          <w:szCs w:val="13"/>
          <w:color w:val="105EAB"/>
        </w:rPr>
      </w:pPr>
      <w:r>
        <w:rPr>
          <w:rFonts w:ascii="Arial" w:cs="Arial" w:eastAsia="Arial" w:hAnsi="Arial"/>
          <w:sz w:val="13"/>
          <w:szCs w:val="13"/>
          <w:color w:val="auto"/>
        </w:rPr>
        <w:t>Initiation of a significant relationship with a transportation network company, increasing diversification into commercial auto insurance, and</w:t>
      </w:r>
    </w:p>
    <w:p>
      <w:pPr>
        <w:spacing w:after="0" w:line="106" w:lineRule="exact"/>
        <w:rPr>
          <w:rFonts w:ascii="Arial" w:cs="Arial" w:eastAsia="Arial" w:hAnsi="Arial"/>
          <w:sz w:val="13"/>
          <w:szCs w:val="13"/>
          <w:color w:val="105EAB"/>
        </w:rPr>
      </w:pPr>
    </w:p>
    <w:p>
      <w:pPr>
        <w:ind w:left="280" w:hanging="272"/>
        <w:spacing w:after="0"/>
        <w:tabs>
          <w:tab w:leader="none" w:pos="280" w:val="left"/>
        </w:tabs>
        <w:numPr>
          <w:ilvl w:val="0"/>
          <w:numId w:val="8"/>
        </w:numPr>
        <w:rPr>
          <w:rFonts w:ascii="Arial" w:cs="Arial" w:eastAsia="Arial" w:hAnsi="Arial"/>
          <w:sz w:val="13"/>
          <w:szCs w:val="13"/>
          <w:color w:val="105EAB"/>
        </w:rPr>
      </w:pPr>
      <w:r>
        <w:rPr>
          <w:rFonts w:ascii="Arial" w:cs="Arial" w:eastAsia="Arial" w:hAnsi="Arial"/>
          <w:sz w:val="13"/>
          <w:szCs w:val="13"/>
          <w:color w:val="auto"/>
        </w:rPr>
        <w:t>Expansion into identity protection with the acquisition of InfoArmor.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5499100" cy="5740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99100" cy="574040"/>
                    </a:xfrm>
                    <a:prstGeom prst="rect">
                      <a:avLst/>
                    </a:prstGeom>
                    <a:noFill/>
                  </pic:spPr>
                </pic:pic>
              </a:graphicData>
            </a:graphic>
          </wp:anchor>
        </w:drawing>
      </w:r>
    </w:p>
    <w:p>
      <w:pPr>
        <w:spacing w:after="0" w:line="343" w:lineRule="exact"/>
        <w:rPr>
          <w:sz w:val="20"/>
          <w:szCs w:val="20"/>
          <w:color w:val="auto"/>
        </w:rPr>
      </w:pPr>
    </w:p>
    <w:p>
      <w:pPr>
        <w:spacing w:after="0"/>
        <w:rPr>
          <w:sz w:val="20"/>
          <w:szCs w:val="20"/>
          <w:color w:val="auto"/>
        </w:rPr>
      </w:pPr>
      <w:r>
        <w:rPr>
          <w:rFonts w:ascii="Arial" w:cs="Arial" w:eastAsia="Arial" w:hAnsi="Arial"/>
          <w:sz w:val="13"/>
          <w:szCs w:val="13"/>
          <w:color w:val="105EAB"/>
        </w:rPr>
        <w:t>Allstate’s innovation and success are being noticed as Allstate was:</w:t>
      </w:r>
    </w:p>
    <w:p>
      <w:pPr>
        <w:spacing w:after="0" w:line="107" w:lineRule="exact"/>
        <w:rPr>
          <w:sz w:val="20"/>
          <w:szCs w:val="20"/>
          <w:color w:val="auto"/>
        </w:rPr>
      </w:pPr>
    </w:p>
    <w:p>
      <w:pPr>
        <w:ind w:left="280" w:hanging="272"/>
        <w:spacing w:after="0"/>
        <w:tabs>
          <w:tab w:leader="none" w:pos="280" w:val="left"/>
        </w:tabs>
        <w:numPr>
          <w:ilvl w:val="0"/>
          <w:numId w:val="9"/>
        </w:numPr>
        <w:rPr>
          <w:rFonts w:ascii="Arial" w:cs="Arial" w:eastAsia="Arial" w:hAnsi="Arial"/>
          <w:sz w:val="13"/>
          <w:szCs w:val="13"/>
          <w:color w:val="105EAB"/>
        </w:rPr>
      </w:pPr>
      <w:r>
        <w:rPr>
          <w:rFonts w:ascii="Arial" w:cs="Arial" w:eastAsia="Arial" w:hAnsi="Arial"/>
          <w:sz w:val="13"/>
          <w:szCs w:val="13"/>
          <w:color w:val="105EAB"/>
        </w:rPr>
        <w:t>Named one of the 50 companies changing the world by Fortune for the second consecutive year, and</w:t>
      </w:r>
    </w:p>
    <w:p>
      <w:pPr>
        <w:spacing w:after="0" w:line="106" w:lineRule="exact"/>
        <w:rPr>
          <w:rFonts w:ascii="Arial" w:cs="Arial" w:eastAsia="Arial" w:hAnsi="Arial"/>
          <w:sz w:val="13"/>
          <w:szCs w:val="13"/>
          <w:color w:val="105EAB"/>
        </w:rPr>
      </w:pPr>
    </w:p>
    <w:p>
      <w:pPr>
        <w:ind w:left="280" w:hanging="272"/>
        <w:spacing w:after="0"/>
        <w:tabs>
          <w:tab w:leader="none" w:pos="280" w:val="left"/>
        </w:tabs>
        <w:numPr>
          <w:ilvl w:val="0"/>
          <w:numId w:val="9"/>
        </w:numPr>
        <w:rPr>
          <w:rFonts w:ascii="Arial" w:cs="Arial" w:eastAsia="Arial" w:hAnsi="Arial"/>
          <w:sz w:val="13"/>
          <w:szCs w:val="13"/>
          <w:color w:val="105EAB"/>
        </w:rPr>
      </w:pPr>
      <w:r>
        <w:rPr>
          <w:rFonts w:ascii="Arial" w:cs="Arial" w:eastAsia="Arial" w:hAnsi="Arial"/>
          <w:sz w:val="13"/>
          <w:szCs w:val="13"/>
          <w:color w:val="105EAB"/>
        </w:rPr>
        <w:t>Ranked as a top 10 innovator amongst 752 companies by The Wall Street Journal/ Drucker Institute.</w:t>
      </w:r>
    </w:p>
    <w:p>
      <w:pPr>
        <w:spacing w:after="0" w:line="309" w:lineRule="exact"/>
        <w:rPr>
          <w:sz w:val="20"/>
          <w:szCs w:val="20"/>
          <w:color w:val="auto"/>
        </w:rPr>
      </w:pPr>
    </w:p>
    <w:p>
      <w:pPr>
        <w:spacing w:after="0"/>
        <w:rPr>
          <w:sz w:val="20"/>
          <w:szCs w:val="20"/>
          <w:color w:val="auto"/>
        </w:rPr>
      </w:pPr>
      <w:r>
        <w:rPr>
          <w:rFonts w:ascii="Arial" w:cs="Arial" w:eastAsia="Arial" w:hAnsi="Arial"/>
          <w:sz w:val="20"/>
          <w:szCs w:val="20"/>
          <w:b w:val="1"/>
          <w:bCs w:val="1"/>
          <w:color w:val="39B6E9"/>
        </w:rPr>
        <w:t>Sustainability</w:t>
      </w:r>
    </w:p>
    <w:p>
      <w:pPr>
        <w:spacing w:after="0" w:line="213" w:lineRule="exact"/>
        <w:rPr>
          <w:sz w:val="20"/>
          <w:szCs w:val="20"/>
          <w:color w:val="auto"/>
        </w:rPr>
      </w:pPr>
    </w:p>
    <w:p>
      <w:pPr>
        <w:spacing w:after="0" w:line="261" w:lineRule="auto"/>
        <w:rPr>
          <w:sz w:val="20"/>
          <w:szCs w:val="20"/>
          <w:color w:val="auto"/>
        </w:rPr>
      </w:pPr>
      <w:r>
        <w:rPr>
          <w:rFonts w:ascii="Arial" w:cs="Arial" w:eastAsia="Arial" w:hAnsi="Arial"/>
          <w:sz w:val="13"/>
          <w:szCs w:val="13"/>
          <w:b w:val="1"/>
          <w:bCs w:val="1"/>
          <w:color w:val="auto"/>
        </w:rPr>
        <w:t xml:space="preserve">Human Capital Management and Succession Planning </w:t>
      </w:r>
      <w:r>
        <w:rPr>
          <w:rFonts w:ascii="Arial" w:cs="Arial" w:eastAsia="Arial" w:hAnsi="Arial"/>
          <w:sz w:val="13"/>
          <w:szCs w:val="13"/>
          <w:color w:val="auto"/>
        </w:rPr>
        <w:t>Attracting, developing and retaining top talent is necessary for Allstate to create</w:t>
      </w:r>
      <w:r>
        <w:rPr>
          <w:rFonts w:ascii="Arial" w:cs="Arial" w:eastAsia="Arial" w:hAnsi="Arial"/>
          <w:sz w:val="13"/>
          <w:szCs w:val="13"/>
          <w:b w:val="1"/>
          <w:bCs w:val="1"/>
          <w:color w:val="auto"/>
        </w:rPr>
        <w:t xml:space="preserve"> </w:t>
      </w:r>
      <w:r>
        <w:rPr>
          <w:rFonts w:ascii="Arial" w:cs="Arial" w:eastAsia="Arial" w:hAnsi="Arial"/>
          <w:sz w:val="13"/>
          <w:szCs w:val="13"/>
          <w:color w:val="auto"/>
        </w:rPr>
        <w:t>shareholder value. Talent development and succession planning are discussed quarterly, and the Board meets regularly with senior leaders and reviews: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5499100" cy="12249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499100" cy="1224915"/>
                    </a:xfrm>
                    <a:prstGeom prst="rect">
                      <a:avLst/>
                    </a:prstGeom>
                    <a:noFill/>
                  </pic:spPr>
                </pic:pic>
              </a:graphicData>
            </a:graphic>
          </wp:anchor>
        </w:drawing>
      </w:r>
    </w:p>
    <w:p>
      <w:pPr>
        <w:spacing w:after="0" w:line="291" w:lineRule="exact"/>
        <w:rPr>
          <w:sz w:val="20"/>
          <w:szCs w:val="20"/>
          <w:color w:val="auto"/>
        </w:rPr>
      </w:pPr>
    </w:p>
    <w:p>
      <w:pPr>
        <w:ind w:left="280" w:hanging="272"/>
        <w:spacing w:after="0"/>
        <w:tabs>
          <w:tab w:leader="none" w:pos="280" w:val="left"/>
        </w:tabs>
        <w:numPr>
          <w:ilvl w:val="0"/>
          <w:numId w:val="10"/>
        </w:numPr>
        <w:rPr>
          <w:rFonts w:ascii="Arial" w:cs="Arial" w:eastAsia="Arial" w:hAnsi="Arial"/>
          <w:sz w:val="13"/>
          <w:szCs w:val="13"/>
          <w:color w:val="105EAB"/>
        </w:rPr>
      </w:pPr>
      <w:r>
        <w:rPr>
          <w:rFonts w:ascii="Arial" w:cs="Arial" w:eastAsia="Arial" w:hAnsi="Arial"/>
          <w:sz w:val="13"/>
          <w:szCs w:val="13"/>
          <w:color w:val="105EAB"/>
        </w:rPr>
        <w:t>Survey results that measure culture and employee empowerment, engagement and alignment with corporate strategy,</w:t>
      </w:r>
    </w:p>
    <w:p>
      <w:pPr>
        <w:spacing w:after="0" w:line="106" w:lineRule="exact"/>
        <w:rPr>
          <w:rFonts w:ascii="Arial" w:cs="Arial" w:eastAsia="Arial" w:hAnsi="Arial"/>
          <w:sz w:val="13"/>
          <w:szCs w:val="13"/>
          <w:color w:val="105EAB"/>
        </w:rPr>
      </w:pPr>
    </w:p>
    <w:p>
      <w:pPr>
        <w:ind w:left="280" w:hanging="272"/>
        <w:spacing w:after="0"/>
        <w:tabs>
          <w:tab w:leader="none" w:pos="280" w:val="left"/>
        </w:tabs>
        <w:numPr>
          <w:ilvl w:val="0"/>
          <w:numId w:val="10"/>
        </w:numPr>
        <w:rPr>
          <w:rFonts w:ascii="Arial" w:cs="Arial" w:eastAsia="Arial" w:hAnsi="Arial"/>
          <w:sz w:val="13"/>
          <w:szCs w:val="13"/>
          <w:color w:val="105EAB"/>
        </w:rPr>
      </w:pPr>
      <w:r>
        <w:rPr>
          <w:rFonts w:ascii="Arial" w:cs="Arial" w:eastAsia="Arial" w:hAnsi="Arial"/>
          <w:sz w:val="13"/>
          <w:szCs w:val="13"/>
          <w:color w:val="105EAB"/>
        </w:rPr>
        <w:t>Investments in employee development,</w:t>
      </w:r>
    </w:p>
    <w:p>
      <w:pPr>
        <w:spacing w:after="0" w:line="106" w:lineRule="exact"/>
        <w:rPr>
          <w:rFonts w:ascii="Arial" w:cs="Arial" w:eastAsia="Arial" w:hAnsi="Arial"/>
          <w:sz w:val="13"/>
          <w:szCs w:val="13"/>
          <w:color w:val="105EAB"/>
        </w:rPr>
      </w:pPr>
    </w:p>
    <w:p>
      <w:pPr>
        <w:ind w:left="280" w:hanging="272"/>
        <w:spacing w:after="0"/>
        <w:tabs>
          <w:tab w:leader="none" w:pos="280" w:val="left"/>
        </w:tabs>
        <w:numPr>
          <w:ilvl w:val="0"/>
          <w:numId w:val="10"/>
        </w:numPr>
        <w:rPr>
          <w:rFonts w:ascii="Arial" w:cs="Arial" w:eastAsia="Arial" w:hAnsi="Arial"/>
          <w:sz w:val="13"/>
          <w:szCs w:val="13"/>
          <w:color w:val="105EAB"/>
        </w:rPr>
      </w:pPr>
      <w:r>
        <w:rPr>
          <w:rFonts w:ascii="Arial" w:cs="Arial" w:eastAsia="Arial" w:hAnsi="Arial"/>
          <w:sz w:val="13"/>
          <w:szCs w:val="13"/>
          <w:color w:val="105EAB"/>
        </w:rPr>
        <w:t>Allstate agency satisfaction,</w:t>
      </w:r>
    </w:p>
    <w:p>
      <w:pPr>
        <w:spacing w:after="0" w:line="106" w:lineRule="exact"/>
        <w:rPr>
          <w:rFonts w:ascii="Arial" w:cs="Arial" w:eastAsia="Arial" w:hAnsi="Arial"/>
          <w:sz w:val="13"/>
          <w:szCs w:val="13"/>
          <w:color w:val="105EAB"/>
        </w:rPr>
      </w:pPr>
    </w:p>
    <w:p>
      <w:pPr>
        <w:ind w:left="280" w:hanging="272"/>
        <w:spacing w:after="0"/>
        <w:tabs>
          <w:tab w:leader="none" w:pos="280" w:val="left"/>
        </w:tabs>
        <w:numPr>
          <w:ilvl w:val="0"/>
          <w:numId w:val="10"/>
        </w:numPr>
        <w:rPr>
          <w:rFonts w:ascii="Arial" w:cs="Arial" w:eastAsia="Arial" w:hAnsi="Arial"/>
          <w:sz w:val="13"/>
          <w:szCs w:val="13"/>
          <w:color w:val="105EAB"/>
        </w:rPr>
      </w:pPr>
      <w:r>
        <w:rPr>
          <w:rFonts w:ascii="Arial" w:cs="Arial" w:eastAsia="Arial" w:hAnsi="Arial"/>
          <w:sz w:val="13"/>
          <w:szCs w:val="13"/>
          <w:color w:val="105EAB"/>
        </w:rPr>
        <w:t>Practices to increase the diversity of employees and managers,</w:t>
      </w:r>
    </w:p>
    <w:p>
      <w:pPr>
        <w:spacing w:after="0" w:line="106" w:lineRule="exact"/>
        <w:rPr>
          <w:rFonts w:ascii="Arial" w:cs="Arial" w:eastAsia="Arial" w:hAnsi="Arial"/>
          <w:sz w:val="13"/>
          <w:szCs w:val="13"/>
          <w:color w:val="105EAB"/>
        </w:rPr>
      </w:pPr>
    </w:p>
    <w:p>
      <w:pPr>
        <w:ind w:left="280" w:hanging="272"/>
        <w:spacing w:after="0"/>
        <w:tabs>
          <w:tab w:leader="none" w:pos="280" w:val="left"/>
        </w:tabs>
        <w:numPr>
          <w:ilvl w:val="0"/>
          <w:numId w:val="10"/>
        </w:numPr>
        <w:rPr>
          <w:rFonts w:ascii="Arial" w:cs="Arial" w:eastAsia="Arial" w:hAnsi="Arial"/>
          <w:sz w:val="13"/>
          <w:szCs w:val="13"/>
          <w:color w:val="105EAB"/>
        </w:rPr>
      </w:pPr>
      <w:r>
        <w:rPr>
          <w:rFonts w:ascii="Arial" w:cs="Arial" w:eastAsia="Arial" w:hAnsi="Arial"/>
          <w:sz w:val="13"/>
          <w:szCs w:val="13"/>
          <w:color w:val="105EAB"/>
        </w:rPr>
        <w:t>Gender and minority equity within compensation programs,</w:t>
      </w:r>
    </w:p>
    <w:p>
      <w:pPr>
        <w:spacing w:after="0" w:line="106" w:lineRule="exact"/>
        <w:rPr>
          <w:rFonts w:ascii="Arial" w:cs="Arial" w:eastAsia="Arial" w:hAnsi="Arial"/>
          <w:sz w:val="13"/>
          <w:szCs w:val="13"/>
          <w:color w:val="105EAB"/>
        </w:rPr>
      </w:pPr>
    </w:p>
    <w:p>
      <w:pPr>
        <w:ind w:left="280" w:hanging="272"/>
        <w:spacing w:after="0"/>
        <w:tabs>
          <w:tab w:leader="none" w:pos="280" w:val="left"/>
        </w:tabs>
        <w:numPr>
          <w:ilvl w:val="0"/>
          <w:numId w:val="10"/>
        </w:numPr>
        <w:rPr>
          <w:rFonts w:ascii="Arial" w:cs="Arial" w:eastAsia="Arial" w:hAnsi="Arial"/>
          <w:sz w:val="13"/>
          <w:szCs w:val="13"/>
          <w:color w:val="105EAB"/>
        </w:rPr>
      </w:pPr>
      <w:r>
        <w:rPr>
          <w:rFonts w:ascii="Arial" w:cs="Arial" w:eastAsia="Arial" w:hAnsi="Arial"/>
          <w:sz w:val="13"/>
          <w:szCs w:val="13"/>
          <w:color w:val="105EAB"/>
        </w:rPr>
        <w:t>Competitiveness of benefits and compensation packages, and</w:t>
      </w:r>
    </w:p>
    <w:p>
      <w:pPr>
        <w:spacing w:after="0" w:line="106" w:lineRule="exact"/>
        <w:rPr>
          <w:rFonts w:ascii="Arial" w:cs="Arial" w:eastAsia="Arial" w:hAnsi="Arial"/>
          <w:sz w:val="13"/>
          <w:szCs w:val="13"/>
          <w:color w:val="105EAB"/>
        </w:rPr>
      </w:pPr>
    </w:p>
    <w:p>
      <w:pPr>
        <w:ind w:left="280" w:hanging="272"/>
        <w:spacing w:after="0"/>
        <w:tabs>
          <w:tab w:leader="none" w:pos="280" w:val="left"/>
        </w:tabs>
        <w:numPr>
          <w:ilvl w:val="0"/>
          <w:numId w:val="10"/>
        </w:numPr>
        <w:rPr>
          <w:rFonts w:ascii="Arial" w:cs="Arial" w:eastAsia="Arial" w:hAnsi="Arial"/>
          <w:sz w:val="13"/>
          <w:szCs w:val="13"/>
          <w:color w:val="105EAB"/>
        </w:rPr>
      </w:pPr>
      <w:r>
        <w:rPr>
          <w:rFonts w:ascii="Arial" w:cs="Arial" w:eastAsia="Arial" w:hAnsi="Arial"/>
          <w:sz w:val="13"/>
          <w:szCs w:val="13"/>
          <w:color w:val="105EAB"/>
        </w:rPr>
        <w:t>Opportunities for re-skilling and training employees.</w:t>
      </w:r>
    </w:p>
    <w:p>
      <w:pPr>
        <w:spacing w:after="0" w:line="336" w:lineRule="exact"/>
        <w:rPr>
          <w:sz w:val="20"/>
          <w:szCs w:val="20"/>
          <w:color w:val="auto"/>
        </w:rPr>
      </w:pPr>
    </w:p>
    <w:p>
      <w:pPr>
        <w:ind w:right="80"/>
        <w:spacing w:after="0" w:line="258" w:lineRule="auto"/>
        <w:rPr>
          <w:sz w:val="20"/>
          <w:szCs w:val="20"/>
          <w:color w:val="auto"/>
        </w:rPr>
      </w:pPr>
      <w:r>
        <w:rPr>
          <w:rFonts w:ascii="Arial" w:cs="Arial" w:eastAsia="Arial" w:hAnsi="Arial"/>
          <w:sz w:val="13"/>
          <w:szCs w:val="13"/>
          <w:color w:val="auto"/>
        </w:rPr>
        <w:t>We also work to ensure alignment of our executive compensation program with the long-term interests of stockholders. No significant changes were made to our program in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499100" cy="4451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499100" cy="445135"/>
                    </a:xfrm>
                    <a:prstGeom prst="rect">
                      <a:avLst/>
                    </a:prstGeom>
                    <a:noFill/>
                  </pic:spPr>
                </pic:pic>
              </a:graphicData>
            </a:graphic>
          </wp:anchor>
        </w:drawing>
      </w:r>
    </w:p>
    <w:p>
      <w:pPr>
        <w:spacing w:after="0" w:line="277" w:lineRule="exact"/>
        <w:rPr>
          <w:sz w:val="20"/>
          <w:szCs w:val="20"/>
          <w:color w:val="auto"/>
        </w:rPr>
      </w:pPr>
    </w:p>
    <w:p>
      <w:pPr>
        <w:jc w:val="both"/>
        <w:ind w:right="560"/>
        <w:spacing w:after="0" w:line="261" w:lineRule="auto"/>
        <w:rPr>
          <w:sz w:val="20"/>
          <w:szCs w:val="20"/>
          <w:color w:val="auto"/>
        </w:rPr>
      </w:pPr>
      <w:r>
        <w:rPr>
          <w:rFonts w:ascii="Arial" w:cs="Arial" w:eastAsia="Arial" w:hAnsi="Arial"/>
          <w:sz w:val="13"/>
          <w:szCs w:val="13"/>
          <w:b w:val="1"/>
          <w:bCs w:val="1"/>
          <w:color w:val="5CA34F"/>
        </w:rPr>
        <w:t xml:space="preserve">Social Responsibility </w:t>
      </w:r>
      <w:r>
        <w:rPr>
          <w:rFonts w:ascii="Arial" w:cs="Arial" w:eastAsia="Arial" w:hAnsi="Arial"/>
          <w:sz w:val="13"/>
          <w:szCs w:val="13"/>
          <w:color w:val="5CA34F"/>
        </w:rPr>
        <w:t>Allstate operates its business and fulfills its role in society by broadly defining its purpose. Allstate believes that</w:t>
      </w:r>
      <w:r>
        <w:rPr>
          <w:rFonts w:ascii="Arial" w:cs="Arial" w:eastAsia="Arial" w:hAnsi="Arial"/>
          <w:sz w:val="13"/>
          <w:szCs w:val="13"/>
          <w:b w:val="1"/>
          <w:bCs w:val="1"/>
          <w:color w:val="5CA34F"/>
        </w:rPr>
        <w:t xml:space="preserve"> </w:t>
      </w:r>
      <w:r>
        <w:rPr>
          <w:rFonts w:ascii="Arial" w:cs="Arial" w:eastAsia="Arial" w:hAnsi="Arial"/>
          <w:sz w:val="13"/>
          <w:szCs w:val="13"/>
          <w:color w:val="5CA34F"/>
        </w:rPr>
        <w:t>businesses serve a broader role in society by serving customers, making a profit, creating jobs, and improving communities. For more information on how we measure up, see Allstate’s Prosperity Report.</w:t>
      </w:r>
    </w:p>
    <w:p>
      <w:pPr>
        <w:spacing w:after="0" w:line="324" w:lineRule="exact"/>
        <w:rPr>
          <w:sz w:val="20"/>
          <w:szCs w:val="20"/>
          <w:color w:val="auto"/>
        </w:rPr>
      </w:pPr>
    </w:p>
    <w:p>
      <w:pPr>
        <w:spacing w:after="0"/>
        <w:rPr>
          <w:sz w:val="20"/>
          <w:szCs w:val="20"/>
          <w:color w:val="auto"/>
        </w:rPr>
      </w:pPr>
      <w:r>
        <w:rPr>
          <w:rFonts w:ascii="Arial" w:cs="Arial" w:eastAsia="Arial" w:hAnsi="Arial"/>
          <w:sz w:val="13"/>
          <w:szCs w:val="13"/>
          <w:color w:val="auto"/>
        </w:rPr>
        <w:t>We welcome your feedback and pledge to continue to independently represent your interests. Thank you for your continued support.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3"/>
          <w:szCs w:val="13"/>
          <w:b w:val="1"/>
          <w:bCs w:val="1"/>
          <w:color w:val="105EAB"/>
        </w:rPr>
        <w:t>KERMIT R.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-349250</wp:posOffset>
            </wp:positionV>
            <wp:extent cx="1113790" cy="265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13790" cy="2654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146685</wp:posOffset>
            </wp:positionV>
            <wp:extent cx="1096645" cy="2571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96645" cy="257175"/>
                    </a:xfrm>
                    <a:prstGeom prst="rect">
                      <a:avLst/>
                    </a:prstGeom>
                    <a:noFill/>
                  </pic:spPr>
                </pic:pic>
              </a:graphicData>
            </a:graphic>
          </wp:anchor>
        </w:drawing>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3"/>
          <w:szCs w:val="13"/>
          <w:b w:val="1"/>
          <w:bCs w:val="1"/>
          <w:color w:val="105EAB"/>
        </w:rPr>
        <w:t>MICHAEL L. ESKEW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146685</wp:posOffset>
            </wp:positionV>
            <wp:extent cx="1087755" cy="2825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87755" cy="282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3"/>
          <w:szCs w:val="13"/>
          <w:b w:val="1"/>
          <w:bCs w:val="1"/>
          <w:color w:val="105EAB"/>
        </w:rPr>
        <w:t>MARGARET M. KEANE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146685</wp:posOffset>
            </wp:positionV>
            <wp:extent cx="1104900" cy="2482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04900" cy="248285"/>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3"/>
          <w:szCs w:val="13"/>
          <w:b w:val="1"/>
          <w:bCs w:val="1"/>
          <w:color w:val="105EAB"/>
        </w:rPr>
        <w:t>SIDDHARTH N. (BOBBY) MEHTA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146685</wp:posOffset>
            </wp:positionV>
            <wp:extent cx="796925" cy="2654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96925"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b w:val="1"/>
          <w:bCs w:val="1"/>
          <w:color w:val="105EAB"/>
        </w:rPr>
        <w:t>JACQUES P. PEROLD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146685</wp:posOffset>
            </wp:positionV>
            <wp:extent cx="916305" cy="1797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16305" cy="1797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3"/>
          <w:szCs w:val="13"/>
          <w:b w:val="1"/>
          <w:bCs w:val="1"/>
          <w:color w:val="105EAB"/>
        </w:rPr>
        <w:t>ANDREA REDMOND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146685</wp:posOffset>
            </wp:positionV>
            <wp:extent cx="762635" cy="2997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62635" cy="299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3"/>
          <w:szCs w:val="13"/>
          <w:b w:val="1"/>
          <w:bCs w:val="1"/>
          <w:color w:val="105EAB"/>
        </w:rPr>
        <w:t>GREGG M. SHERRILL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146685</wp:posOffset>
            </wp:positionV>
            <wp:extent cx="1190625" cy="274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9062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3"/>
          <w:szCs w:val="13"/>
          <w:b w:val="1"/>
          <w:bCs w:val="1"/>
          <w:color w:val="105EAB"/>
        </w:rPr>
        <w:t>JUDITH A. SPRIESER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146685</wp:posOffset>
            </wp:positionV>
            <wp:extent cx="1045210" cy="2571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45210" cy="257175"/>
                    </a:xfrm>
                    <a:prstGeom prst="rect">
                      <a:avLst/>
                    </a:prstGeom>
                    <a:noFill/>
                  </pic:spPr>
                </pic:pic>
              </a:graphicData>
            </a:graphic>
          </wp:anchor>
        </w:drawing>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3"/>
          <w:szCs w:val="13"/>
          <w:b w:val="1"/>
          <w:bCs w:val="1"/>
          <w:color w:val="105EAB"/>
        </w:rPr>
        <w:t>PERRY M. TRAQUINA</w:t>
      </w:r>
    </w:p>
    <w:p>
      <w:pPr>
        <w:spacing w:after="0" w:line="283" w:lineRule="exact"/>
        <w:rPr>
          <w:sz w:val="20"/>
          <w:szCs w:val="20"/>
          <w:color w:val="auto"/>
        </w:rPr>
      </w:pPr>
    </w:p>
    <w:p>
      <w:pPr>
        <w:sectPr>
          <w:pgSz w:w="11900" w:h="16838" w:orient="portrait"/>
          <w:cols w:equalWidth="0" w:num="2">
            <w:col w:w="8560" w:space="580"/>
            <w:col w:w="2300"/>
          </w:cols>
          <w:pgMar w:left="240" w:top="121" w:right="219" w:bottom="1440" w:gutter="0" w:footer="0" w:header="0"/>
          <w:type w:val="continuous"/>
        </w:sect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1160" w:type="dxa"/>
            <w:vAlign w:val="bottom"/>
          </w:tcPr>
          <w:p>
            <w:pPr>
              <w:ind w:left="9640"/>
              <w:spacing w:after="0"/>
              <w:rPr>
                <w:sz w:val="20"/>
                <w:szCs w:val="20"/>
                <w:color w:val="auto"/>
              </w:rPr>
            </w:pPr>
            <w:r>
              <w:rPr>
                <w:rFonts w:ascii="Arial" w:cs="Arial" w:eastAsia="Arial" w:hAnsi="Arial"/>
                <w:sz w:val="13"/>
                <w:szCs w:val="13"/>
                <w:color w:val="105EAB"/>
              </w:rPr>
              <w:t>2019 Proxy Statement</w:t>
            </w:r>
          </w:p>
        </w:tc>
        <w:tc>
          <w:tcPr>
            <w:tcW w:w="280" w:type="dxa"/>
            <w:vAlign w:val="bottom"/>
          </w:tcPr>
          <w:p>
            <w:pPr>
              <w:jc w:val="right"/>
              <w:spacing w:after="0"/>
              <w:rPr>
                <w:sz w:val="20"/>
                <w:szCs w:val="20"/>
                <w:color w:val="auto"/>
              </w:rPr>
            </w:pPr>
            <w:r>
              <w:rPr>
                <w:rFonts w:ascii="Arial" w:cs="Arial" w:eastAsia="Arial" w:hAnsi="Arial"/>
                <w:sz w:val="13"/>
                <w:szCs w:val="13"/>
                <w:b w:val="1"/>
                <w:bCs w:val="1"/>
                <w:color w:val="105EAB"/>
              </w:rPr>
              <w:t>3</w:t>
            </w:r>
          </w:p>
        </w:tc>
      </w:tr>
      <w:tr>
        <w:trPr>
          <w:trHeight w:val="213"/>
        </w:trPr>
        <w:tc>
          <w:tcPr>
            <w:tcW w:w="1116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-13970</wp:posOffset>
            </wp:positionV>
            <wp:extent cx="127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169" w:lineRule="exact"/>
        <w:rPr>
          <w:sz w:val="20"/>
          <w:szCs w:val="20"/>
          <w:color w:val="auto"/>
        </w:rPr>
      </w:pPr>
    </w:p>
    <w:p>
      <w:pPr>
        <w:spacing w:after="0"/>
        <w:rPr>
          <w:sz w:val="20"/>
          <w:szCs w:val="20"/>
          <w:color w:val="auto"/>
        </w:rPr>
      </w:pPr>
      <w:r>
        <w:rPr>
          <w:rFonts w:ascii="Arial" w:cs="Arial" w:eastAsia="Arial" w:hAnsi="Arial"/>
          <w:sz w:val="50"/>
          <w:szCs w:val="50"/>
          <w:b w:val="1"/>
          <w:bCs w:val="1"/>
          <w:color w:val="105EAB"/>
        </w:rPr>
        <w:t>Notice of 2019 Annual Meeting of Stockholders</w:t>
      </w:r>
    </w:p>
    <w:p>
      <w:pPr>
        <w:sectPr>
          <w:pgSz w:w="11900" w:h="16838" w:orient="portrait"/>
          <w:cols w:equalWidth="0" w:num="1">
            <w:col w:w="11400"/>
          </w:cols>
          <w:pgMar w:left="240" w:top="121" w:right="259" w:bottom="1440" w:gutter="0" w:footer="0" w:header="0"/>
        </w:sectPr>
      </w:pPr>
    </w:p>
    <w:p>
      <w:pPr>
        <w:spacing w:after="0" w:line="376" w:lineRule="exact"/>
        <w:rPr>
          <w:sz w:val="20"/>
          <w:szCs w:val="20"/>
          <w:color w:val="auto"/>
        </w:rPr>
      </w:pPr>
    </w:p>
    <w:p>
      <w:pPr>
        <w:spacing w:after="0"/>
        <w:rPr>
          <w:sz w:val="20"/>
          <w:szCs w:val="20"/>
          <w:color w:val="auto"/>
        </w:rPr>
      </w:pPr>
      <w:r>
        <w:rPr>
          <w:rFonts w:ascii="Arial" w:cs="Arial" w:eastAsia="Arial" w:hAnsi="Arial"/>
          <w:sz w:val="20"/>
          <w:szCs w:val="20"/>
          <w:b w:val="1"/>
          <w:bCs w:val="1"/>
          <w:color w:val="39B6E9"/>
        </w:rPr>
        <w:t>When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-205105</wp:posOffset>
            </wp:positionV>
            <wp:extent cx="3477895" cy="4737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77895" cy="4737100"/>
                    </a:xfrm>
                    <a:prstGeom prst="rect">
                      <a:avLst/>
                    </a:prstGeom>
                    <a:noFill/>
                  </pic:spPr>
                </pic:pic>
              </a:graphicData>
            </a:graphic>
          </wp:anchor>
        </w:drawing>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Tuesday, May 21, 2019, at 11:00 a.m. Central time.</w:t>
      </w:r>
    </w:p>
    <w:p>
      <w:pPr>
        <w:spacing w:after="0"/>
        <w:rPr>
          <w:sz w:val="20"/>
          <w:szCs w:val="20"/>
          <w:color w:val="auto"/>
        </w:rPr>
      </w:pPr>
      <w:r>
        <w:rPr>
          <w:rFonts w:ascii="Arial" w:cs="Arial" w:eastAsia="Arial" w:hAnsi="Arial"/>
          <w:sz w:val="18"/>
          <w:szCs w:val="18"/>
          <w:color w:val="auto"/>
        </w:rPr>
        <w:t>Registration begins at 10:00 a.m.</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39B6E9"/>
        </w:rPr>
        <w:t>Where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Allstate, West Plaza Auditorium</w:t>
      </w:r>
    </w:p>
    <w:p>
      <w:pPr>
        <w:spacing w:after="0" w:line="234" w:lineRule="auto"/>
        <w:rPr>
          <w:sz w:val="20"/>
          <w:szCs w:val="20"/>
          <w:color w:val="auto"/>
        </w:rPr>
      </w:pPr>
      <w:r>
        <w:rPr>
          <w:rFonts w:ascii="Arial" w:cs="Arial" w:eastAsia="Arial" w:hAnsi="Arial"/>
          <w:sz w:val="18"/>
          <w:szCs w:val="18"/>
          <w:color w:val="auto"/>
        </w:rPr>
        <w:t>3100 Sanders Road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Northbrook, Illinois 60062</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39B6E9"/>
        </w:rPr>
        <w:t>How To Vote In Advance</w:t>
      </w:r>
    </w:p>
    <w:p>
      <w:pPr>
        <w:spacing w:after="0" w:line="232"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 xml:space="preserve">Your vote is important. Please vote as soon as possible by one of the methods shown below. </w:t>
      </w:r>
      <w:r>
        <w:rPr>
          <w:rFonts w:ascii="Arial" w:cs="Arial" w:eastAsia="Arial" w:hAnsi="Arial"/>
          <w:sz w:val="18"/>
          <w:szCs w:val="18"/>
          <w:b w:val="1"/>
          <w:bCs w:val="1"/>
          <w:color w:val="auto"/>
        </w:rPr>
        <w:t>Make sure to have your proxy card,</w:t>
      </w:r>
      <w:r>
        <w:rPr>
          <w:rFonts w:ascii="Arial" w:cs="Arial" w:eastAsia="Arial" w:hAnsi="Arial"/>
          <w:sz w:val="18"/>
          <w:szCs w:val="18"/>
          <w:color w:val="auto"/>
        </w:rPr>
        <w:t xml:space="preserve"> </w:t>
      </w:r>
      <w:r>
        <w:rPr>
          <w:rFonts w:ascii="Arial" w:cs="Arial" w:eastAsia="Arial" w:hAnsi="Arial"/>
          <w:sz w:val="18"/>
          <w:szCs w:val="18"/>
          <w:b w:val="1"/>
          <w:bCs w:val="1"/>
          <w:color w:val="auto"/>
        </w:rPr>
        <w:t>voting instruction form, or notice of Internet availability in hand and follow the instructions.</w:t>
      </w:r>
    </w:p>
    <w:p>
      <w:pPr>
        <w:spacing w:after="0" w:line="78"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959595"/>
        </w:rPr>
        <w:t>By Telephone:</w:t>
      </w:r>
    </w:p>
    <w:p>
      <w:pPr>
        <w:spacing w:after="0" w:line="17" w:lineRule="exact"/>
        <w:rPr>
          <w:sz w:val="20"/>
          <w:szCs w:val="20"/>
          <w:color w:val="auto"/>
        </w:rPr>
      </w:pPr>
    </w:p>
    <w:p>
      <w:pPr>
        <w:ind w:left="860" w:right="100"/>
        <w:spacing w:after="0" w:line="239" w:lineRule="auto"/>
        <w:rPr>
          <w:sz w:val="20"/>
          <w:szCs w:val="20"/>
          <w:color w:val="auto"/>
        </w:rPr>
      </w:pPr>
      <w:r>
        <w:rPr>
          <w:rFonts w:ascii="Arial" w:cs="Arial" w:eastAsia="Arial" w:hAnsi="Arial"/>
          <w:sz w:val="18"/>
          <w:szCs w:val="18"/>
          <w:color w:val="auto"/>
        </w:rPr>
        <w:t>In the U.S. or Canada, you can vote your shares toll-free by calling 1-800-690-6903.</w:t>
      </w:r>
    </w:p>
    <w:p>
      <w:pPr>
        <w:spacing w:after="0" w:line="294"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959595"/>
        </w:rPr>
        <w:t>By Internet:</w:t>
      </w:r>
    </w:p>
    <w:p>
      <w:pPr>
        <w:spacing w:after="0" w:line="1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You can vote your shares online at proxyvote.com.</w:t>
      </w:r>
    </w:p>
    <w:p>
      <w:pPr>
        <w:spacing w:after="0" w:line="378"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959595"/>
        </w:rPr>
        <w:t>By Mail:</w:t>
      </w:r>
    </w:p>
    <w:p>
      <w:pPr>
        <w:spacing w:after="0" w:line="17" w:lineRule="exact"/>
        <w:rPr>
          <w:sz w:val="20"/>
          <w:szCs w:val="20"/>
          <w:color w:val="auto"/>
        </w:rPr>
      </w:pPr>
    </w:p>
    <w:p>
      <w:pPr>
        <w:jc w:val="both"/>
        <w:ind w:left="860"/>
        <w:spacing w:after="0" w:line="237" w:lineRule="auto"/>
        <w:rPr>
          <w:sz w:val="20"/>
          <w:szCs w:val="20"/>
          <w:color w:val="auto"/>
        </w:rPr>
      </w:pPr>
      <w:r>
        <w:rPr>
          <w:rFonts w:ascii="Arial" w:cs="Arial" w:eastAsia="Arial" w:hAnsi="Arial"/>
          <w:sz w:val="18"/>
          <w:szCs w:val="18"/>
          <w:color w:val="auto"/>
        </w:rPr>
        <w:t>You can vote by mail by marking, dating, and signing your proxy card or voting instruction form and returning it in the postage-paid envelope.</w:t>
      </w:r>
    </w:p>
    <w:p>
      <w:pPr>
        <w:spacing w:after="0" w:line="215"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959595"/>
        </w:rPr>
        <w:t>By Tablet or Smartphone:</w:t>
      </w:r>
    </w:p>
    <w:p>
      <w:pPr>
        <w:spacing w:after="0" w:line="17" w:lineRule="exact"/>
        <w:rPr>
          <w:sz w:val="20"/>
          <w:szCs w:val="20"/>
          <w:color w:val="auto"/>
        </w:rPr>
      </w:pPr>
    </w:p>
    <w:p>
      <w:pPr>
        <w:ind w:left="860" w:right="100"/>
        <w:spacing w:after="0" w:line="239" w:lineRule="auto"/>
        <w:rPr>
          <w:sz w:val="20"/>
          <w:szCs w:val="20"/>
          <w:color w:val="auto"/>
        </w:rPr>
      </w:pPr>
      <w:r>
        <w:rPr>
          <w:rFonts w:ascii="Arial" w:cs="Arial" w:eastAsia="Arial" w:hAnsi="Arial"/>
          <w:sz w:val="18"/>
          <w:szCs w:val="18"/>
          <w:color w:val="auto"/>
        </w:rPr>
        <w:t>You can vote your shares with your tablet or smartphone by scanning the QR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3477895" cy="10795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77895" cy="1079500"/>
                    </a:xfrm>
                    <a:prstGeom prst="rect">
                      <a:avLst/>
                    </a:prstGeom>
                    <a:noFill/>
                  </pic:spPr>
                </pic:pic>
              </a:graphicData>
            </a:graphic>
          </wp:anchor>
        </w:drawing>
      </w:r>
    </w:p>
    <w:p>
      <w:pPr>
        <w:spacing w:after="0" w:line="342" w:lineRule="exact"/>
        <w:rPr>
          <w:sz w:val="20"/>
          <w:szCs w:val="20"/>
          <w:color w:val="auto"/>
        </w:rPr>
      </w:pPr>
    </w:p>
    <w:p>
      <w:pPr>
        <w:ind w:left="120" w:right="240"/>
        <w:spacing w:after="0" w:line="249" w:lineRule="auto"/>
        <w:rPr>
          <w:sz w:val="20"/>
          <w:szCs w:val="20"/>
          <w:color w:val="auto"/>
        </w:rPr>
      </w:pPr>
      <w:r>
        <w:rPr>
          <w:rFonts w:ascii="Arial" w:cs="Arial" w:eastAsia="Arial" w:hAnsi="Arial"/>
          <w:sz w:val="18"/>
          <w:szCs w:val="18"/>
          <w:b w:val="1"/>
          <w:bCs w:val="1"/>
          <w:color w:val="105EAB"/>
        </w:rPr>
        <w:t>Important Notice Regarding the Availability of Proxy Materials for the Stockholder Meeting to Be Held on May 21, 2019</w:t>
      </w:r>
    </w:p>
    <w:p>
      <w:pPr>
        <w:spacing w:after="0" w:line="201" w:lineRule="exact"/>
        <w:rPr>
          <w:sz w:val="20"/>
          <w:szCs w:val="20"/>
          <w:color w:val="auto"/>
        </w:rPr>
      </w:pPr>
    </w:p>
    <w:p>
      <w:pPr>
        <w:jc w:val="both"/>
        <w:ind w:left="120" w:right="200"/>
        <w:spacing w:after="0" w:line="237" w:lineRule="auto"/>
        <w:rPr>
          <w:sz w:val="20"/>
          <w:szCs w:val="20"/>
          <w:color w:val="auto"/>
        </w:rPr>
      </w:pPr>
      <w:r>
        <w:rPr>
          <w:rFonts w:ascii="Arial" w:cs="Arial" w:eastAsia="Arial" w:hAnsi="Arial"/>
          <w:sz w:val="18"/>
          <w:szCs w:val="18"/>
          <w:color w:val="auto"/>
        </w:rPr>
        <w:t>The Notice of 2019 Annual Meeting, Proxy Statement, and 2018 Annual Report and the means to vote by Internet are available at proxyvote.com.</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ind w:left="80"/>
        <w:spacing w:after="0"/>
        <w:rPr>
          <w:sz w:val="20"/>
          <w:szCs w:val="20"/>
          <w:color w:val="auto"/>
        </w:rPr>
      </w:pPr>
      <w:r>
        <w:rPr>
          <w:rFonts w:ascii="Arial" w:cs="Arial" w:eastAsia="Arial" w:hAnsi="Arial"/>
          <w:sz w:val="13"/>
          <w:szCs w:val="13"/>
          <w:b w:val="1"/>
          <w:bCs w:val="1"/>
          <w:color w:val="105EAB"/>
        </w:rPr>
        <w:t>Items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27305</wp:posOffset>
            </wp:positionV>
            <wp:extent cx="347789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77895" cy="17145"/>
                    </a:xfrm>
                    <a:prstGeom prst="rect">
                      <a:avLst/>
                    </a:prstGeom>
                    <a:noFill/>
                  </pic:spPr>
                </pic:pic>
              </a:graphicData>
            </a:graphic>
          </wp:anchor>
        </w:drawing>
      </w:r>
    </w:p>
    <w:p>
      <w:pPr>
        <w:spacing w:after="0" w:line="139" w:lineRule="exact"/>
        <w:rPr>
          <w:sz w:val="20"/>
          <w:szCs w:val="20"/>
          <w:color w:val="auto"/>
        </w:rPr>
      </w:pPr>
    </w:p>
    <w:p>
      <w:pPr>
        <w:ind w:left="80"/>
        <w:spacing w:after="0"/>
        <w:rPr>
          <w:sz w:val="20"/>
          <w:szCs w:val="20"/>
          <w:color w:val="auto"/>
        </w:rPr>
      </w:pPr>
      <w:r>
        <w:rPr>
          <w:rFonts w:ascii="Arial" w:cs="Arial" w:eastAsia="Arial" w:hAnsi="Arial"/>
          <w:sz w:val="18"/>
          <w:szCs w:val="18"/>
          <w:color w:val="39B6E9"/>
        </w:rPr>
        <w:t xml:space="preserve">PROPOSAL </w:t>
      </w:r>
      <w:r>
        <w:rPr>
          <w:rFonts w:ascii="Arial" w:cs="Arial" w:eastAsia="Arial" w:hAnsi="Arial"/>
          <w:sz w:val="18"/>
          <w:szCs w:val="18"/>
          <w:b w:val="1"/>
          <w:bCs w:val="1"/>
          <w:color w:val="39B6E9"/>
        </w:rPr>
        <w:t>1</w:t>
      </w:r>
    </w:p>
    <w:p>
      <w:pPr>
        <w:spacing w:after="0" w:line="17" w:lineRule="exact"/>
        <w:rPr>
          <w:sz w:val="20"/>
          <w:szCs w:val="20"/>
          <w:color w:val="auto"/>
        </w:rPr>
      </w:pPr>
    </w:p>
    <w:p>
      <w:pPr>
        <w:ind w:left="80"/>
        <w:spacing w:after="0"/>
        <w:rPr>
          <w:sz w:val="20"/>
          <w:szCs w:val="20"/>
          <w:color w:val="auto"/>
        </w:rPr>
      </w:pPr>
      <w:r>
        <w:rPr>
          <w:rFonts w:ascii="Arial" w:cs="Arial" w:eastAsia="Arial" w:hAnsi="Arial"/>
          <w:sz w:val="18"/>
          <w:szCs w:val="18"/>
          <w:color w:val="auto"/>
        </w:rPr>
        <w:t>Election of 10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63500</wp:posOffset>
            </wp:positionV>
            <wp:extent cx="347789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77895" cy="8255"/>
                    </a:xfrm>
                    <a:prstGeom prst="rect">
                      <a:avLst/>
                    </a:prstGeom>
                    <a:noFill/>
                  </pic:spPr>
                </pic:pic>
              </a:graphicData>
            </a:graphic>
          </wp:anchor>
        </w:drawing>
      </w:r>
    </w:p>
    <w:p>
      <w:pPr>
        <w:spacing w:after="0" w:line="183" w:lineRule="exact"/>
        <w:rPr>
          <w:sz w:val="20"/>
          <w:szCs w:val="20"/>
          <w:color w:val="auto"/>
        </w:rPr>
      </w:pPr>
    </w:p>
    <w:p>
      <w:pPr>
        <w:ind w:left="80"/>
        <w:spacing w:after="0"/>
        <w:rPr>
          <w:sz w:val="20"/>
          <w:szCs w:val="20"/>
          <w:color w:val="auto"/>
        </w:rPr>
      </w:pPr>
      <w:r>
        <w:rPr>
          <w:rFonts w:ascii="Arial" w:cs="Arial" w:eastAsia="Arial" w:hAnsi="Arial"/>
          <w:sz w:val="18"/>
          <w:szCs w:val="18"/>
          <w:color w:val="39B6E9"/>
        </w:rPr>
        <w:t xml:space="preserve">PROPOSAL </w:t>
      </w:r>
      <w:r>
        <w:rPr>
          <w:rFonts w:ascii="Arial" w:cs="Arial" w:eastAsia="Arial" w:hAnsi="Arial"/>
          <w:sz w:val="18"/>
          <w:szCs w:val="18"/>
          <w:b w:val="1"/>
          <w:bCs w:val="1"/>
          <w:color w:val="39B6E9"/>
        </w:rPr>
        <w:t>2</w:t>
      </w:r>
    </w:p>
    <w:p>
      <w:pPr>
        <w:spacing w:after="0" w:line="17" w:lineRule="exact"/>
        <w:rPr>
          <w:sz w:val="20"/>
          <w:szCs w:val="20"/>
          <w:color w:val="auto"/>
        </w:rPr>
      </w:pPr>
    </w:p>
    <w:p>
      <w:pPr>
        <w:ind w:left="80" w:right="600"/>
        <w:spacing w:after="0" w:line="239" w:lineRule="auto"/>
        <w:rPr>
          <w:sz w:val="20"/>
          <w:szCs w:val="20"/>
          <w:color w:val="auto"/>
        </w:rPr>
      </w:pPr>
      <w:r>
        <w:rPr>
          <w:rFonts w:ascii="Arial" w:cs="Arial" w:eastAsia="Arial" w:hAnsi="Arial"/>
          <w:sz w:val="18"/>
          <w:szCs w:val="18"/>
          <w:color w:val="auto"/>
        </w:rPr>
        <w:t>Say-on-pay: advisory vote on the compensation of the named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61595</wp:posOffset>
            </wp:positionV>
            <wp:extent cx="347789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77895" cy="8255"/>
                    </a:xfrm>
                    <a:prstGeom prst="rect">
                      <a:avLst/>
                    </a:prstGeom>
                    <a:noFill/>
                  </pic:spPr>
                </pic:pic>
              </a:graphicData>
            </a:graphic>
          </wp:anchor>
        </w:drawing>
      </w:r>
    </w:p>
    <w:p>
      <w:pPr>
        <w:spacing w:after="0" w:line="180" w:lineRule="exact"/>
        <w:rPr>
          <w:sz w:val="20"/>
          <w:szCs w:val="20"/>
          <w:color w:val="auto"/>
        </w:rPr>
      </w:pPr>
    </w:p>
    <w:p>
      <w:pPr>
        <w:ind w:left="80"/>
        <w:spacing w:after="0"/>
        <w:rPr>
          <w:sz w:val="20"/>
          <w:szCs w:val="20"/>
          <w:color w:val="auto"/>
        </w:rPr>
      </w:pPr>
      <w:r>
        <w:rPr>
          <w:rFonts w:ascii="Arial" w:cs="Arial" w:eastAsia="Arial" w:hAnsi="Arial"/>
          <w:sz w:val="18"/>
          <w:szCs w:val="18"/>
          <w:color w:val="39B6E9"/>
        </w:rPr>
        <w:t xml:space="preserve">PROPOSAL </w:t>
      </w:r>
      <w:r>
        <w:rPr>
          <w:rFonts w:ascii="Arial" w:cs="Arial" w:eastAsia="Arial" w:hAnsi="Arial"/>
          <w:sz w:val="18"/>
          <w:szCs w:val="18"/>
          <w:b w:val="1"/>
          <w:bCs w:val="1"/>
          <w:color w:val="39B6E9"/>
        </w:rPr>
        <w:t>3</w:t>
      </w:r>
    </w:p>
    <w:p>
      <w:pPr>
        <w:spacing w:after="0" w:line="17" w:lineRule="exact"/>
        <w:rPr>
          <w:sz w:val="20"/>
          <w:szCs w:val="20"/>
          <w:color w:val="auto"/>
        </w:rPr>
      </w:pPr>
    </w:p>
    <w:p>
      <w:pPr>
        <w:ind w:left="80"/>
        <w:spacing w:after="0"/>
        <w:rPr>
          <w:sz w:val="20"/>
          <w:szCs w:val="20"/>
          <w:color w:val="auto"/>
        </w:rPr>
      </w:pPr>
      <w:r>
        <w:rPr>
          <w:rFonts w:ascii="Arial" w:cs="Arial" w:eastAsia="Arial" w:hAnsi="Arial"/>
          <w:sz w:val="18"/>
          <w:szCs w:val="18"/>
          <w:color w:val="auto"/>
        </w:rPr>
        <w:t>Approval of the 2019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63500</wp:posOffset>
            </wp:positionV>
            <wp:extent cx="347789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77895" cy="8255"/>
                    </a:xfrm>
                    <a:prstGeom prst="rect">
                      <a:avLst/>
                    </a:prstGeom>
                    <a:noFill/>
                  </pic:spPr>
                </pic:pic>
              </a:graphicData>
            </a:graphic>
          </wp:anchor>
        </w:drawing>
      </w:r>
    </w:p>
    <w:p>
      <w:pPr>
        <w:spacing w:after="0" w:line="183" w:lineRule="exact"/>
        <w:rPr>
          <w:sz w:val="20"/>
          <w:szCs w:val="20"/>
          <w:color w:val="auto"/>
        </w:rPr>
      </w:pPr>
    </w:p>
    <w:p>
      <w:pPr>
        <w:ind w:left="80"/>
        <w:spacing w:after="0"/>
        <w:rPr>
          <w:sz w:val="20"/>
          <w:szCs w:val="20"/>
          <w:color w:val="auto"/>
        </w:rPr>
      </w:pPr>
      <w:r>
        <w:rPr>
          <w:rFonts w:ascii="Arial" w:cs="Arial" w:eastAsia="Arial" w:hAnsi="Arial"/>
          <w:sz w:val="18"/>
          <w:szCs w:val="18"/>
          <w:color w:val="39B6E9"/>
        </w:rPr>
        <w:t xml:space="preserve">PROPOSAL </w:t>
      </w:r>
      <w:r>
        <w:rPr>
          <w:rFonts w:ascii="Arial" w:cs="Arial" w:eastAsia="Arial" w:hAnsi="Arial"/>
          <w:sz w:val="18"/>
          <w:szCs w:val="18"/>
          <w:b w:val="1"/>
          <w:bCs w:val="1"/>
          <w:color w:val="39B6E9"/>
        </w:rPr>
        <w:t>4</w:t>
      </w:r>
    </w:p>
    <w:p>
      <w:pPr>
        <w:spacing w:after="0" w:line="17" w:lineRule="exact"/>
        <w:rPr>
          <w:sz w:val="20"/>
          <w:szCs w:val="20"/>
          <w:color w:val="auto"/>
        </w:rPr>
      </w:pPr>
    </w:p>
    <w:p>
      <w:pPr>
        <w:ind w:left="80" w:right="340"/>
        <w:spacing w:after="0" w:line="239" w:lineRule="auto"/>
        <w:rPr>
          <w:sz w:val="20"/>
          <w:szCs w:val="20"/>
          <w:color w:val="auto"/>
        </w:rPr>
      </w:pPr>
      <w:r>
        <w:rPr>
          <w:rFonts w:ascii="Arial" w:cs="Arial" w:eastAsia="Arial" w:hAnsi="Arial"/>
          <w:sz w:val="18"/>
          <w:szCs w:val="18"/>
          <w:color w:val="auto"/>
        </w:rPr>
        <w:t>Ratification of appointment of Deloitte &amp; Touche LLP as Allstate’s independent registered public accountant for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61595</wp:posOffset>
            </wp:positionV>
            <wp:extent cx="347789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77895" cy="8255"/>
                    </a:xfrm>
                    <a:prstGeom prst="rect">
                      <a:avLst/>
                    </a:prstGeom>
                    <a:noFill/>
                  </pic:spPr>
                </pic:pic>
              </a:graphicData>
            </a:graphic>
          </wp:anchor>
        </w:drawing>
      </w:r>
    </w:p>
    <w:p>
      <w:pPr>
        <w:spacing w:after="0" w:line="180" w:lineRule="exact"/>
        <w:rPr>
          <w:sz w:val="20"/>
          <w:szCs w:val="20"/>
          <w:color w:val="auto"/>
        </w:rPr>
      </w:pPr>
    </w:p>
    <w:p>
      <w:pPr>
        <w:ind w:left="80"/>
        <w:spacing w:after="0"/>
        <w:rPr>
          <w:sz w:val="20"/>
          <w:szCs w:val="20"/>
          <w:color w:val="auto"/>
        </w:rPr>
      </w:pPr>
      <w:r>
        <w:rPr>
          <w:rFonts w:ascii="Arial" w:cs="Arial" w:eastAsia="Arial" w:hAnsi="Arial"/>
          <w:sz w:val="18"/>
          <w:szCs w:val="18"/>
          <w:color w:val="auto"/>
        </w:rPr>
        <w:t xml:space="preserve">PROPOSAL </w:t>
      </w:r>
      <w:r>
        <w:rPr>
          <w:rFonts w:ascii="Arial" w:cs="Arial" w:eastAsia="Arial" w:hAnsi="Arial"/>
          <w:sz w:val="18"/>
          <w:szCs w:val="18"/>
          <w:b w:val="1"/>
          <w:bCs w:val="1"/>
          <w:color w:val="auto"/>
        </w:rPr>
        <w:t>5</w:t>
      </w:r>
    </w:p>
    <w:p>
      <w:pPr>
        <w:spacing w:after="0" w:line="17" w:lineRule="exact"/>
        <w:rPr>
          <w:sz w:val="20"/>
          <w:szCs w:val="20"/>
          <w:color w:val="auto"/>
        </w:rPr>
      </w:pPr>
    </w:p>
    <w:p>
      <w:pPr>
        <w:ind w:left="80"/>
        <w:spacing w:after="0"/>
        <w:rPr>
          <w:sz w:val="20"/>
          <w:szCs w:val="20"/>
          <w:color w:val="auto"/>
        </w:rPr>
      </w:pPr>
      <w:r>
        <w:rPr>
          <w:rFonts w:ascii="Arial" w:cs="Arial" w:eastAsia="Arial" w:hAnsi="Arial"/>
          <w:sz w:val="18"/>
          <w:szCs w:val="18"/>
          <w:color w:val="auto"/>
        </w:rPr>
        <w:t>Stockholder proposal, if properly presented at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63500</wp:posOffset>
            </wp:positionV>
            <wp:extent cx="347789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77895" cy="17145"/>
                    </a:xfrm>
                    <a:prstGeom prst="rect">
                      <a:avLst/>
                    </a:prstGeom>
                    <a:noFill/>
                  </pic:spPr>
                </pic:pic>
              </a:graphicData>
            </a:graphic>
          </wp:anchor>
        </w:drawing>
      </w:r>
    </w:p>
    <w:p>
      <w:pPr>
        <w:spacing w:after="0" w:line="326"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In addition, any other business properly presented may be acted upon at the meeting.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959595"/>
        </w:rPr>
        <w:t>Who Can Vote</w:t>
      </w:r>
    </w:p>
    <w:p>
      <w:pPr>
        <w:spacing w:after="0" w:line="233"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Holders of Allstate common stock at the close of business on March 22, 2019. Each share of common stock is entitled to one vote for each director position and one vote for each of the other proposals.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959595"/>
        </w:rPr>
        <w:t>Who Can Attend</w:t>
      </w:r>
    </w:p>
    <w:p>
      <w:pPr>
        <w:spacing w:after="0" w:line="233"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 xml:space="preserve">Stockholders who wish to attend the meeting in person should review </w:t>
      </w:r>
      <w:r>
        <w:rPr>
          <w:rFonts w:ascii="Arial" w:cs="Arial" w:eastAsia="Arial" w:hAnsi="Arial"/>
          <w:sz w:val="18"/>
          <w:szCs w:val="18"/>
          <w:color w:val="39B6E9"/>
        </w:rPr>
        <w:t>page 93</w:t>
      </w:r>
      <w:r>
        <w:rPr>
          <w:rFonts w:ascii="Arial" w:cs="Arial" w:eastAsia="Arial" w:hAnsi="Arial"/>
          <w:sz w:val="18"/>
          <w:szCs w:val="18"/>
          <w:color w:val="000000"/>
        </w:rPr>
        <w: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959595"/>
        </w:rPr>
        <w:t>Date of Mailing</w:t>
      </w:r>
    </w:p>
    <w:p>
      <w:pPr>
        <w:spacing w:after="0" w:line="233"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On or about April 8, 2019, these proxy materials and annual report are being mailed or made available to stockholders and to participants in the Allstate 401(k) Savings Plan.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-4445</wp:posOffset>
            </wp:positionV>
            <wp:extent cx="1045210" cy="2228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45210" cy="222885"/>
                    </a:xfrm>
                    <a:prstGeom prst="rect">
                      <a:avLst/>
                    </a:prstGeom>
                    <a:noFill/>
                  </pic:spPr>
                </pic:pic>
              </a:graphicData>
            </a:graphic>
          </wp:anchor>
        </w:drawing>
      </w:r>
    </w:p>
    <w:p>
      <w:pPr>
        <w:spacing w:after="0" w:line="360" w:lineRule="exact"/>
        <w:rPr>
          <w:sz w:val="20"/>
          <w:szCs w:val="20"/>
          <w:color w:val="auto"/>
        </w:rPr>
      </w:pPr>
    </w:p>
    <w:p>
      <w:pPr>
        <w:spacing w:after="0"/>
        <w:rPr>
          <w:sz w:val="20"/>
          <w:szCs w:val="20"/>
          <w:color w:val="auto"/>
        </w:rPr>
      </w:pPr>
      <w:r>
        <w:rPr>
          <w:rFonts w:ascii="Arial" w:cs="Arial" w:eastAsia="Arial" w:hAnsi="Arial"/>
          <w:sz w:val="13"/>
          <w:szCs w:val="13"/>
          <w:b w:val="1"/>
          <w:bCs w:val="1"/>
          <w:color w:val="105EAB"/>
        </w:rPr>
        <w:t>SUSAN L. LEES</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b w:val="1"/>
          <w:bCs w:val="1"/>
          <w:color w:val="959595"/>
        </w:rPr>
        <w:t>SECRETARY</w:t>
      </w:r>
    </w:p>
    <w:p>
      <w:pPr>
        <w:spacing w:after="0"/>
        <w:rPr>
          <w:sz w:val="20"/>
          <w:szCs w:val="20"/>
          <w:color w:val="auto"/>
        </w:rPr>
      </w:pPr>
      <w:r>
        <w:rPr>
          <w:rFonts w:ascii="Arial" w:cs="Arial" w:eastAsia="Arial" w:hAnsi="Arial"/>
          <w:sz w:val="13"/>
          <w:szCs w:val="13"/>
          <w:b w:val="1"/>
          <w:bCs w:val="1"/>
          <w:color w:val="959595"/>
        </w:rPr>
        <w:t>APRIL 8, 2019</w:t>
      </w:r>
    </w:p>
    <w:p>
      <w:pPr>
        <w:spacing w:after="0" w:line="200" w:lineRule="exact"/>
        <w:rPr>
          <w:sz w:val="20"/>
          <w:szCs w:val="20"/>
          <w:color w:val="auto"/>
        </w:rPr>
      </w:pPr>
    </w:p>
    <w:p>
      <w:pPr>
        <w:sectPr>
          <w:pgSz w:w="11900" w:h="16838" w:orient="portrait"/>
          <w:cols w:equalWidth="0" w:num="2">
            <w:col w:w="5340" w:space="600"/>
            <w:col w:w="5460"/>
          </w:cols>
          <w:pgMar w:left="240" w:top="121" w:right="259" w:bottom="1440" w:gutter="0" w:footer="0" w:header="0"/>
          <w:type w:val="continuous"/>
        </w:sectPr>
      </w:pPr>
    </w:p>
    <w:p>
      <w:pPr>
        <w:spacing w:after="0" w:line="231"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3"/>
          <w:szCs w:val="13"/>
          <w:b w:val="1"/>
          <w:bCs w:val="1"/>
          <w:color w:val="105EAB"/>
        </w:rPr>
      </w:pPr>
      <w:r>
        <w:rPr>
          <w:rFonts w:ascii="Arial" w:cs="Arial" w:eastAsia="Arial" w:hAnsi="Arial"/>
          <w:sz w:val="13"/>
          <w:szCs w:val="13"/>
          <w:color w:val="105EAB"/>
        </w:rPr>
        <w:t>www.allstateproxy.com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134620</wp:posOffset>
            </wp:positionV>
            <wp:extent cx="7268210"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169" w:lineRule="exact"/>
        <w:rPr>
          <w:sz w:val="20"/>
          <w:szCs w:val="20"/>
          <w:color w:val="auto"/>
        </w:rPr>
      </w:pPr>
    </w:p>
    <w:p>
      <w:pPr>
        <w:spacing w:after="0"/>
        <w:rPr>
          <w:sz w:val="20"/>
          <w:szCs w:val="20"/>
          <w:color w:val="auto"/>
        </w:rPr>
      </w:pPr>
      <w:r>
        <w:rPr>
          <w:rFonts w:ascii="Arial" w:cs="Arial" w:eastAsia="Arial" w:hAnsi="Arial"/>
          <w:sz w:val="50"/>
          <w:szCs w:val="50"/>
          <w:b w:val="1"/>
          <w:bCs w:val="1"/>
          <w:color w:val="105EAB"/>
        </w:rPr>
        <w:t>Proxy Summary</w:t>
      </w:r>
    </w:p>
    <w:p>
      <w:pPr>
        <w:spacing w:after="0" w:line="285"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This summary highlights selected information about the items to be voted on at the annual meeting. It does not contain all of the information that you should consider in deciding how to vote. You should read the entire proxy statement carefully before voting.</w:t>
      </w:r>
    </w:p>
    <w:p>
      <w:pPr>
        <w:spacing w:after="0" w:line="185"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940" w:type="dxa"/>
            <w:vAlign w:val="bottom"/>
            <w:tcBorders>
              <w:top w:val="single" w:sz="8" w:color="39B6E9"/>
              <w:left w:val="single" w:sz="8" w:color="39B6E9"/>
            </w:tcBorders>
            <w:vMerge w:val="restart"/>
          </w:tcPr>
          <w:p>
            <w:pPr>
              <w:ind w:left="140"/>
              <w:spacing w:after="0"/>
              <w:rPr>
                <w:sz w:val="20"/>
                <w:szCs w:val="20"/>
                <w:color w:val="auto"/>
              </w:rPr>
            </w:pPr>
            <w:r>
              <w:rPr>
                <w:rFonts w:ascii="Arial" w:cs="Arial" w:eastAsia="Arial" w:hAnsi="Arial"/>
                <w:sz w:val="13"/>
                <w:szCs w:val="13"/>
                <w:color w:val="39B6E9"/>
              </w:rPr>
              <w:t>PROPOSAL</w:t>
            </w:r>
          </w:p>
        </w:tc>
        <w:tc>
          <w:tcPr>
            <w:tcW w:w="660" w:type="dxa"/>
            <w:vAlign w:val="bottom"/>
            <w:tcBorders>
              <w:top w:val="single" w:sz="8" w:color="39B6E9"/>
              <w:right w:val="single" w:sz="8" w:color="39B6E9"/>
            </w:tcBorders>
          </w:tcPr>
          <w:p>
            <w:pPr>
              <w:jc w:val="right"/>
              <w:ind w:right="144"/>
              <w:spacing w:after="0" w:line="269" w:lineRule="exact"/>
              <w:rPr>
                <w:sz w:val="20"/>
                <w:szCs w:val="20"/>
                <w:color w:val="auto"/>
              </w:rPr>
            </w:pPr>
            <w:r>
              <w:rPr>
                <w:rFonts w:ascii="Arial" w:cs="Arial" w:eastAsia="Arial" w:hAnsi="Arial"/>
                <w:sz w:val="31"/>
                <w:szCs w:val="31"/>
                <w:b w:val="1"/>
                <w:bCs w:val="1"/>
                <w:color w:val="39B6E9"/>
              </w:rPr>
              <w:t>1</w:t>
            </w:r>
          </w:p>
        </w:tc>
        <w:tc>
          <w:tcPr>
            <w:tcW w:w="100" w:type="dxa"/>
            <w:vAlign w:val="bottom"/>
          </w:tcPr>
          <w:p>
            <w:pPr>
              <w:spacing w:after="0"/>
              <w:rPr>
                <w:sz w:val="23"/>
                <w:szCs w:val="23"/>
                <w:color w:val="auto"/>
              </w:rPr>
            </w:pPr>
          </w:p>
        </w:tc>
        <w:tc>
          <w:tcPr>
            <w:tcW w:w="7640" w:type="dxa"/>
            <w:vAlign w:val="bottom"/>
            <w:tcBorders>
              <w:top w:val="single" w:sz="8" w:color="39B6E9"/>
              <w:right w:val="single" w:sz="8" w:color="39B6E9"/>
            </w:tcBorders>
            <w:vMerge w:val="restart"/>
          </w:tcPr>
          <w:p>
            <w:pPr>
              <w:ind w:left="60"/>
              <w:spacing w:after="0"/>
              <w:rPr>
                <w:sz w:val="20"/>
                <w:szCs w:val="20"/>
                <w:color w:val="auto"/>
              </w:rPr>
            </w:pPr>
            <w:r>
              <w:rPr>
                <w:rFonts w:ascii="Arial" w:cs="Arial" w:eastAsia="Arial" w:hAnsi="Arial"/>
                <w:sz w:val="22"/>
                <w:szCs w:val="22"/>
                <w:b w:val="1"/>
                <w:bCs w:val="1"/>
                <w:color w:val="39B6E9"/>
              </w:rPr>
              <w:t>Election of 10 Directors</w:t>
            </w:r>
          </w:p>
        </w:tc>
        <w:tc>
          <w:tcPr>
            <w:tcW w:w="100" w:type="dxa"/>
            <w:vAlign w:val="bottom"/>
          </w:tcPr>
          <w:p>
            <w:pPr>
              <w:spacing w:after="0"/>
              <w:rPr>
                <w:sz w:val="23"/>
                <w:szCs w:val="23"/>
                <w:color w:val="auto"/>
              </w:rPr>
            </w:pPr>
          </w:p>
        </w:tc>
        <w:tc>
          <w:tcPr>
            <w:tcW w:w="1980" w:type="dxa"/>
            <w:vAlign w:val="bottom"/>
            <w:tcBorders>
              <w:top w:val="single" w:sz="8" w:color="39B6E9"/>
              <w:right w:val="single" w:sz="8" w:color="39B6E9"/>
            </w:tcBorders>
            <w:vMerge w:val="restart"/>
          </w:tcPr>
          <w:p>
            <w:pPr>
              <w:ind w:left="380"/>
              <w:spacing w:after="0"/>
              <w:rPr>
                <w:sz w:val="20"/>
                <w:szCs w:val="20"/>
                <w:color w:val="auto"/>
              </w:rPr>
            </w:pPr>
            <w:r>
              <w:rPr>
                <w:rFonts w:ascii="Arial" w:cs="Arial" w:eastAsia="Arial" w:hAnsi="Arial"/>
                <w:sz w:val="13"/>
                <w:szCs w:val="13"/>
                <w:color w:val="auto"/>
              </w:rPr>
              <w:t xml:space="preserve">See </w:t>
            </w:r>
            <w:r>
              <w:rPr>
                <w:rFonts w:ascii="Arial" w:cs="Arial" w:eastAsia="Arial" w:hAnsi="Arial"/>
                <w:sz w:val="13"/>
                <w:szCs w:val="13"/>
                <w:b w:val="1"/>
                <w:bCs w:val="1"/>
                <w:color w:val="39B6E9"/>
              </w:rPr>
              <w:t>pages 10-15</w:t>
            </w:r>
          </w:p>
        </w:tc>
        <w:tc>
          <w:tcPr>
            <w:tcW w:w="0" w:type="dxa"/>
            <w:vAlign w:val="bottom"/>
          </w:tcPr>
          <w:p>
            <w:pPr>
              <w:spacing w:after="0"/>
              <w:rPr>
                <w:sz w:val="1"/>
                <w:szCs w:val="1"/>
                <w:color w:val="auto"/>
              </w:rPr>
            </w:pPr>
          </w:p>
        </w:tc>
      </w:tr>
      <w:tr>
        <w:trPr>
          <w:trHeight w:val="26"/>
        </w:trPr>
        <w:tc>
          <w:tcPr>
            <w:tcW w:w="940" w:type="dxa"/>
            <w:vAlign w:val="bottom"/>
            <w:tcBorders>
              <w:left w:val="single" w:sz="8" w:color="39B6E9"/>
            </w:tcBorders>
            <w:vMerge w:val="continue"/>
          </w:tcPr>
          <w:p>
            <w:pPr>
              <w:spacing w:after="0"/>
              <w:rPr>
                <w:sz w:val="2"/>
                <w:szCs w:val="2"/>
                <w:color w:val="auto"/>
              </w:rPr>
            </w:pPr>
          </w:p>
        </w:tc>
        <w:tc>
          <w:tcPr>
            <w:tcW w:w="660" w:type="dxa"/>
            <w:vAlign w:val="bottom"/>
            <w:tcBorders>
              <w:right w:val="single" w:sz="8" w:color="39B6E9"/>
            </w:tcBorders>
          </w:tcPr>
          <w:p>
            <w:pPr>
              <w:spacing w:after="0"/>
              <w:rPr>
                <w:sz w:val="2"/>
                <w:szCs w:val="2"/>
                <w:color w:val="auto"/>
              </w:rPr>
            </w:pPr>
          </w:p>
        </w:tc>
        <w:tc>
          <w:tcPr>
            <w:tcW w:w="100" w:type="dxa"/>
            <w:vAlign w:val="bottom"/>
          </w:tcPr>
          <w:p>
            <w:pPr>
              <w:spacing w:after="0"/>
              <w:rPr>
                <w:sz w:val="2"/>
                <w:szCs w:val="2"/>
                <w:color w:val="auto"/>
              </w:rPr>
            </w:pPr>
          </w:p>
        </w:tc>
        <w:tc>
          <w:tcPr>
            <w:tcW w:w="7640" w:type="dxa"/>
            <w:vAlign w:val="bottom"/>
            <w:tcBorders>
              <w:right w:val="single" w:sz="8" w:color="39B6E9"/>
            </w:tcBorders>
            <w:vMerge w:val="continue"/>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Borders>
              <w:right w:val="single" w:sz="8" w:color="39B6E9"/>
            </w:tcBorders>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940" w:type="dxa"/>
            <w:vAlign w:val="bottom"/>
            <w:tcBorders>
              <w:left w:val="single" w:sz="8" w:color="39B6E9"/>
            </w:tcBorders>
          </w:tcPr>
          <w:p>
            <w:pPr>
              <w:spacing w:after="0"/>
              <w:rPr>
                <w:sz w:val="14"/>
                <w:szCs w:val="14"/>
                <w:color w:val="auto"/>
              </w:rPr>
            </w:pPr>
          </w:p>
        </w:tc>
        <w:tc>
          <w:tcPr>
            <w:tcW w:w="660" w:type="dxa"/>
            <w:vAlign w:val="bottom"/>
            <w:tcBorders>
              <w:right w:val="single" w:sz="8" w:color="39B6E9"/>
            </w:tcBorders>
          </w:tcPr>
          <w:p>
            <w:pPr>
              <w:spacing w:after="0"/>
              <w:rPr>
                <w:sz w:val="14"/>
                <w:szCs w:val="14"/>
                <w:color w:val="auto"/>
              </w:rPr>
            </w:pPr>
          </w:p>
        </w:tc>
        <w:tc>
          <w:tcPr>
            <w:tcW w:w="100" w:type="dxa"/>
            <w:vAlign w:val="bottom"/>
          </w:tcPr>
          <w:p>
            <w:pPr>
              <w:spacing w:after="0"/>
              <w:rPr>
                <w:sz w:val="14"/>
                <w:szCs w:val="14"/>
                <w:color w:val="auto"/>
              </w:rPr>
            </w:pPr>
          </w:p>
        </w:tc>
        <w:tc>
          <w:tcPr>
            <w:tcW w:w="7640" w:type="dxa"/>
            <w:vAlign w:val="bottom"/>
            <w:tcBorders>
              <w:right w:val="single" w:sz="8" w:color="39B6E9"/>
            </w:tcBorders>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tcBorders>
              <w:right w:val="single" w:sz="8" w:color="39B6E9"/>
            </w:tcBorders>
          </w:tcPr>
          <w:p>
            <w:pPr>
              <w:ind w:left="380"/>
              <w:spacing w:after="0"/>
              <w:rPr>
                <w:sz w:val="20"/>
                <w:szCs w:val="20"/>
                <w:color w:val="auto"/>
              </w:rPr>
            </w:pPr>
            <w:r>
              <w:rPr>
                <w:rFonts w:ascii="Arial" w:cs="Arial" w:eastAsia="Arial" w:hAnsi="Arial"/>
                <w:sz w:val="13"/>
                <w:szCs w:val="13"/>
                <w:color w:val="auto"/>
              </w:rPr>
              <w:t>for further information</w:t>
            </w:r>
          </w:p>
        </w:tc>
        <w:tc>
          <w:tcPr>
            <w:tcW w:w="0" w:type="dxa"/>
            <w:vAlign w:val="bottom"/>
          </w:tcPr>
          <w:p>
            <w:pPr>
              <w:spacing w:after="0"/>
              <w:rPr>
                <w:sz w:val="1"/>
                <w:szCs w:val="1"/>
                <w:color w:val="auto"/>
              </w:rPr>
            </w:pPr>
          </w:p>
        </w:tc>
      </w:tr>
      <w:tr>
        <w:trPr>
          <w:trHeight w:val="162"/>
        </w:trPr>
        <w:tc>
          <w:tcPr>
            <w:tcW w:w="940" w:type="dxa"/>
            <w:vAlign w:val="bottom"/>
            <w:tcBorders>
              <w:left w:val="single" w:sz="8" w:color="39B6E9"/>
            </w:tcBorders>
          </w:tcPr>
          <w:p>
            <w:pPr>
              <w:spacing w:after="0"/>
              <w:rPr>
                <w:sz w:val="14"/>
                <w:szCs w:val="14"/>
                <w:color w:val="auto"/>
              </w:rPr>
            </w:pPr>
          </w:p>
        </w:tc>
        <w:tc>
          <w:tcPr>
            <w:tcW w:w="660" w:type="dxa"/>
            <w:vAlign w:val="bottom"/>
            <w:tcBorders>
              <w:right w:val="single" w:sz="8" w:color="39B6E9"/>
            </w:tcBorders>
          </w:tcPr>
          <w:p>
            <w:pPr>
              <w:spacing w:after="0"/>
              <w:rPr>
                <w:sz w:val="14"/>
                <w:szCs w:val="14"/>
                <w:color w:val="auto"/>
              </w:rPr>
            </w:pPr>
          </w:p>
        </w:tc>
        <w:tc>
          <w:tcPr>
            <w:tcW w:w="100" w:type="dxa"/>
            <w:vAlign w:val="bottom"/>
          </w:tcPr>
          <w:p>
            <w:pPr>
              <w:spacing w:after="0"/>
              <w:rPr>
                <w:sz w:val="14"/>
                <w:szCs w:val="14"/>
                <w:color w:val="auto"/>
              </w:rPr>
            </w:pPr>
          </w:p>
        </w:tc>
        <w:tc>
          <w:tcPr>
            <w:tcW w:w="7640" w:type="dxa"/>
            <w:vAlign w:val="bottom"/>
            <w:tcBorders>
              <w:right w:val="single" w:sz="8" w:color="39B6E9"/>
            </w:tcBorders>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tcBorders>
              <w:right w:val="single" w:sz="8" w:color="39B6E9"/>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477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47725"/>
                    </a:xfrm>
                    <a:prstGeom prst="rect">
                      <a:avLst/>
                    </a:prstGeom>
                    <a:noFill/>
                  </pic:spPr>
                </pic:pic>
              </a:graphicData>
            </a:graphic>
          </wp:anchor>
        </w:drawing>
      </w:r>
    </w:p>
    <w:p>
      <w:pPr>
        <w:spacing w:after="0" w:line="1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105EAB"/>
        </w:rPr>
        <w:t xml:space="preserve">The Board recommends a vote </w:t>
      </w:r>
      <w:r>
        <w:rPr>
          <w:rFonts w:ascii="Arial" w:cs="Arial" w:eastAsia="Arial" w:hAnsi="Arial"/>
          <w:sz w:val="18"/>
          <w:szCs w:val="18"/>
          <w:b w:val="1"/>
          <w:bCs w:val="1"/>
          <w:color w:val="5CA34F"/>
        </w:rPr>
        <w:t>FOR</w:t>
      </w:r>
      <w:r>
        <w:rPr>
          <w:rFonts w:ascii="Arial" w:cs="Arial" w:eastAsia="Arial" w:hAnsi="Arial"/>
          <w:sz w:val="18"/>
          <w:szCs w:val="18"/>
          <w:b w:val="1"/>
          <w:bCs w:val="1"/>
          <w:color w:val="105EAB"/>
        </w:rPr>
        <w:t xml:space="preserve"> each nominee.</w:t>
      </w:r>
    </w:p>
    <w:p>
      <w:pPr>
        <w:spacing w:after="0" w:line="108" w:lineRule="exact"/>
        <w:rPr>
          <w:sz w:val="20"/>
          <w:szCs w:val="20"/>
          <w:color w:val="auto"/>
        </w:rPr>
      </w:pPr>
    </w:p>
    <w:p>
      <w:pPr>
        <w:ind w:left="400" w:hanging="266"/>
        <w:spacing w:after="0"/>
        <w:tabs>
          <w:tab w:leader="none" w:pos="400" w:val="left"/>
        </w:tabs>
        <w:numPr>
          <w:ilvl w:val="0"/>
          <w:numId w:val="12"/>
        </w:numPr>
        <w:rPr>
          <w:rFonts w:ascii="Arial" w:cs="Arial" w:eastAsia="Arial" w:hAnsi="Arial"/>
          <w:sz w:val="13"/>
          <w:szCs w:val="13"/>
          <w:color w:val="105EAB"/>
        </w:rPr>
      </w:pPr>
      <w:r>
        <w:rPr>
          <w:rFonts w:ascii="Arial" w:cs="Arial" w:eastAsia="Arial" w:hAnsi="Arial"/>
          <w:sz w:val="13"/>
          <w:szCs w:val="13"/>
          <w:color w:val="auto"/>
        </w:rPr>
        <w:t>Diverse slate of directors with broad leadership experience; three out of four committee chairs and the independent lead director bring gender or ethnic diversity.</w:t>
      </w:r>
    </w:p>
    <w:p>
      <w:pPr>
        <w:spacing w:after="0" w:line="66" w:lineRule="exact"/>
        <w:rPr>
          <w:rFonts w:ascii="Arial" w:cs="Arial" w:eastAsia="Arial" w:hAnsi="Arial"/>
          <w:sz w:val="13"/>
          <w:szCs w:val="13"/>
          <w:color w:val="105EAB"/>
        </w:rPr>
      </w:pPr>
    </w:p>
    <w:p>
      <w:pPr>
        <w:ind w:left="400" w:hanging="266"/>
        <w:spacing w:after="0"/>
        <w:tabs>
          <w:tab w:leader="none" w:pos="400" w:val="left"/>
        </w:tabs>
        <w:numPr>
          <w:ilvl w:val="0"/>
          <w:numId w:val="12"/>
        </w:numPr>
        <w:rPr>
          <w:rFonts w:ascii="Arial" w:cs="Arial" w:eastAsia="Arial" w:hAnsi="Arial"/>
          <w:sz w:val="13"/>
          <w:szCs w:val="13"/>
          <w:color w:val="105EAB"/>
        </w:rPr>
      </w:pPr>
      <w:r>
        <w:rPr>
          <w:rFonts w:ascii="Arial" w:cs="Arial" w:eastAsia="Arial" w:hAnsi="Arial"/>
          <w:sz w:val="13"/>
          <w:szCs w:val="13"/>
          <w:color w:val="auto"/>
        </w:rPr>
        <w:t>All candidates are highly successful executives with relevant skills and expertise.</w:t>
      </w:r>
    </w:p>
    <w:p>
      <w:pPr>
        <w:spacing w:after="0" w:line="79" w:lineRule="exact"/>
        <w:rPr>
          <w:rFonts w:ascii="Arial" w:cs="Arial" w:eastAsia="Arial" w:hAnsi="Arial"/>
          <w:sz w:val="13"/>
          <w:szCs w:val="13"/>
          <w:color w:val="105EAB"/>
        </w:rPr>
      </w:pPr>
    </w:p>
    <w:p>
      <w:pPr>
        <w:ind w:left="400" w:hanging="266"/>
        <w:spacing w:after="0"/>
        <w:tabs>
          <w:tab w:leader="none" w:pos="400" w:val="left"/>
        </w:tabs>
        <w:numPr>
          <w:ilvl w:val="0"/>
          <w:numId w:val="12"/>
        </w:numPr>
        <w:rPr>
          <w:rFonts w:ascii="Arial" w:cs="Arial" w:eastAsia="Arial" w:hAnsi="Arial"/>
          <w:sz w:val="13"/>
          <w:szCs w:val="13"/>
          <w:color w:val="105EAB"/>
        </w:rPr>
      </w:pPr>
      <w:r>
        <w:rPr>
          <w:rFonts w:ascii="Arial" w:cs="Arial" w:eastAsia="Arial" w:hAnsi="Arial"/>
          <w:sz w:val="13"/>
          <w:szCs w:val="13"/>
          <w:color w:val="auto"/>
        </w:rPr>
        <w:t>Average tenure of 6.5 years, with 9 of 10 directors independent of management.</w:t>
      </w:r>
    </w:p>
    <w:p>
      <w:pPr>
        <w:spacing w:after="0" w:line="66" w:lineRule="exact"/>
        <w:rPr>
          <w:rFonts w:ascii="Arial" w:cs="Arial" w:eastAsia="Arial" w:hAnsi="Arial"/>
          <w:sz w:val="13"/>
          <w:szCs w:val="13"/>
          <w:color w:val="105EAB"/>
        </w:rPr>
      </w:pPr>
    </w:p>
    <w:p>
      <w:pPr>
        <w:ind w:left="400" w:hanging="266"/>
        <w:spacing w:after="0"/>
        <w:tabs>
          <w:tab w:leader="none" w:pos="400" w:val="left"/>
        </w:tabs>
        <w:numPr>
          <w:ilvl w:val="0"/>
          <w:numId w:val="12"/>
        </w:numPr>
        <w:rPr>
          <w:rFonts w:ascii="Arial" w:cs="Arial" w:eastAsia="Arial" w:hAnsi="Arial"/>
          <w:sz w:val="13"/>
          <w:szCs w:val="13"/>
          <w:color w:val="105EAB"/>
        </w:rPr>
      </w:pPr>
      <w:r>
        <w:rPr>
          <w:rFonts w:ascii="Arial" w:cs="Arial" w:eastAsia="Arial" w:hAnsi="Arial"/>
          <w:sz w:val="13"/>
          <w:szCs w:val="13"/>
          <w:color w:val="auto"/>
        </w:rPr>
        <w:t>Industry-leading stockholder engagement program and strong corporate governance practices that receive high corporate governance ratings.</w:t>
      </w:r>
    </w:p>
    <w:p>
      <w:pPr>
        <w:spacing w:after="0" w:line="306" w:lineRule="exact"/>
        <w:rPr>
          <w:sz w:val="20"/>
          <w:szCs w:val="20"/>
          <w:color w:val="auto"/>
        </w:rPr>
      </w:pPr>
    </w:p>
    <w:p>
      <w:pPr>
        <w:spacing w:after="0"/>
        <w:rPr>
          <w:sz w:val="20"/>
          <w:szCs w:val="20"/>
          <w:color w:val="auto"/>
        </w:rPr>
      </w:pPr>
      <w:r>
        <w:rPr>
          <w:rFonts w:ascii="Arial" w:cs="Arial" w:eastAsia="Arial" w:hAnsi="Arial"/>
          <w:sz w:val="25"/>
          <w:szCs w:val="25"/>
          <w:b w:val="1"/>
          <w:bCs w:val="1"/>
          <w:color w:val="105EAB"/>
        </w:rPr>
        <w:t>The Director Nominees at a Glance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2466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248285</wp:posOffset>
            </wp:positionV>
            <wp:extent cx="522605" cy="5226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22605" cy="522605"/>
                    </a:xfrm>
                    <a:prstGeom prst="rect">
                      <a:avLst/>
                    </a:prstGeom>
                    <a:noFill/>
                  </pic:spPr>
                </pic:pic>
              </a:graphicData>
            </a:graphic>
          </wp:anchor>
        </w:drawing>
        <w:drawing>
          <wp:anchor simplePos="0" relativeHeight="251657728" behindDoc="1" locked="0" layoutInCell="0" allowOverlap="1">
            <wp:simplePos x="0" y="0"/>
            <wp:positionH relativeFrom="column">
              <wp:posOffset>1906905</wp:posOffset>
            </wp:positionH>
            <wp:positionV relativeFrom="paragraph">
              <wp:posOffset>264795</wp:posOffset>
            </wp:positionV>
            <wp:extent cx="505460" cy="5054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05460" cy="505460"/>
                    </a:xfrm>
                    <a:prstGeom prst="rect">
                      <a:avLst/>
                    </a:prstGeom>
                    <a:noFill/>
                  </pic:spPr>
                </pic:pic>
              </a:graphicData>
            </a:graphic>
          </wp:anchor>
        </w:drawing>
        <w:drawing>
          <wp:anchor simplePos="0" relativeHeight="251657728" behindDoc="1" locked="0" layoutInCell="0" allowOverlap="1">
            <wp:simplePos x="0" y="0"/>
            <wp:positionH relativeFrom="column">
              <wp:posOffset>3354070</wp:posOffset>
            </wp:positionH>
            <wp:positionV relativeFrom="paragraph">
              <wp:posOffset>248285</wp:posOffset>
            </wp:positionV>
            <wp:extent cx="530860" cy="5226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30860" cy="522605"/>
                    </a:xfrm>
                    <a:prstGeom prst="rect">
                      <a:avLst/>
                    </a:prstGeom>
                    <a:noFill/>
                  </pic:spPr>
                </pic:pic>
              </a:graphicData>
            </a:graphic>
          </wp:anchor>
        </w:drawing>
        <w:drawing>
          <wp:anchor simplePos="0" relativeHeight="251657728" behindDoc="1" locked="0" layoutInCell="0" allowOverlap="1">
            <wp:simplePos x="0" y="0"/>
            <wp:positionH relativeFrom="column">
              <wp:posOffset>4819015</wp:posOffset>
            </wp:positionH>
            <wp:positionV relativeFrom="paragraph">
              <wp:posOffset>239395</wp:posOffset>
            </wp:positionV>
            <wp:extent cx="522605" cy="5308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22605" cy="530860"/>
                    </a:xfrm>
                    <a:prstGeom prst="rect">
                      <a:avLst/>
                    </a:prstGeom>
                    <a:noFill/>
                  </pic:spPr>
                </pic:pic>
              </a:graphicData>
            </a:graphic>
          </wp:anchor>
        </w:drawing>
        <w:drawing>
          <wp:anchor simplePos="0" relativeHeight="251657728" behindDoc="1" locked="0" layoutInCell="0" allowOverlap="1">
            <wp:simplePos x="0" y="0"/>
            <wp:positionH relativeFrom="column">
              <wp:posOffset>6292215</wp:posOffset>
            </wp:positionH>
            <wp:positionV relativeFrom="paragraph">
              <wp:posOffset>239395</wp:posOffset>
            </wp:positionV>
            <wp:extent cx="522605" cy="5308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22605" cy="53086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3"/>
          <w:szCs w:val="13"/>
          <w:b w:val="1"/>
          <w:bCs w:val="1"/>
          <w:color w:val="959595"/>
        </w:rPr>
        <w:t>KERMIT R. CRAWFORD</w:t>
      </w:r>
    </w:p>
    <w:p>
      <w:pPr>
        <w:spacing w:after="0" w:line="122" w:lineRule="exact"/>
        <w:rPr>
          <w:sz w:val="20"/>
          <w:szCs w:val="20"/>
          <w:color w:val="auto"/>
        </w:rPr>
      </w:pPr>
    </w:p>
    <w:p>
      <w:pPr>
        <w:spacing w:after="0"/>
        <w:rPr>
          <w:sz w:val="20"/>
          <w:szCs w:val="20"/>
          <w:color w:val="auto"/>
        </w:rPr>
      </w:pPr>
      <w:r>
        <w:rPr>
          <w:rFonts w:ascii="Arial" w:cs="Arial" w:eastAsia="Arial" w:hAnsi="Arial"/>
          <w:sz w:val="13"/>
          <w:szCs w:val="13"/>
          <w:color w:val="105EAB"/>
        </w:rPr>
        <w:t>Former President and Chief</w:t>
      </w:r>
    </w:p>
    <w:p>
      <w:pPr>
        <w:spacing w:after="0" w:line="238" w:lineRule="auto"/>
        <w:rPr>
          <w:sz w:val="20"/>
          <w:szCs w:val="20"/>
          <w:color w:val="auto"/>
        </w:rPr>
      </w:pPr>
      <w:r>
        <w:rPr>
          <w:rFonts w:ascii="Arial" w:cs="Arial" w:eastAsia="Arial" w:hAnsi="Arial"/>
          <w:sz w:val="13"/>
          <w:szCs w:val="13"/>
          <w:color w:val="105EAB"/>
        </w:rPr>
        <w:t>Operating Officer of Rite Aid</w:t>
      </w:r>
    </w:p>
    <w:p>
      <w:pPr>
        <w:spacing w:after="0"/>
        <w:rPr>
          <w:sz w:val="20"/>
          <w:szCs w:val="20"/>
          <w:color w:val="auto"/>
        </w:rPr>
      </w:pPr>
      <w:r>
        <w:rPr>
          <w:rFonts w:ascii="Arial" w:cs="Arial" w:eastAsia="Arial" w:hAnsi="Arial"/>
          <w:sz w:val="13"/>
          <w:szCs w:val="13"/>
          <w:color w:val="105EAB"/>
        </w:rPr>
        <w:t>Corporation</w:t>
      </w:r>
    </w:p>
    <w:p>
      <w:pPr>
        <w:spacing w:after="0" w:line="91" w:lineRule="exact"/>
        <w:rPr>
          <w:sz w:val="20"/>
          <w:szCs w:val="20"/>
          <w:color w:val="auto"/>
        </w:rPr>
      </w:pPr>
    </w:p>
    <w:p>
      <w:pPr>
        <w:spacing w:after="0"/>
        <w:rPr>
          <w:sz w:val="20"/>
          <w:szCs w:val="20"/>
          <w:color w:val="auto"/>
        </w:rPr>
      </w:pPr>
      <w:r>
        <w:rPr>
          <w:rFonts w:ascii="Arial" w:cs="Arial" w:eastAsia="Arial" w:hAnsi="Arial"/>
          <w:sz w:val="13"/>
          <w:szCs w:val="13"/>
          <w:b w:val="1"/>
          <w:bCs w:val="1"/>
          <w:color w:val="39B6E9"/>
        </w:rPr>
        <w:t>Audit Committee Chair</w:t>
      </w:r>
    </w:p>
    <w:p>
      <w:pPr>
        <w:spacing w:after="0" w:line="123" w:lineRule="exact"/>
        <w:rPr>
          <w:sz w:val="20"/>
          <w:szCs w:val="20"/>
          <w:color w:val="auto"/>
        </w:rPr>
      </w:pPr>
    </w:p>
    <w:p>
      <w:pPr>
        <w:spacing w:after="0" w:line="244" w:lineRule="auto"/>
        <w:rPr>
          <w:sz w:val="20"/>
          <w:szCs w:val="20"/>
          <w:color w:val="auto"/>
        </w:rPr>
      </w:pPr>
      <w:r>
        <w:rPr>
          <w:rFonts w:ascii="Arial" w:cs="Arial" w:eastAsia="Arial" w:hAnsi="Arial"/>
          <w:sz w:val="13"/>
          <w:szCs w:val="13"/>
          <w:color w:val="auto"/>
        </w:rPr>
        <w:t>Managed the strategy, performance and operational change of a highly competitive, consumer-focused service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342265</wp:posOffset>
            </wp:positionV>
            <wp:extent cx="530860" cy="5226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30860"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3"/>
          <w:szCs w:val="13"/>
          <w:b w:val="1"/>
          <w:bCs w:val="1"/>
          <w:color w:val="959595"/>
        </w:rPr>
        <w:t>ANDREA REDMOND</w:t>
      </w:r>
    </w:p>
    <w:p>
      <w:pPr>
        <w:spacing w:after="0" w:line="123" w:lineRule="exact"/>
        <w:rPr>
          <w:sz w:val="20"/>
          <w:szCs w:val="20"/>
          <w:color w:val="auto"/>
        </w:rPr>
      </w:pPr>
    </w:p>
    <w:p>
      <w:pPr>
        <w:ind w:right="140"/>
        <w:spacing w:after="0" w:line="258" w:lineRule="auto"/>
        <w:rPr>
          <w:sz w:val="20"/>
          <w:szCs w:val="20"/>
          <w:color w:val="auto"/>
        </w:rPr>
      </w:pPr>
      <w:r>
        <w:rPr>
          <w:rFonts w:ascii="Arial" w:cs="Arial" w:eastAsia="Arial" w:hAnsi="Arial"/>
          <w:sz w:val="13"/>
          <w:szCs w:val="13"/>
          <w:color w:val="105EAB"/>
        </w:rPr>
        <w:t>Former Managing Director of Russell Reynolds Associates Inc.</w:t>
      </w:r>
    </w:p>
    <w:p>
      <w:pPr>
        <w:spacing w:after="0" w:line="67" w:lineRule="exact"/>
        <w:rPr>
          <w:sz w:val="20"/>
          <w:szCs w:val="20"/>
          <w:color w:val="auto"/>
        </w:rPr>
      </w:pPr>
    </w:p>
    <w:p>
      <w:pPr>
        <w:ind w:right="300"/>
        <w:spacing w:after="0" w:line="284" w:lineRule="auto"/>
        <w:rPr>
          <w:sz w:val="20"/>
          <w:szCs w:val="20"/>
          <w:color w:val="auto"/>
        </w:rPr>
      </w:pPr>
      <w:r>
        <w:rPr>
          <w:rFonts w:ascii="Arial" w:cs="Arial" w:eastAsia="Arial" w:hAnsi="Arial"/>
          <w:sz w:val="13"/>
          <w:szCs w:val="13"/>
          <w:b w:val="1"/>
          <w:bCs w:val="1"/>
          <w:color w:val="39B6E9"/>
        </w:rPr>
        <w:t>Nominating and Governance Committee Chair</w:t>
      </w:r>
    </w:p>
    <w:p>
      <w:pPr>
        <w:spacing w:after="0" w:line="67" w:lineRule="exact"/>
        <w:rPr>
          <w:sz w:val="20"/>
          <w:szCs w:val="20"/>
          <w:color w:val="auto"/>
        </w:rPr>
      </w:pPr>
    </w:p>
    <w:p>
      <w:pPr>
        <w:spacing w:after="0" w:line="242" w:lineRule="auto"/>
        <w:rPr>
          <w:sz w:val="20"/>
          <w:szCs w:val="20"/>
          <w:color w:val="auto"/>
        </w:rPr>
      </w:pPr>
      <w:r>
        <w:rPr>
          <w:rFonts w:ascii="Arial" w:cs="Arial" w:eastAsia="Arial" w:hAnsi="Arial"/>
          <w:sz w:val="13"/>
          <w:szCs w:val="13"/>
          <w:color w:val="auto"/>
        </w:rPr>
        <w:t>Expertise in public company succession planning, human capital management, and executive compensation across a wide range of industries, including financial services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3"/>
          <w:szCs w:val="13"/>
          <w:b w:val="1"/>
          <w:bCs w:val="1"/>
          <w:color w:val="959595"/>
        </w:rPr>
        <w:t>MICHAEL L. ESKEW</w:t>
      </w:r>
    </w:p>
    <w:p>
      <w:pPr>
        <w:spacing w:after="0" w:line="123" w:lineRule="exact"/>
        <w:rPr>
          <w:sz w:val="20"/>
          <w:szCs w:val="20"/>
          <w:color w:val="auto"/>
        </w:rPr>
      </w:pPr>
    </w:p>
    <w:p>
      <w:pPr>
        <w:ind w:right="300"/>
        <w:spacing w:after="0" w:line="258" w:lineRule="auto"/>
        <w:rPr>
          <w:sz w:val="20"/>
          <w:szCs w:val="20"/>
          <w:color w:val="auto"/>
        </w:rPr>
      </w:pPr>
      <w:r>
        <w:rPr>
          <w:rFonts w:ascii="Arial" w:cs="Arial" w:eastAsia="Arial" w:hAnsi="Arial"/>
          <w:sz w:val="13"/>
          <w:szCs w:val="13"/>
          <w:color w:val="105EAB"/>
        </w:rPr>
        <w:t>Former Chairman and CEO of United Parcel Service, Inc.</w:t>
      </w:r>
    </w:p>
    <w:p>
      <w:pPr>
        <w:spacing w:after="0" w:line="67" w:lineRule="exact"/>
        <w:rPr>
          <w:sz w:val="20"/>
          <w:szCs w:val="20"/>
          <w:color w:val="auto"/>
        </w:rPr>
      </w:pPr>
    </w:p>
    <w:p>
      <w:pPr>
        <w:ind w:right="100"/>
        <w:spacing w:after="0" w:line="284" w:lineRule="auto"/>
        <w:rPr>
          <w:sz w:val="20"/>
          <w:szCs w:val="20"/>
          <w:color w:val="auto"/>
        </w:rPr>
      </w:pPr>
      <w:r>
        <w:rPr>
          <w:rFonts w:ascii="Arial" w:cs="Arial" w:eastAsia="Arial" w:hAnsi="Arial"/>
          <w:sz w:val="13"/>
          <w:szCs w:val="13"/>
          <w:b w:val="1"/>
          <w:bCs w:val="1"/>
          <w:color w:val="39B6E9"/>
        </w:rPr>
        <w:t>Compensation and Succession Committee Chair</w:t>
      </w:r>
    </w:p>
    <w:p>
      <w:pPr>
        <w:spacing w:after="0" w:line="67" w:lineRule="exact"/>
        <w:rPr>
          <w:sz w:val="20"/>
          <w:szCs w:val="20"/>
          <w:color w:val="auto"/>
        </w:rPr>
      </w:pPr>
    </w:p>
    <w:p>
      <w:pPr>
        <w:spacing w:after="0" w:line="243" w:lineRule="auto"/>
        <w:rPr>
          <w:sz w:val="20"/>
          <w:szCs w:val="20"/>
          <w:color w:val="auto"/>
        </w:rPr>
      </w:pPr>
      <w:r>
        <w:rPr>
          <w:rFonts w:ascii="Arial" w:cs="Arial" w:eastAsia="Arial" w:hAnsi="Arial"/>
          <w:sz w:val="13"/>
          <w:szCs w:val="13"/>
          <w:color w:val="auto"/>
        </w:rPr>
        <w:t>Guided the successful transformation of a global company through the use of digital technologies to more effectively deliver a customer-focused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437515</wp:posOffset>
            </wp:positionH>
            <wp:positionV relativeFrom="paragraph">
              <wp:posOffset>239395</wp:posOffset>
            </wp:positionV>
            <wp:extent cx="522605" cy="5308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22605" cy="530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3"/>
          <w:szCs w:val="13"/>
          <w:b w:val="1"/>
          <w:bCs w:val="1"/>
          <w:color w:val="959595"/>
        </w:rPr>
        <w:t>GREGG M. SHERRILL</w:t>
      </w:r>
    </w:p>
    <w:p>
      <w:pPr>
        <w:spacing w:after="0" w:line="123" w:lineRule="exact"/>
        <w:rPr>
          <w:sz w:val="20"/>
          <w:szCs w:val="20"/>
          <w:color w:val="auto"/>
        </w:rPr>
      </w:pPr>
    </w:p>
    <w:p>
      <w:pPr>
        <w:ind w:right="180"/>
        <w:spacing w:after="0" w:line="258" w:lineRule="auto"/>
        <w:rPr>
          <w:sz w:val="20"/>
          <w:szCs w:val="20"/>
          <w:color w:val="auto"/>
        </w:rPr>
      </w:pPr>
      <w:r>
        <w:rPr>
          <w:rFonts w:ascii="Arial" w:cs="Arial" w:eastAsia="Arial" w:hAnsi="Arial"/>
          <w:sz w:val="13"/>
          <w:szCs w:val="13"/>
          <w:color w:val="105EAB"/>
        </w:rPr>
        <w:t>Non-Executive Chair and former Chair and CEO of Tenneco Inc.</w:t>
      </w:r>
    </w:p>
    <w:p>
      <w:pPr>
        <w:spacing w:after="0" w:line="200" w:lineRule="exact"/>
        <w:rPr>
          <w:sz w:val="20"/>
          <w:szCs w:val="20"/>
          <w:color w:val="auto"/>
        </w:rPr>
      </w:pPr>
    </w:p>
    <w:p>
      <w:pPr>
        <w:spacing w:after="0" w:line="288" w:lineRule="exact"/>
        <w:rPr>
          <w:sz w:val="20"/>
          <w:szCs w:val="20"/>
          <w:color w:val="auto"/>
        </w:rPr>
      </w:pPr>
    </w:p>
    <w:p>
      <w:pPr>
        <w:ind w:right="80"/>
        <w:spacing w:after="0" w:line="242" w:lineRule="auto"/>
        <w:rPr>
          <w:sz w:val="20"/>
          <w:szCs w:val="20"/>
          <w:color w:val="auto"/>
        </w:rPr>
      </w:pPr>
      <w:r>
        <w:rPr>
          <w:rFonts w:ascii="Arial" w:cs="Arial" w:eastAsia="Arial" w:hAnsi="Arial"/>
          <w:sz w:val="13"/>
          <w:szCs w:val="13"/>
          <w:color w:val="auto"/>
        </w:rPr>
        <w:t>Broad operational and strategic leadership experience in the automotive industry, with valuable insights into anticipated transformation of the personal transportation system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3"/>
          <w:szCs w:val="13"/>
          <w:b w:val="1"/>
          <w:bCs w:val="1"/>
          <w:color w:val="959595"/>
        </w:rPr>
        <w:t>MARGARET M. KEANE</w:t>
      </w:r>
    </w:p>
    <w:p>
      <w:pPr>
        <w:spacing w:after="0" w:line="123" w:lineRule="exact"/>
        <w:rPr>
          <w:sz w:val="20"/>
          <w:szCs w:val="20"/>
          <w:color w:val="auto"/>
        </w:rPr>
      </w:pPr>
    </w:p>
    <w:p>
      <w:pPr>
        <w:ind w:right="180"/>
        <w:spacing w:after="0" w:line="258" w:lineRule="auto"/>
        <w:rPr>
          <w:sz w:val="20"/>
          <w:szCs w:val="20"/>
          <w:color w:val="auto"/>
        </w:rPr>
      </w:pPr>
      <w:r>
        <w:rPr>
          <w:rFonts w:ascii="Arial" w:cs="Arial" w:eastAsia="Arial" w:hAnsi="Arial"/>
          <w:sz w:val="13"/>
          <w:szCs w:val="13"/>
          <w:color w:val="105EAB"/>
        </w:rPr>
        <w:t>President and CEO of Synchrony Financial</w:t>
      </w:r>
    </w:p>
    <w:p>
      <w:pPr>
        <w:spacing w:after="0" w:line="200" w:lineRule="exact"/>
        <w:rPr>
          <w:sz w:val="20"/>
          <w:szCs w:val="20"/>
          <w:color w:val="auto"/>
        </w:rPr>
      </w:pPr>
    </w:p>
    <w:p>
      <w:pPr>
        <w:spacing w:after="0" w:line="288" w:lineRule="exact"/>
        <w:rPr>
          <w:sz w:val="20"/>
          <w:szCs w:val="20"/>
          <w:color w:val="auto"/>
        </w:rPr>
      </w:pPr>
    </w:p>
    <w:p>
      <w:pPr>
        <w:ind w:right="40"/>
        <w:spacing w:after="0" w:line="244" w:lineRule="auto"/>
        <w:rPr>
          <w:sz w:val="20"/>
          <w:szCs w:val="20"/>
          <w:color w:val="auto"/>
        </w:rPr>
      </w:pPr>
      <w:r>
        <w:rPr>
          <w:rFonts w:ascii="Arial" w:cs="Arial" w:eastAsia="Arial" w:hAnsi="Arial"/>
          <w:sz w:val="13"/>
          <w:szCs w:val="13"/>
          <w:color w:val="auto"/>
        </w:rPr>
        <w:t>Directs the operations and strategy of a financial services business, expanding its focus on e-commerce and mobile capabilities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334010</wp:posOffset>
            </wp:positionV>
            <wp:extent cx="522605" cy="5308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22605" cy="530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3"/>
          <w:szCs w:val="13"/>
          <w:b w:val="1"/>
          <w:bCs w:val="1"/>
          <w:color w:val="959595"/>
        </w:rPr>
        <w:t>JUDITH A. SPRIESER</w:t>
      </w:r>
    </w:p>
    <w:p>
      <w:pPr>
        <w:spacing w:after="0" w:line="123" w:lineRule="exact"/>
        <w:rPr>
          <w:sz w:val="20"/>
          <w:szCs w:val="20"/>
          <w:color w:val="auto"/>
        </w:rPr>
      </w:pPr>
    </w:p>
    <w:p>
      <w:pPr>
        <w:ind w:right="160"/>
        <w:spacing w:after="0" w:line="248" w:lineRule="auto"/>
        <w:rPr>
          <w:sz w:val="20"/>
          <w:szCs w:val="20"/>
          <w:color w:val="auto"/>
        </w:rPr>
      </w:pPr>
      <w:r>
        <w:rPr>
          <w:rFonts w:ascii="Arial" w:cs="Arial" w:eastAsia="Arial" w:hAnsi="Arial"/>
          <w:sz w:val="13"/>
          <w:szCs w:val="13"/>
          <w:color w:val="105EAB"/>
        </w:rPr>
        <w:t>Former CEO of Transora Inc. and senior executive at Sara Lee Corporation</w:t>
      </w:r>
    </w:p>
    <w:p>
      <w:pPr>
        <w:spacing w:after="0" w:line="74" w:lineRule="exact"/>
        <w:rPr>
          <w:sz w:val="20"/>
          <w:szCs w:val="20"/>
          <w:color w:val="auto"/>
        </w:rPr>
      </w:pPr>
    </w:p>
    <w:p>
      <w:pPr>
        <w:spacing w:after="0"/>
        <w:rPr>
          <w:sz w:val="20"/>
          <w:szCs w:val="20"/>
          <w:color w:val="auto"/>
        </w:rPr>
      </w:pPr>
      <w:r>
        <w:rPr>
          <w:rFonts w:ascii="Arial" w:cs="Arial" w:eastAsia="Arial" w:hAnsi="Arial"/>
          <w:sz w:val="13"/>
          <w:szCs w:val="13"/>
          <w:b w:val="1"/>
          <w:bCs w:val="1"/>
          <w:color w:val="39B6E9"/>
        </w:rPr>
        <w:t>Lead Independent Director</w:t>
      </w:r>
    </w:p>
    <w:p>
      <w:pPr>
        <w:spacing w:after="0" w:line="123" w:lineRule="exact"/>
        <w:rPr>
          <w:sz w:val="20"/>
          <w:szCs w:val="20"/>
          <w:color w:val="auto"/>
        </w:rPr>
      </w:pPr>
    </w:p>
    <w:p>
      <w:pPr>
        <w:spacing w:after="0" w:line="242" w:lineRule="auto"/>
        <w:rPr>
          <w:sz w:val="20"/>
          <w:szCs w:val="20"/>
          <w:color w:val="auto"/>
        </w:rPr>
      </w:pPr>
      <w:r>
        <w:rPr>
          <w:rFonts w:ascii="Arial" w:cs="Arial" w:eastAsia="Arial" w:hAnsi="Arial"/>
          <w:sz w:val="13"/>
          <w:szCs w:val="13"/>
          <w:color w:val="auto"/>
        </w:rPr>
        <w:t>Wide-ranging operational and leadership experience at technology services and consumer goods companies and significant experience serving on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-2917190</wp:posOffset>
            </wp:positionH>
            <wp:positionV relativeFrom="paragraph">
              <wp:posOffset>357505</wp:posOffset>
            </wp:positionV>
            <wp:extent cx="7268210"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3"/>
          <w:szCs w:val="13"/>
          <w:b w:val="1"/>
          <w:bCs w:val="1"/>
          <w:color w:val="959595"/>
        </w:rPr>
        <w:t>SIDDHARTH N. MEHTA</w:t>
      </w:r>
    </w:p>
    <w:p>
      <w:pPr>
        <w:spacing w:after="0" w:line="123" w:lineRule="exact"/>
        <w:rPr>
          <w:sz w:val="20"/>
          <w:szCs w:val="20"/>
          <w:color w:val="auto"/>
        </w:rPr>
      </w:pPr>
    </w:p>
    <w:p>
      <w:pPr>
        <w:ind w:right="380"/>
        <w:spacing w:after="0" w:line="258" w:lineRule="auto"/>
        <w:rPr>
          <w:sz w:val="20"/>
          <w:szCs w:val="20"/>
          <w:color w:val="auto"/>
        </w:rPr>
      </w:pPr>
      <w:r>
        <w:rPr>
          <w:rFonts w:ascii="Arial" w:cs="Arial" w:eastAsia="Arial" w:hAnsi="Arial"/>
          <w:sz w:val="13"/>
          <w:szCs w:val="13"/>
          <w:color w:val="105EAB"/>
        </w:rPr>
        <w:t>Former President and CEO of TransUnion</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39B6E9"/>
        </w:rPr>
        <w:t>Risk and Return Committee Chair</w:t>
      </w:r>
    </w:p>
    <w:p>
      <w:pPr>
        <w:spacing w:after="0" w:line="271" w:lineRule="exact"/>
        <w:rPr>
          <w:sz w:val="20"/>
          <w:szCs w:val="20"/>
          <w:color w:val="auto"/>
        </w:rPr>
      </w:pPr>
    </w:p>
    <w:p>
      <w:pPr>
        <w:ind w:right="60"/>
        <w:spacing w:after="0" w:line="242" w:lineRule="auto"/>
        <w:rPr>
          <w:sz w:val="20"/>
          <w:szCs w:val="20"/>
          <w:color w:val="auto"/>
        </w:rPr>
      </w:pPr>
      <w:r>
        <w:rPr>
          <w:rFonts w:ascii="Arial" w:cs="Arial" w:eastAsia="Arial" w:hAnsi="Arial"/>
          <w:sz w:val="13"/>
          <w:szCs w:val="13"/>
          <w:color w:val="auto"/>
        </w:rPr>
        <w:t>Extensive operational and strategic leadership experience in the financial services industry, and expanded global reach through the use of technology and advanced analytics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145415</wp:posOffset>
            </wp:positionV>
            <wp:extent cx="539750" cy="5308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39750" cy="530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3"/>
          <w:szCs w:val="13"/>
          <w:b w:val="1"/>
          <w:bCs w:val="1"/>
          <w:color w:val="959595"/>
        </w:rPr>
        <w:t>PERRY M. TRAQUINA</w:t>
      </w:r>
    </w:p>
    <w:p>
      <w:pPr>
        <w:spacing w:after="0" w:line="123" w:lineRule="exact"/>
        <w:rPr>
          <w:sz w:val="20"/>
          <w:szCs w:val="20"/>
          <w:color w:val="auto"/>
        </w:rPr>
      </w:pPr>
    </w:p>
    <w:p>
      <w:pPr>
        <w:ind w:right="280"/>
        <w:spacing w:after="0" w:line="248" w:lineRule="auto"/>
        <w:rPr>
          <w:sz w:val="20"/>
          <w:szCs w:val="20"/>
          <w:color w:val="auto"/>
        </w:rPr>
      </w:pPr>
      <w:r>
        <w:rPr>
          <w:rFonts w:ascii="Arial" w:cs="Arial" w:eastAsia="Arial" w:hAnsi="Arial"/>
          <w:sz w:val="13"/>
          <w:szCs w:val="13"/>
          <w:color w:val="105EAB"/>
        </w:rPr>
        <w:t>Former Chairman, CEO, and Managing Partner of Wellington Management Company LLP</w:t>
      </w:r>
    </w:p>
    <w:p>
      <w:pPr>
        <w:spacing w:after="0" w:line="346" w:lineRule="exact"/>
        <w:rPr>
          <w:sz w:val="20"/>
          <w:szCs w:val="20"/>
          <w:color w:val="auto"/>
        </w:rPr>
      </w:pPr>
    </w:p>
    <w:p>
      <w:pPr>
        <w:ind w:right="100"/>
        <w:spacing w:after="0" w:line="243" w:lineRule="auto"/>
        <w:rPr>
          <w:sz w:val="20"/>
          <w:szCs w:val="20"/>
          <w:color w:val="auto"/>
        </w:rPr>
      </w:pPr>
      <w:r>
        <w:rPr>
          <w:rFonts w:ascii="Arial" w:cs="Arial" w:eastAsia="Arial" w:hAnsi="Arial"/>
          <w:sz w:val="13"/>
          <w:szCs w:val="13"/>
          <w:color w:val="auto"/>
        </w:rPr>
        <w:t>Strong financial services and investment management expertise as leader of one of the world’s largest global investment management firms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3"/>
          <w:szCs w:val="13"/>
          <w:b w:val="1"/>
          <w:bCs w:val="1"/>
          <w:color w:val="959595"/>
        </w:rPr>
        <w:t>JACQUES P. PEROLD</w:t>
      </w:r>
    </w:p>
    <w:p>
      <w:pPr>
        <w:spacing w:after="0" w:line="123" w:lineRule="exact"/>
        <w:rPr>
          <w:sz w:val="20"/>
          <w:szCs w:val="20"/>
          <w:color w:val="auto"/>
        </w:rPr>
      </w:pPr>
    </w:p>
    <w:p>
      <w:pPr>
        <w:ind w:right="60"/>
        <w:spacing w:after="0" w:line="258" w:lineRule="auto"/>
        <w:rPr>
          <w:sz w:val="20"/>
          <w:szCs w:val="20"/>
          <w:color w:val="auto"/>
        </w:rPr>
      </w:pPr>
      <w:r>
        <w:rPr>
          <w:rFonts w:ascii="Arial" w:cs="Arial" w:eastAsia="Arial" w:hAnsi="Arial"/>
          <w:sz w:val="13"/>
          <w:szCs w:val="13"/>
          <w:color w:val="105EAB"/>
        </w:rPr>
        <w:t>Former President of Fidelity Management &amp; Research Company</w:t>
      </w:r>
    </w:p>
    <w:p>
      <w:pPr>
        <w:spacing w:after="0" w:line="200" w:lineRule="exact"/>
        <w:rPr>
          <w:sz w:val="20"/>
          <w:szCs w:val="20"/>
          <w:color w:val="auto"/>
        </w:rPr>
      </w:pPr>
    </w:p>
    <w:p>
      <w:pPr>
        <w:spacing w:after="0" w:line="288" w:lineRule="exact"/>
        <w:rPr>
          <w:sz w:val="20"/>
          <w:szCs w:val="20"/>
          <w:color w:val="auto"/>
        </w:rPr>
      </w:pPr>
    </w:p>
    <w:p>
      <w:pPr>
        <w:ind w:right="20"/>
        <w:spacing w:after="0" w:line="243" w:lineRule="auto"/>
        <w:rPr>
          <w:sz w:val="20"/>
          <w:szCs w:val="20"/>
          <w:color w:val="auto"/>
        </w:rPr>
      </w:pPr>
      <w:r>
        <w:rPr>
          <w:rFonts w:ascii="Arial" w:cs="Arial" w:eastAsia="Arial" w:hAnsi="Arial"/>
          <w:sz w:val="13"/>
          <w:szCs w:val="13"/>
          <w:color w:val="auto"/>
        </w:rPr>
        <w:t>Led the strategy and operations of one of the world’s largest asset management firms in addition to overseeing the firm’s investments for its family of mutual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247650</wp:posOffset>
            </wp:positionV>
            <wp:extent cx="530860" cy="5226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30860"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3"/>
          <w:szCs w:val="13"/>
          <w:b w:val="1"/>
          <w:bCs w:val="1"/>
          <w:color w:val="959595"/>
        </w:rPr>
        <w:t>THOMAS J. WILSON</w:t>
      </w:r>
    </w:p>
    <w:p>
      <w:pPr>
        <w:spacing w:after="0" w:line="123" w:lineRule="exact"/>
        <w:rPr>
          <w:sz w:val="20"/>
          <w:szCs w:val="20"/>
          <w:color w:val="auto"/>
        </w:rPr>
      </w:pPr>
    </w:p>
    <w:p>
      <w:pPr>
        <w:ind w:right="200"/>
        <w:spacing w:after="0" w:line="258" w:lineRule="auto"/>
        <w:rPr>
          <w:sz w:val="20"/>
          <w:szCs w:val="20"/>
          <w:color w:val="auto"/>
        </w:rPr>
      </w:pPr>
      <w:r>
        <w:rPr>
          <w:rFonts w:ascii="Arial" w:cs="Arial" w:eastAsia="Arial" w:hAnsi="Arial"/>
          <w:sz w:val="13"/>
          <w:szCs w:val="13"/>
          <w:color w:val="105EAB"/>
        </w:rPr>
        <w:t>Chair, President, and CEO of The Allstate Corporation</w:t>
      </w:r>
    </w:p>
    <w:p>
      <w:pPr>
        <w:spacing w:after="0" w:line="200" w:lineRule="exact"/>
        <w:rPr>
          <w:sz w:val="20"/>
          <w:szCs w:val="20"/>
          <w:color w:val="auto"/>
        </w:rPr>
      </w:pPr>
    </w:p>
    <w:p>
      <w:pPr>
        <w:spacing w:after="0" w:line="288" w:lineRule="exact"/>
        <w:rPr>
          <w:sz w:val="20"/>
          <w:szCs w:val="20"/>
          <w:color w:val="auto"/>
        </w:rPr>
      </w:pPr>
    </w:p>
    <w:p>
      <w:pPr>
        <w:ind w:right="60"/>
        <w:spacing w:after="0" w:line="243" w:lineRule="auto"/>
        <w:rPr>
          <w:sz w:val="20"/>
          <w:szCs w:val="20"/>
          <w:color w:val="auto"/>
        </w:rPr>
      </w:pPr>
      <w:r>
        <w:rPr>
          <w:rFonts w:ascii="Arial" w:cs="Arial" w:eastAsia="Arial" w:hAnsi="Arial"/>
          <w:sz w:val="13"/>
          <w:szCs w:val="13"/>
          <w:color w:val="auto"/>
        </w:rPr>
        <w:t>Industry thought leader with a thorough understanding of Allstate’s business through holding key leadership roles over a 24-year career at Allstate</w:t>
      </w:r>
    </w:p>
    <w:p>
      <w:pPr>
        <w:spacing w:after="0" w:line="333" w:lineRule="exact"/>
        <w:rPr>
          <w:sz w:val="20"/>
          <w:szCs w:val="20"/>
          <w:color w:val="auto"/>
        </w:rPr>
      </w:pPr>
    </w:p>
    <w:tbl>
      <w:tblPr>
        <w:tblLayout w:type="fixed"/>
        <w:tblInd w:w="440" w:type="dxa"/>
        <w:tblCellMar>
          <w:top w:w="0" w:type="dxa"/>
          <w:left w:w="0" w:type="dxa"/>
          <w:bottom w:w="0" w:type="dxa"/>
          <w:right w:w="0" w:type="dxa"/>
        </w:tblCellMar>
      </w:tblPr>
      <w:tr>
        <w:trPr>
          <w:trHeight w:val="178"/>
        </w:trPr>
        <w:tc>
          <w:tcPr>
            <w:tcW w:w="1520" w:type="dxa"/>
            <w:vAlign w:val="bottom"/>
          </w:tcPr>
          <w:p>
            <w:pPr>
              <w:spacing w:after="0"/>
              <w:rPr>
                <w:sz w:val="20"/>
                <w:szCs w:val="20"/>
                <w:color w:val="auto"/>
              </w:rPr>
            </w:pPr>
            <w:r>
              <w:rPr>
                <w:rFonts w:ascii="Arial" w:cs="Arial" w:eastAsia="Arial" w:hAnsi="Arial"/>
                <w:sz w:val="13"/>
                <w:szCs w:val="13"/>
                <w:color w:val="105EAB"/>
              </w:rPr>
              <w:t>2019 Proxy Statement</w:t>
            </w:r>
          </w:p>
        </w:tc>
        <w:tc>
          <w:tcPr>
            <w:tcW w:w="260" w:type="dxa"/>
            <w:vAlign w:val="bottom"/>
          </w:tcPr>
          <w:p>
            <w:pPr>
              <w:jc w:val="right"/>
              <w:spacing w:after="0"/>
              <w:rPr>
                <w:sz w:val="20"/>
                <w:szCs w:val="20"/>
                <w:color w:val="auto"/>
              </w:rPr>
            </w:pPr>
            <w:r>
              <w:rPr>
                <w:rFonts w:ascii="Arial" w:cs="Arial" w:eastAsia="Arial" w:hAnsi="Arial"/>
                <w:sz w:val="13"/>
                <w:szCs w:val="13"/>
                <w:b w:val="1"/>
                <w:bCs w:val="1"/>
                <w:color w:val="105EAB"/>
              </w:rPr>
              <w:t>5</w:t>
            </w:r>
          </w:p>
        </w:tc>
      </w:tr>
    </w:tbl>
    <w:p>
      <w:pPr>
        <w:sectPr>
          <w:pgSz w:w="11900" w:h="16838" w:orient="portrait"/>
          <w:cols w:equalWidth="0" w:num="5">
            <w:col w:w="2140" w:space="160"/>
            <w:col w:w="2100" w:space="200"/>
            <w:col w:w="2160" w:space="140"/>
            <w:col w:w="2160" w:space="140"/>
            <w:col w:w="2220"/>
          </w:cols>
          <w:pgMar w:left="240" w:top="121" w:right="2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b w:val="1"/>
          <w:bCs w:val="1"/>
          <w:color w:val="105EAB"/>
        </w:rPr>
        <w:t>Proxy Summary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72466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pacing w:after="0" w:line="274" w:lineRule="exact"/>
        <w:rPr>
          <w:sz w:val="20"/>
          <w:szCs w:val="20"/>
          <w:color w:val="auto"/>
        </w:rPr>
      </w:pPr>
    </w:p>
    <w:p>
      <w:pPr>
        <w:spacing w:after="0"/>
        <w:tabs>
          <w:tab w:leader="none" w:pos="3000" w:val="left"/>
          <w:tab w:leader="none" w:pos="5460" w:val="left"/>
        </w:tabs>
        <w:rPr>
          <w:sz w:val="20"/>
          <w:szCs w:val="20"/>
          <w:color w:val="auto"/>
        </w:rPr>
      </w:pPr>
      <w:r>
        <w:rPr>
          <w:rFonts w:ascii="Arial" w:cs="Arial" w:eastAsia="Arial" w:hAnsi="Arial"/>
          <w:sz w:val="18"/>
          <w:szCs w:val="18"/>
          <w:b w:val="1"/>
          <w:bCs w:val="1"/>
          <w:color w:val="105EAB"/>
        </w:rPr>
        <w:t>INDEPENDENT DIRECTOR</w:t>
      </w:r>
      <w:r>
        <w:rPr>
          <w:sz w:val="20"/>
          <w:szCs w:val="20"/>
          <w:color w:val="auto"/>
        </w:rPr>
        <w:tab/>
      </w:r>
      <w:r>
        <w:rPr>
          <w:rFonts w:ascii="Arial" w:cs="Arial" w:eastAsia="Arial" w:hAnsi="Arial"/>
          <w:sz w:val="18"/>
          <w:szCs w:val="18"/>
          <w:b w:val="1"/>
          <w:bCs w:val="1"/>
          <w:color w:val="105EAB"/>
        </w:rPr>
        <w:t>BOARD DIVERSITY</w:t>
      </w:r>
      <w:r>
        <w:rPr>
          <w:sz w:val="20"/>
          <w:szCs w:val="20"/>
          <w:color w:val="auto"/>
        </w:rPr>
        <w:tab/>
      </w:r>
      <w:r>
        <w:rPr>
          <w:rFonts w:ascii="Arial" w:cs="Arial" w:eastAsia="Arial" w:hAnsi="Arial"/>
          <w:sz w:val="16"/>
          <w:szCs w:val="16"/>
          <w:b w:val="1"/>
          <w:bCs w:val="1"/>
          <w:color w:val="105EAB"/>
        </w:rPr>
        <w:t>RELEVANT SKILLS AND EXPERIENCE</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color w:val="105EAB"/>
        </w:rPr>
        <w:t>TENURE</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330"/>
        </w:trPr>
        <w:tc>
          <w:tcPr>
            <w:tcW w:w="2660" w:type="dxa"/>
            <w:vAlign w:val="bottom"/>
          </w:tcPr>
          <w:p>
            <w:pPr>
              <w:spacing w:after="0"/>
              <w:rPr>
                <w:sz w:val="20"/>
                <w:szCs w:val="20"/>
                <w:color w:val="auto"/>
              </w:rPr>
            </w:pPr>
            <w:r>
              <w:rPr>
                <w:rFonts w:ascii="Arial" w:cs="Arial" w:eastAsia="Arial" w:hAnsi="Arial"/>
                <w:sz w:val="25"/>
                <w:szCs w:val="25"/>
                <w:b w:val="1"/>
                <w:bCs w:val="1"/>
                <w:color w:val="39B6E9"/>
              </w:rPr>
              <w:t>5.7 years</w:t>
            </w:r>
          </w:p>
        </w:tc>
        <w:tc>
          <w:tcPr>
            <w:tcW w:w="1880" w:type="dxa"/>
            <w:vAlign w:val="bottom"/>
            <w:vMerge w:val="restart"/>
          </w:tcPr>
          <w:p>
            <w:pPr>
              <w:ind w:left="360"/>
              <w:spacing w:after="0"/>
              <w:rPr>
                <w:sz w:val="20"/>
                <w:szCs w:val="20"/>
                <w:color w:val="auto"/>
              </w:rPr>
            </w:pPr>
            <w:r>
              <w:rPr>
                <w:rFonts w:ascii="Arial" w:cs="Arial" w:eastAsia="Arial" w:hAnsi="Arial"/>
                <w:sz w:val="25"/>
                <w:szCs w:val="25"/>
                <w:b w:val="1"/>
                <w:bCs w:val="1"/>
                <w:color w:val="39B6E9"/>
              </w:rPr>
              <w:t>50%</w:t>
            </w:r>
          </w:p>
        </w:tc>
        <w:tc>
          <w:tcPr>
            <w:tcW w:w="2880" w:type="dxa"/>
            <w:vAlign w:val="bottom"/>
          </w:tcPr>
          <w:p>
            <w:pPr>
              <w:ind w:left="940"/>
              <w:spacing w:after="0"/>
              <w:rPr>
                <w:sz w:val="20"/>
                <w:szCs w:val="20"/>
                <w:color w:val="auto"/>
              </w:rPr>
            </w:pPr>
            <w:r>
              <w:rPr>
                <w:rFonts w:ascii="Arial" w:cs="Arial" w:eastAsia="Arial" w:hAnsi="Arial"/>
                <w:sz w:val="25"/>
                <w:szCs w:val="25"/>
                <w:b w:val="1"/>
                <w:bCs w:val="1"/>
                <w:color w:val="39B6E9"/>
              </w:rPr>
              <w:t>90%</w:t>
            </w:r>
          </w:p>
        </w:tc>
        <w:tc>
          <w:tcPr>
            <w:tcW w:w="3060" w:type="dxa"/>
            <w:vAlign w:val="bottom"/>
            <w:vMerge w:val="restart"/>
          </w:tcPr>
          <w:p>
            <w:pPr>
              <w:ind w:left="500"/>
              <w:spacing w:after="0"/>
              <w:rPr>
                <w:sz w:val="20"/>
                <w:szCs w:val="20"/>
                <w:color w:val="auto"/>
              </w:rPr>
            </w:pPr>
            <w:r>
              <w:rPr>
                <w:rFonts w:ascii="Arial" w:cs="Arial" w:eastAsia="Arial" w:hAnsi="Arial"/>
                <w:sz w:val="25"/>
                <w:szCs w:val="25"/>
                <w:b w:val="1"/>
                <w:bCs w:val="1"/>
                <w:color w:val="39B6E9"/>
              </w:rPr>
              <w:t>90%</w:t>
            </w:r>
          </w:p>
        </w:tc>
        <w:tc>
          <w:tcPr>
            <w:tcW w:w="0" w:type="dxa"/>
            <w:vAlign w:val="bottom"/>
          </w:tcPr>
          <w:p>
            <w:pPr>
              <w:spacing w:after="0"/>
              <w:rPr>
                <w:sz w:val="1"/>
                <w:szCs w:val="1"/>
                <w:color w:val="auto"/>
              </w:rPr>
            </w:pPr>
          </w:p>
        </w:tc>
      </w:tr>
      <w:tr>
        <w:trPr>
          <w:trHeight w:val="94"/>
        </w:trPr>
        <w:tc>
          <w:tcPr>
            <w:tcW w:w="2660" w:type="dxa"/>
            <w:vAlign w:val="bottom"/>
            <w:vMerge w:val="restart"/>
          </w:tcPr>
          <w:p>
            <w:pPr>
              <w:spacing w:after="0" w:line="202" w:lineRule="exact"/>
              <w:rPr>
                <w:sz w:val="20"/>
                <w:szCs w:val="20"/>
                <w:color w:val="auto"/>
              </w:rPr>
            </w:pPr>
            <w:r>
              <w:rPr>
                <w:rFonts w:ascii="Arial" w:cs="Arial" w:eastAsia="Arial" w:hAnsi="Arial"/>
                <w:sz w:val="18"/>
                <w:szCs w:val="18"/>
                <w:color w:val="105EAB"/>
              </w:rPr>
              <w:t>average independent director</w:t>
            </w:r>
          </w:p>
        </w:tc>
        <w:tc>
          <w:tcPr>
            <w:tcW w:w="1880" w:type="dxa"/>
            <w:vAlign w:val="bottom"/>
            <w:vMerge w:val="continue"/>
          </w:tcPr>
          <w:p>
            <w:pPr>
              <w:spacing w:after="0"/>
              <w:rPr>
                <w:sz w:val="8"/>
                <w:szCs w:val="8"/>
                <w:color w:val="auto"/>
              </w:rPr>
            </w:pPr>
          </w:p>
        </w:tc>
        <w:tc>
          <w:tcPr>
            <w:tcW w:w="2880" w:type="dxa"/>
            <w:vAlign w:val="bottom"/>
            <w:vMerge w:val="restart"/>
          </w:tcPr>
          <w:p>
            <w:pPr>
              <w:ind w:left="940"/>
              <w:spacing w:after="0" w:line="202" w:lineRule="exact"/>
              <w:rPr>
                <w:sz w:val="20"/>
                <w:szCs w:val="20"/>
                <w:color w:val="auto"/>
              </w:rPr>
            </w:pPr>
            <w:r>
              <w:rPr>
                <w:rFonts w:ascii="Arial" w:cs="Arial" w:eastAsia="Arial" w:hAnsi="Arial"/>
                <w:sz w:val="18"/>
                <w:szCs w:val="18"/>
                <w:color w:val="105EAB"/>
              </w:rPr>
              <w:t>Board governance</w:t>
            </w:r>
          </w:p>
        </w:tc>
        <w:tc>
          <w:tcPr>
            <w:tcW w:w="3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660" w:type="dxa"/>
            <w:vAlign w:val="bottom"/>
            <w:vMerge w:val="continue"/>
          </w:tcPr>
          <w:p>
            <w:pPr>
              <w:spacing w:after="0"/>
              <w:rPr>
                <w:sz w:val="9"/>
                <w:szCs w:val="9"/>
                <w:color w:val="auto"/>
              </w:rPr>
            </w:pPr>
          </w:p>
        </w:tc>
        <w:tc>
          <w:tcPr>
            <w:tcW w:w="1880" w:type="dxa"/>
            <w:vAlign w:val="bottom"/>
            <w:vMerge w:val="restart"/>
          </w:tcPr>
          <w:p>
            <w:pPr>
              <w:ind w:left="360"/>
              <w:spacing w:after="0"/>
              <w:rPr>
                <w:sz w:val="20"/>
                <w:szCs w:val="20"/>
                <w:color w:val="auto"/>
              </w:rPr>
            </w:pPr>
            <w:r>
              <w:rPr>
                <w:rFonts w:ascii="Arial" w:cs="Arial" w:eastAsia="Arial" w:hAnsi="Arial"/>
                <w:sz w:val="18"/>
                <w:szCs w:val="18"/>
                <w:color w:val="105EAB"/>
              </w:rPr>
              <w:t>diverse</w:t>
            </w:r>
          </w:p>
        </w:tc>
        <w:tc>
          <w:tcPr>
            <w:tcW w:w="2880" w:type="dxa"/>
            <w:vAlign w:val="bottom"/>
            <w:vMerge w:val="continue"/>
          </w:tcPr>
          <w:p>
            <w:pPr>
              <w:spacing w:after="0"/>
              <w:rPr>
                <w:sz w:val="9"/>
                <w:szCs w:val="9"/>
                <w:color w:val="auto"/>
              </w:rPr>
            </w:pPr>
          </w:p>
        </w:tc>
        <w:tc>
          <w:tcPr>
            <w:tcW w:w="3060" w:type="dxa"/>
            <w:vAlign w:val="bottom"/>
            <w:vMerge w:val="restart"/>
          </w:tcPr>
          <w:p>
            <w:pPr>
              <w:ind w:left="500"/>
              <w:spacing w:after="0"/>
              <w:rPr>
                <w:sz w:val="20"/>
                <w:szCs w:val="20"/>
                <w:color w:val="auto"/>
              </w:rPr>
            </w:pPr>
            <w:r>
              <w:rPr>
                <w:rFonts w:ascii="Arial" w:cs="Arial" w:eastAsia="Arial" w:hAnsi="Arial"/>
                <w:sz w:val="18"/>
                <w:szCs w:val="18"/>
                <w:color w:val="105EAB"/>
                <w:w w:val="97"/>
              </w:rPr>
              <w:t>Corporate leadership experience</w:t>
            </w:r>
          </w:p>
        </w:tc>
        <w:tc>
          <w:tcPr>
            <w:tcW w:w="0" w:type="dxa"/>
            <w:vAlign w:val="bottom"/>
          </w:tcPr>
          <w:p>
            <w:pPr>
              <w:spacing w:after="0"/>
              <w:rPr>
                <w:sz w:val="1"/>
                <w:szCs w:val="1"/>
                <w:color w:val="auto"/>
              </w:rPr>
            </w:pPr>
          </w:p>
        </w:tc>
      </w:tr>
      <w:tr>
        <w:trPr>
          <w:trHeight w:val="103"/>
        </w:trPr>
        <w:tc>
          <w:tcPr>
            <w:tcW w:w="2660" w:type="dxa"/>
            <w:vAlign w:val="bottom"/>
            <w:vMerge w:val="restart"/>
          </w:tcPr>
          <w:p>
            <w:pPr>
              <w:spacing w:after="0"/>
              <w:rPr>
                <w:sz w:val="20"/>
                <w:szCs w:val="20"/>
                <w:color w:val="auto"/>
              </w:rPr>
            </w:pPr>
            <w:r>
              <w:rPr>
                <w:rFonts w:ascii="Arial" w:cs="Arial" w:eastAsia="Arial" w:hAnsi="Arial"/>
                <w:sz w:val="18"/>
                <w:szCs w:val="18"/>
                <w:color w:val="105EAB"/>
              </w:rPr>
              <w:t>tenure</w:t>
            </w:r>
          </w:p>
        </w:tc>
        <w:tc>
          <w:tcPr>
            <w:tcW w:w="1880" w:type="dxa"/>
            <w:vAlign w:val="bottom"/>
            <w:vMerge w:val="continue"/>
          </w:tcPr>
          <w:p>
            <w:pPr>
              <w:spacing w:after="0"/>
              <w:rPr>
                <w:sz w:val="8"/>
                <w:szCs w:val="8"/>
                <w:color w:val="auto"/>
              </w:rPr>
            </w:pPr>
          </w:p>
        </w:tc>
        <w:tc>
          <w:tcPr>
            <w:tcW w:w="2880" w:type="dxa"/>
            <w:vAlign w:val="bottom"/>
            <w:vMerge w:val="restart"/>
          </w:tcPr>
          <w:p>
            <w:pPr>
              <w:ind w:left="940"/>
              <w:spacing w:after="0"/>
              <w:rPr>
                <w:sz w:val="20"/>
                <w:szCs w:val="20"/>
                <w:color w:val="auto"/>
              </w:rPr>
            </w:pPr>
            <w:r>
              <w:rPr>
                <w:rFonts w:ascii="Arial" w:cs="Arial" w:eastAsia="Arial" w:hAnsi="Arial"/>
                <w:sz w:val="18"/>
                <w:szCs w:val="18"/>
                <w:color w:val="105EAB"/>
              </w:rPr>
              <w:t>experience</w:t>
            </w:r>
          </w:p>
        </w:tc>
        <w:tc>
          <w:tcPr>
            <w:tcW w:w="3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660" w:type="dxa"/>
            <w:vAlign w:val="bottom"/>
            <w:vMerge w:val="continue"/>
          </w:tcPr>
          <w:p>
            <w:pPr>
              <w:spacing w:after="0"/>
              <w:rPr>
                <w:sz w:val="9"/>
                <w:szCs w:val="9"/>
                <w:color w:val="auto"/>
              </w:rPr>
            </w:pPr>
          </w:p>
        </w:tc>
        <w:tc>
          <w:tcPr>
            <w:tcW w:w="1880" w:type="dxa"/>
            <w:vAlign w:val="bottom"/>
          </w:tcPr>
          <w:p>
            <w:pPr>
              <w:spacing w:after="0"/>
              <w:rPr>
                <w:sz w:val="9"/>
                <w:szCs w:val="9"/>
                <w:color w:val="auto"/>
              </w:rPr>
            </w:pPr>
          </w:p>
        </w:tc>
        <w:tc>
          <w:tcPr>
            <w:tcW w:w="2880" w:type="dxa"/>
            <w:vAlign w:val="bottom"/>
            <w:vMerge w:val="continue"/>
          </w:tcPr>
          <w:p>
            <w:pPr>
              <w:spacing w:after="0"/>
              <w:rPr>
                <w:sz w:val="9"/>
                <w:szCs w:val="9"/>
                <w:color w:val="auto"/>
              </w:rPr>
            </w:pPr>
          </w:p>
        </w:tc>
        <w:tc>
          <w:tcPr>
            <w:tcW w:w="30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6150610" cy="10623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150610" cy="1062355"/>
                    </a:xfrm>
                    <a:prstGeom prst="rect">
                      <a:avLst/>
                    </a:prstGeom>
                    <a:noFill/>
                  </pic:spPr>
                </pic:pic>
              </a:graphicData>
            </a:graphic>
          </wp:anchor>
        </w:drawing>
        <w:drawing>
          <wp:anchor simplePos="0" relativeHeight="251657728" behindDoc="1" locked="0" layoutInCell="0" allowOverlap="1">
            <wp:simplePos x="0" y="0"/>
            <wp:positionH relativeFrom="column">
              <wp:posOffset>5984240</wp:posOffset>
            </wp:positionH>
            <wp:positionV relativeFrom="paragraph">
              <wp:posOffset>1277620</wp:posOffset>
            </wp:positionV>
            <wp:extent cx="1267460" cy="402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67460" cy="402590"/>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10" w:type="dxa"/>
        <w:tblCellMar>
          <w:top w:w="0" w:type="dxa"/>
          <w:left w:w="0" w:type="dxa"/>
          <w:bottom w:w="0" w:type="dxa"/>
          <w:right w:w="0" w:type="dxa"/>
        </w:tblCellMar>
      </w:tblPr>
      <w:tr>
        <w:trPr>
          <w:trHeight w:val="291"/>
        </w:trPr>
        <w:tc>
          <w:tcPr>
            <w:tcW w:w="940" w:type="dxa"/>
            <w:vAlign w:val="bottom"/>
            <w:tcBorders>
              <w:top w:val="single" w:sz="8" w:color="39B6E9"/>
              <w:left w:val="single" w:sz="8" w:color="39B6E9"/>
            </w:tcBorders>
          </w:tcPr>
          <w:p>
            <w:pPr>
              <w:ind w:left="140"/>
              <w:spacing w:after="0"/>
              <w:rPr>
                <w:sz w:val="20"/>
                <w:szCs w:val="20"/>
                <w:color w:val="auto"/>
              </w:rPr>
            </w:pPr>
            <w:r>
              <w:rPr>
                <w:rFonts w:ascii="Arial" w:cs="Arial" w:eastAsia="Arial" w:hAnsi="Arial"/>
                <w:sz w:val="13"/>
                <w:szCs w:val="13"/>
                <w:color w:val="39B6E9"/>
              </w:rPr>
              <w:t>PROPOSAL</w:t>
            </w:r>
          </w:p>
        </w:tc>
        <w:tc>
          <w:tcPr>
            <w:tcW w:w="660" w:type="dxa"/>
            <w:vAlign w:val="bottom"/>
            <w:tcBorders>
              <w:top w:val="single" w:sz="8" w:color="39B6E9"/>
              <w:right w:val="single" w:sz="8" w:color="39B6E9"/>
            </w:tcBorders>
            <w:vMerge w:val="restart"/>
          </w:tcPr>
          <w:p>
            <w:pPr>
              <w:jc w:val="right"/>
              <w:ind w:right="30"/>
              <w:spacing w:after="0"/>
              <w:rPr>
                <w:sz w:val="20"/>
                <w:szCs w:val="20"/>
                <w:color w:val="auto"/>
              </w:rPr>
            </w:pPr>
            <w:r>
              <w:rPr>
                <w:rFonts w:ascii="Arial" w:cs="Arial" w:eastAsia="Arial" w:hAnsi="Arial"/>
                <w:sz w:val="54"/>
                <w:szCs w:val="54"/>
                <w:b w:val="1"/>
                <w:bCs w:val="1"/>
                <w:color w:val="39B6E9"/>
              </w:rPr>
              <w:t>2</w:t>
            </w:r>
          </w:p>
        </w:tc>
        <w:tc>
          <w:tcPr>
            <w:tcW w:w="100" w:type="dxa"/>
            <w:vAlign w:val="bottom"/>
          </w:tcPr>
          <w:p>
            <w:pPr>
              <w:spacing w:after="0"/>
              <w:rPr>
                <w:sz w:val="24"/>
                <w:szCs w:val="24"/>
                <w:color w:val="auto"/>
              </w:rPr>
            </w:pPr>
          </w:p>
        </w:tc>
        <w:tc>
          <w:tcPr>
            <w:tcW w:w="7620" w:type="dxa"/>
            <w:vAlign w:val="bottom"/>
            <w:tcBorders>
              <w:top w:val="single" w:sz="8" w:color="39B6E9"/>
              <w:right w:val="single" w:sz="8" w:color="39B6E9"/>
            </w:tcBorders>
          </w:tcPr>
          <w:p>
            <w:pPr>
              <w:ind w:left="60"/>
              <w:spacing w:after="0"/>
              <w:rPr>
                <w:sz w:val="20"/>
                <w:szCs w:val="20"/>
                <w:color w:val="auto"/>
              </w:rPr>
            </w:pPr>
            <w:r>
              <w:rPr>
                <w:rFonts w:ascii="Arial" w:cs="Arial" w:eastAsia="Arial" w:hAnsi="Arial"/>
                <w:sz w:val="22"/>
                <w:szCs w:val="22"/>
                <w:b w:val="1"/>
                <w:bCs w:val="1"/>
                <w:color w:val="39B6E9"/>
              </w:rPr>
              <w:t>Say-on-Pay: Advisory Vote on the Compensation of the Named</w:t>
            </w:r>
          </w:p>
        </w:tc>
        <w:tc>
          <w:tcPr>
            <w:tcW w:w="0" w:type="dxa"/>
            <w:vAlign w:val="bottom"/>
          </w:tcPr>
          <w:p>
            <w:pPr>
              <w:spacing w:after="0"/>
              <w:rPr>
                <w:sz w:val="1"/>
                <w:szCs w:val="1"/>
                <w:color w:val="auto"/>
              </w:rPr>
            </w:pPr>
          </w:p>
        </w:tc>
      </w:tr>
      <w:tr>
        <w:trPr>
          <w:trHeight w:val="343"/>
        </w:trPr>
        <w:tc>
          <w:tcPr>
            <w:tcW w:w="940" w:type="dxa"/>
            <w:vAlign w:val="bottom"/>
            <w:tcBorders>
              <w:left w:val="single" w:sz="8" w:color="39B6E9"/>
            </w:tcBorders>
          </w:tcPr>
          <w:p>
            <w:pPr>
              <w:spacing w:after="0"/>
              <w:rPr>
                <w:sz w:val="24"/>
                <w:szCs w:val="24"/>
                <w:color w:val="auto"/>
              </w:rPr>
            </w:pPr>
          </w:p>
        </w:tc>
        <w:tc>
          <w:tcPr>
            <w:tcW w:w="660" w:type="dxa"/>
            <w:vAlign w:val="bottom"/>
            <w:tcBorders>
              <w:right w:val="single" w:sz="8" w:color="39B6E9"/>
            </w:tcBorders>
            <w:vMerge w:val="continue"/>
          </w:tcPr>
          <w:p>
            <w:pPr>
              <w:spacing w:after="0"/>
              <w:rPr>
                <w:sz w:val="24"/>
                <w:szCs w:val="24"/>
                <w:color w:val="auto"/>
              </w:rPr>
            </w:pPr>
          </w:p>
        </w:tc>
        <w:tc>
          <w:tcPr>
            <w:tcW w:w="100" w:type="dxa"/>
            <w:vAlign w:val="bottom"/>
          </w:tcPr>
          <w:p>
            <w:pPr>
              <w:spacing w:after="0"/>
              <w:rPr>
                <w:sz w:val="24"/>
                <w:szCs w:val="24"/>
                <w:color w:val="auto"/>
              </w:rPr>
            </w:pPr>
          </w:p>
        </w:tc>
        <w:tc>
          <w:tcPr>
            <w:tcW w:w="7620" w:type="dxa"/>
            <w:vAlign w:val="bottom"/>
            <w:tcBorders>
              <w:right w:val="single" w:sz="8" w:color="39B6E9"/>
            </w:tcBorders>
          </w:tcPr>
          <w:p>
            <w:pPr>
              <w:ind w:left="60"/>
              <w:spacing w:after="0"/>
              <w:rPr>
                <w:sz w:val="20"/>
                <w:szCs w:val="20"/>
                <w:color w:val="auto"/>
              </w:rPr>
            </w:pPr>
            <w:r>
              <w:rPr>
                <w:rFonts w:ascii="Arial" w:cs="Arial" w:eastAsia="Arial" w:hAnsi="Arial"/>
                <w:sz w:val="22"/>
                <w:szCs w:val="22"/>
                <w:b w:val="1"/>
                <w:bCs w:val="1"/>
                <w:color w:val="39B6E9"/>
              </w:rPr>
              <w:t>Executives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051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05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See </w:t>
      </w:r>
      <w:r>
        <w:rPr>
          <w:rFonts w:ascii="Arial" w:cs="Arial" w:eastAsia="Arial" w:hAnsi="Arial"/>
          <w:sz w:val="13"/>
          <w:szCs w:val="13"/>
          <w:b w:val="1"/>
          <w:bCs w:val="1"/>
          <w:color w:val="39B6E9"/>
        </w:rPr>
        <w:t>pages 34-69</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for further information</w:t>
      </w:r>
    </w:p>
    <w:p>
      <w:pPr>
        <w:spacing w:after="0" w:line="385" w:lineRule="exact"/>
        <w:rPr>
          <w:sz w:val="20"/>
          <w:szCs w:val="20"/>
          <w:color w:val="auto"/>
        </w:rPr>
      </w:pPr>
    </w:p>
    <w:p>
      <w:pPr>
        <w:sectPr>
          <w:pgSz w:w="11900" w:h="16838" w:orient="portrait"/>
          <w:cols w:equalWidth="0" w:num="2">
            <w:col w:w="9320" w:space="500"/>
            <w:col w:w="1500"/>
          </w:cols>
          <w:pgMar w:left="240" w:top="121" w:right="339" w:bottom="1440" w:gutter="0" w:footer="0" w:header="0"/>
          <w:type w:val="continuous"/>
        </w:sectPr>
      </w:pPr>
    </w:p>
    <w:p>
      <w:pPr>
        <w:ind w:left="160"/>
        <w:spacing w:after="0"/>
        <w:rPr>
          <w:sz w:val="20"/>
          <w:szCs w:val="20"/>
          <w:color w:val="auto"/>
        </w:rPr>
      </w:pPr>
      <w:r>
        <w:rPr>
          <w:rFonts w:ascii="Arial" w:cs="Arial" w:eastAsia="Arial" w:hAnsi="Arial"/>
          <w:sz w:val="18"/>
          <w:szCs w:val="18"/>
          <w:b w:val="1"/>
          <w:bCs w:val="1"/>
          <w:color w:val="105EAB"/>
        </w:rPr>
        <w:t xml:space="preserve">The Board recommends a vote </w:t>
      </w:r>
      <w:r>
        <w:rPr>
          <w:rFonts w:ascii="Arial" w:cs="Arial" w:eastAsia="Arial" w:hAnsi="Arial"/>
          <w:sz w:val="18"/>
          <w:szCs w:val="18"/>
          <w:b w:val="1"/>
          <w:bCs w:val="1"/>
          <w:color w:val="5CA34F"/>
        </w:rPr>
        <w:t>FOR</w:t>
      </w:r>
      <w:r>
        <w:rPr>
          <w:rFonts w:ascii="Arial" w:cs="Arial" w:eastAsia="Arial" w:hAnsi="Arial"/>
          <w:sz w:val="18"/>
          <w:szCs w:val="18"/>
          <w:b w:val="1"/>
          <w:bCs w:val="1"/>
          <w:color w:val="105EAB"/>
        </w:rPr>
        <w:t xml:space="preserve"> this proposal.</w:t>
      </w:r>
    </w:p>
    <w:p>
      <w:pPr>
        <w:spacing w:after="0" w:line="108" w:lineRule="exact"/>
        <w:rPr>
          <w:sz w:val="20"/>
          <w:szCs w:val="20"/>
          <w:color w:val="auto"/>
        </w:rPr>
      </w:pPr>
    </w:p>
    <w:p>
      <w:pPr>
        <w:ind w:left="400" w:hanging="266"/>
        <w:spacing w:after="0"/>
        <w:tabs>
          <w:tab w:leader="none" w:pos="400" w:val="left"/>
        </w:tabs>
        <w:numPr>
          <w:ilvl w:val="0"/>
          <w:numId w:val="13"/>
        </w:numPr>
        <w:rPr>
          <w:rFonts w:ascii="Arial" w:cs="Arial" w:eastAsia="Arial" w:hAnsi="Arial"/>
          <w:sz w:val="13"/>
          <w:szCs w:val="13"/>
          <w:color w:val="105EAB"/>
        </w:rPr>
      </w:pPr>
      <w:r>
        <w:rPr>
          <w:rFonts w:ascii="Arial" w:cs="Arial" w:eastAsia="Arial" w:hAnsi="Arial"/>
          <w:sz w:val="13"/>
          <w:szCs w:val="13"/>
          <w:color w:val="auto"/>
        </w:rPr>
        <w:t>Independent oversight by compensation and succession committee with the assistance of an independent consultant.</w:t>
      </w:r>
    </w:p>
    <w:p>
      <w:pPr>
        <w:spacing w:after="0" w:line="66" w:lineRule="exact"/>
        <w:rPr>
          <w:rFonts w:ascii="Arial" w:cs="Arial" w:eastAsia="Arial" w:hAnsi="Arial"/>
          <w:sz w:val="13"/>
          <w:szCs w:val="13"/>
          <w:color w:val="105EAB"/>
        </w:rPr>
      </w:pPr>
    </w:p>
    <w:p>
      <w:pPr>
        <w:ind w:left="400" w:hanging="266"/>
        <w:spacing w:after="0"/>
        <w:tabs>
          <w:tab w:leader="none" w:pos="400" w:val="left"/>
        </w:tabs>
        <w:numPr>
          <w:ilvl w:val="0"/>
          <w:numId w:val="13"/>
        </w:numPr>
        <w:rPr>
          <w:rFonts w:ascii="Arial" w:cs="Arial" w:eastAsia="Arial" w:hAnsi="Arial"/>
          <w:sz w:val="13"/>
          <w:szCs w:val="13"/>
          <w:color w:val="105EAB"/>
        </w:rPr>
      </w:pPr>
      <w:r>
        <w:rPr>
          <w:rFonts w:ascii="Arial" w:cs="Arial" w:eastAsia="Arial" w:hAnsi="Arial"/>
          <w:sz w:val="13"/>
          <w:szCs w:val="13"/>
          <w:color w:val="auto"/>
        </w:rPr>
        <w:t>Executive compensation targeted at 50th percentile of peers and aligned with short- and long-term business goals and strategy.</w:t>
      </w:r>
    </w:p>
    <w:p>
      <w:pPr>
        <w:spacing w:after="0" w:line="79" w:lineRule="exact"/>
        <w:rPr>
          <w:rFonts w:ascii="Arial" w:cs="Arial" w:eastAsia="Arial" w:hAnsi="Arial"/>
          <w:sz w:val="13"/>
          <w:szCs w:val="13"/>
          <w:color w:val="105EAB"/>
        </w:rPr>
      </w:pPr>
    </w:p>
    <w:p>
      <w:pPr>
        <w:ind w:left="400" w:right="360" w:hanging="266"/>
        <w:spacing w:after="0" w:line="258" w:lineRule="auto"/>
        <w:tabs>
          <w:tab w:leader="none" w:pos="389" w:val="left"/>
        </w:tabs>
        <w:numPr>
          <w:ilvl w:val="0"/>
          <w:numId w:val="13"/>
        </w:numPr>
        <w:rPr>
          <w:rFonts w:ascii="Arial" w:cs="Arial" w:eastAsia="Arial" w:hAnsi="Arial"/>
          <w:sz w:val="13"/>
          <w:szCs w:val="13"/>
          <w:color w:val="105EAB"/>
        </w:rPr>
      </w:pPr>
      <w:r>
        <w:rPr>
          <w:rFonts w:ascii="Arial" w:cs="Arial" w:eastAsia="Arial" w:hAnsi="Arial"/>
          <w:sz w:val="13"/>
          <w:szCs w:val="13"/>
          <w:color w:val="auto"/>
        </w:rPr>
        <w:t>Compensation programs are working effectively. Annual incentive compensation funding for our named executives in 2018 was 173.4% of target, reflecting outperformance on all three quantitative measures: Total Premiums, Performance Net Income, and Net Investment Income.</w:t>
      </w:r>
    </w:p>
    <w:p>
      <w:pPr>
        <w:spacing w:after="0" w:line="283" w:lineRule="exact"/>
        <w:rPr>
          <w:sz w:val="20"/>
          <w:szCs w:val="20"/>
          <w:color w:val="auto"/>
        </w:rPr>
      </w:pPr>
    </w:p>
    <w:p>
      <w:pPr>
        <w:spacing w:after="0"/>
        <w:rPr>
          <w:sz w:val="20"/>
          <w:szCs w:val="20"/>
          <w:color w:val="auto"/>
        </w:rPr>
      </w:pPr>
      <w:r>
        <w:rPr>
          <w:rFonts w:ascii="Arial" w:cs="Arial" w:eastAsia="Arial" w:hAnsi="Arial"/>
          <w:sz w:val="25"/>
          <w:szCs w:val="25"/>
          <w:b w:val="1"/>
          <w:bCs w:val="1"/>
          <w:color w:val="105EAB"/>
        </w:rPr>
        <w:t>Executive Compensation Highlights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We compensated our named executive officers (“NEOs”) using the following elements for total target direct compensation in 2018:</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40" w:type="dxa"/>
            <w:vAlign w:val="bottom"/>
          </w:tcPr>
          <w:p>
            <w:pPr>
              <w:jc w:val="center"/>
              <w:ind w:right="453"/>
              <w:spacing w:after="0"/>
              <w:rPr>
                <w:sz w:val="20"/>
                <w:szCs w:val="20"/>
                <w:color w:val="auto"/>
              </w:rPr>
            </w:pPr>
            <w:r>
              <w:rPr>
                <w:rFonts w:ascii="Arial" w:cs="Arial" w:eastAsia="Arial" w:hAnsi="Arial"/>
                <w:sz w:val="13"/>
                <w:szCs w:val="13"/>
                <w:b w:val="1"/>
                <w:bCs w:val="1"/>
                <w:color w:val="105EAB"/>
              </w:rPr>
              <w:t>Target</w:t>
            </w:r>
          </w:p>
        </w:tc>
        <w:tc>
          <w:tcPr>
            <w:tcW w:w="0" w:type="dxa"/>
            <w:vAlign w:val="bottom"/>
          </w:tcPr>
          <w:p>
            <w:pPr>
              <w:spacing w:after="0"/>
              <w:rPr>
                <w:sz w:val="1"/>
                <w:szCs w:val="1"/>
                <w:color w:val="auto"/>
              </w:rPr>
            </w:pPr>
          </w:p>
        </w:tc>
      </w:tr>
      <w:tr>
        <w:trPr>
          <w:trHeight w:val="199"/>
        </w:trPr>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080" w:type="dxa"/>
            <w:vAlign w:val="bottom"/>
          </w:tcPr>
          <w:p>
            <w:pPr>
              <w:spacing w:after="0"/>
              <w:rPr>
                <w:sz w:val="17"/>
                <w:szCs w:val="17"/>
                <w:color w:val="auto"/>
              </w:rPr>
            </w:pPr>
          </w:p>
        </w:tc>
        <w:tc>
          <w:tcPr>
            <w:tcW w:w="1540" w:type="dxa"/>
            <w:vAlign w:val="bottom"/>
            <w:tcBorders>
              <w:bottom w:val="single" w:sz="8" w:color="105EAB"/>
            </w:tcBorders>
            <w:gridSpan w:val="2"/>
          </w:tcPr>
          <w:p>
            <w:pPr>
              <w:jc w:val="center"/>
              <w:spacing w:after="0"/>
              <w:rPr>
                <w:sz w:val="20"/>
                <w:szCs w:val="20"/>
                <w:color w:val="auto"/>
              </w:rPr>
            </w:pPr>
            <w:r>
              <w:rPr>
                <w:rFonts w:ascii="Arial" w:cs="Arial" w:eastAsia="Arial" w:hAnsi="Arial"/>
                <w:sz w:val="13"/>
                <w:szCs w:val="13"/>
                <w:b w:val="1"/>
                <w:bCs w:val="1"/>
                <w:color w:val="105EAB"/>
              </w:rPr>
              <w:t>Compensation Mix</w:t>
            </w:r>
          </w:p>
        </w:tc>
        <w:tc>
          <w:tcPr>
            <w:tcW w:w="0" w:type="dxa"/>
            <w:vAlign w:val="bottom"/>
          </w:tcPr>
          <w:p>
            <w:pPr>
              <w:spacing w:after="0"/>
              <w:rPr>
                <w:sz w:val="1"/>
                <w:szCs w:val="1"/>
                <w:color w:val="auto"/>
              </w:rPr>
            </w:pPr>
          </w:p>
        </w:tc>
      </w:tr>
      <w:tr>
        <w:trPr>
          <w:trHeight w:val="243"/>
        </w:trPr>
        <w:tc>
          <w:tcPr>
            <w:tcW w:w="880" w:type="dxa"/>
            <w:vAlign w:val="bottom"/>
            <w:tcBorders>
              <w:bottom w:val="single" w:sz="8" w:color="39B6E9"/>
            </w:tcBorders>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Borders>
              <w:bottom w:val="single" w:sz="8" w:color="105EAB"/>
            </w:tcBorders>
          </w:tcPr>
          <w:p>
            <w:pPr>
              <w:spacing w:after="0"/>
              <w:rPr>
                <w:sz w:val="20"/>
                <w:szCs w:val="20"/>
                <w:color w:val="auto"/>
              </w:rPr>
            </w:pPr>
            <w:r>
              <w:rPr>
                <w:rFonts w:ascii="Arial" w:cs="Arial" w:eastAsia="Arial" w:hAnsi="Arial"/>
                <w:sz w:val="13"/>
                <w:szCs w:val="13"/>
                <w:b w:val="1"/>
                <w:bCs w:val="1"/>
                <w:color w:val="105EAB"/>
              </w:rPr>
              <w:t>Element</w:t>
            </w:r>
          </w:p>
        </w:tc>
        <w:tc>
          <w:tcPr>
            <w:tcW w:w="7080" w:type="dxa"/>
            <w:vAlign w:val="bottom"/>
            <w:tcBorders>
              <w:bottom w:val="single" w:sz="8" w:color="105EAB"/>
            </w:tcBorders>
          </w:tcPr>
          <w:p>
            <w:pPr>
              <w:ind w:left="280"/>
              <w:spacing w:after="0"/>
              <w:rPr>
                <w:sz w:val="20"/>
                <w:szCs w:val="20"/>
                <w:color w:val="auto"/>
              </w:rPr>
            </w:pPr>
            <w:r>
              <w:rPr>
                <w:rFonts w:ascii="Arial" w:cs="Arial" w:eastAsia="Arial" w:hAnsi="Arial"/>
                <w:sz w:val="13"/>
                <w:szCs w:val="13"/>
                <w:b w:val="1"/>
                <w:bCs w:val="1"/>
                <w:color w:val="105EAB"/>
              </w:rPr>
              <w:t>Description</w:t>
            </w:r>
          </w:p>
        </w:tc>
        <w:tc>
          <w:tcPr>
            <w:tcW w:w="500" w:type="dxa"/>
            <w:vAlign w:val="bottom"/>
            <w:tcBorders>
              <w:bottom w:val="single" w:sz="8" w:color="105EAB"/>
            </w:tcBorders>
          </w:tcPr>
          <w:p>
            <w:pPr>
              <w:ind w:left="120"/>
              <w:spacing w:after="0"/>
              <w:rPr>
                <w:sz w:val="20"/>
                <w:szCs w:val="20"/>
                <w:color w:val="auto"/>
              </w:rPr>
            </w:pPr>
            <w:r>
              <w:rPr>
                <w:rFonts w:ascii="Arial" w:cs="Arial" w:eastAsia="Arial" w:hAnsi="Arial"/>
                <w:sz w:val="13"/>
                <w:szCs w:val="13"/>
                <w:b w:val="1"/>
                <w:bCs w:val="1"/>
                <w:color w:val="105EAB"/>
              </w:rPr>
              <w:t>CEO</w:t>
            </w:r>
          </w:p>
        </w:tc>
        <w:tc>
          <w:tcPr>
            <w:tcW w:w="1040" w:type="dxa"/>
            <w:vAlign w:val="bottom"/>
            <w:tcBorders>
              <w:bottom w:val="single" w:sz="8" w:color="105EAB"/>
            </w:tcBorders>
          </w:tcPr>
          <w:p>
            <w:pPr>
              <w:ind w:left="280"/>
              <w:spacing w:after="0"/>
              <w:rPr>
                <w:sz w:val="20"/>
                <w:szCs w:val="20"/>
                <w:color w:val="auto"/>
              </w:rPr>
            </w:pPr>
            <w:r>
              <w:rPr>
                <w:rFonts w:ascii="Arial" w:cs="Arial" w:eastAsia="Arial" w:hAnsi="Arial"/>
                <w:sz w:val="13"/>
                <w:szCs w:val="13"/>
                <w:b w:val="1"/>
                <w:bCs w:val="1"/>
                <w:color w:val="105EAB"/>
              </w:rPr>
              <w:t>Other NEOs</w:t>
            </w:r>
          </w:p>
        </w:tc>
        <w:tc>
          <w:tcPr>
            <w:tcW w:w="0" w:type="dxa"/>
            <w:vAlign w:val="bottom"/>
          </w:tcPr>
          <w:p>
            <w:pPr>
              <w:spacing w:after="0"/>
              <w:rPr>
                <w:sz w:val="1"/>
                <w:szCs w:val="1"/>
                <w:color w:val="auto"/>
              </w:rPr>
            </w:pPr>
          </w:p>
        </w:tc>
      </w:tr>
      <w:tr>
        <w:trPr>
          <w:trHeight w:val="182"/>
        </w:trPr>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Salary</w:t>
            </w:r>
          </w:p>
        </w:tc>
        <w:tc>
          <w:tcPr>
            <w:tcW w:w="7080" w:type="dxa"/>
            <w:vAlign w:val="bottom"/>
          </w:tcPr>
          <w:p>
            <w:pPr>
              <w:ind w:left="280"/>
              <w:spacing w:after="0"/>
              <w:rPr>
                <w:sz w:val="20"/>
                <w:szCs w:val="20"/>
                <w:color w:val="auto"/>
              </w:rPr>
            </w:pPr>
            <w:r>
              <w:rPr>
                <w:rFonts w:ascii="Arial" w:cs="Arial" w:eastAsia="Arial" w:hAnsi="Arial"/>
                <w:sz w:val="13"/>
                <w:szCs w:val="13"/>
                <w:color w:val="auto"/>
              </w:rPr>
              <w:t>A competitive level of cash is provided to attract and retain executive talent</w:t>
            </w: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2"/>
        </w:trPr>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Borders>
              <w:bottom w:val="single" w:sz="8" w:color="DFF1FB"/>
            </w:tcBorders>
          </w:tcPr>
          <w:p>
            <w:pPr>
              <w:spacing w:after="0"/>
              <w:rPr>
                <w:sz w:val="24"/>
                <w:szCs w:val="24"/>
                <w:color w:val="auto"/>
              </w:rPr>
            </w:pPr>
          </w:p>
        </w:tc>
        <w:tc>
          <w:tcPr>
            <w:tcW w:w="7080" w:type="dxa"/>
            <w:vAlign w:val="bottom"/>
            <w:tcBorders>
              <w:bottom w:val="single" w:sz="8" w:color="DFF1FB"/>
            </w:tcBorders>
          </w:tcPr>
          <w:p>
            <w:pPr>
              <w:spacing w:after="0"/>
              <w:rPr>
                <w:sz w:val="24"/>
                <w:szCs w:val="24"/>
                <w:color w:val="auto"/>
              </w:rPr>
            </w:pPr>
          </w:p>
        </w:tc>
        <w:tc>
          <w:tcPr>
            <w:tcW w:w="500" w:type="dxa"/>
            <w:vAlign w:val="bottom"/>
            <w:tcBorders>
              <w:bottom w:val="single" w:sz="8" w:color="DFF1FB"/>
            </w:tcBorders>
          </w:tcPr>
          <w:p>
            <w:pPr>
              <w:spacing w:after="0"/>
              <w:rPr>
                <w:sz w:val="24"/>
                <w:szCs w:val="24"/>
                <w:color w:val="auto"/>
              </w:rPr>
            </w:pPr>
          </w:p>
        </w:tc>
        <w:tc>
          <w:tcPr>
            <w:tcW w:w="1040" w:type="dxa"/>
            <w:vAlign w:val="bottom"/>
            <w:tcBorders>
              <w:bottom w:val="single" w:sz="8" w:color="DFF1FB"/>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880" w:type="dxa"/>
            <w:vAlign w:val="bottom"/>
            <w:vMerge w:val="restart"/>
          </w:tcPr>
          <w:p>
            <w:pPr>
              <w:jc w:val="center"/>
              <w:spacing w:after="0"/>
              <w:rPr>
                <w:sz w:val="20"/>
                <w:szCs w:val="20"/>
                <w:color w:val="auto"/>
              </w:rPr>
            </w:pPr>
            <w:r>
              <w:rPr>
                <w:rFonts w:ascii="Arial" w:cs="Arial" w:eastAsia="Arial" w:hAnsi="Arial"/>
                <w:sz w:val="13"/>
                <w:szCs w:val="13"/>
                <w:b w:val="1"/>
                <w:bCs w:val="1"/>
                <w:color w:val="39B6E9"/>
              </w:rPr>
              <w:t>Targeted</w:t>
            </w:r>
          </w:p>
        </w:tc>
        <w:tc>
          <w:tcPr>
            <w:tcW w:w="220" w:type="dxa"/>
            <w:vAlign w:val="bottom"/>
          </w:tcPr>
          <w:p>
            <w:pPr>
              <w:spacing w:after="0"/>
              <w:rPr>
                <w:sz w:val="16"/>
                <w:szCs w:val="16"/>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Annual Cash</w:t>
            </w:r>
          </w:p>
        </w:tc>
        <w:tc>
          <w:tcPr>
            <w:tcW w:w="7080" w:type="dxa"/>
            <w:vAlign w:val="bottom"/>
          </w:tcPr>
          <w:p>
            <w:pPr>
              <w:ind w:left="280"/>
              <w:spacing w:after="0"/>
              <w:rPr>
                <w:sz w:val="20"/>
                <w:szCs w:val="20"/>
                <w:color w:val="auto"/>
              </w:rPr>
            </w:pPr>
            <w:r>
              <w:rPr>
                <w:rFonts w:ascii="Arial" w:cs="Arial" w:eastAsia="Arial" w:hAnsi="Arial"/>
                <w:sz w:val="13"/>
                <w:szCs w:val="13"/>
                <w:color w:val="auto"/>
              </w:rPr>
              <w:t>A funding pool for 2018 of 173.4% of target was based on performance against three performance measures:</w:t>
            </w:r>
          </w:p>
        </w:tc>
        <w:tc>
          <w:tcPr>
            <w:tcW w:w="5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88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tcPr>
          <w:p>
            <w:pPr>
              <w:spacing w:after="0" w:line="122" w:lineRule="exact"/>
              <w:rPr>
                <w:sz w:val="20"/>
                <w:szCs w:val="20"/>
                <w:color w:val="auto"/>
              </w:rPr>
            </w:pPr>
            <w:r>
              <w:rPr>
                <w:rFonts w:ascii="Arial" w:cs="Arial" w:eastAsia="Arial" w:hAnsi="Arial"/>
                <w:sz w:val="13"/>
                <w:szCs w:val="13"/>
                <w:color w:val="auto"/>
              </w:rPr>
              <w:t>Incentive</w:t>
            </w:r>
          </w:p>
        </w:tc>
        <w:tc>
          <w:tcPr>
            <w:tcW w:w="7080" w:type="dxa"/>
            <w:vAlign w:val="bottom"/>
          </w:tcPr>
          <w:p>
            <w:pPr>
              <w:ind w:left="280"/>
              <w:spacing w:after="0" w:line="122" w:lineRule="exact"/>
              <w:rPr>
                <w:sz w:val="20"/>
                <w:szCs w:val="20"/>
                <w:color w:val="auto"/>
              </w:rPr>
            </w:pPr>
            <w:r>
              <w:rPr>
                <w:rFonts w:ascii="Arial" w:cs="Arial" w:eastAsia="Arial" w:hAnsi="Arial"/>
                <w:sz w:val="13"/>
                <w:szCs w:val="13"/>
                <w:color w:val="auto"/>
              </w:rPr>
              <w:t>Total Premiums, Performance Net Income, and Net Investment Income</w:t>
            </w:r>
          </w:p>
        </w:tc>
        <w:tc>
          <w:tcPr>
            <w:tcW w:w="5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880" w:type="dxa"/>
            <w:vAlign w:val="bottom"/>
          </w:tcPr>
          <w:p>
            <w:pPr>
              <w:jc w:val="center"/>
              <w:spacing w:after="0" w:line="173" w:lineRule="exact"/>
              <w:rPr>
                <w:sz w:val="20"/>
                <w:szCs w:val="20"/>
                <w:color w:val="auto"/>
              </w:rPr>
            </w:pPr>
            <w:r>
              <w:rPr>
                <w:rFonts w:ascii="Arial" w:cs="Arial" w:eastAsia="Arial" w:hAnsi="Arial"/>
                <w:sz w:val="12"/>
                <w:szCs w:val="12"/>
                <w:b w:val="1"/>
                <w:bCs w:val="1"/>
                <w:color w:val="39B6E9"/>
              </w:rPr>
              <w:t>at 50</w:t>
            </w:r>
            <w:r>
              <w:rPr>
                <w:rFonts w:ascii="Arial" w:cs="Arial" w:eastAsia="Arial" w:hAnsi="Arial"/>
                <w:sz w:val="19"/>
                <w:szCs w:val="19"/>
                <w:b w:val="1"/>
                <w:bCs w:val="1"/>
                <w:color w:val="39B6E9"/>
                <w:vertAlign w:val="superscript"/>
              </w:rPr>
              <w:t>th</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080" w:type="dxa"/>
            <w:vAlign w:val="bottom"/>
            <w:vMerge w:val="restart"/>
          </w:tcPr>
          <w:p>
            <w:pPr>
              <w:ind w:left="280"/>
              <w:spacing w:after="0"/>
              <w:rPr>
                <w:sz w:val="20"/>
                <w:szCs w:val="20"/>
                <w:color w:val="auto"/>
              </w:rPr>
            </w:pPr>
            <w:r>
              <w:rPr>
                <w:rFonts w:ascii="Arial" w:cs="Arial" w:eastAsia="Arial" w:hAnsi="Arial"/>
                <w:sz w:val="13"/>
                <w:szCs w:val="13"/>
                <w:color w:val="105EAB"/>
              </w:rPr>
              <w:t xml:space="preserve">►  </w:t>
            </w:r>
            <w:r>
              <w:rPr>
                <w:rFonts w:ascii="Arial" w:cs="Arial" w:eastAsia="Arial" w:hAnsi="Arial"/>
                <w:sz w:val="13"/>
                <w:szCs w:val="13"/>
                <w:color w:val="000000"/>
              </w:rPr>
              <w:t>Amounts awarded were based on pool funding, established target amounts, and individual performance</w:t>
            </w:r>
          </w:p>
        </w:tc>
        <w:tc>
          <w:tcPr>
            <w:tcW w:w="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880" w:type="dxa"/>
            <w:vAlign w:val="bottom"/>
          </w:tcPr>
          <w:p>
            <w:pPr>
              <w:jc w:val="center"/>
              <w:spacing w:after="0" w:line="118" w:lineRule="exact"/>
              <w:rPr>
                <w:sz w:val="20"/>
                <w:szCs w:val="20"/>
                <w:color w:val="auto"/>
              </w:rPr>
            </w:pPr>
            <w:r>
              <w:rPr>
                <w:rFonts w:ascii="Arial" w:cs="Arial" w:eastAsia="Arial" w:hAnsi="Arial"/>
                <w:sz w:val="13"/>
                <w:szCs w:val="13"/>
                <w:b w:val="1"/>
                <w:bCs w:val="1"/>
                <w:color w:val="39B6E9"/>
              </w:rPr>
              <w:t>percentile</w:t>
            </w:r>
          </w:p>
        </w:tc>
        <w:tc>
          <w:tcPr>
            <w:tcW w:w="220" w:type="dxa"/>
            <w:vAlign w:val="bottom"/>
          </w:tcPr>
          <w:p>
            <w:pPr>
              <w:spacing w:after="0"/>
              <w:rPr>
                <w:sz w:val="12"/>
                <w:szCs w:val="12"/>
                <w:color w:val="auto"/>
              </w:rPr>
            </w:pPr>
          </w:p>
        </w:tc>
        <w:tc>
          <w:tcPr>
            <w:tcW w:w="1280" w:type="dxa"/>
            <w:vAlign w:val="bottom"/>
            <w:tcBorders>
              <w:bottom w:val="single" w:sz="8" w:color="DFF1FB"/>
            </w:tcBorders>
          </w:tcPr>
          <w:p>
            <w:pPr>
              <w:spacing w:after="0"/>
              <w:rPr>
                <w:sz w:val="12"/>
                <w:szCs w:val="12"/>
                <w:color w:val="auto"/>
              </w:rPr>
            </w:pPr>
          </w:p>
        </w:tc>
        <w:tc>
          <w:tcPr>
            <w:tcW w:w="7080" w:type="dxa"/>
            <w:vAlign w:val="bottom"/>
            <w:tcBorders>
              <w:bottom w:val="single" w:sz="8" w:color="DFF1FB"/>
            </w:tcBorders>
            <w:vMerge w:val="continue"/>
          </w:tcPr>
          <w:p>
            <w:pPr>
              <w:spacing w:after="0"/>
              <w:rPr>
                <w:sz w:val="12"/>
                <w:szCs w:val="12"/>
                <w:color w:val="auto"/>
              </w:rPr>
            </w:pPr>
          </w:p>
        </w:tc>
        <w:tc>
          <w:tcPr>
            <w:tcW w:w="500" w:type="dxa"/>
            <w:vAlign w:val="bottom"/>
            <w:tcBorders>
              <w:bottom w:val="single" w:sz="8" w:color="DFF1FB"/>
            </w:tcBorders>
          </w:tcPr>
          <w:p>
            <w:pPr>
              <w:spacing w:after="0"/>
              <w:rPr>
                <w:sz w:val="12"/>
                <w:szCs w:val="12"/>
                <w:color w:val="auto"/>
              </w:rPr>
            </w:pPr>
          </w:p>
        </w:tc>
        <w:tc>
          <w:tcPr>
            <w:tcW w:w="1040" w:type="dxa"/>
            <w:vAlign w:val="bottom"/>
            <w:tcBorders>
              <w:bottom w:val="single" w:sz="8" w:color="DFF1FB"/>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880" w:type="dxa"/>
            <w:vAlign w:val="bottom"/>
          </w:tcPr>
          <w:p>
            <w:pPr>
              <w:jc w:val="center"/>
              <w:spacing w:after="0"/>
              <w:rPr>
                <w:sz w:val="20"/>
                <w:szCs w:val="20"/>
                <w:color w:val="auto"/>
              </w:rPr>
            </w:pPr>
            <w:r>
              <w:rPr>
                <w:rFonts w:ascii="Arial" w:cs="Arial" w:eastAsia="Arial" w:hAnsi="Arial"/>
                <w:sz w:val="13"/>
                <w:szCs w:val="13"/>
                <w:b w:val="1"/>
                <w:bCs w:val="1"/>
                <w:color w:val="39B6E9"/>
              </w:rPr>
              <w:t>of peers</w:t>
            </w:r>
          </w:p>
        </w:tc>
        <w:tc>
          <w:tcPr>
            <w:tcW w:w="220" w:type="dxa"/>
            <w:vAlign w:val="bottom"/>
          </w:tcPr>
          <w:p>
            <w:pPr>
              <w:spacing w:after="0"/>
              <w:rPr>
                <w:sz w:val="14"/>
                <w:szCs w:val="1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Long-term Equity</w:t>
            </w:r>
          </w:p>
        </w:tc>
        <w:tc>
          <w:tcPr>
            <w:tcW w:w="7080" w:type="dxa"/>
            <w:vAlign w:val="bottom"/>
          </w:tcPr>
          <w:p>
            <w:pPr>
              <w:ind w:left="280"/>
              <w:spacing w:after="0"/>
              <w:rPr>
                <w:sz w:val="20"/>
                <w:szCs w:val="20"/>
                <w:color w:val="auto"/>
              </w:rPr>
            </w:pPr>
            <w:r>
              <w:rPr>
                <w:rFonts w:ascii="Arial" w:cs="Arial" w:eastAsia="Arial" w:hAnsi="Arial"/>
                <w:sz w:val="13"/>
                <w:szCs w:val="13"/>
                <w:color w:val="auto"/>
              </w:rPr>
              <w:t>The mix of equity incentives granted in 2018 was 60% performance stock awards (“PSAs”) and 40% stock</w:t>
            </w:r>
          </w:p>
        </w:tc>
        <w:tc>
          <w:tcPr>
            <w:tcW w:w="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Incentive</w:t>
            </w:r>
          </w:p>
        </w:tc>
        <w:tc>
          <w:tcPr>
            <w:tcW w:w="7080" w:type="dxa"/>
            <w:vAlign w:val="bottom"/>
          </w:tcPr>
          <w:p>
            <w:pPr>
              <w:ind w:left="280"/>
              <w:spacing w:after="0"/>
              <w:rPr>
                <w:sz w:val="20"/>
                <w:szCs w:val="20"/>
                <w:color w:val="auto"/>
              </w:rPr>
            </w:pPr>
            <w:r>
              <w:rPr>
                <w:rFonts w:ascii="Arial" w:cs="Arial" w:eastAsia="Arial" w:hAnsi="Arial"/>
                <w:sz w:val="13"/>
                <w:szCs w:val="13"/>
                <w:color w:val="auto"/>
              </w:rPr>
              <w:t>options</w:t>
            </w:r>
          </w:p>
        </w:tc>
        <w:tc>
          <w:tcPr>
            <w:tcW w:w="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-1035685</wp:posOffset>
            </wp:positionV>
            <wp:extent cx="556895" cy="14560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56895" cy="1456055"/>
                    </a:xfrm>
                    <a:prstGeom prst="rect">
                      <a:avLst/>
                    </a:prstGeom>
                    <a:noFill/>
                  </pic:spPr>
                </pic:pic>
              </a:graphicData>
            </a:graphic>
          </wp:anchor>
        </w:drawing>
        <w:drawing>
          <wp:anchor simplePos="0" relativeHeight="251657728" behindDoc="1" locked="0" layoutInCell="0" allowOverlap="1">
            <wp:simplePos x="0" y="0"/>
            <wp:positionH relativeFrom="column">
              <wp:posOffset>6001385</wp:posOffset>
            </wp:positionH>
            <wp:positionV relativeFrom="paragraph">
              <wp:posOffset>-1009650</wp:posOffset>
            </wp:positionV>
            <wp:extent cx="1250315" cy="13963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50315" cy="1396365"/>
                    </a:xfrm>
                    <a:prstGeom prst="rect">
                      <a:avLst/>
                    </a:prstGeom>
                    <a:noFill/>
                  </pic:spPr>
                </pic:pic>
              </a:graphicData>
            </a:graphic>
          </wp:anchor>
        </w:drawing>
      </w:r>
    </w:p>
    <w:p>
      <w:pPr>
        <w:spacing w:after="0" w:line="34" w:lineRule="exact"/>
        <w:rPr>
          <w:sz w:val="20"/>
          <w:szCs w:val="20"/>
          <w:color w:val="auto"/>
        </w:rPr>
      </w:pPr>
    </w:p>
    <w:p>
      <w:pPr>
        <w:ind w:left="2920" w:hanging="268"/>
        <w:spacing w:after="0"/>
        <w:tabs>
          <w:tab w:leader="none" w:pos="2920" w:val="left"/>
        </w:tabs>
        <w:numPr>
          <w:ilvl w:val="1"/>
          <w:numId w:val="14"/>
        </w:numPr>
        <w:rPr>
          <w:rFonts w:ascii="Arial" w:cs="Arial" w:eastAsia="Arial" w:hAnsi="Arial"/>
          <w:sz w:val="13"/>
          <w:szCs w:val="13"/>
          <w:color w:val="105EAB"/>
        </w:rPr>
      </w:pPr>
      <w:r>
        <w:rPr>
          <w:rFonts w:ascii="Arial" w:cs="Arial" w:eastAsia="Arial" w:hAnsi="Arial"/>
          <w:sz w:val="13"/>
          <w:szCs w:val="13"/>
          <w:color w:val="auto"/>
        </w:rPr>
        <w:t>Awards granted were based on target amounts and individual performance</w:t>
      </w:r>
    </w:p>
    <w:p>
      <w:pPr>
        <w:spacing w:after="0" w:line="105" w:lineRule="exact"/>
        <w:rPr>
          <w:rFonts w:ascii="Arial" w:cs="Arial" w:eastAsia="Arial" w:hAnsi="Arial"/>
          <w:sz w:val="13"/>
          <w:szCs w:val="13"/>
          <w:color w:val="105EAB"/>
        </w:rPr>
      </w:pPr>
    </w:p>
    <w:p>
      <w:pPr>
        <w:ind w:left="2920" w:hanging="268"/>
        <w:spacing w:after="0"/>
        <w:tabs>
          <w:tab w:leader="none" w:pos="2920" w:val="left"/>
        </w:tabs>
        <w:numPr>
          <w:ilvl w:val="1"/>
          <w:numId w:val="14"/>
        </w:numPr>
        <w:rPr>
          <w:rFonts w:ascii="Arial" w:cs="Arial" w:eastAsia="Arial" w:hAnsi="Arial"/>
          <w:sz w:val="13"/>
          <w:szCs w:val="13"/>
          <w:color w:val="105EAB"/>
        </w:rPr>
      </w:pPr>
      <w:r>
        <w:rPr>
          <w:rFonts w:ascii="Arial" w:cs="Arial" w:eastAsia="Arial" w:hAnsi="Arial"/>
          <w:sz w:val="13"/>
          <w:szCs w:val="13"/>
          <w:color w:val="auto"/>
        </w:rPr>
        <w:t>Actual PSAs vesting will be determined by Average Performance Net Income Return on Equity (“ROE”)</w:t>
      </w:r>
    </w:p>
    <w:p>
      <w:pPr>
        <w:ind w:left="2920"/>
        <w:spacing w:after="0"/>
        <w:rPr>
          <w:rFonts w:ascii="Arial" w:cs="Arial" w:eastAsia="Arial" w:hAnsi="Arial"/>
          <w:sz w:val="13"/>
          <w:szCs w:val="13"/>
          <w:color w:val="105EAB"/>
        </w:rPr>
      </w:pPr>
      <w:r>
        <w:rPr>
          <w:rFonts w:ascii="Arial" w:cs="Arial" w:eastAsia="Arial" w:hAnsi="Arial"/>
          <w:sz w:val="13"/>
          <w:szCs w:val="13"/>
          <w:color w:val="auto"/>
        </w:rPr>
        <w:t>(70%) and Earned Book Value (30%) results (both measured over a three-year period)</w:t>
      </w:r>
    </w:p>
    <w:p>
      <w:pPr>
        <w:spacing w:after="0" w:line="299" w:lineRule="exact"/>
        <w:rPr>
          <w:rFonts w:ascii="Arial" w:cs="Arial" w:eastAsia="Arial" w:hAnsi="Arial"/>
          <w:sz w:val="13"/>
          <w:szCs w:val="13"/>
          <w:color w:val="105EAB"/>
        </w:rPr>
      </w:pPr>
    </w:p>
    <w:p>
      <w:pPr>
        <w:ind w:left="340" w:hanging="332"/>
        <w:spacing w:after="0" w:line="239" w:lineRule="auto"/>
        <w:tabs>
          <w:tab w:leader="none" w:pos="340" w:val="left"/>
        </w:tabs>
        <w:numPr>
          <w:ilvl w:val="0"/>
          <w:numId w:val="14"/>
        </w:numPr>
        <w:rPr>
          <w:rFonts w:ascii="Arial" w:cs="Arial" w:eastAsia="Arial" w:hAnsi="Arial"/>
          <w:sz w:val="17"/>
          <w:szCs w:val="17"/>
          <w:color w:val="105EAB"/>
        </w:rPr>
      </w:pPr>
      <w:r>
        <w:rPr>
          <w:rFonts w:ascii="Arial" w:cs="Arial" w:eastAsia="Arial" w:hAnsi="Arial"/>
          <w:sz w:val="18"/>
          <w:szCs w:val="18"/>
          <w:color w:val="auto"/>
        </w:rPr>
        <w:t>Allstate achieved all five 2018 Operating Priorities, and financial results improved, with adjusted net income*rising to $2.85 billion in 2018 from $2.47 billion in the prior year.</w:t>
      </w:r>
    </w:p>
    <w:p>
      <w:pPr>
        <w:spacing w:after="0" w:line="100" w:lineRule="exact"/>
        <w:rPr>
          <w:rFonts w:ascii="Arial" w:cs="Arial" w:eastAsia="Arial" w:hAnsi="Arial"/>
          <w:sz w:val="17"/>
          <w:szCs w:val="17"/>
          <w:color w:val="105EAB"/>
        </w:rPr>
      </w:pPr>
    </w:p>
    <w:p>
      <w:pPr>
        <w:jc w:val="both"/>
        <w:ind w:left="340" w:right="80" w:hanging="332"/>
        <w:spacing w:after="0" w:line="237" w:lineRule="auto"/>
        <w:tabs>
          <w:tab w:leader="none" w:pos="340" w:val="left"/>
        </w:tabs>
        <w:numPr>
          <w:ilvl w:val="0"/>
          <w:numId w:val="14"/>
        </w:numPr>
        <w:rPr>
          <w:rFonts w:ascii="Arial" w:cs="Arial" w:eastAsia="Arial" w:hAnsi="Arial"/>
          <w:sz w:val="17"/>
          <w:szCs w:val="17"/>
          <w:color w:val="105EAB"/>
        </w:rPr>
      </w:pPr>
      <w:r>
        <w:rPr>
          <w:rFonts w:ascii="Arial" w:cs="Arial" w:eastAsia="Arial" w:hAnsi="Arial"/>
          <w:sz w:val="18"/>
          <w:szCs w:val="18"/>
          <w:color w:val="auto"/>
        </w:rPr>
        <w:t>Total 2018 compensation for the CEO increased from 2017 by $744,889 to $17,814,076, excluding the change in pension value, as shown in the Summary Compensation Table. Total compensation is aligned with shareholder value with the majority paid in performance share awards and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-887730</wp:posOffset>
            </wp:positionV>
            <wp:extent cx="633857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338570" cy="17145"/>
                    </a:xfrm>
                    <a:prstGeom prst="rect">
                      <a:avLst/>
                    </a:prstGeom>
                    <a:noFill/>
                  </pic:spPr>
                </pic:pic>
              </a:graphicData>
            </a:graphic>
          </wp:anchor>
        </w:drawing>
      </w:r>
    </w:p>
    <w:p>
      <w:pPr>
        <w:spacing w:after="0" w:line="78" w:lineRule="exact"/>
        <w:rPr>
          <w:sz w:val="20"/>
          <w:szCs w:val="20"/>
          <w:color w:val="auto"/>
        </w:rPr>
      </w:pPr>
    </w:p>
    <w:p>
      <w:pPr>
        <w:ind w:left="220" w:right="200" w:hanging="212"/>
        <w:spacing w:after="0" w:line="258" w:lineRule="auto"/>
        <w:tabs>
          <w:tab w:leader="none" w:pos="220" w:val="left"/>
        </w:tabs>
        <w:numPr>
          <w:ilvl w:val="0"/>
          <w:numId w:val="15"/>
        </w:numPr>
        <w:rPr>
          <w:rFonts w:ascii="Arial" w:cs="Arial" w:eastAsia="Arial" w:hAnsi="Arial"/>
          <w:sz w:val="13"/>
          <w:szCs w:val="13"/>
          <w:color w:val="auto"/>
        </w:rPr>
      </w:pPr>
      <w:r>
        <w:rPr>
          <w:rFonts w:ascii="Arial" w:cs="Arial" w:eastAsia="Arial" w:hAnsi="Arial"/>
          <w:sz w:val="13"/>
          <w:szCs w:val="13"/>
          <w:color w:val="auto"/>
        </w:rPr>
        <w:t>Measures used in this proxy statement that are not based on generally accepted accounting principles (“non-GAAP”) are denoted with an asterisk (*). These measures are defined and reconciled to the most directly comparable GAAP measures in Appendix A.</w:t>
      </w:r>
    </w:p>
    <w:p>
      <w:pPr>
        <w:spacing w:after="0" w:line="191"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3"/>
          <w:szCs w:val="13"/>
          <w:b w:val="1"/>
          <w:bCs w:val="1"/>
          <w:color w:val="105EAB"/>
        </w:rPr>
      </w:pPr>
      <w:r>
        <w:rPr>
          <w:rFonts w:ascii="Arial" w:cs="Arial" w:eastAsia="Arial" w:hAnsi="Arial"/>
          <w:sz w:val="13"/>
          <w:szCs w:val="13"/>
          <w:color w:val="105EAB"/>
        </w:rPr>
        <w:t>www.allstateproxy.com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134620</wp:posOffset>
            </wp:positionV>
            <wp:extent cx="7268210"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ind w:left="10240"/>
        <w:spacing w:after="0"/>
        <w:rPr>
          <w:sz w:val="20"/>
          <w:szCs w:val="20"/>
          <w:color w:val="auto"/>
        </w:rPr>
      </w:pPr>
      <w:r>
        <w:rPr>
          <w:rFonts w:ascii="Arial" w:cs="Arial" w:eastAsia="Arial" w:hAnsi="Arial"/>
          <w:sz w:val="13"/>
          <w:szCs w:val="13"/>
          <w:b w:val="1"/>
          <w:bCs w:val="1"/>
          <w:color w:val="105EAB"/>
        </w:rPr>
        <w:t>|  Proxy Summary</w:t>
      </w:r>
    </w:p>
    <w:p>
      <w:pPr>
        <w:spacing w:after="0" w:line="231" w:lineRule="exact"/>
        <w:rPr>
          <w:sz w:val="20"/>
          <w:szCs w:val="20"/>
          <w:color w:val="auto"/>
        </w:rPr>
      </w:pPr>
    </w:p>
    <w:p>
      <w:pPr>
        <w:ind w:left="340" w:right="380" w:hanging="332"/>
        <w:spacing w:after="0" w:line="245" w:lineRule="auto"/>
        <w:tabs>
          <w:tab w:leader="none" w:pos="340" w:val="left"/>
        </w:tabs>
        <w:numPr>
          <w:ilvl w:val="0"/>
          <w:numId w:val="17"/>
        </w:numPr>
        <w:rPr>
          <w:rFonts w:ascii="Arial" w:cs="Arial" w:eastAsia="Arial" w:hAnsi="Arial"/>
          <w:sz w:val="17"/>
          <w:szCs w:val="17"/>
          <w:color w:val="105EAB"/>
        </w:rPr>
      </w:pPr>
      <w:r>
        <w:rPr>
          <w:rFonts w:ascii="Arial" w:cs="Arial" w:eastAsia="Arial" w:hAnsi="Arial"/>
          <w:sz w:val="18"/>
          <w:szCs w:val="18"/>
          <w:color w:val="auto"/>
        </w:rPr>
        <w:t>Based on company and individual performance, the named executives received the following annual incentive payments during the last three years:</w:t>
      </w:r>
    </w:p>
    <w:p>
      <w:pPr>
        <w:spacing w:after="0" w:line="208" w:lineRule="exact"/>
        <w:rPr>
          <w:sz w:val="20"/>
          <w:szCs w:val="20"/>
          <w:color w:val="auto"/>
        </w:rPr>
      </w:pPr>
    </w:p>
    <w:tbl>
      <w:tblPr>
        <w:tblLayout w:type="fixed"/>
        <w:tblInd w:w="340" w:type="dxa"/>
        <w:tblCellMar>
          <w:top w:w="0" w:type="dxa"/>
          <w:left w:w="0" w:type="dxa"/>
          <w:bottom w:w="0" w:type="dxa"/>
          <w:right w:w="0" w:type="dxa"/>
        </w:tblCellMar>
      </w:tblPr>
      <w:tr>
        <w:trPr>
          <w:trHeight w:val="149"/>
        </w:trPr>
        <w:tc>
          <w:tcPr>
            <w:tcW w:w="4680" w:type="dxa"/>
            <w:vAlign w:val="bottom"/>
          </w:tcPr>
          <w:p>
            <w:pPr>
              <w:spacing w:after="0"/>
              <w:rPr>
                <w:sz w:val="13"/>
                <w:szCs w:val="13"/>
                <w:color w:val="auto"/>
              </w:rPr>
            </w:pPr>
          </w:p>
        </w:tc>
        <w:tc>
          <w:tcPr>
            <w:tcW w:w="4480" w:type="dxa"/>
            <w:vAlign w:val="bottom"/>
          </w:tcPr>
          <w:p>
            <w:pPr>
              <w:jc w:val="right"/>
              <w:ind w:right="33"/>
              <w:spacing w:after="0"/>
              <w:rPr>
                <w:sz w:val="20"/>
                <w:szCs w:val="20"/>
                <w:color w:val="auto"/>
              </w:rPr>
            </w:pPr>
            <w:r>
              <w:rPr>
                <w:rFonts w:ascii="Arial" w:cs="Arial" w:eastAsia="Arial" w:hAnsi="Arial"/>
                <w:sz w:val="13"/>
                <w:szCs w:val="13"/>
                <w:b w:val="1"/>
                <w:bCs w:val="1"/>
                <w:color w:val="105EAB"/>
              </w:rPr>
              <w:t>2016 Annual</w:t>
            </w:r>
          </w:p>
        </w:tc>
        <w:tc>
          <w:tcPr>
            <w:tcW w:w="1020" w:type="dxa"/>
            <w:vAlign w:val="bottom"/>
          </w:tcPr>
          <w:p>
            <w:pPr>
              <w:jc w:val="right"/>
              <w:ind w:right="53"/>
              <w:spacing w:after="0"/>
              <w:rPr>
                <w:sz w:val="20"/>
                <w:szCs w:val="20"/>
                <w:color w:val="auto"/>
              </w:rPr>
            </w:pPr>
            <w:r>
              <w:rPr>
                <w:rFonts w:ascii="Arial" w:cs="Arial" w:eastAsia="Arial" w:hAnsi="Arial"/>
                <w:sz w:val="13"/>
                <w:szCs w:val="13"/>
                <w:b w:val="1"/>
                <w:bCs w:val="1"/>
                <w:color w:val="105EAB"/>
              </w:rPr>
              <w:t>2017 Annual</w:t>
            </w:r>
          </w:p>
        </w:tc>
        <w:tc>
          <w:tcPr>
            <w:tcW w:w="900" w:type="dxa"/>
            <w:vAlign w:val="bottom"/>
          </w:tcPr>
          <w:p>
            <w:pPr>
              <w:jc w:val="right"/>
              <w:spacing w:after="0"/>
              <w:rPr>
                <w:sz w:val="20"/>
                <w:szCs w:val="20"/>
                <w:color w:val="auto"/>
              </w:rPr>
            </w:pPr>
            <w:r>
              <w:rPr>
                <w:rFonts w:ascii="Arial" w:cs="Arial" w:eastAsia="Arial" w:hAnsi="Arial"/>
                <w:sz w:val="13"/>
                <w:szCs w:val="13"/>
                <w:b w:val="1"/>
                <w:bCs w:val="1"/>
                <w:color w:val="105EAB"/>
              </w:rPr>
              <w:t>2018 Annual</w:t>
            </w:r>
          </w:p>
        </w:tc>
      </w:tr>
      <w:tr>
        <w:trPr>
          <w:trHeight w:val="148"/>
        </w:trPr>
        <w:tc>
          <w:tcPr>
            <w:tcW w:w="4680" w:type="dxa"/>
            <w:vAlign w:val="bottom"/>
          </w:tcPr>
          <w:p>
            <w:pPr>
              <w:spacing w:after="0"/>
              <w:rPr>
                <w:sz w:val="12"/>
                <w:szCs w:val="12"/>
                <w:color w:val="auto"/>
              </w:rPr>
            </w:pPr>
          </w:p>
        </w:tc>
        <w:tc>
          <w:tcPr>
            <w:tcW w:w="4480" w:type="dxa"/>
            <w:vAlign w:val="bottom"/>
          </w:tcPr>
          <w:p>
            <w:pPr>
              <w:jc w:val="right"/>
              <w:ind w:right="33"/>
              <w:spacing w:after="0" w:line="149" w:lineRule="exact"/>
              <w:rPr>
                <w:sz w:val="20"/>
                <w:szCs w:val="20"/>
                <w:color w:val="auto"/>
              </w:rPr>
            </w:pPr>
            <w:r>
              <w:rPr>
                <w:rFonts w:ascii="Arial" w:cs="Arial" w:eastAsia="Arial" w:hAnsi="Arial"/>
                <w:sz w:val="13"/>
                <w:szCs w:val="13"/>
                <w:b w:val="1"/>
                <w:bCs w:val="1"/>
                <w:color w:val="105EAB"/>
              </w:rPr>
              <w:t>Incentive</w:t>
            </w:r>
          </w:p>
        </w:tc>
        <w:tc>
          <w:tcPr>
            <w:tcW w:w="1020" w:type="dxa"/>
            <w:vAlign w:val="bottom"/>
          </w:tcPr>
          <w:p>
            <w:pPr>
              <w:jc w:val="right"/>
              <w:ind w:right="53"/>
              <w:spacing w:after="0" w:line="149" w:lineRule="exact"/>
              <w:rPr>
                <w:sz w:val="20"/>
                <w:szCs w:val="20"/>
                <w:color w:val="auto"/>
              </w:rPr>
            </w:pPr>
            <w:r>
              <w:rPr>
                <w:rFonts w:ascii="Arial" w:cs="Arial" w:eastAsia="Arial" w:hAnsi="Arial"/>
                <w:sz w:val="13"/>
                <w:szCs w:val="13"/>
                <w:b w:val="1"/>
                <w:bCs w:val="1"/>
                <w:color w:val="105EAB"/>
              </w:rPr>
              <w:t>Incentive</w:t>
            </w:r>
          </w:p>
        </w:tc>
        <w:tc>
          <w:tcPr>
            <w:tcW w:w="900" w:type="dxa"/>
            <w:vAlign w:val="bottom"/>
          </w:tcPr>
          <w:p>
            <w:pPr>
              <w:jc w:val="right"/>
              <w:spacing w:after="0" w:line="149" w:lineRule="exact"/>
              <w:rPr>
                <w:sz w:val="20"/>
                <w:szCs w:val="20"/>
                <w:color w:val="auto"/>
              </w:rPr>
            </w:pPr>
            <w:r>
              <w:rPr>
                <w:rFonts w:ascii="Arial" w:cs="Arial" w:eastAsia="Arial" w:hAnsi="Arial"/>
                <w:sz w:val="13"/>
                <w:szCs w:val="13"/>
                <w:b w:val="1"/>
                <w:bCs w:val="1"/>
                <w:color w:val="105EAB"/>
              </w:rPr>
              <w:t>Incentive</w:t>
            </w:r>
          </w:p>
        </w:tc>
      </w:tr>
      <w:tr>
        <w:trPr>
          <w:trHeight w:val="199"/>
        </w:trPr>
        <w:tc>
          <w:tcPr>
            <w:tcW w:w="4680" w:type="dxa"/>
            <w:vAlign w:val="bottom"/>
            <w:tcBorders>
              <w:bottom w:val="single" w:sz="8" w:color="105EAB"/>
            </w:tcBorders>
          </w:tcPr>
          <w:p>
            <w:pPr>
              <w:spacing w:after="0"/>
              <w:rPr>
                <w:sz w:val="20"/>
                <w:szCs w:val="20"/>
                <w:color w:val="auto"/>
              </w:rPr>
            </w:pPr>
            <w:r>
              <w:rPr>
                <w:rFonts w:ascii="Arial" w:cs="Arial" w:eastAsia="Arial" w:hAnsi="Arial"/>
                <w:sz w:val="13"/>
                <w:szCs w:val="13"/>
                <w:b w:val="1"/>
                <w:bCs w:val="1"/>
                <w:color w:val="105EAB"/>
              </w:rPr>
              <w:t>Named Executive</w:t>
            </w:r>
          </w:p>
        </w:tc>
        <w:tc>
          <w:tcPr>
            <w:tcW w:w="4480" w:type="dxa"/>
            <w:vAlign w:val="bottom"/>
            <w:tcBorders>
              <w:bottom w:val="single" w:sz="8" w:color="105EAB"/>
            </w:tcBorders>
          </w:tcPr>
          <w:p>
            <w:pPr>
              <w:jc w:val="right"/>
              <w:ind w:right="33"/>
              <w:spacing w:after="0"/>
              <w:rPr>
                <w:sz w:val="20"/>
                <w:szCs w:val="20"/>
                <w:color w:val="auto"/>
              </w:rPr>
            </w:pPr>
            <w:r>
              <w:rPr>
                <w:rFonts w:ascii="Arial" w:cs="Arial" w:eastAsia="Arial" w:hAnsi="Arial"/>
                <w:sz w:val="13"/>
                <w:szCs w:val="13"/>
                <w:b w:val="1"/>
                <w:bCs w:val="1"/>
                <w:color w:val="105EAB"/>
              </w:rPr>
              <w:t>($)</w:t>
            </w:r>
          </w:p>
        </w:tc>
        <w:tc>
          <w:tcPr>
            <w:tcW w:w="1020" w:type="dxa"/>
            <w:vAlign w:val="bottom"/>
            <w:tcBorders>
              <w:bottom w:val="single" w:sz="8" w:color="105EAB"/>
            </w:tcBorders>
          </w:tcPr>
          <w:p>
            <w:pPr>
              <w:jc w:val="right"/>
              <w:ind w:right="53"/>
              <w:spacing w:after="0"/>
              <w:rPr>
                <w:sz w:val="20"/>
                <w:szCs w:val="20"/>
                <w:color w:val="auto"/>
              </w:rPr>
            </w:pPr>
            <w:r>
              <w:rPr>
                <w:rFonts w:ascii="Arial" w:cs="Arial" w:eastAsia="Arial" w:hAnsi="Arial"/>
                <w:sz w:val="13"/>
                <w:szCs w:val="13"/>
                <w:b w:val="1"/>
                <w:bCs w:val="1"/>
                <w:color w:val="105EAB"/>
              </w:rPr>
              <w:t>($)</w:t>
            </w:r>
          </w:p>
        </w:tc>
        <w:tc>
          <w:tcPr>
            <w:tcW w:w="900" w:type="dxa"/>
            <w:vAlign w:val="bottom"/>
            <w:tcBorders>
              <w:bottom w:val="single" w:sz="8" w:color="105EAB"/>
            </w:tcBorders>
          </w:tcPr>
          <w:p>
            <w:pPr>
              <w:jc w:val="right"/>
              <w:spacing w:after="0"/>
              <w:rPr>
                <w:sz w:val="20"/>
                <w:szCs w:val="20"/>
                <w:color w:val="auto"/>
              </w:rPr>
            </w:pPr>
            <w:r>
              <w:rPr>
                <w:rFonts w:ascii="Arial" w:cs="Arial" w:eastAsia="Arial" w:hAnsi="Arial"/>
                <w:sz w:val="13"/>
                <w:szCs w:val="13"/>
                <w:b w:val="1"/>
                <w:bCs w:val="1"/>
                <w:color w:val="105EAB"/>
              </w:rPr>
              <w:t>($)</w:t>
            </w:r>
          </w:p>
        </w:tc>
      </w:tr>
      <w:tr>
        <w:trPr>
          <w:trHeight w:val="202"/>
        </w:trPr>
        <w:tc>
          <w:tcPr>
            <w:tcW w:w="4680" w:type="dxa"/>
            <w:vAlign w:val="bottom"/>
          </w:tcPr>
          <w:p>
            <w:pPr>
              <w:spacing w:after="0"/>
              <w:rPr>
                <w:sz w:val="20"/>
                <w:szCs w:val="20"/>
                <w:color w:val="auto"/>
              </w:rPr>
            </w:pPr>
            <w:r>
              <w:rPr>
                <w:rFonts w:ascii="Arial" w:cs="Arial" w:eastAsia="Arial" w:hAnsi="Arial"/>
                <w:sz w:val="13"/>
                <w:szCs w:val="13"/>
                <w:b w:val="1"/>
                <w:bCs w:val="1"/>
                <w:color w:val="105EAB"/>
              </w:rPr>
              <w:t>Mr. Wilson</w:t>
            </w:r>
          </w:p>
        </w:tc>
        <w:tc>
          <w:tcPr>
            <w:tcW w:w="4480" w:type="dxa"/>
            <w:vAlign w:val="bottom"/>
          </w:tcPr>
          <w:p>
            <w:pPr>
              <w:jc w:val="right"/>
              <w:ind w:right="33"/>
              <w:spacing w:after="0"/>
              <w:rPr>
                <w:sz w:val="20"/>
                <w:szCs w:val="20"/>
                <w:color w:val="auto"/>
              </w:rPr>
            </w:pPr>
            <w:r>
              <w:rPr>
                <w:rFonts w:ascii="Arial" w:cs="Arial" w:eastAsia="Arial" w:hAnsi="Arial"/>
                <w:sz w:val="13"/>
                <w:szCs w:val="13"/>
                <w:color w:val="auto"/>
              </w:rPr>
              <w:t>1,982,880</w:t>
            </w:r>
          </w:p>
        </w:tc>
        <w:tc>
          <w:tcPr>
            <w:tcW w:w="1020" w:type="dxa"/>
            <w:vAlign w:val="bottom"/>
          </w:tcPr>
          <w:p>
            <w:pPr>
              <w:jc w:val="right"/>
              <w:ind w:right="53"/>
              <w:spacing w:after="0"/>
              <w:rPr>
                <w:sz w:val="20"/>
                <w:szCs w:val="20"/>
                <w:color w:val="auto"/>
              </w:rPr>
            </w:pPr>
            <w:r>
              <w:rPr>
                <w:rFonts w:ascii="Arial" w:cs="Arial" w:eastAsia="Arial" w:hAnsi="Arial"/>
                <w:sz w:val="13"/>
                <w:szCs w:val="13"/>
                <w:color w:val="auto"/>
              </w:rPr>
              <w:t>6,759,264</w:t>
            </w:r>
          </w:p>
        </w:tc>
        <w:tc>
          <w:tcPr>
            <w:tcW w:w="900" w:type="dxa"/>
            <w:vAlign w:val="bottom"/>
          </w:tcPr>
          <w:p>
            <w:pPr>
              <w:jc w:val="right"/>
              <w:spacing w:after="0"/>
              <w:rPr>
                <w:sz w:val="20"/>
                <w:szCs w:val="20"/>
                <w:color w:val="auto"/>
              </w:rPr>
            </w:pPr>
            <w:r>
              <w:rPr>
                <w:rFonts w:ascii="Arial" w:cs="Arial" w:eastAsia="Arial" w:hAnsi="Arial"/>
                <w:sz w:val="13"/>
                <w:szCs w:val="13"/>
                <w:color w:val="auto"/>
              </w:rPr>
              <w:t>6,719,194</w:t>
            </w:r>
          </w:p>
        </w:tc>
      </w:tr>
      <w:tr>
        <w:trPr>
          <w:trHeight w:val="41"/>
        </w:trPr>
        <w:tc>
          <w:tcPr>
            <w:tcW w:w="4680" w:type="dxa"/>
            <w:vAlign w:val="bottom"/>
            <w:tcBorders>
              <w:bottom w:val="single" w:sz="8" w:color="DFF1FB"/>
            </w:tcBorders>
          </w:tcPr>
          <w:p>
            <w:pPr>
              <w:spacing w:after="0"/>
              <w:rPr>
                <w:sz w:val="3"/>
                <w:szCs w:val="3"/>
                <w:color w:val="auto"/>
              </w:rPr>
            </w:pPr>
          </w:p>
        </w:tc>
        <w:tc>
          <w:tcPr>
            <w:tcW w:w="4480" w:type="dxa"/>
            <w:vAlign w:val="bottom"/>
            <w:tcBorders>
              <w:bottom w:val="single" w:sz="8" w:color="DFF1FB"/>
            </w:tcBorders>
          </w:tcPr>
          <w:p>
            <w:pPr>
              <w:spacing w:after="0"/>
              <w:rPr>
                <w:sz w:val="3"/>
                <w:szCs w:val="3"/>
                <w:color w:val="auto"/>
              </w:rPr>
            </w:pPr>
          </w:p>
        </w:tc>
        <w:tc>
          <w:tcPr>
            <w:tcW w:w="1020" w:type="dxa"/>
            <w:vAlign w:val="bottom"/>
            <w:tcBorders>
              <w:bottom w:val="single" w:sz="8" w:color="DFF1FB"/>
            </w:tcBorders>
          </w:tcPr>
          <w:p>
            <w:pPr>
              <w:spacing w:after="0"/>
              <w:rPr>
                <w:sz w:val="3"/>
                <w:szCs w:val="3"/>
                <w:color w:val="auto"/>
              </w:rPr>
            </w:pPr>
          </w:p>
        </w:tc>
        <w:tc>
          <w:tcPr>
            <w:tcW w:w="900" w:type="dxa"/>
            <w:vAlign w:val="bottom"/>
            <w:tcBorders>
              <w:bottom w:val="single" w:sz="8" w:color="DFF1FB"/>
            </w:tcBorders>
          </w:tcPr>
          <w:p>
            <w:pPr>
              <w:spacing w:after="0"/>
              <w:rPr>
                <w:sz w:val="3"/>
                <w:szCs w:val="3"/>
                <w:color w:val="auto"/>
              </w:rPr>
            </w:pPr>
          </w:p>
        </w:tc>
      </w:tr>
      <w:tr>
        <w:trPr>
          <w:trHeight w:val="290"/>
        </w:trPr>
        <w:tc>
          <w:tcPr>
            <w:tcW w:w="4680" w:type="dxa"/>
            <w:vAlign w:val="bottom"/>
            <w:tcBorders>
              <w:bottom w:val="single" w:sz="8" w:color="DFF1FB"/>
            </w:tcBorders>
          </w:tcPr>
          <w:p>
            <w:pPr>
              <w:spacing w:after="0"/>
              <w:rPr>
                <w:sz w:val="20"/>
                <w:szCs w:val="20"/>
                <w:color w:val="auto"/>
              </w:rPr>
            </w:pPr>
            <w:r>
              <w:rPr>
                <w:rFonts w:ascii="Arial" w:cs="Arial" w:eastAsia="Arial" w:hAnsi="Arial"/>
                <w:sz w:val="13"/>
                <w:szCs w:val="13"/>
                <w:b w:val="1"/>
                <w:bCs w:val="1"/>
                <w:color w:val="105EAB"/>
              </w:rPr>
              <w:t>Mr. Rizzo</w:t>
            </w:r>
            <w:r>
              <w:rPr>
                <w:rFonts w:ascii="Arial" w:cs="Arial" w:eastAsia="Arial" w:hAnsi="Arial"/>
                <w:sz w:val="22"/>
                <w:szCs w:val="22"/>
                <w:b w:val="1"/>
                <w:bCs w:val="1"/>
                <w:color w:val="105EAB"/>
                <w:vertAlign w:val="superscript"/>
              </w:rPr>
              <w:t>(1)</w:t>
            </w:r>
          </w:p>
        </w:tc>
        <w:tc>
          <w:tcPr>
            <w:tcW w:w="4480" w:type="dxa"/>
            <w:vAlign w:val="bottom"/>
            <w:tcBorders>
              <w:bottom w:val="single" w:sz="8" w:color="DFF1FB"/>
            </w:tcBorders>
          </w:tcPr>
          <w:p>
            <w:pPr>
              <w:jc w:val="right"/>
              <w:ind w:right="33"/>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DFF1FB"/>
            </w:tcBorders>
          </w:tcPr>
          <w:p>
            <w:pPr>
              <w:jc w:val="right"/>
              <w:ind w:right="53"/>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DFF1FB"/>
            </w:tcBorders>
          </w:tcPr>
          <w:p>
            <w:pPr>
              <w:jc w:val="right"/>
              <w:spacing w:after="0"/>
              <w:rPr>
                <w:sz w:val="20"/>
                <w:szCs w:val="20"/>
                <w:color w:val="auto"/>
              </w:rPr>
            </w:pPr>
            <w:r>
              <w:rPr>
                <w:rFonts w:ascii="Arial" w:cs="Arial" w:eastAsia="Arial" w:hAnsi="Arial"/>
                <w:sz w:val="13"/>
                <w:szCs w:val="13"/>
                <w:color w:val="auto"/>
              </w:rPr>
              <w:t>1,510,788</w:t>
            </w:r>
          </w:p>
        </w:tc>
      </w:tr>
      <w:tr>
        <w:trPr>
          <w:trHeight w:val="290"/>
        </w:trPr>
        <w:tc>
          <w:tcPr>
            <w:tcW w:w="4680" w:type="dxa"/>
            <w:vAlign w:val="bottom"/>
            <w:tcBorders>
              <w:bottom w:val="single" w:sz="8" w:color="DFF1FB"/>
            </w:tcBorders>
          </w:tcPr>
          <w:p>
            <w:pPr>
              <w:spacing w:after="0"/>
              <w:rPr>
                <w:sz w:val="20"/>
                <w:szCs w:val="20"/>
                <w:color w:val="auto"/>
              </w:rPr>
            </w:pPr>
            <w:r>
              <w:rPr>
                <w:rFonts w:ascii="Arial" w:cs="Arial" w:eastAsia="Arial" w:hAnsi="Arial"/>
                <w:sz w:val="13"/>
                <w:szCs w:val="13"/>
                <w:b w:val="1"/>
                <w:bCs w:val="1"/>
                <w:color w:val="105EAB"/>
              </w:rPr>
              <w:t>Mr. Dugenske</w:t>
            </w:r>
            <w:r>
              <w:rPr>
                <w:rFonts w:ascii="Arial" w:cs="Arial" w:eastAsia="Arial" w:hAnsi="Arial"/>
                <w:sz w:val="22"/>
                <w:szCs w:val="22"/>
                <w:b w:val="1"/>
                <w:bCs w:val="1"/>
                <w:color w:val="105EAB"/>
                <w:vertAlign w:val="superscript"/>
              </w:rPr>
              <w:t>(1)</w:t>
            </w:r>
          </w:p>
        </w:tc>
        <w:tc>
          <w:tcPr>
            <w:tcW w:w="4480" w:type="dxa"/>
            <w:vAlign w:val="bottom"/>
            <w:tcBorders>
              <w:bottom w:val="single" w:sz="8" w:color="DFF1FB"/>
            </w:tcBorders>
          </w:tcPr>
          <w:p>
            <w:pPr>
              <w:jc w:val="right"/>
              <w:ind w:right="33"/>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DFF1FB"/>
            </w:tcBorders>
          </w:tcPr>
          <w:p>
            <w:pPr>
              <w:jc w:val="right"/>
              <w:ind w:right="53"/>
              <w:spacing w:after="0"/>
              <w:rPr>
                <w:sz w:val="20"/>
                <w:szCs w:val="20"/>
                <w:color w:val="auto"/>
              </w:rPr>
            </w:pPr>
            <w:r>
              <w:rPr>
                <w:rFonts w:ascii="Arial" w:cs="Arial" w:eastAsia="Arial" w:hAnsi="Arial"/>
                <w:sz w:val="13"/>
                <w:szCs w:val="13"/>
                <w:color w:val="auto"/>
              </w:rPr>
              <w:t>1,377,908</w:t>
            </w:r>
          </w:p>
        </w:tc>
        <w:tc>
          <w:tcPr>
            <w:tcW w:w="900" w:type="dxa"/>
            <w:vAlign w:val="bottom"/>
            <w:tcBorders>
              <w:bottom w:val="single" w:sz="8" w:color="DFF1FB"/>
            </w:tcBorders>
          </w:tcPr>
          <w:p>
            <w:pPr>
              <w:jc w:val="right"/>
              <w:spacing w:after="0"/>
              <w:rPr>
                <w:sz w:val="20"/>
                <w:szCs w:val="20"/>
                <w:color w:val="auto"/>
              </w:rPr>
            </w:pPr>
            <w:r>
              <w:rPr>
                <w:rFonts w:ascii="Arial" w:cs="Arial" w:eastAsia="Arial" w:hAnsi="Arial"/>
                <w:sz w:val="13"/>
                <w:szCs w:val="13"/>
                <w:color w:val="auto"/>
              </w:rPr>
              <w:t>1,616,607</w:t>
            </w:r>
          </w:p>
        </w:tc>
      </w:tr>
      <w:tr>
        <w:trPr>
          <w:trHeight w:val="290"/>
        </w:trPr>
        <w:tc>
          <w:tcPr>
            <w:tcW w:w="4680" w:type="dxa"/>
            <w:vAlign w:val="bottom"/>
            <w:tcBorders>
              <w:bottom w:val="single" w:sz="8" w:color="DFF1FB"/>
            </w:tcBorders>
          </w:tcPr>
          <w:p>
            <w:pPr>
              <w:spacing w:after="0"/>
              <w:rPr>
                <w:sz w:val="20"/>
                <w:szCs w:val="20"/>
                <w:color w:val="auto"/>
              </w:rPr>
            </w:pPr>
            <w:r>
              <w:rPr>
                <w:rFonts w:ascii="Arial" w:cs="Arial" w:eastAsia="Arial" w:hAnsi="Arial"/>
                <w:sz w:val="13"/>
                <w:szCs w:val="13"/>
                <w:b w:val="1"/>
                <w:bCs w:val="1"/>
                <w:color w:val="105EAB"/>
              </w:rPr>
              <w:t>Mr. Shapiro</w:t>
            </w:r>
            <w:r>
              <w:rPr>
                <w:rFonts w:ascii="Arial" w:cs="Arial" w:eastAsia="Arial" w:hAnsi="Arial"/>
                <w:sz w:val="22"/>
                <w:szCs w:val="22"/>
                <w:b w:val="1"/>
                <w:bCs w:val="1"/>
                <w:color w:val="105EAB"/>
                <w:vertAlign w:val="superscript"/>
              </w:rPr>
              <w:t>(1)</w:t>
            </w:r>
          </w:p>
        </w:tc>
        <w:tc>
          <w:tcPr>
            <w:tcW w:w="4480" w:type="dxa"/>
            <w:vAlign w:val="bottom"/>
            <w:tcBorders>
              <w:bottom w:val="single" w:sz="8" w:color="DFF1FB"/>
            </w:tcBorders>
          </w:tcPr>
          <w:p>
            <w:pPr>
              <w:jc w:val="right"/>
              <w:ind w:right="33"/>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DFF1FB"/>
            </w:tcBorders>
          </w:tcPr>
          <w:p>
            <w:pPr>
              <w:jc w:val="right"/>
              <w:ind w:right="53"/>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DFF1FB"/>
            </w:tcBorders>
          </w:tcPr>
          <w:p>
            <w:pPr>
              <w:jc w:val="right"/>
              <w:spacing w:after="0"/>
              <w:rPr>
                <w:sz w:val="20"/>
                <w:szCs w:val="20"/>
                <w:color w:val="auto"/>
              </w:rPr>
            </w:pPr>
            <w:r>
              <w:rPr>
                <w:rFonts w:ascii="Arial" w:cs="Arial" w:eastAsia="Arial" w:hAnsi="Arial"/>
                <w:sz w:val="13"/>
                <w:szCs w:val="13"/>
                <w:color w:val="auto"/>
              </w:rPr>
              <w:t>2,050,000</w:t>
            </w:r>
          </w:p>
        </w:tc>
      </w:tr>
      <w:tr>
        <w:trPr>
          <w:trHeight w:val="195"/>
        </w:trPr>
        <w:tc>
          <w:tcPr>
            <w:tcW w:w="4680" w:type="dxa"/>
            <w:vAlign w:val="bottom"/>
          </w:tcPr>
          <w:p>
            <w:pPr>
              <w:spacing w:after="0"/>
              <w:rPr>
                <w:sz w:val="20"/>
                <w:szCs w:val="20"/>
                <w:color w:val="auto"/>
              </w:rPr>
            </w:pPr>
            <w:r>
              <w:rPr>
                <w:rFonts w:ascii="Arial" w:cs="Arial" w:eastAsia="Arial" w:hAnsi="Arial"/>
                <w:sz w:val="13"/>
                <w:szCs w:val="13"/>
                <w:b w:val="1"/>
                <w:bCs w:val="1"/>
                <w:color w:val="105EAB"/>
              </w:rPr>
              <w:t>Mr. Shebik</w:t>
            </w:r>
          </w:p>
        </w:tc>
        <w:tc>
          <w:tcPr>
            <w:tcW w:w="4480" w:type="dxa"/>
            <w:vAlign w:val="bottom"/>
          </w:tcPr>
          <w:p>
            <w:pPr>
              <w:jc w:val="right"/>
              <w:ind w:right="33"/>
              <w:spacing w:after="0"/>
              <w:rPr>
                <w:sz w:val="20"/>
                <w:szCs w:val="20"/>
                <w:color w:val="auto"/>
              </w:rPr>
            </w:pPr>
            <w:r>
              <w:rPr>
                <w:rFonts w:ascii="Arial" w:cs="Arial" w:eastAsia="Arial" w:hAnsi="Arial"/>
                <w:sz w:val="13"/>
                <w:szCs w:val="13"/>
                <w:color w:val="auto"/>
              </w:rPr>
              <w:t>600,000</w:t>
            </w:r>
          </w:p>
        </w:tc>
        <w:tc>
          <w:tcPr>
            <w:tcW w:w="1020" w:type="dxa"/>
            <w:vAlign w:val="bottom"/>
          </w:tcPr>
          <w:p>
            <w:pPr>
              <w:jc w:val="right"/>
              <w:ind w:right="53"/>
              <w:spacing w:after="0"/>
              <w:rPr>
                <w:sz w:val="20"/>
                <w:szCs w:val="20"/>
                <w:color w:val="auto"/>
              </w:rPr>
            </w:pPr>
            <w:r>
              <w:rPr>
                <w:rFonts w:ascii="Arial" w:cs="Arial" w:eastAsia="Arial" w:hAnsi="Arial"/>
                <w:sz w:val="13"/>
                <w:szCs w:val="13"/>
                <w:color w:val="auto"/>
              </w:rPr>
              <w:t>2,600,000</w:t>
            </w:r>
          </w:p>
        </w:tc>
        <w:tc>
          <w:tcPr>
            <w:tcW w:w="900" w:type="dxa"/>
            <w:vAlign w:val="bottom"/>
          </w:tcPr>
          <w:p>
            <w:pPr>
              <w:jc w:val="right"/>
              <w:spacing w:after="0"/>
              <w:rPr>
                <w:sz w:val="20"/>
                <w:szCs w:val="20"/>
                <w:color w:val="auto"/>
              </w:rPr>
            </w:pPr>
            <w:r>
              <w:rPr>
                <w:rFonts w:ascii="Arial" w:cs="Arial" w:eastAsia="Arial" w:hAnsi="Arial"/>
                <w:sz w:val="13"/>
                <w:szCs w:val="13"/>
                <w:color w:val="auto"/>
              </w:rPr>
              <w:t>2,945,289</w:t>
            </w:r>
          </w:p>
        </w:tc>
      </w:tr>
      <w:tr>
        <w:trPr>
          <w:trHeight w:val="48"/>
        </w:trPr>
        <w:tc>
          <w:tcPr>
            <w:tcW w:w="4680" w:type="dxa"/>
            <w:vAlign w:val="bottom"/>
            <w:tcBorders>
              <w:bottom w:val="single" w:sz="8" w:color="105EAB"/>
            </w:tcBorders>
          </w:tcPr>
          <w:p>
            <w:pPr>
              <w:spacing w:after="0"/>
              <w:rPr>
                <w:sz w:val="4"/>
                <w:szCs w:val="4"/>
                <w:color w:val="auto"/>
              </w:rPr>
            </w:pPr>
          </w:p>
        </w:tc>
        <w:tc>
          <w:tcPr>
            <w:tcW w:w="4480" w:type="dxa"/>
            <w:vAlign w:val="bottom"/>
            <w:tcBorders>
              <w:bottom w:val="single" w:sz="8" w:color="105EAB"/>
            </w:tcBorders>
          </w:tcPr>
          <w:p>
            <w:pPr>
              <w:spacing w:after="0"/>
              <w:rPr>
                <w:sz w:val="4"/>
                <w:szCs w:val="4"/>
                <w:color w:val="auto"/>
              </w:rPr>
            </w:pPr>
          </w:p>
        </w:tc>
        <w:tc>
          <w:tcPr>
            <w:tcW w:w="1020" w:type="dxa"/>
            <w:vAlign w:val="bottom"/>
            <w:tcBorders>
              <w:bottom w:val="single" w:sz="8" w:color="105EAB"/>
            </w:tcBorders>
          </w:tcPr>
          <w:p>
            <w:pPr>
              <w:spacing w:after="0"/>
              <w:rPr>
                <w:sz w:val="4"/>
                <w:szCs w:val="4"/>
                <w:color w:val="auto"/>
              </w:rPr>
            </w:pPr>
          </w:p>
        </w:tc>
        <w:tc>
          <w:tcPr>
            <w:tcW w:w="900" w:type="dxa"/>
            <w:vAlign w:val="bottom"/>
            <w:tcBorders>
              <w:bottom w:val="single" w:sz="8" w:color="105EAB"/>
            </w:tcBorders>
          </w:tcPr>
          <w:p>
            <w:pPr>
              <w:spacing w:after="0"/>
              <w:rPr>
                <w:sz w:val="4"/>
                <w:szCs w:val="4"/>
                <w:color w:val="auto"/>
              </w:rPr>
            </w:pPr>
          </w:p>
        </w:tc>
      </w:tr>
    </w:tbl>
    <w:p>
      <w:pPr>
        <w:spacing w:after="0" w:line="107" w:lineRule="exact"/>
        <w:rPr>
          <w:sz w:val="20"/>
          <w:szCs w:val="20"/>
          <w:color w:val="auto"/>
        </w:rPr>
      </w:pPr>
    </w:p>
    <w:p>
      <w:pPr>
        <w:ind w:left="560" w:right="180" w:hanging="282"/>
        <w:spacing w:after="0" w:line="258" w:lineRule="auto"/>
        <w:tabs>
          <w:tab w:leader="none" w:pos="560" w:val="left"/>
        </w:tabs>
        <w:numPr>
          <w:ilvl w:val="0"/>
          <w:numId w:val="18"/>
        </w:numPr>
        <w:rPr>
          <w:rFonts w:ascii="Arial" w:cs="Arial" w:eastAsia="Arial" w:hAnsi="Arial"/>
          <w:sz w:val="11"/>
          <w:szCs w:val="11"/>
          <w:color w:val="auto"/>
        </w:rPr>
      </w:pPr>
      <w:r>
        <w:rPr>
          <w:rFonts w:ascii="Arial" w:cs="Arial" w:eastAsia="Arial" w:hAnsi="Arial"/>
          <w:sz w:val="13"/>
          <w:szCs w:val="13"/>
          <w:color w:val="auto"/>
        </w:rPr>
        <w:t>For Messrs. Rizzo and Shapiro, only the last fiscal year is shown as this is their first year as named executives. For Mr. Dugenske, only the last two fiscal years are shown as this is his second year as a named executive. Mr. Dugenske’s 2017 award was prorated based on his March 2017 start date.</w:t>
      </w:r>
    </w:p>
    <w:p>
      <w:pPr>
        <w:spacing w:after="0" w:line="199"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940" w:type="dxa"/>
            <w:vAlign w:val="bottom"/>
            <w:tcBorders>
              <w:top w:val="single" w:sz="8" w:color="39B6E9"/>
              <w:left w:val="single" w:sz="8" w:color="39B6E9"/>
            </w:tcBorders>
            <w:vMerge w:val="restart"/>
          </w:tcPr>
          <w:p>
            <w:pPr>
              <w:ind w:left="140"/>
              <w:spacing w:after="0"/>
              <w:rPr>
                <w:sz w:val="20"/>
                <w:szCs w:val="20"/>
                <w:color w:val="auto"/>
              </w:rPr>
            </w:pPr>
            <w:r>
              <w:rPr>
                <w:rFonts w:ascii="Arial" w:cs="Arial" w:eastAsia="Arial" w:hAnsi="Arial"/>
                <w:sz w:val="13"/>
                <w:szCs w:val="13"/>
                <w:color w:val="39B6E9"/>
              </w:rPr>
              <w:t>PROPOSAL</w:t>
            </w:r>
          </w:p>
        </w:tc>
        <w:tc>
          <w:tcPr>
            <w:tcW w:w="660" w:type="dxa"/>
            <w:vAlign w:val="bottom"/>
            <w:tcBorders>
              <w:top w:val="single" w:sz="8" w:color="39B6E9"/>
              <w:right w:val="single" w:sz="8" w:color="39B6E9"/>
            </w:tcBorders>
          </w:tcPr>
          <w:p>
            <w:pPr>
              <w:jc w:val="right"/>
              <w:ind w:right="144"/>
              <w:spacing w:after="0" w:line="269" w:lineRule="exact"/>
              <w:rPr>
                <w:sz w:val="20"/>
                <w:szCs w:val="20"/>
                <w:color w:val="auto"/>
              </w:rPr>
            </w:pPr>
            <w:r>
              <w:rPr>
                <w:rFonts w:ascii="Arial" w:cs="Arial" w:eastAsia="Arial" w:hAnsi="Arial"/>
                <w:sz w:val="31"/>
                <w:szCs w:val="31"/>
                <w:b w:val="1"/>
                <w:bCs w:val="1"/>
                <w:color w:val="39B6E9"/>
              </w:rPr>
              <w:t>3</w:t>
            </w:r>
          </w:p>
        </w:tc>
        <w:tc>
          <w:tcPr>
            <w:tcW w:w="100" w:type="dxa"/>
            <w:vAlign w:val="bottom"/>
          </w:tcPr>
          <w:p>
            <w:pPr>
              <w:spacing w:after="0"/>
              <w:rPr>
                <w:sz w:val="23"/>
                <w:szCs w:val="23"/>
                <w:color w:val="auto"/>
              </w:rPr>
            </w:pPr>
          </w:p>
        </w:tc>
        <w:tc>
          <w:tcPr>
            <w:tcW w:w="7620" w:type="dxa"/>
            <w:vAlign w:val="bottom"/>
            <w:tcBorders>
              <w:top w:val="single" w:sz="8" w:color="39B6E9"/>
              <w:right w:val="single" w:sz="8" w:color="39B6E9"/>
            </w:tcBorders>
            <w:vMerge w:val="restart"/>
          </w:tcPr>
          <w:p>
            <w:pPr>
              <w:ind w:left="60"/>
              <w:spacing w:after="0"/>
              <w:rPr>
                <w:sz w:val="20"/>
                <w:szCs w:val="20"/>
                <w:color w:val="auto"/>
              </w:rPr>
            </w:pPr>
            <w:r>
              <w:rPr>
                <w:rFonts w:ascii="Arial" w:cs="Arial" w:eastAsia="Arial" w:hAnsi="Arial"/>
                <w:sz w:val="22"/>
                <w:szCs w:val="22"/>
                <w:b w:val="1"/>
                <w:bCs w:val="1"/>
                <w:color w:val="39B6E9"/>
              </w:rPr>
              <w:t>Approval of the 2019 Equity Incentive Plan</w:t>
            </w:r>
          </w:p>
        </w:tc>
        <w:tc>
          <w:tcPr>
            <w:tcW w:w="100" w:type="dxa"/>
            <w:vAlign w:val="bottom"/>
          </w:tcPr>
          <w:p>
            <w:pPr>
              <w:spacing w:after="0"/>
              <w:rPr>
                <w:sz w:val="23"/>
                <w:szCs w:val="23"/>
                <w:color w:val="auto"/>
              </w:rPr>
            </w:pPr>
          </w:p>
        </w:tc>
        <w:tc>
          <w:tcPr>
            <w:tcW w:w="2000" w:type="dxa"/>
            <w:vAlign w:val="bottom"/>
            <w:tcBorders>
              <w:top w:val="single" w:sz="8" w:color="39B6E9"/>
              <w:right w:val="single" w:sz="8" w:color="39B6E9"/>
            </w:tcBorders>
            <w:vMerge w:val="restart"/>
          </w:tcPr>
          <w:p>
            <w:pPr>
              <w:ind w:left="400"/>
              <w:spacing w:after="0"/>
              <w:rPr>
                <w:sz w:val="20"/>
                <w:szCs w:val="20"/>
                <w:color w:val="auto"/>
              </w:rPr>
            </w:pPr>
            <w:r>
              <w:rPr>
                <w:rFonts w:ascii="Arial" w:cs="Arial" w:eastAsia="Arial" w:hAnsi="Arial"/>
                <w:sz w:val="13"/>
                <w:szCs w:val="13"/>
                <w:color w:val="auto"/>
              </w:rPr>
              <w:t xml:space="preserve">See </w:t>
            </w:r>
            <w:r>
              <w:rPr>
                <w:rFonts w:ascii="Arial" w:cs="Arial" w:eastAsia="Arial" w:hAnsi="Arial"/>
                <w:sz w:val="13"/>
                <w:szCs w:val="13"/>
                <w:b w:val="1"/>
                <w:bCs w:val="1"/>
                <w:color w:val="39B6E9"/>
              </w:rPr>
              <w:t>pages 71-82</w:t>
            </w:r>
          </w:p>
        </w:tc>
        <w:tc>
          <w:tcPr>
            <w:tcW w:w="0" w:type="dxa"/>
            <w:vAlign w:val="bottom"/>
          </w:tcPr>
          <w:p>
            <w:pPr>
              <w:spacing w:after="0"/>
              <w:rPr>
                <w:sz w:val="1"/>
                <w:szCs w:val="1"/>
                <w:color w:val="auto"/>
              </w:rPr>
            </w:pPr>
          </w:p>
        </w:tc>
      </w:tr>
      <w:tr>
        <w:trPr>
          <w:trHeight w:val="26"/>
        </w:trPr>
        <w:tc>
          <w:tcPr>
            <w:tcW w:w="940" w:type="dxa"/>
            <w:vAlign w:val="bottom"/>
            <w:tcBorders>
              <w:left w:val="single" w:sz="8" w:color="39B6E9"/>
            </w:tcBorders>
            <w:vMerge w:val="continue"/>
          </w:tcPr>
          <w:p>
            <w:pPr>
              <w:spacing w:after="0"/>
              <w:rPr>
                <w:sz w:val="2"/>
                <w:szCs w:val="2"/>
                <w:color w:val="auto"/>
              </w:rPr>
            </w:pPr>
          </w:p>
        </w:tc>
        <w:tc>
          <w:tcPr>
            <w:tcW w:w="660" w:type="dxa"/>
            <w:vAlign w:val="bottom"/>
            <w:tcBorders>
              <w:right w:val="single" w:sz="8" w:color="39B6E9"/>
            </w:tcBorders>
          </w:tcPr>
          <w:p>
            <w:pPr>
              <w:spacing w:after="0"/>
              <w:rPr>
                <w:sz w:val="2"/>
                <w:szCs w:val="2"/>
                <w:color w:val="auto"/>
              </w:rPr>
            </w:pPr>
          </w:p>
        </w:tc>
        <w:tc>
          <w:tcPr>
            <w:tcW w:w="100" w:type="dxa"/>
            <w:vAlign w:val="bottom"/>
          </w:tcPr>
          <w:p>
            <w:pPr>
              <w:spacing w:after="0"/>
              <w:rPr>
                <w:sz w:val="2"/>
                <w:szCs w:val="2"/>
                <w:color w:val="auto"/>
              </w:rPr>
            </w:pPr>
          </w:p>
        </w:tc>
        <w:tc>
          <w:tcPr>
            <w:tcW w:w="7620" w:type="dxa"/>
            <w:vAlign w:val="bottom"/>
            <w:tcBorders>
              <w:right w:val="single" w:sz="8" w:color="39B6E9"/>
            </w:tcBorders>
            <w:vMerge w:val="continue"/>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Borders>
              <w:right w:val="single" w:sz="8" w:color="39B6E9"/>
            </w:tcBorders>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940" w:type="dxa"/>
            <w:vAlign w:val="bottom"/>
            <w:tcBorders>
              <w:left w:val="single" w:sz="8" w:color="39B6E9"/>
            </w:tcBorders>
          </w:tcPr>
          <w:p>
            <w:pPr>
              <w:spacing w:after="0"/>
              <w:rPr>
                <w:sz w:val="14"/>
                <w:szCs w:val="14"/>
                <w:color w:val="auto"/>
              </w:rPr>
            </w:pPr>
          </w:p>
        </w:tc>
        <w:tc>
          <w:tcPr>
            <w:tcW w:w="660" w:type="dxa"/>
            <w:vAlign w:val="bottom"/>
            <w:tcBorders>
              <w:right w:val="single" w:sz="8" w:color="39B6E9"/>
            </w:tcBorders>
          </w:tcPr>
          <w:p>
            <w:pPr>
              <w:spacing w:after="0"/>
              <w:rPr>
                <w:sz w:val="14"/>
                <w:szCs w:val="14"/>
                <w:color w:val="auto"/>
              </w:rPr>
            </w:pPr>
          </w:p>
        </w:tc>
        <w:tc>
          <w:tcPr>
            <w:tcW w:w="100" w:type="dxa"/>
            <w:vAlign w:val="bottom"/>
          </w:tcPr>
          <w:p>
            <w:pPr>
              <w:spacing w:after="0"/>
              <w:rPr>
                <w:sz w:val="14"/>
                <w:szCs w:val="14"/>
                <w:color w:val="auto"/>
              </w:rPr>
            </w:pPr>
          </w:p>
        </w:tc>
        <w:tc>
          <w:tcPr>
            <w:tcW w:w="7620" w:type="dxa"/>
            <w:vAlign w:val="bottom"/>
            <w:tcBorders>
              <w:right w:val="single" w:sz="8" w:color="39B6E9"/>
            </w:tcBorders>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tcBorders>
              <w:right w:val="single" w:sz="8" w:color="39B6E9"/>
            </w:tcBorders>
          </w:tcPr>
          <w:p>
            <w:pPr>
              <w:ind w:left="400"/>
              <w:spacing w:after="0"/>
              <w:rPr>
                <w:sz w:val="20"/>
                <w:szCs w:val="20"/>
                <w:color w:val="auto"/>
              </w:rPr>
            </w:pPr>
            <w:r>
              <w:rPr>
                <w:rFonts w:ascii="Arial" w:cs="Arial" w:eastAsia="Arial" w:hAnsi="Arial"/>
                <w:sz w:val="13"/>
                <w:szCs w:val="13"/>
                <w:color w:val="auto"/>
              </w:rPr>
              <w:t>for further information</w:t>
            </w:r>
          </w:p>
        </w:tc>
        <w:tc>
          <w:tcPr>
            <w:tcW w:w="0" w:type="dxa"/>
            <w:vAlign w:val="bottom"/>
          </w:tcPr>
          <w:p>
            <w:pPr>
              <w:spacing w:after="0"/>
              <w:rPr>
                <w:sz w:val="1"/>
                <w:szCs w:val="1"/>
                <w:color w:val="auto"/>
              </w:rPr>
            </w:pPr>
          </w:p>
        </w:tc>
      </w:tr>
      <w:tr>
        <w:trPr>
          <w:trHeight w:val="162"/>
        </w:trPr>
        <w:tc>
          <w:tcPr>
            <w:tcW w:w="940" w:type="dxa"/>
            <w:vAlign w:val="bottom"/>
            <w:tcBorders>
              <w:left w:val="single" w:sz="8" w:color="39B6E9"/>
            </w:tcBorders>
          </w:tcPr>
          <w:p>
            <w:pPr>
              <w:spacing w:after="0"/>
              <w:rPr>
                <w:sz w:val="14"/>
                <w:szCs w:val="14"/>
                <w:color w:val="auto"/>
              </w:rPr>
            </w:pPr>
          </w:p>
        </w:tc>
        <w:tc>
          <w:tcPr>
            <w:tcW w:w="660" w:type="dxa"/>
            <w:vAlign w:val="bottom"/>
            <w:tcBorders>
              <w:right w:val="single" w:sz="8" w:color="39B6E9"/>
            </w:tcBorders>
          </w:tcPr>
          <w:p>
            <w:pPr>
              <w:spacing w:after="0"/>
              <w:rPr>
                <w:sz w:val="14"/>
                <w:szCs w:val="14"/>
                <w:color w:val="auto"/>
              </w:rPr>
            </w:pPr>
          </w:p>
        </w:tc>
        <w:tc>
          <w:tcPr>
            <w:tcW w:w="100" w:type="dxa"/>
            <w:vAlign w:val="bottom"/>
          </w:tcPr>
          <w:p>
            <w:pPr>
              <w:spacing w:after="0"/>
              <w:rPr>
                <w:sz w:val="14"/>
                <w:szCs w:val="14"/>
                <w:color w:val="auto"/>
              </w:rPr>
            </w:pPr>
          </w:p>
        </w:tc>
        <w:tc>
          <w:tcPr>
            <w:tcW w:w="7620" w:type="dxa"/>
            <w:vAlign w:val="bottom"/>
            <w:tcBorders>
              <w:right w:val="single" w:sz="8" w:color="39B6E9"/>
            </w:tcBorders>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tcBorders>
              <w:right w:val="single" w:sz="8" w:color="39B6E9"/>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0363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036320"/>
                    </a:xfrm>
                    <a:prstGeom prst="rect">
                      <a:avLst/>
                    </a:prstGeom>
                    <a:noFill/>
                  </pic:spPr>
                </pic:pic>
              </a:graphicData>
            </a:graphic>
          </wp:anchor>
        </w:drawing>
        <w:drawing>
          <wp:anchor simplePos="0" relativeHeight="251657728" behindDoc="1" locked="0" layoutInCell="0" allowOverlap="1">
            <wp:simplePos x="0" y="0"/>
            <wp:positionH relativeFrom="column">
              <wp:posOffset>6026785</wp:posOffset>
            </wp:positionH>
            <wp:positionV relativeFrom="paragraph">
              <wp:posOffset>-342265</wp:posOffset>
            </wp:positionV>
            <wp:extent cx="162560" cy="1543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62560" cy="154305"/>
                    </a:xfrm>
                    <a:prstGeom prst="rect">
                      <a:avLst/>
                    </a:prstGeom>
                    <a:noFill/>
                  </pic:spPr>
                </pic:pic>
              </a:graphicData>
            </a:graphic>
          </wp:anchor>
        </w:drawing>
      </w:r>
    </w:p>
    <w:p>
      <w:pPr>
        <w:spacing w:after="0" w:line="1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105EAB"/>
        </w:rPr>
        <w:t xml:space="preserve">The Board recommends a vote </w:t>
      </w:r>
      <w:r>
        <w:rPr>
          <w:rFonts w:ascii="Arial" w:cs="Arial" w:eastAsia="Arial" w:hAnsi="Arial"/>
          <w:sz w:val="18"/>
          <w:szCs w:val="18"/>
          <w:b w:val="1"/>
          <w:bCs w:val="1"/>
          <w:color w:val="5CA34F"/>
        </w:rPr>
        <w:t>FOR</w:t>
      </w:r>
      <w:r>
        <w:rPr>
          <w:rFonts w:ascii="Arial" w:cs="Arial" w:eastAsia="Arial" w:hAnsi="Arial"/>
          <w:sz w:val="18"/>
          <w:szCs w:val="18"/>
          <w:b w:val="1"/>
          <w:bCs w:val="1"/>
          <w:color w:val="105EAB"/>
        </w:rPr>
        <w:t xml:space="preserve"> the approval of the 2019 Equity Incentive Plan.</w:t>
      </w:r>
    </w:p>
    <w:p>
      <w:pPr>
        <w:spacing w:after="0" w:line="175" w:lineRule="exact"/>
        <w:rPr>
          <w:sz w:val="20"/>
          <w:szCs w:val="20"/>
          <w:color w:val="auto"/>
        </w:rPr>
      </w:pPr>
    </w:p>
    <w:p>
      <w:pPr>
        <w:ind w:left="400" w:right="220" w:hanging="266"/>
        <w:spacing w:after="0" w:line="258" w:lineRule="auto"/>
        <w:tabs>
          <w:tab w:leader="none" w:pos="389" w:val="left"/>
        </w:tabs>
        <w:numPr>
          <w:ilvl w:val="0"/>
          <w:numId w:val="19"/>
        </w:numPr>
        <w:rPr>
          <w:rFonts w:ascii="Arial" w:cs="Arial" w:eastAsia="Arial" w:hAnsi="Arial"/>
          <w:sz w:val="13"/>
          <w:szCs w:val="13"/>
          <w:color w:val="105EAB"/>
        </w:rPr>
      </w:pPr>
      <w:r>
        <w:rPr>
          <w:rFonts w:ascii="Arial" w:cs="Arial" w:eastAsia="Arial" w:hAnsi="Arial"/>
          <w:sz w:val="13"/>
          <w:szCs w:val="13"/>
          <w:color w:val="auto"/>
        </w:rPr>
        <w:t>Key terms of the 2019 Equity Incentive Plan (the “Plan”) are aligned with stockholder interests, including a minimum one-year vesting requirement and prohibitions on option repricing and discounted awards.</w:t>
      </w:r>
    </w:p>
    <w:p>
      <w:pPr>
        <w:spacing w:after="0" w:line="56" w:lineRule="exact"/>
        <w:rPr>
          <w:rFonts w:ascii="Arial" w:cs="Arial" w:eastAsia="Arial" w:hAnsi="Arial"/>
          <w:sz w:val="13"/>
          <w:szCs w:val="13"/>
          <w:color w:val="105EAB"/>
        </w:rPr>
      </w:pPr>
    </w:p>
    <w:p>
      <w:pPr>
        <w:ind w:left="400" w:right="400" w:hanging="266"/>
        <w:spacing w:after="0" w:line="258" w:lineRule="auto"/>
        <w:tabs>
          <w:tab w:leader="none" w:pos="389" w:val="left"/>
        </w:tabs>
        <w:numPr>
          <w:ilvl w:val="0"/>
          <w:numId w:val="19"/>
        </w:numPr>
        <w:rPr>
          <w:rFonts w:ascii="Arial" w:cs="Arial" w:eastAsia="Arial" w:hAnsi="Arial"/>
          <w:sz w:val="13"/>
          <w:szCs w:val="13"/>
          <w:color w:val="105EAB"/>
        </w:rPr>
      </w:pPr>
      <w:r>
        <w:rPr>
          <w:rFonts w:ascii="Arial" w:cs="Arial" w:eastAsia="Arial" w:hAnsi="Arial"/>
          <w:sz w:val="13"/>
          <w:szCs w:val="13"/>
          <w:color w:val="auto"/>
        </w:rPr>
        <w:t>Allstate cannot make equity awards to employees beyond the remaining allotment under the 2013 Equity Incentive Plan. The new Plan authorizes 13,400,000 additional shares for equity grants.</w:t>
      </w:r>
    </w:p>
    <w:p>
      <w:pPr>
        <w:spacing w:after="0" w:line="42" w:lineRule="exact"/>
        <w:rPr>
          <w:rFonts w:ascii="Arial" w:cs="Arial" w:eastAsia="Arial" w:hAnsi="Arial"/>
          <w:sz w:val="13"/>
          <w:szCs w:val="13"/>
          <w:color w:val="105EAB"/>
        </w:rPr>
      </w:pPr>
    </w:p>
    <w:p>
      <w:pPr>
        <w:ind w:left="400" w:right="680" w:hanging="266"/>
        <w:spacing w:after="0" w:line="258" w:lineRule="auto"/>
        <w:tabs>
          <w:tab w:leader="none" w:pos="389" w:val="left"/>
        </w:tabs>
        <w:numPr>
          <w:ilvl w:val="0"/>
          <w:numId w:val="19"/>
        </w:numPr>
        <w:rPr>
          <w:rFonts w:ascii="Arial" w:cs="Arial" w:eastAsia="Arial" w:hAnsi="Arial"/>
          <w:sz w:val="13"/>
          <w:szCs w:val="13"/>
          <w:color w:val="105EAB"/>
        </w:rPr>
      </w:pPr>
      <w:r>
        <w:rPr>
          <w:rFonts w:ascii="Arial" w:cs="Arial" w:eastAsia="Arial" w:hAnsi="Arial"/>
          <w:sz w:val="13"/>
          <w:szCs w:val="13"/>
          <w:color w:val="auto"/>
        </w:rPr>
        <w:t>The independent compensation and succession committee oversees the Plan, which is reviewed and benchmarked annually against Allstate’s peers with the assistance of an independent compensation 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5984240</wp:posOffset>
            </wp:positionH>
            <wp:positionV relativeFrom="paragraph">
              <wp:posOffset>215900</wp:posOffset>
            </wp:positionV>
            <wp:extent cx="1267460" cy="402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67460" cy="40259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p>
      <w:pPr>
        <w:spacing w:after="0" w:line="320" w:lineRule="exact"/>
        <w:rPr>
          <w:sz w:val="20"/>
          <w:szCs w:val="20"/>
          <w:color w:val="auto"/>
        </w:rPr>
      </w:pPr>
    </w:p>
    <w:tbl>
      <w:tblPr>
        <w:tblLayout w:type="fixed"/>
        <w:tblInd w:w="10" w:type="dxa"/>
        <w:tblCellMar>
          <w:top w:w="0" w:type="dxa"/>
          <w:left w:w="0" w:type="dxa"/>
          <w:bottom w:w="0" w:type="dxa"/>
          <w:right w:w="0" w:type="dxa"/>
        </w:tblCellMar>
      </w:tblPr>
      <w:tr>
        <w:trPr>
          <w:trHeight w:val="291"/>
        </w:trPr>
        <w:tc>
          <w:tcPr>
            <w:tcW w:w="940" w:type="dxa"/>
            <w:vAlign w:val="bottom"/>
            <w:tcBorders>
              <w:top w:val="single" w:sz="8" w:color="39B6E9"/>
              <w:left w:val="single" w:sz="8" w:color="39B6E9"/>
            </w:tcBorders>
          </w:tcPr>
          <w:p>
            <w:pPr>
              <w:ind w:left="140"/>
              <w:spacing w:after="0"/>
              <w:rPr>
                <w:sz w:val="20"/>
                <w:szCs w:val="20"/>
                <w:color w:val="auto"/>
              </w:rPr>
            </w:pPr>
            <w:r>
              <w:rPr>
                <w:rFonts w:ascii="Arial" w:cs="Arial" w:eastAsia="Arial" w:hAnsi="Arial"/>
                <w:sz w:val="13"/>
                <w:szCs w:val="13"/>
                <w:color w:val="39B6E9"/>
              </w:rPr>
              <w:t>PROPOSAL</w:t>
            </w:r>
          </w:p>
        </w:tc>
        <w:tc>
          <w:tcPr>
            <w:tcW w:w="660" w:type="dxa"/>
            <w:vAlign w:val="bottom"/>
            <w:tcBorders>
              <w:top w:val="single" w:sz="8" w:color="39B6E9"/>
              <w:right w:val="single" w:sz="8" w:color="39B6E9"/>
            </w:tcBorders>
            <w:vMerge w:val="restart"/>
          </w:tcPr>
          <w:p>
            <w:pPr>
              <w:jc w:val="right"/>
              <w:ind w:right="30"/>
              <w:spacing w:after="0"/>
              <w:rPr>
                <w:sz w:val="20"/>
                <w:szCs w:val="20"/>
                <w:color w:val="auto"/>
              </w:rPr>
            </w:pPr>
            <w:r>
              <w:rPr>
                <w:rFonts w:ascii="Arial" w:cs="Arial" w:eastAsia="Arial" w:hAnsi="Arial"/>
                <w:sz w:val="54"/>
                <w:szCs w:val="54"/>
                <w:b w:val="1"/>
                <w:bCs w:val="1"/>
                <w:color w:val="39B6E9"/>
              </w:rPr>
              <w:t>4</w:t>
            </w:r>
          </w:p>
        </w:tc>
        <w:tc>
          <w:tcPr>
            <w:tcW w:w="100" w:type="dxa"/>
            <w:vAlign w:val="bottom"/>
          </w:tcPr>
          <w:p>
            <w:pPr>
              <w:spacing w:after="0"/>
              <w:rPr>
                <w:sz w:val="24"/>
                <w:szCs w:val="24"/>
                <w:color w:val="auto"/>
              </w:rPr>
            </w:pPr>
          </w:p>
        </w:tc>
        <w:tc>
          <w:tcPr>
            <w:tcW w:w="7620" w:type="dxa"/>
            <w:vAlign w:val="bottom"/>
            <w:tcBorders>
              <w:top w:val="single" w:sz="8" w:color="39B6E9"/>
              <w:right w:val="single" w:sz="8" w:color="39B6E9"/>
            </w:tcBorders>
          </w:tcPr>
          <w:p>
            <w:pPr>
              <w:ind w:left="60"/>
              <w:spacing w:after="0"/>
              <w:rPr>
                <w:sz w:val="20"/>
                <w:szCs w:val="20"/>
                <w:color w:val="auto"/>
              </w:rPr>
            </w:pPr>
            <w:r>
              <w:rPr>
                <w:rFonts w:ascii="Arial" w:cs="Arial" w:eastAsia="Arial" w:hAnsi="Arial"/>
                <w:sz w:val="22"/>
                <w:szCs w:val="22"/>
                <w:b w:val="1"/>
                <w:bCs w:val="1"/>
                <w:color w:val="39B6E9"/>
              </w:rPr>
              <w:t>Ratification of Deloitte &amp; Touche LLP as the Independent Registered</w:t>
            </w:r>
          </w:p>
        </w:tc>
        <w:tc>
          <w:tcPr>
            <w:tcW w:w="0" w:type="dxa"/>
            <w:vAlign w:val="bottom"/>
          </w:tcPr>
          <w:p>
            <w:pPr>
              <w:spacing w:after="0"/>
              <w:rPr>
                <w:sz w:val="1"/>
                <w:szCs w:val="1"/>
                <w:color w:val="auto"/>
              </w:rPr>
            </w:pPr>
          </w:p>
        </w:tc>
      </w:tr>
      <w:tr>
        <w:trPr>
          <w:trHeight w:val="343"/>
        </w:trPr>
        <w:tc>
          <w:tcPr>
            <w:tcW w:w="940" w:type="dxa"/>
            <w:vAlign w:val="bottom"/>
            <w:tcBorders>
              <w:left w:val="single" w:sz="8" w:color="39B6E9"/>
            </w:tcBorders>
          </w:tcPr>
          <w:p>
            <w:pPr>
              <w:spacing w:after="0"/>
              <w:rPr>
                <w:sz w:val="24"/>
                <w:szCs w:val="24"/>
                <w:color w:val="auto"/>
              </w:rPr>
            </w:pPr>
          </w:p>
        </w:tc>
        <w:tc>
          <w:tcPr>
            <w:tcW w:w="660" w:type="dxa"/>
            <w:vAlign w:val="bottom"/>
            <w:tcBorders>
              <w:right w:val="single" w:sz="8" w:color="39B6E9"/>
            </w:tcBorders>
            <w:vMerge w:val="continue"/>
          </w:tcPr>
          <w:p>
            <w:pPr>
              <w:spacing w:after="0"/>
              <w:rPr>
                <w:sz w:val="24"/>
                <w:szCs w:val="24"/>
                <w:color w:val="auto"/>
              </w:rPr>
            </w:pPr>
          </w:p>
        </w:tc>
        <w:tc>
          <w:tcPr>
            <w:tcW w:w="100" w:type="dxa"/>
            <w:vAlign w:val="bottom"/>
          </w:tcPr>
          <w:p>
            <w:pPr>
              <w:spacing w:after="0"/>
              <w:rPr>
                <w:sz w:val="24"/>
                <w:szCs w:val="24"/>
                <w:color w:val="auto"/>
              </w:rPr>
            </w:pPr>
          </w:p>
        </w:tc>
        <w:tc>
          <w:tcPr>
            <w:tcW w:w="7620" w:type="dxa"/>
            <w:vAlign w:val="bottom"/>
            <w:tcBorders>
              <w:right w:val="single" w:sz="8" w:color="39B6E9"/>
            </w:tcBorders>
          </w:tcPr>
          <w:p>
            <w:pPr>
              <w:ind w:left="60"/>
              <w:spacing w:after="0"/>
              <w:rPr>
                <w:sz w:val="20"/>
                <w:szCs w:val="20"/>
                <w:color w:val="auto"/>
              </w:rPr>
            </w:pPr>
            <w:r>
              <w:rPr>
                <w:rFonts w:ascii="Arial" w:cs="Arial" w:eastAsia="Arial" w:hAnsi="Arial"/>
                <w:sz w:val="22"/>
                <w:szCs w:val="22"/>
                <w:b w:val="1"/>
                <w:bCs w:val="1"/>
                <w:color w:val="39B6E9"/>
              </w:rPr>
              <w:t>Public Accountant for 2019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7112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7112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See </w:t>
      </w:r>
      <w:r>
        <w:rPr>
          <w:rFonts w:ascii="Arial" w:cs="Arial" w:eastAsia="Arial" w:hAnsi="Arial"/>
          <w:sz w:val="13"/>
          <w:szCs w:val="13"/>
          <w:b w:val="1"/>
          <w:bCs w:val="1"/>
          <w:color w:val="39B6E9"/>
        </w:rPr>
        <w:t>pages 83-85</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for further information</w:t>
      </w:r>
    </w:p>
    <w:p>
      <w:pPr>
        <w:spacing w:after="0" w:line="385" w:lineRule="exact"/>
        <w:rPr>
          <w:sz w:val="20"/>
          <w:szCs w:val="20"/>
          <w:color w:val="auto"/>
        </w:rPr>
      </w:pPr>
    </w:p>
    <w:p>
      <w:pPr>
        <w:sectPr>
          <w:pgSz w:w="11900" w:h="16838" w:orient="portrait"/>
          <w:cols w:equalWidth="0" w:num="2">
            <w:col w:w="9320" w:space="500"/>
            <w:col w:w="1620"/>
          </w:cols>
          <w:pgMar w:left="240" w:top="121" w:right="219" w:bottom="1440" w:gutter="0" w:footer="0" w:header="0"/>
          <w:type w:val="continuous"/>
        </w:sectPr>
      </w:pPr>
    </w:p>
    <w:p>
      <w:pPr>
        <w:ind w:left="160"/>
        <w:spacing w:after="0"/>
        <w:rPr>
          <w:sz w:val="20"/>
          <w:szCs w:val="20"/>
          <w:color w:val="auto"/>
        </w:rPr>
      </w:pPr>
      <w:r>
        <w:rPr>
          <w:rFonts w:ascii="Arial" w:cs="Arial" w:eastAsia="Arial" w:hAnsi="Arial"/>
          <w:sz w:val="18"/>
          <w:szCs w:val="18"/>
          <w:b w:val="1"/>
          <w:bCs w:val="1"/>
          <w:color w:val="105EAB"/>
        </w:rPr>
        <w:t xml:space="preserve">The Board recommends a vote </w:t>
      </w:r>
      <w:r>
        <w:rPr>
          <w:rFonts w:ascii="Arial" w:cs="Arial" w:eastAsia="Arial" w:hAnsi="Arial"/>
          <w:sz w:val="18"/>
          <w:szCs w:val="18"/>
          <w:b w:val="1"/>
          <w:bCs w:val="1"/>
          <w:color w:val="5CA34F"/>
        </w:rPr>
        <w:t>FOR</w:t>
      </w:r>
      <w:r>
        <w:rPr>
          <w:rFonts w:ascii="Arial" w:cs="Arial" w:eastAsia="Arial" w:hAnsi="Arial"/>
          <w:sz w:val="18"/>
          <w:szCs w:val="18"/>
          <w:b w:val="1"/>
          <w:bCs w:val="1"/>
          <w:color w:val="105EAB"/>
        </w:rPr>
        <w:t xml:space="preserve"> ratification of Deloitte &amp; Touche LLP for 2019.</w:t>
      </w:r>
    </w:p>
    <w:p>
      <w:pPr>
        <w:spacing w:after="0" w:line="108" w:lineRule="exact"/>
        <w:rPr>
          <w:sz w:val="20"/>
          <w:szCs w:val="20"/>
          <w:color w:val="auto"/>
        </w:rPr>
      </w:pPr>
    </w:p>
    <w:p>
      <w:pPr>
        <w:ind w:left="400" w:hanging="266"/>
        <w:spacing w:after="0"/>
        <w:tabs>
          <w:tab w:leader="none" w:pos="400" w:val="left"/>
        </w:tabs>
        <w:numPr>
          <w:ilvl w:val="0"/>
          <w:numId w:val="20"/>
        </w:numPr>
        <w:rPr>
          <w:rFonts w:ascii="Arial" w:cs="Arial" w:eastAsia="Arial" w:hAnsi="Arial"/>
          <w:sz w:val="13"/>
          <w:szCs w:val="13"/>
          <w:color w:val="105EAB"/>
        </w:rPr>
      </w:pPr>
      <w:r>
        <w:rPr>
          <w:rFonts w:ascii="Arial" w:cs="Arial" w:eastAsia="Arial" w:hAnsi="Arial"/>
          <w:sz w:val="13"/>
          <w:szCs w:val="13"/>
          <w:color w:val="auto"/>
        </w:rPr>
        <w:t>Independent firm with few ancillary services and reasonable fees.</w:t>
      </w:r>
    </w:p>
    <w:p>
      <w:pPr>
        <w:spacing w:after="0" w:line="66" w:lineRule="exact"/>
        <w:rPr>
          <w:rFonts w:ascii="Arial" w:cs="Arial" w:eastAsia="Arial" w:hAnsi="Arial"/>
          <w:sz w:val="13"/>
          <w:szCs w:val="13"/>
          <w:color w:val="105EAB"/>
        </w:rPr>
      </w:pPr>
    </w:p>
    <w:p>
      <w:pPr>
        <w:ind w:left="400" w:hanging="266"/>
        <w:spacing w:after="0"/>
        <w:tabs>
          <w:tab w:leader="none" w:pos="400" w:val="left"/>
        </w:tabs>
        <w:numPr>
          <w:ilvl w:val="0"/>
          <w:numId w:val="20"/>
        </w:numPr>
        <w:rPr>
          <w:rFonts w:ascii="Arial" w:cs="Arial" w:eastAsia="Arial" w:hAnsi="Arial"/>
          <w:sz w:val="13"/>
          <w:szCs w:val="13"/>
          <w:color w:val="105EAB"/>
        </w:rPr>
      </w:pPr>
      <w:r>
        <w:rPr>
          <w:rFonts w:ascii="Arial" w:cs="Arial" w:eastAsia="Arial" w:hAnsi="Arial"/>
          <w:sz w:val="13"/>
          <w:szCs w:val="13"/>
          <w:color w:val="auto"/>
        </w:rPr>
        <w:t>Significant industry and financial reporting expertise.</w:t>
      </w:r>
    </w:p>
    <w:p>
      <w:pPr>
        <w:spacing w:after="0" w:line="79" w:lineRule="exact"/>
        <w:rPr>
          <w:rFonts w:ascii="Arial" w:cs="Arial" w:eastAsia="Arial" w:hAnsi="Arial"/>
          <w:sz w:val="13"/>
          <w:szCs w:val="13"/>
          <w:color w:val="105EAB"/>
        </w:rPr>
      </w:pPr>
    </w:p>
    <w:p>
      <w:pPr>
        <w:ind w:left="400" w:hanging="266"/>
        <w:spacing w:after="0"/>
        <w:tabs>
          <w:tab w:leader="none" w:pos="400" w:val="left"/>
        </w:tabs>
        <w:numPr>
          <w:ilvl w:val="0"/>
          <w:numId w:val="20"/>
        </w:numPr>
        <w:rPr>
          <w:rFonts w:ascii="Arial" w:cs="Arial" w:eastAsia="Arial" w:hAnsi="Arial"/>
          <w:sz w:val="13"/>
          <w:szCs w:val="13"/>
          <w:color w:val="105EAB"/>
        </w:rPr>
      </w:pPr>
      <w:r>
        <w:rPr>
          <w:rFonts w:ascii="Arial" w:cs="Arial" w:eastAsia="Arial" w:hAnsi="Arial"/>
          <w:sz w:val="13"/>
          <w:szCs w:val="13"/>
          <w:color w:val="auto"/>
        </w:rPr>
        <w:t>The audit committee annually evaluates Deloitte &amp; Touche LLP and determined that its retention continues to be in the best interests of Allstate and its stockholders.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1160" w:type="dxa"/>
            <w:vAlign w:val="bottom"/>
          </w:tcPr>
          <w:p>
            <w:pPr>
              <w:ind w:left="9640"/>
              <w:spacing w:after="0"/>
              <w:rPr>
                <w:sz w:val="20"/>
                <w:szCs w:val="20"/>
                <w:color w:val="auto"/>
              </w:rPr>
            </w:pPr>
            <w:r>
              <w:rPr>
                <w:rFonts w:ascii="Arial" w:cs="Arial" w:eastAsia="Arial" w:hAnsi="Arial"/>
                <w:sz w:val="13"/>
                <w:szCs w:val="13"/>
                <w:color w:val="105EAB"/>
              </w:rPr>
              <w:t>2019 Proxy Statement</w:t>
            </w:r>
          </w:p>
        </w:tc>
        <w:tc>
          <w:tcPr>
            <w:tcW w:w="280" w:type="dxa"/>
            <w:vAlign w:val="bottom"/>
          </w:tcPr>
          <w:p>
            <w:pPr>
              <w:jc w:val="right"/>
              <w:spacing w:after="0"/>
              <w:rPr>
                <w:sz w:val="20"/>
                <w:szCs w:val="20"/>
                <w:color w:val="auto"/>
              </w:rPr>
            </w:pPr>
            <w:r>
              <w:rPr>
                <w:rFonts w:ascii="Arial" w:cs="Arial" w:eastAsia="Arial" w:hAnsi="Arial"/>
                <w:sz w:val="13"/>
                <w:szCs w:val="13"/>
                <w:b w:val="1"/>
                <w:bCs w:val="1"/>
                <w:color w:val="105EAB"/>
              </w:rPr>
              <w:t>7</w:t>
            </w:r>
          </w:p>
        </w:tc>
      </w:tr>
      <w:tr>
        <w:trPr>
          <w:trHeight w:val="213"/>
        </w:trPr>
        <w:tc>
          <w:tcPr>
            <w:tcW w:w="1116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-13970</wp:posOffset>
            </wp:positionV>
            <wp:extent cx="1270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b w:val="1"/>
          <w:bCs w:val="1"/>
          <w:color w:val="105EAB"/>
        </w:rPr>
        <w:t>Proxy Summary |</w:t>
      </w:r>
    </w:p>
    <w:p>
      <w:pPr>
        <w:spacing w:after="0" w:line="211"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940" w:type="dxa"/>
            <w:vAlign w:val="bottom"/>
            <w:tcBorders>
              <w:top w:val="single" w:sz="8" w:color="39B6E9"/>
              <w:left w:val="single" w:sz="8" w:color="39B6E9"/>
            </w:tcBorders>
            <w:vMerge w:val="restart"/>
          </w:tcPr>
          <w:p>
            <w:pPr>
              <w:ind w:left="140"/>
              <w:spacing w:after="0"/>
              <w:rPr>
                <w:sz w:val="20"/>
                <w:szCs w:val="20"/>
                <w:color w:val="auto"/>
              </w:rPr>
            </w:pPr>
            <w:r>
              <w:rPr>
                <w:rFonts w:ascii="Arial" w:cs="Arial" w:eastAsia="Arial" w:hAnsi="Arial"/>
                <w:sz w:val="13"/>
                <w:szCs w:val="13"/>
                <w:color w:val="959595"/>
              </w:rPr>
              <w:t>PROPOSAL</w:t>
            </w:r>
          </w:p>
        </w:tc>
        <w:tc>
          <w:tcPr>
            <w:tcW w:w="660" w:type="dxa"/>
            <w:vAlign w:val="bottom"/>
            <w:tcBorders>
              <w:top w:val="single" w:sz="8" w:color="39B6E9"/>
              <w:right w:val="single" w:sz="8" w:color="39B6E9"/>
            </w:tcBorders>
          </w:tcPr>
          <w:p>
            <w:pPr>
              <w:jc w:val="right"/>
              <w:ind w:right="144"/>
              <w:spacing w:after="0" w:line="269" w:lineRule="exact"/>
              <w:rPr>
                <w:sz w:val="20"/>
                <w:szCs w:val="20"/>
                <w:color w:val="auto"/>
              </w:rPr>
            </w:pPr>
            <w:r>
              <w:rPr>
                <w:rFonts w:ascii="Arial" w:cs="Arial" w:eastAsia="Arial" w:hAnsi="Arial"/>
                <w:sz w:val="31"/>
                <w:szCs w:val="31"/>
                <w:b w:val="1"/>
                <w:bCs w:val="1"/>
                <w:color w:val="959595"/>
              </w:rPr>
              <w:t>5</w:t>
            </w:r>
          </w:p>
        </w:tc>
        <w:tc>
          <w:tcPr>
            <w:tcW w:w="100" w:type="dxa"/>
            <w:vAlign w:val="bottom"/>
          </w:tcPr>
          <w:p>
            <w:pPr>
              <w:spacing w:after="0"/>
              <w:rPr>
                <w:sz w:val="23"/>
                <w:szCs w:val="23"/>
                <w:color w:val="auto"/>
              </w:rPr>
            </w:pPr>
          </w:p>
        </w:tc>
        <w:tc>
          <w:tcPr>
            <w:tcW w:w="7520" w:type="dxa"/>
            <w:vAlign w:val="bottom"/>
            <w:tcBorders>
              <w:top w:val="single" w:sz="8" w:color="39B6E9"/>
              <w:right w:val="single" w:sz="8" w:color="39B6E9"/>
            </w:tcBorders>
            <w:vMerge w:val="restart"/>
          </w:tcPr>
          <w:p>
            <w:pPr>
              <w:ind w:left="60"/>
              <w:spacing w:after="0"/>
              <w:rPr>
                <w:sz w:val="20"/>
                <w:szCs w:val="20"/>
                <w:color w:val="auto"/>
              </w:rPr>
            </w:pPr>
            <w:r>
              <w:rPr>
                <w:rFonts w:ascii="Arial" w:cs="Arial" w:eastAsia="Arial" w:hAnsi="Arial"/>
                <w:sz w:val="22"/>
                <w:szCs w:val="22"/>
                <w:b w:val="1"/>
                <w:bCs w:val="1"/>
                <w:color w:val="959595"/>
              </w:rPr>
              <w:t>Stockholder Proposal on Reporting Political Contributions</w:t>
            </w:r>
          </w:p>
        </w:tc>
        <w:tc>
          <w:tcPr>
            <w:tcW w:w="100" w:type="dxa"/>
            <w:vAlign w:val="bottom"/>
          </w:tcPr>
          <w:p>
            <w:pPr>
              <w:spacing w:after="0"/>
              <w:rPr>
                <w:sz w:val="23"/>
                <w:szCs w:val="23"/>
                <w:color w:val="auto"/>
              </w:rPr>
            </w:pPr>
          </w:p>
        </w:tc>
        <w:tc>
          <w:tcPr>
            <w:tcW w:w="2100" w:type="dxa"/>
            <w:vAlign w:val="bottom"/>
            <w:tcBorders>
              <w:top w:val="single" w:sz="8" w:color="39B6E9"/>
              <w:right w:val="single" w:sz="8" w:color="39B6E9"/>
            </w:tcBorders>
            <w:vMerge w:val="restart"/>
          </w:tcPr>
          <w:p>
            <w:pPr>
              <w:ind w:left="500"/>
              <w:spacing w:after="0"/>
              <w:rPr>
                <w:sz w:val="20"/>
                <w:szCs w:val="20"/>
                <w:color w:val="auto"/>
              </w:rPr>
            </w:pPr>
            <w:r>
              <w:rPr>
                <w:rFonts w:ascii="Arial" w:cs="Arial" w:eastAsia="Arial" w:hAnsi="Arial"/>
                <w:sz w:val="13"/>
                <w:szCs w:val="13"/>
                <w:color w:val="auto"/>
              </w:rPr>
              <w:t xml:space="preserve">See </w:t>
            </w:r>
            <w:r>
              <w:rPr>
                <w:rFonts w:ascii="Arial" w:cs="Arial" w:eastAsia="Arial" w:hAnsi="Arial"/>
                <w:sz w:val="13"/>
                <w:szCs w:val="13"/>
                <w:b w:val="1"/>
                <w:bCs w:val="1"/>
                <w:color w:val="39B6E9"/>
              </w:rPr>
              <w:t>pages 86-87</w:t>
            </w:r>
          </w:p>
        </w:tc>
        <w:tc>
          <w:tcPr>
            <w:tcW w:w="0" w:type="dxa"/>
            <w:vAlign w:val="bottom"/>
          </w:tcPr>
          <w:p>
            <w:pPr>
              <w:spacing w:after="0"/>
              <w:rPr>
                <w:sz w:val="1"/>
                <w:szCs w:val="1"/>
                <w:color w:val="auto"/>
              </w:rPr>
            </w:pPr>
          </w:p>
        </w:tc>
      </w:tr>
      <w:tr>
        <w:trPr>
          <w:trHeight w:val="26"/>
        </w:trPr>
        <w:tc>
          <w:tcPr>
            <w:tcW w:w="940" w:type="dxa"/>
            <w:vAlign w:val="bottom"/>
            <w:tcBorders>
              <w:left w:val="single" w:sz="8" w:color="39B6E9"/>
            </w:tcBorders>
            <w:vMerge w:val="continue"/>
          </w:tcPr>
          <w:p>
            <w:pPr>
              <w:spacing w:after="0"/>
              <w:rPr>
                <w:sz w:val="2"/>
                <w:szCs w:val="2"/>
                <w:color w:val="auto"/>
              </w:rPr>
            </w:pPr>
          </w:p>
        </w:tc>
        <w:tc>
          <w:tcPr>
            <w:tcW w:w="660" w:type="dxa"/>
            <w:vAlign w:val="bottom"/>
            <w:tcBorders>
              <w:right w:val="single" w:sz="8" w:color="39B6E9"/>
            </w:tcBorders>
          </w:tcPr>
          <w:p>
            <w:pPr>
              <w:spacing w:after="0"/>
              <w:rPr>
                <w:sz w:val="2"/>
                <w:szCs w:val="2"/>
                <w:color w:val="auto"/>
              </w:rPr>
            </w:pPr>
          </w:p>
        </w:tc>
        <w:tc>
          <w:tcPr>
            <w:tcW w:w="100" w:type="dxa"/>
            <w:vAlign w:val="bottom"/>
          </w:tcPr>
          <w:p>
            <w:pPr>
              <w:spacing w:after="0"/>
              <w:rPr>
                <w:sz w:val="2"/>
                <w:szCs w:val="2"/>
                <w:color w:val="auto"/>
              </w:rPr>
            </w:pPr>
          </w:p>
        </w:tc>
        <w:tc>
          <w:tcPr>
            <w:tcW w:w="7520" w:type="dxa"/>
            <w:vAlign w:val="bottom"/>
            <w:tcBorders>
              <w:right w:val="single" w:sz="8" w:color="39B6E9"/>
            </w:tcBorders>
            <w:vMerge w:val="continue"/>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Borders>
              <w:right w:val="single" w:sz="8" w:color="39B6E9"/>
            </w:tcBorders>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940" w:type="dxa"/>
            <w:vAlign w:val="bottom"/>
            <w:tcBorders>
              <w:left w:val="single" w:sz="8" w:color="39B6E9"/>
            </w:tcBorders>
          </w:tcPr>
          <w:p>
            <w:pPr>
              <w:spacing w:after="0"/>
              <w:rPr>
                <w:sz w:val="14"/>
                <w:szCs w:val="14"/>
                <w:color w:val="auto"/>
              </w:rPr>
            </w:pPr>
          </w:p>
        </w:tc>
        <w:tc>
          <w:tcPr>
            <w:tcW w:w="660" w:type="dxa"/>
            <w:vAlign w:val="bottom"/>
            <w:tcBorders>
              <w:right w:val="single" w:sz="8" w:color="39B6E9"/>
            </w:tcBorders>
          </w:tcPr>
          <w:p>
            <w:pPr>
              <w:spacing w:after="0"/>
              <w:rPr>
                <w:sz w:val="14"/>
                <w:szCs w:val="14"/>
                <w:color w:val="auto"/>
              </w:rPr>
            </w:pPr>
          </w:p>
        </w:tc>
        <w:tc>
          <w:tcPr>
            <w:tcW w:w="100" w:type="dxa"/>
            <w:vAlign w:val="bottom"/>
          </w:tcPr>
          <w:p>
            <w:pPr>
              <w:spacing w:after="0"/>
              <w:rPr>
                <w:sz w:val="14"/>
                <w:szCs w:val="14"/>
                <w:color w:val="auto"/>
              </w:rPr>
            </w:pPr>
          </w:p>
        </w:tc>
        <w:tc>
          <w:tcPr>
            <w:tcW w:w="7520" w:type="dxa"/>
            <w:vAlign w:val="bottom"/>
            <w:tcBorders>
              <w:right w:val="single" w:sz="8" w:color="39B6E9"/>
            </w:tcBorders>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tcBorders>
              <w:right w:val="single" w:sz="8" w:color="39B6E9"/>
            </w:tcBorders>
          </w:tcPr>
          <w:p>
            <w:pPr>
              <w:ind w:left="500"/>
              <w:spacing w:after="0"/>
              <w:rPr>
                <w:sz w:val="20"/>
                <w:szCs w:val="20"/>
                <w:color w:val="auto"/>
              </w:rPr>
            </w:pPr>
            <w:r>
              <w:rPr>
                <w:rFonts w:ascii="Arial" w:cs="Arial" w:eastAsia="Arial" w:hAnsi="Arial"/>
                <w:sz w:val="13"/>
                <w:szCs w:val="13"/>
                <w:color w:val="auto"/>
              </w:rPr>
              <w:t>for further information</w:t>
            </w:r>
          </w:p>
        </w:tc>
        <w:tc>
          <w:tcPr>
            <w:tcW w:w="0" w:type="dxa"/>
            <w:vAlign w:val="bottom"/>
          </w:tcPr>
          <w:p>
            <w:pPr>
              <w:spacing w:after="0"/>
              <w:rPr>
                <w:sz w:val="1"/>
                <w:szCs w:val="1"/>
                <w:color w:val="auto"/>
              </w:rPr>
            </w:pPr>
          </w:p>
        </w:tc>
      </w:tr>
      <w:tr>
        <w:trPr>
          <w:trHeight w:val="162"/>
        </w:trPr>
        <w:tc>
          <w:tcPr>
            <w:tcW w:w="940" w:type="dxa"/>
            <w:vAlign w:val="bottom"/>
            <w:tcBorders>
              <w:left w:val="single" w:sz="8" w:color="39B6E9"/>
            </w:tcBorders>
          </w:tcPr>
          <w:p>
            <w:pPr>
              <w:spacing w:after="0"/>
              <w:rPr>
                <w:sz w:val="14"/>
                <w:szCs w:val="14"/>
                <w:color w:val="auto"/>
              </w:rPr>
            </w:pPr>
          </w:p>
        </w:tc>
        <w:tc>
          <w:tcPr>
            <w:tcW w:w="660" w:type="dxa"/>
            <w:vAlign w:val="bottom"/>
            <w:tcBorders>
              <w:right w:val="single" w:sz="8" w:color="39B6E9"/>
            </w:tcBorders>
          </w:tcPr>
          <w:p>
            <w:pPr>
              <w:spacing w:after="0"/>
              <w:rPr>
                <w:sz w:val="14"/>
                <w:szCs w:val="14"/>
                <w:color w:val="auto"/>
              </w:rPr>
            </w:pPr>
          </w:p>
        </w:tc>
        <w:tc>
          <w:tcPr>
            <w:tcW w:w="100" w:type="dxa"/>
            <w:vAlign w:val="bottom"/>
          </w:tcPr>
          <w:p>
            <w:pPr>
              <w:spacing w:after="0"/>
              <w:rPr>
                <w:sz w:val="14"/>
                <w:szCs w:val="14"/>
                <w:color w:val="auto"/>
              </w:rPr>
            </w:pPr>
          </w:p>
        </w:tc>
        <w:tc>
          <w:tcPr>
            <w:tcW w:w="7520" w:type="dxa"/>
            <w:vAlign w:val="bottom"/>
            <w:tcBorders>
              <w:right w:val="single" w:sz="8" w:color="39B6E9"/>
            </w:tcBorders>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tcBorders>
              <w:right w:val="single" w:sz="8" w:color="39B6E9"/>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5958205</wp:posOffset>
            </wp:positionH>
            <wp:positionV relativeFrom="paragraph">
              <wp:posOffset>-342265</wp:posOffset>
            </wp:positionV>
            <wp:extent cx="231140" cy="2057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31140" cy="2057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477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47725"/>
                    </a:xfrm>
                    <a:prstGeom prst="rect">
                      <a:avLst/>
                    </a:prstGeom>
                    <a:noFill/>
                  </pic:spPr>
                </pic:pic>
              </a:graphicData>
            </a:graphic>
          </wp:anchor>
        </w:drawing>
      </w:r>
    </w:p>
    <w:p>
      <w:pPr>
        <w:spacing w:after="0" w:line="190" w:lineRule="exact"/>
        <w:rPr>
          <w:sz w:val="20"/>
          <w:szCs w:val="20"/>
          <w:color w:val="auto"/>
        </w:rPr>
      </w:pPr>
    </w:p>
    <w:p>
      <w:pPr>
        <w:jc w:val="center"/>
        <w:ind w:right="6460"/>
        <w:spacing w:after="0"/>
        <w:rPr>
          <w:sz w:val="20"/>
          <w:szCs w:val="20"/>
          <w:color w:val="auto"/>
        </w:rPr>
      </w:pPr>
      <w:r>
        <w:rPr>
          <w:rFonts w:ascii="Arial" w:cs="Arial" w:eastAsia="Arial" w:hAnsi="Arial"/>
          <w:sz w:val="18"/>
          <w:szCs w:val="18"/>
          <w:b w:val="1"/>
          <w:bCs w:val="1"/>
          <w:color w:val="E35F5E"/>
        </w:rPr>
        <w:t>The Board recommends a vote AGAINST this proposal.</w:t>
      </w:r>
    </w:p>
    <w:p>
      <w:pPr>
        <w:spacing w:after="0" w:line="162" w:lineRule="exact"/>
        <w:rPr>
          <w:sz w:val="20"/>
          <w:szCs w:val="20"/>
          <w:color w:val="auto"/>
        </w:rPr>
      </w:pPr>
    </w:p>
    <w:p>
      <w:pPr>
        <w:ind w:left="400" w:hanging="266"/>
        <w:spacing w:after="0"/>
        <w:tabs>
          <w:tab w:leader="none" w:pos="400" w:val="left"/>
        </w:tabs>
        <w:numPr>
          <w:ilvl w:val="0"/>
          <w:numId w:val="21"/>
        </w:numPr>
        <w:rPr>
          <w:rFonts w:ascii="Arial" w:cs="Arial" w:eastAsia="Arial" w:hAnsi="Arial"/>
          <w:sz w:val="13"/>
          <w:szCs w:val="13"/>
          <w:color w:val="105EAB"/>
        </w:rPr>
      </w:pPr>
      <w:r>
        <w:rPr>
          <w:rFonts w:ascii="Arial" w:cs="Arial" w:eastAsia="Arial" w:hAnsi="Arial"/>
          <w:sz w:val="13"/>
          <w:szCs w:val="13"/>
          <w:color w:val="auto"/>
        </w:rPr>
        <w:t>Allstate already provides significant disclosure of political activities, including information that is not requested by the proponent.</w:t>
      </w:r>
    </w:p>
    <w:p>
      <w:pPr>
        <w:spacing w:after="0" w:line="66" w:lineRule="exact"/>
        <w:rPr>
          <w:rFonts w:ascii="Arial" w:cs="Arial" w:eastAsia="Arial" w:hAnsi="Arial"/>
          <w:sz w:val="13"/>
          <w:szCs w:val="13"/>
          <w:color w:val="105EAB"/>
        </w:rPr>
      </w:pPr>
    </w:p>
    <w:p>
      <w:pPr>
        <w:ind w:left="400" w:right="220" w:hanging="266"/>
        <w:spacing w:after="0" w:line="258" w:lineRule="auto"/>
        <w:tabs>
          <w:tab w:leader="none" w:pos="389" w:val="left"/>
        </w:tabs>
        <w:numPr>
          <w:ilvl w:val="0"/>
          <w:numId w:val="21"/>
        </w:numPr>
        <w:rPr>
          <w:rFonts w:ascii="Arial" w:cs="Arial" w:eastAsia="Arial" w:hAnsi="Arial"/>
          <w:sz w:val="13"/>
          <w:szCs w:val="13"/>
          <w:color w:val="105EAB"/>
        </w:rPr>
      </w:pPr>
      <w:r>
        <w:rPr>
          <w:rFonts w:ascii="Arial" w:cs="Arial" w:eastAsia="Arial" w:hAnsi="Arial"/>
          <w:sz w:val="13"/>
          <w:szCs w:val="13"/>
          <w:color w:val="auto"/>
        </w:rPr>
        <w:t>Allstate’s Board expanded its oversight of the Company’s public policy involvement in 2018 in response to stockholder input, including instituting a leading practice of having the chief risk officer independently assess this activity for the Board.</w:t>
      </w:r>
    </w:p>
    <w:p>
      <w:pPr>
        <w:spacing w:after="0" w:line="56" w:lineRule="exact"/>
        <w:rPr>
          <w:rFonts w:ascii="Arial" w:cs="Arial" w:eastAsia="Arial" w:hAnsi="Arial"/>
          <w:sz w:val="13"/>
          <w:szCs w:val="13"/>
          <w:color w:val="105EAB"/>
        </w:rPr>
      </w:pPr>
    </w:p>
    <w:p>
      <w:pPr>
        <w:ind w:left="400" w:hanging="266"/>
        <w:spacing w:after="0"/>
        <w:tabs>
          <w:tab w:leader="none" w:pos="400" w:val="left"/>
        </w:tabs>
        <w:numPr>
          <w:ilvl w:val="0"/>
          <w:numId w:val="21"/>
        </w:numPr>
        <w:rPr>
          <w:rFonts w:ascii="Arial" w:cs="Arial" w:eastAsia="Arial" w:hAnsi="Arial"/>
          <w:sz w:val="13"/>
          <w:szCs w:val="13"/>
          <w:color w:val="105EAB"/>
        </w:rPr>
      </w:pPr>
      <w:r>
        <w:rPr>
          <w:rFonts w:ascii="Arial" w:cs="Arial" w:eastAsia="Arial" w:hAnsi="Arial"/>
          <w:sz w:val="13"/>
          <w:szCs w:val="13"/>
          <w:color w:val="auto"/>
        </w:rPr>
        <w:t>The proposal relates to expenditures that are not significant to Allstate’s size and is contrary to the interests of Allstate’s stockholders.</w:t>
      </w:r>
    </w:p>
    <w:p>
      <w:pPr>
        <w:spacing w:after="0" w:line="336"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3"/>
          <w:szCs w:val="13"/>
          <w:b w:val="1"/>
          <w:bCs w:val="1"/>
          <w:color w:val="105EAB"/>
        </w:rPr>
      </w:pPr>
      <w:r>
        <w:rPr>
          <w:rFonts w:ascii="Arial" w:cs="Arial" w:eastAsia="Arial" w:hAnsi="Arial"/>
          <w:sz w:val="13"/>
          <w:szCs w:val="13"/>
          <w:color w:val="105EAB"/>
        </w:rPr>
        <w:t>www.allstateproxy.com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134620</wp:posOffset>
            </wp:positionV>
            <wp:extent cx="7268210"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169" w:lineRule="exact"/>
        <w:rPr>
          <w:sz w:val="20"/>
          <w:szCs w:val="20"/>
          <w:color w:val="auto"/>
        </w:rPr>
      </w:pPr>
    </w:p>
    <w:p>
      <w:pPr>
        <w:spacing w:after="0"/>
        <w:rPr>
          <w:sz w:val="20"/>
          <w:szCs w:val="20"/>
          <w:color w:val="auto"/>
        </w:rPr>
      </w:pPr>
      <w:r>
        <w:rPr>
          <w:rFonts w:ascii="Arial" w:cs="Arial" w:eastAsia="Arial" w:hAnsi="Arial"/>
          <w:sz w:val="50"/>
          <w:szCs w:val="50"/>
          <w:b w:val="1"/>
          <w:bCs w:val="1"/>
          <w:color w:val="105EAB"/>
        </w:rPr>
        <w:t>Table of Contents</w:t>
      </w:r>
    </w:p>
    <w:p>
      <w:pPr>
        <w:spacing w:after="0" w:line="265" w:lineRule="exact"/>
        <w:rPr>
          <w:sz w:val="20"/>
          <w:szCs w:val="20"/>
          <w:color w:val="auto"/>
        </w:rPr>
      </w:pPr>
    </w:p>
    <w:p>
      <w:pPr>
        <w:ind w:left="300" w:hanging="205"/>
        <w:spacing w:after="0"/>
        <w:tabs>
          <w:tab w:leader="none" w:pos="300" w:val="left"/>
        </w:tabs>
        <w:numPr>
          <w:ilvl w:val="0"/>
          <w:numId w:val="23"/>
        </w:numPr>
        <w:rPr>
          <w:rFonts w:ascii="Arial" w:cs="Arial" w:eastAsia="Arial" w:hAnsi="Arial"/>
          <w:sz w:val="13"/>
          <w:szCs w:val="13"/>
          <w:b w:val="1"/>
          <w:bCs w:val="1"/>
          <w:u w:val="single" w:color="auto"/>
          <w:color w:val="105EAB"/>
        </w:rPr>
      </w:pPr>
      <w:hyperlink w:anchor="page3">
        <w:r>
          <w:rPr>
            <w:rFonts w:ascii="Arial" w:cs="Arial" w:eastAsia="Arial" w:hAnsi="Arial"/>
            <w:sz w:val="13"/>
            <w:szCs w:val="13"/>
            <w:b w:val="1"/>
            <w:bCs w:val="1"/>
            <w:u w:val="single" w:color="auto"/>
            <w:color w:val="105EAB"/>
          </w:rPr>
          <w:t>Letter from Independent Directors to Stockholders</w:t>
        </w:r>
      </w:hyperlink>
    </w:p>
    <w:p>
      <w:pPr>
        <w:spacing w:after="0" w:line="147" w:lineRule="exact"/>
        <w:rPr>
          <w:rFonts w:ascii="Arial" w:cs="Arial" w:eastAsia="Arial" w:hAnsi="Arial"/>
          <w:sz w:val="13"/>
          <w:szCs w:val="13"/>
          <w:b w:val="1"/>
          <w:bCs w:val="1"/>
          <w:u w:val="single" w:color="auto"/>
          <w:color w:val="105EAB"/>
        </w:rPr>
      </w:pPr>
    </w:p>
    <w:p>
      <w:pPr>
        <w:ind w:left="100"/>
        <w:spacing w:after="0"/>
        <w:rPr>
          <w:rFonts w:ascii="Arial" w:cs="Arial" w:eastAsia="Arial" w:hAnsi="Arial"/>
          <w:sz w:val="13"/>
          <w:szCs w:val="13"/>
          <w:b w:val="1"/>
          <w:bCs w:val="1"/>
          <w:u w:val="single" w:color="auto"/>
          <w:color w:val="105EAB"/>
        </w:rPr>
      </w:pPr>
      <w:hyperlink w:anchor="page5">
        <w:r>
          <w:rPr>
            <w:rFonts w:ascii="Arial" w:cs="Arial" w:eastAsia="Arial" w:hAnsi="Arial"/>
            <w:sz w:val="13"/>
            <w:szCs w:val="13"/>
            <w:b w:val="1"/>
            <w:bCs w:val="1"/>
            <w:u w:val="single" w:color="auto"/>
            <w:color w:val="105EAB"/>
          </w:rPr>
          <w:t>4  Notice of 2019 Annual Meeting of Stockholders</w:t>
        </w:r>
      </w:hyperlink>
    </w:p>
    <w:p>
      <w:pPr>
        <w:spacing w:after="0" w:line="147" w:lineRule="exact"/>
        <w:rPr>
          <w:rFonts w:ascii="Arial" w:cs="Arial" w:eastAsia="Arial" w:hAnsi="Arial"/>
          <w:sz w:val="13"/>
          <w:szCs w:val="13"/>
          <w:b w:val="1"/>
          <w:bCs w:val="1"/>
          <w:u w:val="single" w:color="auto"/>
          <w:color w:val="105EAB"/>
        </w:rPr>
      </w:pPr>
    </w:p>
    <w:p>
      <w:pPr>
        <w:ind w:left="100"/>
        <w:spacing w:after="0"/>
        <w:rPr>
          <w:rFonts w:ascii="Arial" w:cs="Arial" w:eastAsia="Arial" w:hAnsi="Arial"/>
          <w:sz w:val="13"/>
          <w:szCs w:val="13"/>
          <w:b w:val="1"/>
          <w:bCs w:val="1"/>
          <w:u w:val="single" w:color="auto"/>
          <w:color w:val="105EAB"/>
        </w:rPr>
      </w:pPr>
      <w:hyperlink w:anchor="page6">
        <w:r>
          <w:rPr>
            <w:rFonts w:ascii="Arial" w:cs="Arial" w:eastAsia="Arial" w:hAnsi="Arial"/>
            <w:sz w:val="13"/>
            <w:szCs w:val="13"/>
            <w:b w:val="1"/>
            <w:bCs w:val="1"/>
            <w:u w:val="single" w:color="auto"/>
            <w:color w:val="105EAB"/>
          </w:rPr>
          <w:t>5  Proxy Summary</w:t>
        </w:r>
      </w:hyperlink>
    </w:p>
    <w:p>
      <w:pPr>
        <w:spacing w:after="0" w:line="147" w:lineRule="exact"/>
        <w:rPr>
          <w:rFonts w:ascii="Arial" w:cs="Arial" w:eastAsia="Arial" w:hAnsi="Arial"/>
          <w:sz w:val="13"/>
          <w:szCs w:val="13"/>
          <w:b w:val="1"/>
          <w:bCs w:val="1"/>
          <w:u w:val="single" w:color="auto"/>
          <w:color w:val="105EAB"/>
        </w:rPr>
      </w:pPr>
    </w:p>
    <w:p>
      <w:pPr>
        <w:ind w:left="300" w:hanging="280"/>
        <w:spacing w:after="0"/>
        <w:tabs>
          <w:tab w:leader="none" w:pos="300" w:val="left"/>
        </w:tabs>
        <w:numPr>
          <w:ilvl w:val="0"/>
          <w:numId w:val="24"/>
        </w:numPr>
        <w:rPr>
          <w:rFonts w:ascii="Arial" w:cs="Arial" w:eastAsia="Arial" w:hAnsi="Arial"/>
          <w:sz w:val="13"/>
          <w:szCs w:val="13"/>
          <w:b w:val="1"/>
          <w:bCs w:val="1"/>
          <w:u w:val="single" w:color="auto"/>
          <w:color w:val="105EAB"/>
        </w:rPr>
      </w:pPr>
      <w:hyperlink w:anchor="page11">
        <w:r>
          <w:rPr>
            <w:rFonts w:ascii="Arial" w:cs="Arial" w:eastAsia="Arial" w:hAnsi="Arial"/>
            <w:sz w:val="13"/>
            <w:szCs w:val="13"/>
            <w:b w:val="1"/>
            <w:bCs w:val="1"/>
            <w:u w:val="single" w:color="auto"/>
            <w:color w:val="105EAB"/>
          </w:rPr>
          <w:t>Corporate Governance</w:t>
        </w:r>
      </w:hyperlink>
    </w:p>
    <w:p>
      <w:pPr>
        <w:spacing w:after="0" w:line="28" w:lineRule="exact"/>
        <w:rPr>
          <w:rFonts w:ascii="Arial" w:cs="Arial" w:eastAsia="Arial" w:hAnsi="Arial"/>
          <w:sz w:val="13"/>
          <w:szCs w:val="13"/>
          <w:b w:val="1"/>
          <w:bCs w:val="1"/>
          <w:u w:val="single" w:color="auto"/>
          <w:color w:val="105EAB"/>
        </w:rPr>
      </w:pPr>
    </w:p>
    <w:p>
      <w:pPr>
        <w:ind w:left="300" w:hanging="280"/>
        <w:spacing w:after="0"/>
        <w:tabs>
          <w:tab w:leader="none" w:pos="300" w:val="left"/>
        </w:tabs>
        <w:numPr>
          <w:ilvl w:val="0"/>
          <w:numId w:val="25"/>
        </w:numPr>
        <w:rPr>
          <w:rFonts w:ascii="Arial" w:cs="Arial" w:eastAsia="Arial" w:hAnsi="Arial"/>
          <w:sz w:val="13"/>
          <w:szCs w:val="13"/>
          <w:b w:val="1"/>
          <w:bCs w:val="1"/>
          <w:u w:val="single" w:color="auto"/>
          <w:color w:val="39B6E9"/>
        </w:rPr>
      </w:pPr>
      <w:hyperlink w:anchor="page11">
        <w:r>
          <w:rPr>
            <w:rFonts w:ascii="Arial" w:cs="Arial" w:eastAsia="Arial" w:hAnsi="Arial"/>
            <w:sz w:val="13"/>
            <w:szCs w:val="13"/>
            <w:b w:val="1"/>
            <w:bCs w:val="1"/>
            <w:u w:val="single" w:color="auto"/>
            <w:color w:val="39B6E9"/>
          </w:rPr>
          <w:t>Proposal 1</w:t>
        </w:r>
      </w:hyperlink>
    </w:p>
    <w:p>
      <w:pPr>
        <w:spacing w:after="0" w:line="12" w:lineRule="exact"/>
        <w:rPr>
          <w:rFonts w:ascii="Arial" w:cs="Arial" w:eastAsia="Arial" w:hAnsi="Arial"/>
          <w:sz w:val="13"/>
          <w:szCs w:val="13"/>
          <w:b w:val="1"/>
          <w:bCs w:val="1"/>
          <w:u w:val="single" w:color="auto"/>
          <w:color w:val="39B6E9"/>
        </w:rPr>
      </w:pPr>
    </w:p>
    <w:p>
      <w:pPr>
        <w:ind w:left="300"/>
        <w:spacing w:after="0"/>
        <w:rPr>
          <w:rFonts w:ascii="Arial" w:cs="Arial" w:eastAsia="Arial" w:hAnsi="Arial"/>
          <w:sz w:val="13"/>
          <w:szCs w:val="13"/>
          <w:u w:val="single" w:color="auto"/>
          <w:color w:val="39B6E9"/>
        </w:rPr>
      </w:pPr>
      <w:hyperlink w:anchor="page11">
        <w:r>
          <w:rPr>
            <w:rFonts w:ascii="Arial" w:cs="Arial" w:eastAsia="Arial" w:hAnsi="Arial"/>
            <w:sz w:val="13"/>
            <w:szCs w:val="13"/>
            <w:u w:val="single" w:color="auto"/>
            <w:color w:val="39B6E9"/>
          </w:rPr>
          <w:t>Election of 10 Directors</w:t>
        </w:r>
      </w:hyperlink>
    </w:p>
    <w:p>
      <w:pPr>
        <w:spacing w:after="0" w:line="25" w:lineRule="exact"/>
        <w:rPr>
          <w:rFonts w:ascii="Arial" w:cs="Arial" w:eastAsia="Arial" w:hAnsi="Arial"/>
          <w:sz w:val="13"/>
          <w:szCs w:val="13"/>
          <w:u w:val="single" w:color="auto"/>
          <w:color w:val="39B6E9"/>
        </w:rPr>
      </w:pPr>
    </w:p>
    <w:p>
      <w:pPr>
        <w:ind w:left="300" w:hanging="280"/>
        <w:spacing w:after="0"/>
        <w:tabs>
          <w:tab w:leader="none" w:pos="300" w:val="left"/>
        </w:tabs>
        <w:numPr>
          <w:ilvl w:val="0"/>
          <w:numId w:val="25"/>
        </w:numPr>
        <w:rPr>
          <w:rFonts w:ascii="Arial" w:cs="Arial" w:eastAsia="Arial" w:hAnsi="Arial"/>
          <w:sz w:val="13"/>
          <w:szCs w:val="13"/>
          <w:u w:val="single" w:color="auto"/>
          <w:color w:val="0000EE"/>
        </w:rPr>
      </w:pPr>
      <w:hyperlink w:anchor="page12">
        <w:r>
          <w:rPr>
            <w:rFonts w:ascii="Arial" w:cs="Arial" w:eastAsia="Arial" w:hAnsi="Arial"/>
            <w:sz w:val="13"/>
            <w:szCs w:val="13"/>
            <w:u w:val="single" w:color="auto"/>
            <w:color w:val="0000EE"/>
          </w:rPr>
          <w:t>Director Nominees</w:t>
        </w:r>
      </w:hyperlink>
    </w:p>
    <w:p>
      <w:pPr>
        <w:spacing w:after="0" w:line="26" w:lineRule="exact"/>
        <w:rPr>
          <w:rFonts w:ascii="Arial" w:cs="Arial" w:eastAsia="Arial" w:hAnsi="Arial"/>
          <w:sz w:val="13"/>
          <w:szCs w:val="13"/>
          <w:b w:val="1"/>
          <w:bCs w:val="1"/>
          <w:u w:val="single" w:color="auto"/>
          <w:color w:val="39B6E9"/>
        </w:rPr>
      </w:pPr>
    </w:p>
    <w:p>
      <w:pPr>
        <w:ind w:left="300" w:hanging="280"/>
        <w:spacing w:after="0"/>
        <w:tabs>
          <w:tab w:leader="none" w:pos="300" w:val="left"/>
        </w:tabs>
        <w:numPr>
          <w:ilvl w:val="0"/>
          <w:numId w:val="26"/>
        </w:numPr>
        <w:rPr>
          <w:rFonts w:ascii="Arial" w:cs="Arial" w:eastAsia="Arial" w:hAnsi="Arial"/>
          <w:sz w:val="13"/>
          <w:szCs w:val="13"/>
          <w:u w:val="single" w:color="auto"/>
          <w:color w:val="0000EE"/>
        </w:rPr>
      </w:pPr>
      <w:hyperlink w:anchor="page17">
        <w:r>
          <w:rPr>
            <w:rFonts w:ascii="Arial" w:cs="Arial" w:eastAsia="Arial" w:hAnsi="Arial"/>
            <w:sz w:val="13"/>
            <w:szCs w:val="13"/>
            <w:u w:val="single" w:color="auto"/>
            <w:color w:val="0000EE"/>
          </w:rPr>
          <w:t>Board Composition and Nominee Considerations</w:t>
        </w:r>
      </w:hyperlink>
    </w:p>
    <w:p>
      <w:pPr>
        <w:spacing w:after="0" w:line="25" w:lineRule="exact"/>
        <w:rPr>
          <w:rFonts w:ascii="Arial" w:cs="Arial" w:eastAsia="Arial" w:hAnsi="Arial"/>
          <w:sz w:val="13"/>
          <w:szCs w:val="13"/>
          <w:u w:val="single" w:color="auto"/>
          <w:color w:val="0000EE"/>
        </w:rPr>
      </w:pPr>
    </w:p>
    <w:p>
      <w:pPr>
        <w:ind w:left="300" w:hanging="280"/>
        <w:spacing w:after="0"/>
        <w:tabs>
          <w:tab w:leader="none" w:pos="300" w:val="left"/>
        </w:tabs>
        <w:numPr>
          <w:ilvl w:val="0"/>
          <w:numId w:val="26"/>
        </w:numPr>
        <w:rPr>
          <w:rFonts w:ascii="Arial" w:cs="Arial" w:eastAsia="Arial" w:hAnsi="Arial"/>
          <w:sz w:val="13"/>
          <w:szCs w:val="13"/>
          <w:u w:val="single" w:color="auto"/>
          <w:color w:val="0000EE"/>
        </w:rPr>
      </w:pPr>
      <w:hyperlink w:anchor="page18">
        <w:r>
          <w:rPr>
            <w:rFonts w:ascii="Arial" w:cs="Arial" w:eastAsia="Arial" w:hAnsi="Arial"/>
            <w:sz w:val="13"/>
            <w:szCs w:val="13"/>
            <w:u w:val="single" w:color="auto"/>
            <w:color w:val="0000EE"/>
          </w:rPr>
          <w:t>Board Effectiveness</w:t>
        </w:r>
      </w:hyperlink>
    </w:p>
    <w:p>
      <w:pPr>
        <w:spacing w:after="0" w:line="26" w:lineRule="exact"/>
        <w:rPr>
          <w:rFonts w:ascii="Arial" w:cs="Arial" w:eastAsia="Arial" w:hAnsi="Arial"/>
          <w:sz w:val="13"/>
          <w:szCs w:val="13"/>
          <w:u w:val="single" w:color="auto"/>
          <w:color w:val="0000EE"/>
        </w:rPr>
      </w:pPr>
    </w:p>
    <w:p>
      <w:pPr>
        <w:ind w:left="300" w:hanging="280"/>
        <w:spacing w:after="0"/>
        <w:tabs>
          <w:tab w:leader="none" w:pos="300" w:val="left"/>
        </w:tabs>
        <w:numPr>
          <w:ilvl w:val="0"/>
          <w:numId w:val="27"/>
        </w:numPr>
        <w:rPr>
          <w:rFonts w:ascii="Arial" w:cs="Arial" w:eastAsia="Arial" w:hAnsi="Arial"/>
          <w:sz w:val="13"/>
          <w:szCs w:val="13"/>
          <w:u w:val="single" w:color="auto"/>
          <w:color w:val="0000EE"/>
        </w:rPr>
      </w:pPr>
      <w:hyperlink w:anchor="page20">
        <w:r>
          <w:rPr>
            <w:rFonts w:ascii="Arial" w:cs="Arial" w:eastAsia="Arial" w:hAnsi="Arial"/>
            <w:sz w:val="13"/>
            <w:szCs w:val="13"/>
            <w:u w:val="single" w:color="auto"/>
            <w:color w:val="0000EE"/>
          </w:rPr>
          <w:t>The Board’s Risk Oversight Responsibilities</w:t>
        </w:r>
      </w:hyperlink>
    </w:p>
    <w:p>
      <w:pPr>
        <w:spacing w:after="0" w:line="25" w:lineRule="exact"/>
        <w:rPr>
          <w:rFonts w:ascii="Arial" w:cs="Arial" w:eastAsia="Arial" w:hAnsi="Arial"/>
          <w:sz w:val="13"/>
          <w:szCs w:val="13"/>
          <w:u w:val="single" w:color="auto"/>
          <w:color w:val="0000EE"/>
        </w:rPr>
      </w:pPr>
    </w:p>
    <w:p>
      <w:pPr>
        <w:ind w:left="300" w:hanging="280"/>
        <w:spacing w:after="0"/>
        <w:tabs>
          <w:tab w:leader="none" w:pos="300" w:val="left"/>
        </w:tabs>
        <w:numPr>
          <w:ilvl w:val="0"/>
          <w:numId w:val="28"/>
        </w:numPr>
        <w:rPr>
          <w:rFonts w:ascii="Arial" w:cs="Arial" w:eastAsia="Arial" w:hAnsi="Arial"/>
          <w:sz w:val="13"/>
          <w:szCs w:val="13"/>
          <w:u w:val="single" w:color="auto"/>
          <w:color w:val="0000EE"/>
        </w:rPr>
      </w:pPr>
      <w:hyperlink w:anchor="page26">
        <w:r>
          <w:rPr>
            <w:rFonts w:ascii="Arial" w:cs="Arial" w:eastAsia="Arial" w:hAnsi="Arial"/>
            <w:sz w:val="13"/>
            <w:szCs w:val="13"/>
            <w:u w:val="single" w:color="auto"/>
            <w:color w:val="0000EE"/>
          </w:rPr>
          <w:t>Board Structure</w:t>
        </w:r>
      </w:hyperlink>
    </w:p>
    <w:p>
      <w:pPr>
        <w:spacing w:after="0" w:line="25" w:lineRule="exact"/>
        <w:rPr>
          <w:rFonts w:ascii="Arial" w:cs="Arial" w:eastAsia="Arial" w:hAnsi="Arial"/>
          <w:sz w:val="13"/>
          <w:szCs w:val="13"/>
          <w:u w:val="single" w:color="auto"/>
          <w:color w:val="0000EE"/>
        </w:rPr>
      </w:pPr>
    </w:p>
    <w:p>
      <w:pPr>
        <w:ind w:left="300" w:hanging="280"/>
        <w:spacing w:after="0"/>
        <w:tabs>
          <w:tab w:leader="none" w:pos="300" w:val="left"/>
        </w:tabs>
        <w:numPr>
          <w:ilvl w:val="0"/>
          <w:numId w:val="28"/>
        </w:numPr>
        <w:rPr>
          <w:rFonts w:ascii="Arial" w:cs="Arial" w:eastAsia="Arial" w:hAnsi="Arial"/>
          <w:sz w:val="13"/>
          <w:szCs w:val="13"/>
          <w:u w:val="single" w:color="auto"/>
          <w:color w:val="0000EE"/>
        </w:rPr>
      </w:pPr>
      <w:hyperlink w:anchor="page27">
        <w:r>
          <w:rPr>
            <w:rFonts w:ascii="Arial" w:cs="Arial" w:eastAsia="Arial" w:hAnsi="Arial"/>
            <w:sz w:val="13"/>
            <w:szCs w:val="13"/>
            <w:u w:val="single" w:color="auto"/>
            <w:color w:val="0000EE"/>
          </w:rPr>
          <w:t>Board Meetings and Committees</w:t>
        </w:r>
      </w:hyperlink>
    </w:p>
    <w:p>
      <w:pPr>
        <w:spacing w:after="0" w:line="25" w:lineRule="exact"/>
        <w:rPr>
          <w:rFonts w:ascii="Arial" w:cs="Arial" w:eastAsia="Arial" w:hAnsi="Arial"/>
          <w:sz w:val="13"/>
          <w:szCs w:val="13"/>
          <w:u w:val="single" w:color="auto"/>
          <w:color w:val="0000EE"/>
        </w:rPr>
      </w:pPr>
    </w:p>
    <w:p>
      <w:pPr>
        <w:ind w:left="300" w:hanging="280"/>
        <w:spacing w:after="0"/>
        <w:tabs>
          <w:tab w:leader="none" w:pos="300" w:val="left"/>
        </w:tabs>
        <w:numPr>
          <w:ilvl w:val="0"/>
          <w:numId w:val="29"/>
        </w:numPr>
        <w:rPr>
          <w:rFonts w:ascii="Arial" w:cs="Arial" w:eastAsia="Arial" w:hAnsi="Arial"/>
          <w:sz w:val="13"/>
          <w:szCs w:val="13"/>
          <w:u w:val="single" w:color="auto"/>
          <w:color w:val="0000EE"/>
        </w:rPr>
      </w:pPr>
      <w:hyperlink w:anchor="page31">
        <w:r>
          <w:rPr>
            <w:rFonts w:ascii="Arial" w:cs="Arial" w:eastAsia="Arial" w:hAnsi="Arial"/>
            <w:sz w:val="13"/>
            <w:szCs w:val="13"/>
            <w:u w:val="single" w:color="auto"/>
            <w:color w:val="0000EE"/>
          </w:rPr>
          <w:t>Board Independence and Related Person Transactions</w:t>
        </w:r>
      </w:hyperlink>
    </w:p>
    <w:p>
      <w:pPr>
        <w:spacing w:after="0" w:line="25" w:lineRule="exact"/>
        <w:rPr>
          <w:rFonts w:ascii="Arial" w:cs="Arial" w:eastAsia="Arial" w:hAnsi="Arial"/>
          <w:sz w:val="13"/>
          <w:szCs w:val="13"/>
          <w:u w:val="single" w:color="auto"/>
          <w:color w:val="0000EE"/>
        </w:rPr>
      </w:pPr>
    </w:p>
    <w:p>
      <w:pPr>
        <w:ind w:left="300" w:hanging="280"/>
        <w:spacing w:after="0"/>
        <w:tabs>
          <w:tab w:leader="none" w:pos="300" w:val="left"/>
        </w:tabs>
        <w:numPr>
          <w:ilvl w:val="0"/>
          <w:numId w:val="30"/>
        </w:numPr>
        <w:rPr>
          <w:rFonts w:ascii="Arial" w:cs="Arial" w:eastAsia="Arial" w:hAnsi="Arial"/>
          <w:sz w:val="13"/>
          <w:szCs w:val="13"/>
          <w:u w:val="single" w:color="auto"/>
          <w:color w:val="0000EE"/>
        </w:rPr>
      </w:pPr>
      <w:hyperlink w:anchor="page31">
        <w:r>
          <w:rPr>
            <w:rFonts w:ascii="Arial" w:cs="Arial" w:eastAsia="Arial" w:hAnsi="Arial"/>
            <w:sz w:val="13"/>
            <w:szCs w:val="13"/>
            <w:u w:val="single" w:color="auto"/>
            <w:color w:val="0000EE"/>
          </w:rPr>
          <w:t>Director Compensation</w:t>
        </w:r>
      </w:hyperlink>
    </w:p>
    <w:p>
      <w:pPr>
        <w:spacing w:after="0" w:line="145" w:lineRule="exact"/>
        <w:rPr>
          <w:rFonts w:ascii="Arial" w:cs="Arial" w:eastAsia="Arial" w:hAnsi="Arial"/>
          <w:sz w:val="13"/>
          <w:szCs w:val="13"/>
          <w:u w:val="single" w:color="auto"/>
          <w:color w:val="0000EE"/>
        </w:rPr>
      </w:pPr>
    </w:p>
    <w:p>
      <w:pPr>
        <w:ind w:left="300" w:hanging="280"/>
        <w:spacing w:after="0"/>
        <w:tabs>
          <w:tab w:leader="none" w:pos="300" w:val="left"/>
        </w:tabs>
        <w:numPr>
          <w:ilvl w:val="0"/>
          <w:numId w:val="31"/>
        </w:numPr>
        <w:rPr>
          <w:rFonts w:ascii="Arial" w:cs="Arial" w:eastAsia="Arial" w:hAnsi="Arial"/>
          <w:sz w:val="13"/>
          <w:szCs w:val="13"/>
          <w:b w:val="1"/>
          <w:bCs w:val="1"/>
          <w:u w:val="single" w:color="auto"/>
          <w:color w:val="105EAB"/>
        </w:rPr>
      </w:pPr>
      <w:hyperlink w:anchor="page35">
        <w:r>
          <w:rPr>
            <w:rFonts w:ascii="Arial" w:cs="Arial" w:eastAsia="Arial" w:hAnsi="Arial"/>
            <w:sz w:val="13"/>
            <w:szCs w:val="13"/>
            <w:b w:val="1"/>
            <w:bCs w:val="1"/>
            <w:u w:val="single" w:color="auto"/>
            <w:color w:val="105EAB"/>
          </w:rPr>
          <w:t>Executive Compensation</w:t>
        </w:r>
      </w:hyperlink>
    </w:p>
    <w:p>
      <w:pPr>
        <w:spacing w:after="0" w:line="28" w:lineRule="exact"/>
        <w:rPr>
          <w:rFonts w:ascii="Arial" w:cs="Arial" w:eastAsia="Arial" w:hAnsi="Arial"/>
          <w:sz w:val="13"/>
          <w:szCs w:val="13"/>
          <w:b w:val="1"/>
          <w:bCs w:val="1"/>
          <w:u w:val="single" w:color="auto"/>
          <w:color w:val="105EAB"/>
        </w:rPr>
      </w:pPr>
    </w:p>
    <w:p>
      <w:pPr>
        <w:ind w:left="300" w:hanging="280"/>
        <w:spacing w:after="0"/>
        <w:tabs>
          <w:tab w:leader="none" w:pos="300" w:val="left"/>
        </w:tabs>
        <w:numPr>
          <w:ilvl w:val="0"/>
          <w:numId w:val="32"/>
        </w:numPr>
        <w:rPr>
          <w:rFonts w:ascii="Arial" w:cs="Arial" w:eastAsia="Arial" w:hAnsi="Arial"/>
          <w:sz w:val="13"/>
          <w:szCs w:val="13"/>
          <w:b w:val="1"/>
          <w:bCs w:val="1"/>
          <w:u w:val="single" w:color="auto"/>
          <w:color w:val="39B6E9"/>
        </w:rPr>
      </w:pPr>
      <w:hyperlink w:anchor="page35">
        <w:r>
          <w:rPr>
            <w:rFonts w:ascii="Arial" w:cs="Arial" w:eastAsia="Arial" w:hAnsi="Arial"/>
            <w:sz w:val="13"/>
            <w:szCs w:val="13"/>
            <w:b w:val="1"/>
            <w:bCs w:val="1"/>
            <w:u w:val="single" w:color="auto"/>
            <w:color w:val="39B6E9"/>
          </w:rPr>
          <w:t>Proposal 2</w:t>
        </w:r>
      </w:hyperlink>
    </w:p>
    <w:p>
      <w:pPr>
        <w:spacing w:after="0" w:line="12" w:lineRule="exact"/>
        <w:rPr>
          <w:rFonts w:ascii="Arial" w:cs="Arial" w:eastAsia="Arial" w:hAnsi="Arial"/>
          <w:sz w:val="13"/>
          <w:szCs w:val="13"/>
          <w:b w:val="1"/>
          <w:bCs w:val="1"/>
          <w:u w:val="single" w:color="auto"/>
          <w:color w:val="39B6E9"/>
        </w:rPr>
      </w:pPr>
    </w:p>
    <w:p>
      <w:pPr>
        <w:ind w:left="300"/>
        <w:spacing w:after="0"/>
        <w:rPr>
          <w:rFonts w:ascii="Arial" w:cs="Arial" w:eastAsia="Arial" w:hAnsi="Arial"/>
          <w:sz w:val="13"/>
          <w:szCs w:val="13"/>
          <w:u w:val="single" w:color="auto"/>
          <w:color w:val="39B6E9"/>
        </w:rPr>
      </w:pPr>
      <w:hyperlink w:anchor="page35">
        <w:r>
          <w:rPr>
            <w:rFonts w:ascii="Arial" w:cs="Arial" w:eastAsia="Arial" w:hAnsi="Arial"/>
            <w:sz w:val="13"/>
            <w:szCs w:val="13"/>
            <w:u w:val="single" w:color="auto"/>
            <w:color w:val="39B6E9"/>
          </w:rPr>
          <w:t>Say-on-Pay: Advisory Vote on the Compensation of the Named Executives</w:t>
        </w:r>
      </w:hyperlink>
    </w:p>
    <w:p>
      <w:pPr>
        <w:spacing w:after="0" w:line="25" w:lineRule="exact"/>
        <w:rPr>
          <w:rFonts w:ascii="Arial" w:cs="Arial" w:eastAsia="Arial" w:hAnsi="Arial"/>
          <w:sz w:val="13"/>
          <w:szCs w:val="13"/>
          <w:u w:val="single" w:color="auto"/>
          <w:color w:val="39B6E9"/>
        </w:rPr>
      </w:pPr>
    </w:p>
    <w:p>
      <w:pPr>
        <w:ind w:left="300" w:hanging="280"/>
        <w:spacing w:after="0"/>
        <w:tabs>
          <w:tab w:leader="none" w:pos="300" w:val="left"/>
        </w:tabs>
        <w:numPr>
          <w:ilvl w:val="0"/>
          <w:numId w:val="33"/>
        </w:numPr>
        <w:rPr>
          <w:rFonts w:ascii="Arial" w:cs="Arial" w:eastAsia="Arial" w:hAnsi="Arial"/>
          <w:sz w:val="13"/>
          <w:szCs w:val="13"/>
          <w:u w:val="single" w:color="auto"/>
          <w:color w:val="0000EE"/>
        </w:rPr>
      </w:pPr>
      <w:hyperlink w:anchor="page35">
        <w:r>
          <w:rPr>
            <w:rFonts w:ascii="Arial" w:cs="Arial" w:eastAsia="Arial" w:hAnsi="Arial"/>
            <w:sz w:val="13"/>
            <w:szCs w:val="13"/>
            <w:u w:val="single" w:color="auto"/>
            <w:color w:val="0000EE"/>
          </w:rPr>
          <w:t>Compensation Discussion and Analysis</w:t>
        </w:r>
      </w:hyperlink>
    </w:p>
    <w:p>
      <w:pPr>
        <w:spacing w:after="0" w:line="25" w:lineRule="exact"/>
        <w:rPr>
          <w:rFonts w:ascii="Arial" w:cs="Arial" w:eastAsia="Arial" w:hAnsi="Arial"/>
          <w:sz w:val="13"/>
          <w:szCs w:val="13"/>
          <w:u w:val="single" w:color="auto"/>
          <w:color w:val="0000EE"/>
        </w:rPr>
      </w:pPr>
    </w:p>
    <w:p>
      <w:pPr>
        <w:ind w:left="300" w:hanging="280"/>
        <w:spacing w:after="0"/>
        <w:tabs>
          <w:tab w:leader="none" w:pos="300" w:val="left"/>
        </w:tabs>
        <w:numPr>
          <w:ilvl w:val="0"/>
          <w:numId w:val="34"/>
        </w:numPr>
        <w:rPr>
          <w:rFonts w:ascii="Arial" w:cs="Arial" w:eastAsia="Arial" w:hAnsi="Arial"/>
          <w:sz w:val="13"/>
          <w:szCs w:val="13"/>
          <w:u w:val="single" w:color="auto"/>
          <w:color w:val="0000EE"/>
        </w:rPr>
      </w:pPr>
      <w:hyperlink w:anchor="page53">
        <w:r>
          <w:rPr>
            <w:rFonts w:ascii="Arial" w:cs="Arial" w:eastAsia="Arial" w:hAnsi="Arial"/>
            <w:sz w:val="13"/>
            <w:szCs w:val="13"/>
            <w:u w:val="single" w:color="auto"/>
            <w:color w:val="0000EE"/>
          </w:rPr>
          <w:t>Compensation Committee Report</w:t>
        </w:r>
      </w:hyperlink>
    </w:p>
    <w:p>
      <w:pPr>
        <w:spacing w:after="0" w:line="25" w:lineRule="exact"/>
        <w:rPr>
          <w:rFonts w:ascii="Arial" w:cs="Arial" w:eastAsia="Arial" w:hAnsi="Arial"/>
          <w:sz w:val="13"/>
          <w:szCs w:val="13"/>
          <w:u w:val="single" w:color="auto"/>
          <w:color w:val="0000EE"/>
        </w:rPr>
      </w:pPr>
    </w:p>
    <w:p>
      <w:pPr>
        <w:ind w:left="300" w:hanging="280"/>
        <w:spacing w:after="0"/>
        <w:tabs>
          <w:tab w:leader="none" w:pos="300" w:val="left"/>
        </w:tabs>
        <w:numPr>
          <w:ilvl w:val="0"/>
          <w:numId w:val="34"/>
        </w:numPr>
        <w:rPr>
          <w:rFonts w:ascii="Arial" w:cs="Arial" w:eastAsia="Arial" w:hAnsi="Arial"/>
          <w:sz w:val="13"/>
          <w:szCs w:val="13"/>
          <w:u w:val="single" w:color="auto"/>
          <w:color w:val="0000EE"/>
        </w:rPr>
      </w:pPr>
      <w:hyperlink w:anchor="page54">
        <w:r>
          <w:rPr>
            <w:rFonts w:ascii="Arial" w:cs="Arial" w:eastAsia="Arial" w:hAnsi="Arial"/>
            <w:sz w:val="13"/>
            <w:szCs w:val="13"/>
            <w:u w:val="single" w:color="auto"/>
            <w:color w:val="0000EE"/>
          </w:rPr>
          <w:t>Summary Compensation Table</w:t>
        </w:r>
      </w:hyperlink>
    </w:p>
    <w:p>
      <w:pPr>
        <w:spacing w:after="0" w:line="25" w:lineRule="exact"/>
        <w:rPr>
          <w:rFonts w:ascii="Arial" w:cs="Arial" w:eastAsia="Arial" w:hAnsi="Arial"/>
          <w:sz w:val="13"/>
          <w:szCs w:val="13"/>
          <w:u w:val="single" w:color="auto"/>
          <w:color w:val="0000EE"/>
        </w:rPr>
      </w:pPr>
    </w:p>
    <w:p>
      <w:pPr>
        <w:ind w:left="300" w:hanging="280"/>
        <w:spacing w:after="0"/>
        <w:tabs>
          <w:tab w:leader="none" w:pos="300" w:val="left"/>
        </w:tabs>
        <w:numPr>
          <w:ilvl w:val="0"/>
          <w:numId w:val="35"/>
        </w:numPr>
        <w:rPr>
          <w:rFonts w:ascii="Arial" w:cs="Arial" w:eastAsia="Arial" w:hAnsi="Arial"/>
          <w:sz w:val="13"/>
          <w:szCs w:val="13"/>
          <w:u w:val="single" w:color="auto"/>
          <w:color w:val="0000EE"/>
        </w:rPr>
      </w:pPr>
      <w:hyperlink w:anchor="page57">
        <w:r>
          <w:rPr>
            <w:rFonts w:ascii="Arial" w:cs="Arial" w:eastAsia="Arial" w:hAnsi="Arial"/>
            <w:sz w:val="13"/>
            <w:szCs w:val="13"/>
            <w:u w:val="single" w:color="auto"/>
            <w:color w:val="0000EE"/>
          </w:rPr>
          <w:t>Grants of Plan-Based Awards at Fiscal Year-end 2018</w:t>
        </w:r>
      </w:hyperlink>
    </w:p>
    <w:p>
      <w:pPr>
        <w:spacing w:after="0" w:line="25" w:lineRule="exact"/>
        <w:rPr>
          <w:rFonts w:ascii="Arial" w:cs="Arial" w:eastAsia="Arial" w:hAnsi="Arial"/>
          <w:sz w:val="13"/>
          <w:szCs w:val="13"/>
          <w:u w:val="single" w:color="auto"/>
          <w:color w:val="0000EE"/>
        </w:rPr>
      </w:pPr>
    </w:p>
    <w:p>
      <w:pPr>
        <w:ind w:left="300" w:hanging="280"/>
        <w:spacing w:after="0"/>
        <w:tabs>
          <w:tab w:leader="none" w:pos="300" w:val="left"/>
        </w:tabs>
        <w:numPr>
          <w:ilvl w:val="0"/>
          <w:numId w:val="36"/>
        </w:numPr>
        <w:rPr>
          <w:rFonts w:ascii="Arial" w:cs="Arial" w:eastAsia="Arial" w:hAnsi="Arial"/>
          <w:sz w:val="13"/>
          <w:szCs w:val="13"/>
          <w:u w:val="single" w:color="auto"/>
          <w:color w:val="0000EE"/>
        </w:rPr>
      </w:pPr>
      <w:hyperlink w:anchor="page59">
        <w:r>
          <w:rPr>
            <w:rFonts w:ascii="Arial" w:cs="Arial" w:eastAsia="Arial" w:hAnsi="Arial"/>
            <w:sz w:val="13"/>
            <w:szCs w:val="13"/>
            <w:u w:val="single" w:color="auto"/>
            <w:color w:val="0000EE"/>
          </w:rPr>
          <w:t>Outstanding Equity Awards at Fiscal Year-end 2018</w:t>
        </w:r>
      </w:hyperlink>
    </w:p>
    <w:p>
      <w:pPr>
        <w:spacing w:after="0" w:line="25" w:lineRule="exact"/>
        <w:rPr>
          <w:rFonts w:ascii="Arial" w:cs="Arial" w:eastAsia="Arial" w:hAnsi="Arial"/>
          <w:sz w:val="13"/>
          <w:szCs w:val="13"/>
          <w:u w:val="single" w:color="auto"/>
          <w:color w:val="0000EE"/>
        </w:rPr>
      </w:pPr>
    </w:p>
    <w:p>
      <w:pPr>
        <w:ind w:left="300" w:hanging="280"/>
        <w:spacing w:after="0"/>
        <w:tabs>
          <w:tab w:leader="none" w:pos="300" w:val="left"/>
        </w:tabs>
        <w:numPr>
          <w:ilvl w:val="0"/>
          <w:numId w:val="36"/>
        </w:numPr>
        <w:rPr>
          <w:rFonts w:ascii="Arial" w:cs="Arial" w:eastAsia="Arial" w:hAnsi="Arial"/>
          <w:sz w:val="13"/>
          <w:szCs w:val="13"/>
          <w:u w:val="single" w:color="auto"/>
          <w:color w:val="0000EE"/>
        </w:rPr>
      </w:pPr>
      <w:hyperlink w:anchor="page60">
        <w:r>
          <w:rPr>
            <w:rFonts w:ascii="Arial" w:cs="Arial" w:eastAsia="Arial" w:hAnsi="Arial"/>
            <w:sz w:val="13"/>
            <w:szCs w:val="13"/>
            <w:u w:val="single" w:color="auto"/>
            <w:color w:val="0000EE"/>
          </w:rPr>
          <w:t>Option Exercises and Stock Vested During 2018</w:t>
        </w:r>
      </w:hyperlink>
    </w:p>
    <w:p>
      <w:pPr>
        <w:spacing w:after="0" w:line="25" w:lineRule="exact"/>
        <w:rPr>
          <w:rFonts w:ascii="Arial" w:cs="Arial" w:eastAsia="Arial" w:hAnsi="Arial"/>
          <w:sz w:val="13"/>
          <w:szCs w:val="13"/>
          <w:u w:val="single" w:color="auto"/>
          <w:color w:val="0000EE"/>
        </w:rPr>
      </w:pPr>
    </w:p>
    <w:p>
      <w:pPr>
        <w:ind w:left="300" w:hanging="280"/>
        <w:spacing w:after="0"/>
        <w:tabs>
          <w:tab w:leader="none" w:pos="300" w:val="left"/>
        </w:tabs>
        <w:numPr>
          <w:ilvl w:val="0"/>
          <w:numId w:val="36"/>
        </w:numPr>
        <w:rPr>
          <w:rFonts w:ascii="Arial" w:cs="Arial" w:eastAsia="Arial" w:hAnsi="Arial"/>
          <w:sz w:val="13"/>
          <w:szCs w:val="13"/>
          <w:u w:val="single" w:color="auto"/>
          <w:color w:val="0000EE"/>
        </w:rPr>
      </w:pPr>
      <w:hyperlink w:anchor="page61">
        <w:r>
          <w:rPr>
            <w:rFonts w:ascii="Arial" w:cs="Arial" w:eastAsia="Arial" w:hAnsi="Arial"/>
            <w:sz w:val="13"/>
            <w:szCs w:val="13"/>
            <w:u w:val="single" w:color="auto"/>
            <w:color w:val="0000EE"/>
          </w:rPr>
          <w:t>Retirement Benefits</w:t>
        </w:r>
      </w:hyperlink>
    </w:p>
    <w:p>
      <w:pPr>
        <w:spacing w:after="0" w:line="25" w:lineRule="exact"/>
        <w:rPr>
          <w:rFonts w:ascii="Arial" w:cs="Arial" w:eastAsia="Arial" w:hAnsi="Arial"/>
          <w:sz w:val="13"/>
          <w:szCs w:val="13"/>
          <w:u w:val="single" w:color="auto"/>
          <w:color w:val="0000EE"/>
        </w:rPr>
      </w:pPr>
    </w:p>
    <w:p>
      <w:pPr>
        <w:ind w:left="300" w:hanging="280"/>
        <w:spacing w:after="0"/>
        <w:tabs>
          <w:tab w:leader="none" w:pos="300" w:val="left"/>
        </w:tabs>
        <w:numPr>
          <w:ilvl w:val="0"/>
          <w:numId w:val="37"/>
        </w:numPr>
        <w:rPr>
          <w:rFonts w:ascii="Arial" w:cs="Arial" w:eastAsia="Arial" w:hAnsi="Arial"/>
          <w:sz w:val="13"/>
          <w:szCs w:val="13"/>
          <w:u w:val="single" w:color="auto"/>
          <w:color w:val="0000EE"/>
        </w:rPr>
      </w:pPr>
      <w:hyperlink w:anchor="page63">
        <w:r>
          <w:rPr>
            <w:rFonts w:ascii="Arial" w:cs="Arial" w:eastAsia="Arial" w:hAnsi="Arial"/>
            <w:sz w:val="13"/>
            <w:szCs w:val="13"/>
            <w:u w:val="single" w:color="auto"/>
            <w:color w:val="0000EE"/>
          </w:rPr>
          <w:t>Non-Qualified Deferred Compensation at Fiscal Year-end 2018</w:t>
        </w:r>
      </w:hyperlink>
    </w:p>
    <w:p>
      <w:pPr>
        <w:spacing w:after="0" w:line="25" w:lineRule="exact"/>
        <w:rPr>
          <w:rFonts w:ascii="Arial" w:cs="Arial" w:eastAsia="Arial" w:hAnsi="Arial"/>
          <w:sz w:val="13"/>
          <w:szCs w:val="13"/>
          <w:u w:val="single" w:color="auto"/>
          <w:color w:val="0000EE"/>
        </w:rPr>
      </w:pPr>
    </w:p>
    <w:p>
      <w:pPr>
        <w:ind w:left="300" w:hanging="280"/>
        <w:spacing w:after="0"/>
        <w:tabs>
          <w:tab w:leader="none" w:pos="300" w:val="left"/>
        </w:tabs>
        <w:numPr>
          <w:ilvl w:val="0"/>
          <w:numId w:val="37"/>
        </w:numPr>
        <w:rPr>
          <w:rFonts w:ascii="Arial" w:cs="Arial" w:eastAsia="Arial" w:hAnsi="Arial"/>
          <w:sz w:val="13"/>
          <w:szCs w:val="13"/>
          <w:u w:val="single" w:color="auto"/>
          <w:color w:val="0000EE"/>
        </w:rPr>
      </w:pPr>
      <w:hyperlink w:anchor="page64">
        <w:r>
          <w:rPr>
            <w:rFonts w:ascii="Arial" w:cs="Arial" w:eastAsia="Arial" w:hAnsi="Arial"/>
            <w:sz w:val="13"/>
            <w:szCs w:val="13"/>
            <w:u w:val="single" w:color="auto"/>
            <w:color w:val="0000EE"/>
          </w:rPr>
          <w:t>Potential Payments as a Result of Termination or Change in Control (“CIC”)</w:t>
        </w:r>
      </w:hyperlink>
    </w:p>
    <w:p>
      <w:pPr>
        <w:spacing w:after="0" w:line="25" w:lineRule="exact"/>
        <w:rPr>
          <w:rFonts w:ascii="Arial" w:cs="Arial" w:eastAsia="Arial" w:hAnsi="Arial"/>
          <w:sz w:val="13"/>
          <w:szCs w:val="13"/>
          <w:u w:val="single" w:color="auto"/>
          <w:color w:val="0000EE"/>
        </w:rPr>
      </w:pPr>
    </w:p>
    <w:p>
      <w:pPr>
        <w:ind w:left="300" w:hanging="280"/>
        <w:spacing w:after="0"/>
        <w:tabs>
          <w:tab w:leader="none" w:pos="300" w:val="left"/>
        </w:tabs>
        <w:numPr>
          <w:ilvl w:val="0"/>
          <w:numId w:val="38"/>
        </w:numPr>
        <w:rPr>
          <w:rFonts w:ascii="Arial" w:cs="Arial" w:eastAsia="Arial" w:hAnsi="Arial"/>
          <w:sz w:val="13"/>
          <w:szCs w:val="13"/>
          <w:u w:val="single" w:color="auto"/>
          <w:color w:val="0000EE"/>
        </w:rPr>
      </w:pPr>
      <w:hyperlink w:anchor="page67">
        <w:r>
          <w:rPr>
            <w:rFonts w:ascii="Arial" w:cs="Arial" w:eastAsia="Arial" w:hAnsi="Arial"/>
            <w:sz w:val="13"/>
            <w:szCs w:val="13"/>
            <w:u w:val="single" w:color="auto"/>
            <w:color w:val="0000EE"/>
          </w:rPr>
          <w:t>Estimate of Potential Payments Upon Termination</w:t>
        </w:r>
      </w:hyperlink>
    </w:p>
    <w:p>
      <w:pPr>
        <w:spacing w:after="0" w:line="25" w:lineRule="exact"/>
        <w:rPr>
          <w:rFonts w:ascii="Arial" w:cs="Arial" w:eastAsia="Arial" w:hAnsi="Arial"/>
          <w:sz w:val="13"/>
          <w:szCs w:val="13"/>
          <w:u w:val="single" w:color="auto"/>
          <w:color w:val="0000EE"/>
        </w:rPr>
      </w:pPr>
    </w:p>
    <w:p>
      <w:pPr>
        <w:ind w:left="300" w:hanging="280"/>
        <w:spacing w:after="0"/>
        <w:tabs>
          <w:tab w:leader="none" w:pos="300" w:val="left"/>
        </w:tabs>
        <w:numPr>
          <w:ilvl w:val="0"/>
          <w:numId w:val="38"/>
        </w:numPr>
        <w:rPr>
          <w:rFonts w:ascii="Arial" w:cs="Arial" w:eastAsia="Arial" w:hAnsi="Arial"/>
          <w:sz w:val="13"/>
          <w:szCs w:val="13"/>
          <w:u w:val="single" w:color="auto"/>
          <w:color w:val="0000EE"/>
        </w:rPr>
      </w:pPr>
      <w:hyperlink w:anchor="page68">
        <w:r>
          <w:rPr>
            <w:rFonts w:ascii="Arial" w:cs="Arial" w:eastAsia="Arial" w:hAnsi="Arial"/>
            <w:sz w:val="13"/>
            <w:szCs w:val="13"/>
            <w:u w:val="single" w:color="auto"/>
            <w:color w:val="0000EE"/>
          </w:rPr>
          <w:t>Performance Measures for 2018</w:t>
        </w:r>
      </w:hyperlink>
    </w:p>
    <w:p>
      <w:pPr>
        <w:spacing w:after="0" w:line="25" w:lineRule="exact"/>
        <w:rPr>
          <w:rFonts w:ascii="Arial" w:cs="Arial" w:eastAsia="Arial" w:hAnsi="Arial"/>
          <w:sz w:val="13"/>
          <w:szCs w:val="13"/>
          <w:u w:val="single" w:color="auto"/>
          <w:color w:val="0000EE"/>
        </w:rPr>
      </w:pPr>
    </w:p>
    <w:p>
      <w:pPr>
        <w:ind w:left="300" w:hanging="280"/>
        <w:spacing w:after="0"/>
        <w:tabs>
          <w:tab w:leader="none" w:pos="300" w:val="left"/>
        </w:tabs>
        <w:numPr>
          <w:ilvl w:val="0"/>
          <w:numId w:val="39"/>
        </w:numPr>
        <w:rPr>
          <w:rFonts w:ascii="Arial" w:cs="Arial" w:eastAsia="Arial" w:hAnsi="Arial"/>
          <w:sz w:val="13"/>
          <w:szCs w:val="13"/>
          <w:u w:val="single" w:color="auto"/>
          <w:color w:val="0000EE"/>
        </w:rPr>
      </w:pPr>
      <w:hyperlink w:anchor="page71">
        <w:r>
          <w:rPr>
            <w:rFonts w:ascii="Arial" w:cs="Arial" w:eastAsia="Arial" w:hAnsi="Arial"/>
            <w:sz w:val="13"/>
            <w:szCs w:val="13"/>
            <w:u w:val="single" w:color="auto"/>
            <w:color w:val="0000EE"/>
          </w:rPr>
          <w:t>CEO Pay Ratio</w:t>
        </w:r>
      </w:hyperlink>
    </w:p>
    <w:p>
      <w:pPr>
        <w:spacing w:after="0" w:line="20" w:lineRule="exact"/>
        <w:rPr>
          <w:rFonts w:ascii="Arial" w:cs="Arial" w:eastAsia="Arial" w:hAnsi="Arial"/>
          <w:sz w:val="13"/>
          <w:szCs w:val="13"/>
          <w:u w:val="single" w:color="auto"/>
          <w:color w:val="0000EE"/>
        </w:rPr>
      </w:pPr>
      <w:r>
        <w:rPr>
          <w:rFonts w:ascii="Arial" w:cs="Arial" w:eastAsia="Arial" w:hAnsi="Arial"/>
          <w:sz w:val="13"/>
          <w:szCs w:val="13"/>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3640455" cy="18072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640455" cy="1807210"/>
                    </a:xfrm>
                    <a:prstGeom prst="rect">
                      <a:avLst/>
                    </a:prstGeom>
                    <a:noFill/>
                  </pic:spPr>
                </pic:pic>
              </a:graphicData>
            </a:graphic>
          </wp:anchor>
        </w:drawing>
      </w:r>
    </w:p>
    <w:p>
      <w:pPr>
        <w:spacing w:after="0" w:line="200" w:lineRule="exact"/>
        <w:rPr>
          <w:rFonts w:ascii="Arial" w:cs="Arial" w:eastAsia="Arial" w:hAnsi="Arial"/>
          <w:sz w:val="13"/>
          <w:szCs w:val="13"/>
          <w:u w:val="single" w:color="auto"/>
          <w:color w:val="0000EE"/>
        </w:rPr>
      </w:pPr>
    </w:p>
    <w:p>
      <w:pPr>
        <w:spacing w:after="0" w:line="200" w:lineRule="exact"/>
        <w:rPr>
          <w:rFonts w:ascii="Arial" w:cs="Arial" w:eastAsia="Arial" w:hAnsi="Arial"/>
          <w:sz w:val="13"/>
          <w:szCs w:val="13"/>
          <w:u w:val="single" w:color="auto"/>
          <w:color w:val="0000EE"/>
        </w:rPr>
      </w:pPr>
    </w:p>
    <w:p>
      <w:pPr>
        <w:spacing w:after="0" w:line="213" w:lineRule="exact"/>
        <w:rPr>
          <w:rFonts w:ascii="Arial" w:cs="Arial" w:eastAsia="Arial" w:hAnsi="Arial"/>
          <w:sz w:val="13"/>
          <w:szCs w:val="13"/>
          <w:u w:val="single" w:color="auto"/>
          <w:color w:val="0000EE"/>
        </w:rPr>
      </w:pPr>
    </w:p>
    <w:p>
      <w:pPr>
        <w:ind w:left="1080"/>
        <w:spacing w:after="0"/>
        <w:rPr>
          <w:sz w:val="20"/>
          <w:szCs w:val="20"/>
          <w:color w:val="auto"/>
        </w:rPr>
      </w:pPr>
      <w:r>
        <w:rPr>
          <w:rFonts w:ascii="Arial" w:cs="Arial" w:eastAsia="Arial" w:hAnsi="Arial"/>
          <w:sz w:val="20"/>
          <w:szCs w:val="20"/>
          <w:b w:val="1"/>
          <w:bCs w:val="1"/>
          <w:color w:val="39B6E9"/>
        </w:rPr>
        <w:t>ABOUT ALLSTATE</w:t>
      </w:r>
    </w:p>
    <w:p>
      <w:pPr>
        <w:spacing w:after="0" w:line="200" w:lineRule="exact"/>
        <w:rPr>
          <w:rFonts w:ascii="Arial" w:cs="Arial" w:eastAsia="Arial" w:hAnsi="Arial"/>
          <w:sz w:val="13"/>
          <w:szCs w:val="13"/>
          <w:u w:val="single" w:color="auto"/>
          <w:color w:val="0000EE"/>
        </w:rPr>
      </w:pPr>
    </w:p>
    <w:p>
      <w:pPr>
        <w:spacing w:after="0" w:line="231" w:lineRule="exact"/>
        <w:rPr>
          <w:rFonts w:ascii="Arial" w:cs="Arial" w:eastAsia="Arial" w:hAnsi="Arial"/>
          <w:sz w:val="13"/>
          <w:szCs w:val="13"/>
          <w:u w:val="single" w:color="auto"/>
          <w:color w:val="0000EE"/>
        </w:rPr>
      </w:pPr>
    </w:p>
    <w:p>
      <w:pPr>
        <w:ind w:left="180"/>
        <w:spacing w:after="0"/>
        <w:rPr>
          <w:sz w:val="20"/>
          <w:szCs w:val="20"/>
          <w:color w:val="auto"/>
        </w:rPr>
      </w:pPr>
      <w:r>
        <w:rPr>
          <w:rFonts w:ascii="Arial" w:cs="Arial" w:eastAsia="Arial" w:hAnsi="Arial"/>
          <w:sz w:val="13"/>
          <w:szCs w:val="13"/>
          <w:color w:val="auto"/>
        </w:rPr>
        <w:t>The Allstate Corporation is one of the leading personal lines insurers in the United States. Founded in 1931, Allstate has been dedicated to protecting our customers from life’s uncertainties and preparing them for the future for more than 87 years. Allstate offers a broad array of protection products through multiple brands and diverse distribution</w:t>
      </w:r>
    </w:p>
    <w:p>
      <w:pPr>
        <w:spacing w:after="0" w:line="2" w:lineRule="exact"/>
        <w:rPr>
          <w:rFonts w:ascii="Arial" w:cs="Arial" w:eastAsia="Arial" w:hAnsi="Arial"/>
          <w:sz w:val="13"/>
          <w:szCs w:val="13"/>
          <w:u w:val="single" w:color="auto"/>
          <w:color w:val="0000EE"/>
        </w:rPr>
      </w:pPr>
    </w:p>
    <w:p>
      <w:pPr>
        <w:ind w:left="180"/>
        <w:spacing w:after="0" w:line="202" w:lineRule="auto"/>
        <w:rPr>
          <w:sz w:val="20"/>
          <w:szCs w:val="20"/>
          <w:color w:val="auto"/>
        </w:rPr>
      </w:pPr>
      <w:r>
        <w:rPr>
          <w:rFonts w:ascii="Arial" w:cs="Arial" w:eastAsia="Arial" w:hAnsi="Arial"/>
          <w:sz w:val="13"/>
          <w:szCs w:val="13"/>
          <w:color w:val="auto"/>
        </w:rPr>
        <w:t>channels, including auto, home, life and other insurance offered through its Allstate</w:t>
      </w:r>
      <w:r>
        <w:rPr>
          <w:rFonts w:ascii="Arial" w:cs="Arial" w:eastAsia="Arial" w:hAnsi="Arial"/>
          <w:sz w:val="22"/>
          <w:szCs w:val="22"/>
          <w:color w:val="auto"/>
          <w:vertAlign w:val="superscript"/>
        </w:rPr>
        <w:t>®</w:t>
      </w:r>
      <w:r>
        <w:rPr>
          <w:rFonts w:ascii="Arial" w:cs="Arial" w:eastAsia="Arial" w:hAnsi="Arial"/>
          <w:sz w:val="13"/>
          <w:szCs w:val="13"/>
          <w:color w:val="auto"/>
        </w:rPr>
        <w:t>, Esurance</w:t>
      </w:r>
      <w:r>
        <w:rPr>
          <w:rFonts w:ascii="Arial" w:cs="Arial" w:eastAsia="Arial" w:hAnsi="Arial"/>
          <w:sz w:val="22"/>
          <w:szCs w:val="22"/>
          <w:color w:val="auto"/>
          <w:vertAlign w:val="superscript"/>
        </w:rPr>
        <w:t>®</w:t>
      </w:r>
      <w:r>
        <w:rPr>
          <w:rFonts w:ascii="Arial" w:cs="Arial" w:eastAsia="Arial" w:hAnsi="Arial"/>
          <w:sz w:val="13"/>
          <w:szCs w:val="13"/>
          <w:color w:val="auto"/>
        </w:rPr>
        <w:t>, Encompass</w:t>
      </w:r>
      <w:r>
        <w:rPr>
          <w:rFonts w:ascii="Arial" w:cs="Arial" w:eastAsia="Arial" w:hAnsi="Arial"/>
          <w:sz w:val="22"/>
          <w:szCs w:val="22"/>
          <w:color w:val="auto"/>
          <w:vertAlign w:val="superscript"/>
        </w:rPr>
        <w:t>®</w:t>
      </w:r>
      <w:r>
        <w:rPr>
          <w:rFonts w:ascii="Arial" w:cs="Arial" w:eastAsia="Arial" w:hAnsi="Arial"/>
          <w:sz w:val="13"/>
          <w:szCs w:val="13"/>
          <w:color w:val="auto"/>
        </w:rPr>
        <w:t xml:space="preserve"> and Answer Financial</w:t>
      </w:r>
      <w:r>
        <w:rPr>
          <w:rFonts w:ascii="Arial" w:cs="Arial" w:eastAsia="Arial" w:hAnsi="Arial"/>
          <w:sz w:val="22"/>
          <w:szCs w:val="22"/>
          <w:color w:val="auto"/>
          <w:vertAlign w:val="superscript"/>
        </w:rPr>
        <w:t>®</w:t>
      </w:r>
      <w:r>
        <w:rPr>
          <w:rFonts w:ascii="Arial" w:cs="Arial" w:eastAsia="Arial" w:hAnsi="Arial"/>
          <w:sz w:val="13"/>
          <w:szCs w:val="13"/>
          <w:color w:val="auto"/>
        </w:rPr>
        <w:t xml:space="preserve"> brands. The Company also provides protection products and services through Allstate Benefits</w:t>
      </w:r>
      <w:r>
        <w:rPr>
          <w:rFonts w:ascii="Arial" w:cs="Arial" w:eastAsia="Arial" w:hAnsi="Arial"/>
          <w:sz w:val="22"/>
          <w:szCs w:val="22"/>
          <w:color w:val="auto"/>
          <w:vertAlign w:val="superscript"/>
        </w:rPr>
        <w:t>®</w:t>
      </w:r>
      <w:r>
        <w:rPr>
          <w:rFonts w:ascii="Arial" w:cs="Arial" w:eastAsia="Arial" w:hAnsi="Arial"/>
          <w:sz w:val="13"/>
          <w:szCs w:val="13"/>
          <w:color w:val="auto"/>
        </w:rPr>
        <w:t>, Allstate Roadside Services</w:t>
      </w:r>
      <w:r>
        <w:rPr>
          <w:rFonts w:ascii="Arial" w:cs="Arial" w:eastAsia="Arial" w:hAnsi="Arial"/>
          <w:sz w:val="22"/>
          <w:szCs w:val="22"/>
          <w:color w:val="auto"/>
          <w:vertAlign w:val="superscript"/>
        </w:rPr>
        <w:t>®</w:t>
      </w:r>
      <w:r>
        <w:rPr>
          <w:rFonts w:ascii="Arial" w:cs="Arial" w:eastAsia="Arial" w:hAnsi="Arial"/>
          <w:sz w:val="13"/>
          <w:szCs w:val="13"/>
          <w:color w:val="auto"/>
        </w:rPr>
        <w:t>, Allstate Dealer Services</w:t>
      </w:r>
      <w:r>
        <w:rPr>
          <w:rFonts w:ascii="Arial" w:cs="Arial" w:eastAsia="Arial" w:hAnsi="Arial"/>
          <w:sz w:val="22"/>
          <w:szCs w:val="22"/>
          <w:color w:val="auto"/>
          <w:vertAlign w:val="superscript"/>
        </w:rPr>
        <w:t>®</w:t>
      </w:r>
      <w:r>
        <w:rPr>
          <w:rFonts w:ascii="Arial" w:cs="Arial" w:eastAsia="Arial" w:hAnsi="Arial"/>
          <w:sz w:val="13"/>
          <w:szCs w:val="13"/>
          <w:color w:val="auto"/>
        </w:rPr>
        <w:t>, Arity</w:t>
      </w:r>
      <w:r>
        <w:rPr>
          <w:rFonts w:ascii="Arial" w:cs="Arial" w:eastAsia="Arial" w:hAnsi="Arial"/>
          <w:sz w:val="22"/>
          <w:szCs w:val="22"/>
          <w:color w:val="auto"/>
          <w:vertAlign w:val="superscript"/>
        </w:rPr>
        <w:t>®</w:t>
      </w:r>
      <w:r>
        <w:rPr>
          <w:rFonts w:ascii="Arial" w:cs="Arial" w:eastAsia="Arial" w:hAnsi="Arial"/>
          <w:sz w:val="13"/>
          <w:szCs w:val="13"/>
          <w:color w:val="auto"/>
        </w:rPr>
        <w:t>, SquareTrade</w:t>
      </w:r>
      <w:r>
        <w:rPr>
          <w:rFonts w:ascii="Arial" w:cs="Arial" w:eastAsia="Arial" w:hAnsi="Arial"/>
          <w:sz w:val="22"/>
          <w:szCs w:val="22"/>
          <w:color w:val="auto"/>
          <w:vertAlign w:val="superscript"/>
        </w:rPr>
        <w:t>®</w:t>
      </w:r>
      <w:r>
        <w:rPr>
          <w:rFonts w:ascii="Arial" w:cs="Arial" w:eastAsia="Arial" w:hAnsi="Arial"/>
          <w:sz w:val="13"/>
          <w:szCs w:val="13"/>
          <w:color w:val="auto"/>
        </w:rPr>
        <w:t>, and InfoArmor</w:t>
      </w:r>
      <w:r>
        <w:rPr>
          <w:rFonts w:ascii="Arial" w:cs="Arial" w:eastAsia="Arial" w:hAnsi="Arial"/>
          <w:sz w:val="22"/>
          <w:szCs w:val="22"/>
          <w:color w:val="auto"/>
          <w:vertAlign w:val="superscript"/>
        </w:rPr>
        <w:t>®</w:t>
      </w:r>
      <w:r>
        <w:rPr>
          <w:rFonts w:ascii="Arial" w:cs="Arial" w:eastAsia="Arial" w:hAnsi="Arial"/>
          <w:sz w:val="13"/>
          <w:szCs w:val="13"/>
          <w:color w:val="auto"/>
        </w:rPr>
        <w:t>.</w:t>
      </w:r>
    </w:p>
    <w:p>
      <w:pPr>
        <w:spacing w:after="0" w:line="20" w:lineRule="exact"/>
        <w:rPr>
          <w:rFonts w:ascii="Arial" w:cs="Arial" w:eastAsia="Arial" w:hAnsi="Arial"/>
          <w:sz w:val="13"/>
          <w:szCs w:val="13"/>
          <w:u w:val="single" w:color="auto"/>
          <w:color w:val="0000EE"/>
        </w:rPr>
      </w:pPr>
      <w:r>
        <w:rPr>
          <w:rFonts w:ascii="Arial" w:cs="Arial" w:eastAsia="Arial" w:hAnsi="Arial"/>
          <w:sz w:val="13"/>
          <w:szCs w:val="13"/>
          <w:u w:val="single" w:color="auto"/>
          <w:color w:val="0000EE"/>
        </w:rPr>
        <w:drawing>
          <wp:anchor simplePos="0" relativeHeight="251657728" behindDoc="1" locked="0" layoutInCell="0" allowOverlap="1">
            <wp:simplePos x="0" y="0"/>
            <wp:positionH relativeFrom="column">
              <wp:posOffset>3175</wp:posOffset>
            </wp:positionH>
            <wp:positionV relativeFrom="paragraph">
              <wp:posOffset>746760</wp:posOffset>
            </wp:positionV>
            <wp:extent cx="7268210"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pacing w:after="0" w:line="20" w:lineRule="exact"/>
        <w:rPr>
          <w:rFonts w:ascii="Arial" w:cs="Arial" w:eastAsia="Arial" w:hAnsi="Arial"/>
          <w:sz w:val="13"/>
          <w:szCs w:val="13"/>
          <w:u w:val="single" w:color="auto"/>
          <w:color w:val="0000EE"/>
        </w:rPr>
      </w:pPr>
      <w:r>
        <w:rPr>
          <w:rFonts w:ascii="Arial" w:cs="Arial" w:eastAsia="Arial" w:hAnsi="Arial"/>
          <w:sz w:val="13"/>
          <w:szCs w:val="13"/>
          <w:u w:val="single" w:color="auto"/>
          <w:color w:val="0000EE"/>
        </w:rPr>
        <w:br w:type="column"/>
      </w:r>
    </w:p>
    <w:p>
      <w:pPr>
        <w:spacing w:after="0" w:line="200" w:lineRule="exact"/>
        <w:rPr>
          <w:rFonts w:ascii="Arial" w:cs="Arial" w:eastAsia="Arial" w:hAnsi="Arial"/>
          <w:sz w:val="13"/>
          <w:szCs w:val="13"/>
          <w:u w:val="single" w:color="auto"/>
          <w:color w:val="0000EE"/>
        </w:rPr>
      </w:pPr>
    </w:p>
    <w:p>
      <w:pPr>
        <w:spacing w:after="0" w:line="200" w:lineRule="exact"/>
        <w:rPr>
          <w:rFonts w:ascii="Arial" w:cs="Arial" w:eastAsia="Arial" w:hAnsi="Arial"/>
          <w:sz w:val="13"/>
          <w:szCs w:val="13"/>
          <w:u w:val="single" w:color="auto"/>
          <w:color w:val="0000EE"/>
        </w:rPr>
      </w:pPr>
    </w:p>
    <w:p>
      <w:pPr>
        <w:spacing w:after="0" w:line="200" w:lineRule="exact"/>
        <w:rPr>
          <w:rFonts w:ascii="Arial" w:cs="Arial" w:eastAsia="Arial" w:hAnsi="Arial"/>
          <w:sz w:val="13"/>
          <w:szCs w:val="13"/>
          <w:u w:val="single" w:color="auto"/>
          <w:color w:val="0000EE"/>
        </w:rPr>
      </w:pPr>
    </w:p>
    <w:p>
      <w:pPr>
        <w:spacing w:after="0" w:line="200" w:lineRule="exact"/>
        <w:rPr>
          <w:rFonts w:ascii="Arial" w:cs="Arial" w:eastAsia="Arial" w:hAnsi="Arial"/>
          <w:sz w:val="13"/>
          <w:szCs w:val="13"/>
          <w:u w:val="single" w:color="auto"/>
          <w:color w:val="0000EE"/>
        </w:rPr>
      </w:pPr>
    </w:p>
    <w:p>
      <w:pPr>
        <w:spacing w:after="0" w:line="396" w:lineRule="exact"/>
        <w:rPr>
          <w:rFonts w:ascii="Arial" w:cs="Arial" w:eastAsia="Arial" w:hAnsi="Arial"/>
          <w:sz w:val="13"/>
          <w:szCs w:val="13"/>
          <w:u w:val="single" w:color="auto"/>
          <w:color w:val="0000EE"/>
        </w:rPr>
      </w:pPr>
    </w:p>
    <w:p>
      <w:pPr>
        <w:ind w:left="353" w:hanging="278"/>
        <w:spacing w:after="0"/>
        <w:tabs>
          <w:tab w:leader="none" w:pos="353" w:val="left"/>
        </w:tabs>
        <w:numPr>
          <w:ilvl w:val="0"/>
          <w:numId w:val="40"/>
        </w:numPr>
        <w:rPr>
          <w:rFonts w:ascii="Arial" w:cs="Arial" w:eastAsia="Arial" w:hAnsi="Arial"/>
          <w:sz w:val="13"/>
          <w:szCs w:val="13"/>
          <w:b w:val="1"/>
          <w:bCs w:val="1"/>
          <w:u w:val="single" w:color="auto"/>
          <w:color w:val="105EAB"/>
        </w:rPr>
      </w:pPr>
      <w:hyperlink w:anchor="page72">
        <w:r>
          <w:rPr>
            <w:rFonts w:ascii="Arial" w:cs="Arial" w:eastAsia="Arial" w:hAnsi="Arial"/>
            <w:sz w:val="13"/>
            <w:szCs w:val="13"/>
            <w:b w:val="1"/>
            <w:bCs w:val="1"/>
            <w:u w:val="single" w:color="auto"/>
            <w:color w:val="105EAB"/>
          </w:rPr>
          <w:t>Equity Incentive Plan</w:t>
        </w:r>
      </w:hyperlink>
    </w:p>
    <w:p>
      <w:pPr>
        <w:spacing w:after="0" w:line="28" w:lineRule="exact"/>
        <w:rPr>
          <w:rFonts w:ascii="Arial" w:cs="Arial" w:eastAsia="Arial" w:hAnsi="Arial"/>
          <w:sz w:val="13"/>
          <w:szCs w:val="13"/>
          <w:b w:val="1"/>
          <w:bCs w:val="1"/>
          <w:u w:val="single" w:color="auto"/>
          <w:color w:val="105EAB"/>
        </w:rPr>
      </w:pPr>
    </w:p>
    <w:p>
      <w:pPr>
        <w:ind w:left="353" w:hanging="278"/>
        <w:spacing w:after="0"/>
        <w:tabs>
          <w:tab w:leader="none" w:pos="353" w:val="left"/>
        </w:tabs>
        <w:numPr>
          <w:ilvl w:val="0"/>
          <w:numId w:val="41"/>
        </w:numPr>
        <w:rPr>
          <w:rFonts w:ascii="Arial" w:cs="Arial" w:eastAsia="Arial" w:hAnsi="Arial"/>
          <w:sz w:val="13"/>
          <w:szCs w:val="13"/>
          <w:b w:val="1"/>
          <w:bCs w:val="1"/>
          <w:u w:val="single" w:color="auto"/>
          <w:color w:val="39B6E9"/>
        </w:rPr>
      </w:pPr>
      <w:hyperlink w:anchor="page72">
        <w:r>
          <w:rPr>
            <w:rFonts w:ascii="Arial" w:cs="Arial" w:eastAsia="Arial" w:hAnsi="Arial"/>
            <w:sz w:val="13"/>
            <w:szCs w:val="13"/>
            <w:b w:val="1"/>
            <w:bCs w:val="1"/>
            <w:u w:val="single" w:color="auto"/>
            <w:color w:val="39B6E9"/>
          </w:rPr>
          <w:t>Proposal 3</w:t>
        </w:r>
      </w:hyperlink>
    </w:p>
    <w:p>
      <w:pPr>
        <w:spacing w:after="0" w:line="12" w:lineRule="exact"/>
        <w:rPr>
          <w:rFonts w:ascii="Arial" w:cs="Arial" w:eastAsia="Arial" w:hAnsi="Arial"/>
          <w:sz w:val="13"/>
          <w:szCs w:val="13"/>
          <w:b w:val="1"/>
          <w:bCs w:val="1"/>
          <w:u w:val="single" w:color="auto"/>
          <w:color w:val="39B6E9"/>
        </w:rPr>
      </w:pPr>
    </w:p>
    <w:p>
      <w:pPr>
        <w:ind w:left="353"/>
        <w:spacing w:after="0"/>
        <w:rPr>
          <w:rFonts w:ascii="Arial" w:cs="Arial" w:eastAsia="Arial" w:hAnsi="Arial"/>
          <w:sz w:val="13"/>
          <w:szCs w:val="13"/>
          <w:u w:val="single" w:color="auto"/>
          <w:color w:val="39B6E9"/>
        </w:rPr>
      </w:pPr>
      <w:hyperlink w:anchor="page72">
        <w:r>
          <w:rPr>
            <w:rFonts w:ascii="Arial" w:cs="Arial" w:eastAsia="Arial" w:hAnsi="Arial"/>
            <w:sz w:val="13"/>
            <w:szCs w:val="13"/>
            <w:u w:val="single" w:color="auto"/>
            <w:color w:val="39B6E9"/>
          </w:rPr>
          <w:t>Approval of the 2019 Equity Incentive Plan</w:t>
        </w:r>
      </w:hyperlink>
    </w:p>
    <w:p>
      <w:pPr>
        <w:spacing w:after="0" w:line="25" w:lineRule="exact"/>
        <w:rPr>
          <w:rFonts w:ascii="Arial" w:cs="Arial" w:eastAsia="Arial" w:hAnsi="Arial"/>
          <w:sz w:val="13"/>
          <w:szCs w:val="13"/>
          <w:u w:val="single" w:color="auto"/>
          <w:color w:val="39B6E9"/>
        </w:rPr>
      </w:pPr>
    </w:p>
    <w:p>
      <w:pPr>
        <w:ind w:left="353" w:hanging="278"/>
        <w:spacing w:after="0"/>
        <w:tabs>
          <w:tab w:leader="none" w:pos="353" w:val="left"/>
        </w:tabs>
        <w:numPr>
          <w:ilvl w:val="0"/>
          <w:numId w:val="41"/>
        </w:numPr>
        <w:rPr>
          <w:rFonts w:ascii="Arial" w:cs="Arial" w:eastAsia="Arial" w:hAnsi="Arial"/>
          <w:sz w:val="13"/>
          <w:szCs w:val="13"/>
          <w:u w:val="single" w:color="auto"/>
          <w:color w:val="0000EE"/>
        </w:rPr>
      </w:pPr>
      <w:hyperlink w:anchor="page73">
        <w:r>
          <w:rPr>
            <w:rFonts w:ascii="Arial" w:cs="Arial" w:eastAsia="Arial" w:hAnsi="Arial"/>
            <w:sz w:val="13"/>
            <w:szCs w:val="13"/>
            <w:u w:val="single" w:color="auto"/>
            <w:color w:val="0000EE"/>
          </w:rPr>
          <w:t>Additional Shares to be Authorized Under the Plan</w:t>
        </w:r>
      </w:hyperlink>
    </w:p>
    <w:p>
      <w:pPr>
        <w:spacing w:after="0" w:line="25" w:lineRule="exact"/>
        <w:rPr>
          <w:rFonts w:ascii="Arial" w:cs="Arial" w:eastAsia="Arial" w:hAnsi="Arial"/>
          <w:sz w:val="13"/>
          <w:szCs w:val="13"/>
          <w:u w:val="single" w:color="auto"/>
          <w:color w:val="0000EE"/>
        </w:rPr>
      </w:pPr>
    </w:p>
    <w:p>
      <w:pPr>
        <w:ind w:left="353" w:hanging="278"/>
        <w:spacing w:after="0"/>
        <w:tabs>
          <w:tab w:leader="none" w:pos="353" w:val="left"/>
        </w:tabs>
        <w:numPr>
          <w:ilvl w:val="0"/>
          <w:numId w:val="41"/>
        </w:numPr>
        <w:rPr>
          <w:rFonts w:ascii="Arial" w:cs="Arial" w:eastAsia="Arial" w:hAnsi="Arial"/>
          <w:sz w:val="13"/>
          <w:szCs w:val="13"/>
          <w:u w:val="single" w:color="auto"/>
          <w:color w:val="0000EE"/>
        </w:rPr>
      </w:pPr>
      <w:hyperlink w:anchor="page74">
        <w:r>
          <w:rPr>
            <w:rFonts w:ascii="Arial" w:cs="Arial" w:eastAsia="Arial" w:hAnsi="Arial"/>
            <w:sz w:val="13"/>
            <w:szCs w:val="13"/>
            <w:u w:val="single" w:color="auto"/>
            <w:color w:val="0000EE"/>
          </w:rPr>
          <w:t>Other Key Features of the 2019 Plan</w:t>
        </w:r>
      </w:hyperlink>
    </w:p>
    <w:p>
      <w:pPr>
        <w:spacing w:after="0" w:line="26" w:lineRule="exact"/>
        <w:rPr>
          <w:rFonts w:ascii="Arial" w:cs="Arial" w:eastAsia="Arial" w:hAnsi="Arial"/>
          <w:sz w:val="13"/>
          <w:szCs w:val="13"/>
          <w:u w:val="single" w:color="auto"/>
          <w:color w:val="0000EE"/>
        </w:rPr>
      </w:pPr>
    </w:p>
    <w:p>
      <w:pPr>
        <w:ind w:left="353" w:hanging="278"/>
        <w:spacing w:after="0"/>
        <w:tabs>
          <w:tab w:leader="none" w:pos="353" w:val="left"/>
        </w:tabs>
        <w:numPr>
          <w:ilvl w:val="0"/>
          <w:numId w:val="42"/>
        </w:numPr>
        <w:rPr>
          <w:rFonts w:ascii="Arial" w:cs="Arial" w:eastAsia="Arial" w:hAnsi="Arial"/>
          <w:sz w:val="13"/>
          <w:szCs w:val="13"/>
          <w:u w:val="single" w:color="auto"/>
          <w:color w:val="0000EE"/>
        </w:rPr>
      </w:pPr>
      <w:hyperlink w:anchor="page74">
        <w:r>
          <w:rPr>
            <w:rFonts w:ascii="Arial" w:cs="Arial" w:eastAsia="Arial" w:hAnsi="Arial"/>
            <w:sz w:val="13"/>
            <w:szCs w:val="13"/>
            <w:u w:val="single" w:color="auto"/>
            <w:color w:val="0000EE"/>
          </w:rPr>
          <w:t>Summary of 2019 Equity Incentive Plan</w:t>
        </w:r>
      </w:hyperlink>
    </w:p>
    <w:p>
      <w:pPr>
        <w:spacing w:after="0" w:line="25" w:lineRule="exact"/>
        <w:rPr>
          <w:rFonts w:ascii="Arial" w:cs="Arial" w:eastAsia="Arial" w:hAnsi="Arial"/>
          <w:sz w:val="13"/>
          <w:szCs w:val="13"/>
          <w:u w:val="single" w:color="auto"/>
          <w:color w:val="0000EE"/>
        </w:rPr>
      </w:pPr>
    </w:p>
    <w:p>
      <w:pPr>
        <w:ind w:left="353" w:hanging="278"/>
        <w:spacing w:after="0"/>
        <w:tabs>
          <w:tab w:leader="none" w:pos="353" w:val="left"/>
        </w:tabs>
        <w:numPr>
          <w:ilvl w:val="0"/>
          <w:numId w:val="43"/>
        </w:numPr>
        <w:rPr>
          <w:rFonts w:ascii="Arial" w:cs="Arial" w:eastAsia="Arial" w:hAnsi="Arial"/>
          <w:sz w:val="13"/>
          <w:szCs w:val="13"/>
          <w:u w:val="single" w:color="auto"/>
          <w:color w:val="0000EE"/>
        </w:rPr>
      </w:pPr>
      <w:hyperlink w:anchor="page82">
        <w:r>
          <w:rPr>
            <w:rFonts w:ascii="Arial" w:cs="Arial" w:eastAsia="Arial" w:hAnsi="Arial"/>
            <w:sz w:val="13"/>
            <w:szCs w:val="13"/>
            <w:u w:val="single" w:color="auto"/>
            <w:color w:val="0000EE"/>
          </w:rPr>
          <w:t>Other Information</w:t>
        </w:r>
      </w:hyperlink>
    </w:p>
    <w:p>
      <w:pPr>
        <w:spacing w:after="0" w:line="145" w:lineRule="exact"/>
        <w:rPr>
          <w:rFonts w:ascii="Arial" w:cs="Arial" w:eastAsia="Arial" w:hAnsi="Arial"/>
          <w:sz w:val="13"/>
          <w:szCs w:val="13"/>
          <w:u w:val="single" w:color="auto"/>
          <w:color w:val="0000EE"/>
        </w:rPr>
      </w:pPr>
    </w:p>
    <w:p>
      <w:pPr>
        <w:ind w:left="353" w:hanging="278"/>
        <w:spacing w:after="0"/>
        <w:tabs>
          <w:tab w:leader="none" w:pos="353" w:val="left"/>
        </w:tabs>
        <w:numPr>
          <w:ilvl w:val="0"/>
          <w:numId w:val="44"/>
        </w:numPr>
        <w:rPr>
          <w:rFonts w:ascii="Arial" w:cs="Arial" w:eastAsia="Arial" w:hAnsi="Arial"/>
          <w:sz w:val="13"/>
          <w:szCs w:val="13"/>
          <w:b w:val="1"/>
          <w:bCs w:val="1"/>
          <w:u w:val="single" w:color="auto"/>
          <w:color w:val="105EAB"/>
        </w:rPr>
      </w:pPr>
      <w:hyperlink w:anchor="page84">
        <w:r>
          <w:rPr>
            <w:rFonts w:ascii="Arial" w:cs="Arial" w:eastAsia="Arial" w:hAnsi="Arial"/>
            <w:sz w:val="13"/>
            <w:szCs w:val="13"/>
            <w:b w:val="1"/>
            <w:bCs w:val="1"/>
            <w:u w:val="single" w:color="auto"/>
            <w:color w:val="105EAB"/>
          </w:rPr>
          <w:t>Audit Committee Matters</w:t>
        </w:r>
      </w:hyperlink>
    </w:p>
    <w:p>
      <w:pPr>
        <w:spacing w:after="0" w:line="28" w:lineRule="exact"/>
        <w:rPr>
          <w:rFonts w:ascii="Arial" w:cs="Arial" w:eastAsia="Arial" w:hAnsi="Arial"/>
          <w:sz w:val="13"/>
          <w:szCs w:val="13"/>
          <w:b w:val="1"/>
          <w:bCs w:val="1"/>
          <w:u w:val="single" w:color="auto"/>
          <w:color w:val="105EAB"/>
        </w:rPr>
      </w:pPr>
    </w:p>
    <w:p>
      <w:pPr>
        <w:ind w:left="353" w:hanging="278"/>
        <w:spacing w:after="0"/>
        <w:tabs>
          <w:tab w:leader="none" w:pos="353" w:val="left"/>
        </w:tabs>
        <w:numPr>
          <w:ilvl w:val="0"/>
          <w:numId w:val="45"/>
        </w:numPr>
        <w:rPr>
          <w:rFonts w:ascii="Arial" w:cs="Arial" w:eastAsia="Arial" w:hAnsi="Arial"/>
          <w:sz w:val="13"/>
          <w:szCs w:val="13"/>
          <w:b w:val="1"/>
          <w:bCs w:val="1"/>
          <w:u w:val="single" w:color="auto"/>
          <w:color w:val="39B6E9"/>
        </w:rPr>
      </w:pPr>
      <w:hyperlink w:anchor="page84">
        <w:r>
          <w:rPr>
            <w:rFonts w:ascii="Arial" w:cs="Arial" w:eastAsia="Arial" w:hAnsi="Arial"/>
            <w:sz w:val="13"/>
            <w:szCs w:val="13"/>
            <w:b w:val="1"/>
            <w:bCs w:val="1"/>
            <w:u w:val="single" w:color="auto"/>
            <w:color w:val="39B6E9"/>
          </w:rPr>
          <w:t>Proposal 4</w:t>
        </w:r>
      </w:hyperlink>
    </w:p>
    <w:p>
      <w:pPr>
        <w:spacing w:after="0" w:line="12" w:lineRule="exact"/>
        <w:rPr>
          <w:rFonts w:ascii="Arial" w:cs="Arial" w:eastAsia="Arial" w:hAnsi="Arial"/>
          <w:sz w:val="13"/>
          <w:szCs w:val="13"/>
          <w:b w:val="1"/>
          <w:bCs w:val="1"/>
          <w:u w:val="single" w:color="auto"/>
          <w:color w:val="39B6E9"/>
        </w:rPr>
      </w:pPr>
    </w:p>
    <w:p>
      <w:pPr>
        <w:ind w:left="353" w:right="660"/>
        <w:spacing w:after="0" w:line="258" w:lineRule="auto"/>
        <w:rPr>
          <w:rFonts w:ascii="Arial" w:cs="Arial" w:eastAsia="Arial" w:hAnsi="Arial"/>
          <w:sz w:val="13"/>
          <w:szCs w:val="13"/>
          <w:u w:val="single" w:color="auto"/>
          <w:color w:val="39B6E9"/>
        </w:rPr>
      </w:pPr>
      <w:hyperlink w:anchor="page84">
        <w:r>
          <w:rPr>
            <w:rFonts w:ascii="Arial" w:cs="Arial" w:eastAsia="Arial" w:hAnsi="Arial"/>
            <w:sz w:val="13"/>
            <w:szCs w:val="13"/>
            <w:u w:val="single" w:color="auto"/>
            <w:color w:val="39B6E9"/>
          </w:rPr>
          <w:t>Ratification of Deloitte &amp; Touche LLP as the Independent Registered Public</w:t>
        </w:r>
      </w:hyperlink>
      <w:r>
        <w:rPr>
          <w:rFonts w:ascii="Arial" w:cs="Arial" w:eastAsia="Arial" w:hAnsi="Arial"/>
          <w:sz w:val="13"/>
          <w:szCs w:val="13"/>
          <w:u w:val="single" w:color="auto"/>
          <w:color w:val="39B6E9"/>
        </w:rPr>
        <w:t xml:space="preserve"> </w:t>
      </w:r>
      <w:hyperlink w:anchor="page84">
        <w:r>
          <w:rPr>
            <w:rFonts w:ascii="Arial" w:cs="Arial" w:eastAsia="Arial" w:hAnsi="Arial"/>
            <w:sz w:val="13"/>
            <w:szCs w:val="13"/>
            <w:u w:val="single" w:color="auto"/>
            <w:color w:val="39B6E9"/>
          </w:rPr>
          <w:t>Accountant for 2019</w:t>
        </w:r>
      </w:hyperlink>
    </w:p>
    <w:p>
      <w:pPr>
        <w:spacing w:after="0" w:line="2" w:lineRule="exact"/>
        <w:rPr>
          <w:rFonts w:ascii="Arial" w:cs="Arial" w:eastAsia="Arial" w:hAnsi="Arial"/>
          <w:sz w:val="13"/>
          <w:szCs w:val="13"/>
          <w:u w:val="single" w:color="auto"/>
          <w:color w:val="39B6E9"/>
        </w:rPr>
      </w:pPr>
    </w:p>
    <w:p>
      <w:pPr>
        <w:ind w:left="353" w:hanging="278"/>
        <w:spacing w:after="0"/>
        <w:tabs>
          <w:tab w:leader="none" w:pos="353" w:val="left"/>
        </w:tabs>
        <w:numPr>
          <w:ilvl w:val="0"/>
          <w:numId w:val="46"/>
        </w:numPr>
        <w:rPr>
          <w:rFonts w:ascii="Arial" w:cs="Arial" w:eastAsia="Arial" w:hAnsi="Arial"/>
          <w:sz w:val="13"/>
          <w:szCs w:val="13"/>
          <w:u w:val="single" w:color="auto"/>
          <w:color w:val="0000EE"/>
        </w:rPr>
      </w:pPr>
      <w:hyperlink w:anchor="page86">
        <w:r>
          <w:rPr>
            <w:rFonts w:ascii="Arial" w:cs="Arial" w:eastAsia="Arial" w:hAnsi="Arial"/>
            <w:sz w:val="13"/>
            <w:szCs w:val="13"/>
            <w:u w:val="single" w:color="auto"/>
            <w:color w:val="0000EE"/>
          </w:rPr>
          <w:t>Audit Committee Report</w:t>
        </w:r>
      </w:hyperlink>
    </w:p>
    <w:p>
      <w:pPr>
        <w:spacing w:after="0" w:line="158" w:lineRule="exact"/>
        <w:rPr>
          <w:rFonts w:ascii="Arial" w:cs="Arial" w:eastAsia="Arial" w:hAnsi="Arial"/>
          <w:sz w:val="13"/>
          <w:szCs w:val="13"/>
          <w:u w:val="single" w:color="auto"/>
          <w:color w:val="39B6E9"/>
        </w:rPr>
      </w:pPr>
    </w:p>
    <w:p>
      <w:pPr>
        <w:ind w:left="353" w:hanging="278"/>
        <w:spacing w:after="0"/>
        <w:tabs>
          <w:tab w:leader="none" w:pos="353" w:val="left"/>
        </w:tabs>
        <w:numPr>
          <w:ilvl w:val="0"/>
          <w:numId w:val="47"/>
        </w:numPr>
        <w:rPr>
          <w:rFonts w:ascii="Arial" w:cs="Arial" w:eastAsia="Arial" w:hAnsi="Arial"/>
          <w:sz w:val="13"/>
          <w:szCs w:val="13"/>
          <w:b w:val="1"/>
          <w:bCs w:val="1"/>
          <w:u w:val="single" w:color="auto"/>
          <w:color w:val="105EAB"/>
        </w:rPr>
      </w:pPr>
      <w:hyperlink w:anchor="page87">
        <w:r>
          <w:rPr>
            <w:rFonts w:ascii="Arial" w:cs="Arial" w:eastAsia="Arial" w:hAnsi="Arial"/>
            <w:sz w:val="13"/>
            <w:szCs w:val="13"/>
            <w:b w:val="1"/>
            <w:bCs w:val="1"/>
            <w:u w:val="single" w:color="auto"/>
            <w:color w:val="105EAB"/>
          </w:rPr>
          <w:t>Stockholder Proposal</w:t>
        </w:r>
      </w:hyperlink>
    </w:p>
    <w:p>
      <w:pPr>
        <w:spacing w:after="0" w:line="28" w:lineRule="exact"/>
        <w:rPr>
          <w:rFonts w:ascii="Arial" w:cs="Arial" w:eastAsia="Arial" w:hAnsi="Arial"/>
          <w:sz w:val="13"/>
          <w:szCs w:val="13"/>
          <w:b w:val="1"/>
          <w:bCs w:val="1"/>
          <w:u w:val="single" w:color="auto"/>
          <w:color w:val="105EAB"/>
        </w:rPr>
      </w:pPr>
    </w:p>
    <w:p>
      <w:pPr>
        <w:ind w:left="353" w:hanging="278"/>
        <w:spacing w:after="0"/>
        <w:tabs>
          <w:tab w:leader="none" w:pos="353" w:val="left"/>
        </w:tabs>
        <w:numPr>
          <w:ilvl w:val="0"/>
          <w:numId w:val="48"/>
        </w:numPr>
        <w:rPr>
          <w:rFonts w:ascii="Arial" w:cs="Arial" w:eastAsia="Arial" w:hAnsi="Arial"/>
          <w:sz w:val="13"/>
          <w:szCs w:val="13"/>
          <w:b w:val="1"/>
          <w:bCs w:val="1"/>
          <w:u w:val="single" w:color="auto"/>
          <w:color w:val="959595"/>
        </w:rPr>
      </w:pPr>
      <w:hyperlink w:anchor="page87">
        <w:r>
          <w:rPr>
            <w:rFonts w:ascii="Arial" w:cs="Arial" w:eastAsia="Arial" w:hAnsi="Arial"/>
            <w:sz w:val="13"/>
            <w:szCs w:val="13"/>
            <w:b w:val="1"/>
            <w:bCs w:val="1"/>
            <w:u w:val="single" w:color="auto"/>
            <w:color w:val="959595"/>
          </w:rPr>
          <w:t>Proposal 5</w:t>
        </w:r>
      </w:hyperlink>
    </w:p>
    <w:p>
      <w:pPr>
        <w:spacing w:after="0" w:line="12" w:lineRule="exact"/>
        <w:rPr>
          <w:rFonts w:ascii="Arial" w:cs="Arial" w:eastAsia="Arial" w:hAnsi="Arial"/>
          <w:sz w:val="13"/>
          <w:szCs w:val="13"/>
          <w:b w:val="1"/>
          <w:bCs w:val="1"/>
          <w:u w:val="single" w:color="auto"/>
          <w:color w:val="959595"/>
        </w:rPr>
      </w:pPr>
    </w:p>
    <w:p>
      <w:pPr>
        <w:ind w:left="353"/>
        <w:spacing w:after="0"/>
        <w:rPr>
          <w:rFonts w:ascii="Arial" w:cs="Arial" w:eastAsia="Arial" w:hAnsi="Arial"/>
          <w:sz w:val="13"/>
          <w:szCs w:val="13"/>
          <w:u w:val="single" w:color="auto"/>
          <w:color w:val="959595"/>
        </w:rPr>
      </w:pPr>
      <w:hyperlink w:anchor="page87">
        <w:r>
          <w:rPr>
            <w:rFonts w:ascii="Arial" w:cs="Arial" w:eastAsia="Arial" w:hAnsi="Arial"/>
            <w:sz w:val="13"/>
            <w:szCs w:val="13"/>
            <w:u w:val="single" w:color="auto"/>
            <w:color w:val="959595"/>
          </w:rPr>
          <w:t>Stockholder Proposal on Reporting Political Contributions</w:t>
        </w:r>
      </w:hyperlink>
    </w:p>
    <w:p>
      <w:pPr>
        <w:spacing w:after="0" w:line="25" w:lineRule="exact"/>
        <w:rPr>
          <w:rFonts w:ascii="Arial" w:cs="Arial" w:eastAsia="Arial" w:hAnsi="Arial"/>
          <w:sz w:val="13"/>
          <w:szCs w:val="13"/>
          <w:u w:val="single" w:color="auto"/>
          <w:color w:val="959595"/>
        </w:rPr>
      </w:pPr>
    </w:p>
    <w:p>
      <w:pPr>
        <w:ind w:left="353" w:right="20" w:hanging="278"/>
        <w:spacing w:after="0" w:line="258" w:lineRule="auto"/>
        <w:tabs>
          <w:tab w:leader="none" w:pos="353" w:val="left"/>
        </w:tabs>
        <w:numPr>
          <w:ilvl w:val="0"/>
          <w:numId w:val="48"/>
        </w:numPr>
        <w:rPr>
          <w:rFonts w:ascii="Arial" w:cs="Arial" w:eastAsia="Arial" w:hAnsi="Arial"/>
          <w:sz w:val="13"/>
          <w:szCs w:val="13"/>
          <w:u w:val="single" w:color="auto"/>
          <w:color w:val="0000EE"/>
        </w:rPr>
      </w:pPr>
      <w:hyperlink w:anchor="page88">
        <w:r>
          <w:rPr>
            <w:rFonts w:ascii="Arial" w:cs="Arial" w:eastAsia="Arial" w:hAnsi="Arial"/>
            <w:sz w:val="13"/>
            <w:szCs w:val="13"/>
            <w:u w:val="single" w:color="auto"/>
            <w:color w:val="0000EE"/>
          </w:rPr>
          <w:t>Board of Directors’ Statement in Opposition to the Stockholder Proposal on Reporting</w:t>
        </w:r>
      </w:hyperlink>
      <w:r>
        <w:rPr>
          <w:rFonts w:ascii="Arial" w:cs="Arial" w:eastAsia="Arial" w:hAnsi="Arial"/>
          <w:sz w:val="13"/>
          <w:szCs w:val="13"/>
          <w:u w:val="single" w:color="auto"/>
          <w:color w:val="0000EE"/>
        </w:rPr>
        <w:t xml:space="preserve"> </w:t>
      </w:r>
      <w:hyperlink w:anchor="page88">
        <w:r>
          <w:rPr>
            <w:rFonts w:ascii="Arial" w:cs="Arial" w:eastAsia="Arial" w:hAnsi="Arial"/>
            <w:sz w:val="13"/>
            <w:szCs w:val="13"/>
            <w:u w:val="single" w:color="auto"/>
            <w:color w:val="0000EE"/>
          </w:rPr>
          <w:t>Political Contributions</w:t>
        </w:r>
      </w:hyperlink>
    </w:p>
    <w:p>
      <w:pPr>
        <w:spacing w:after="0" w:line="2" w:lineRule="exact"/>
        <w:rPr>
          <w:rFonts w:ascii="Arial" w:cs="Arial" w:eastAsia="Arial" w:hAnsi="Arial"/>
          <w:sz w:val="13"/>
          <w:szCs w:val="13"/>
          <w:u w:val="single" w:color="auto"/>
          <w:color w:val="0000EE"/>
        </w:rPr>
      </w:pPr>
    </w:p>
    <w:p>
      <w:pPr>
        <w:ind w:left="353" w:hanging="278"/>
        <w:spacing w:after="0"/>
        <w:tabs>
          <w:tab w:leader="none" w:pos="353" w:val="left"/>
        </w:tabs>
        <w:numPr>
          <w:ilvl w:val="0"/>
          <w:numId w:val="48"/>
        </w:numPr>
        <w:rPr>
          <w:rFonts w:ascii="Arial" w:cs="Arial" w:eastAsia="Arial" w:hAnsi="Arial"/>
          <w:sz w:val="13"/>
          <w:szCs w:val="13"/>
          <w:u w:val="single" w:color="auto"/>
          <w:color w:val="0000EE"/>
        </w:rPr>
      </w:pPr>
      <w:hyperlink w:anchor="page89">
        <w:r>
          <w:rPr>
            <w:rFonts w:ascii="Arial" w:cs="Arial" w:eastAsia="Arial" w:hAnsi="Arial"/>
            <w:sz w:val="13"/>
            <w:szCs w:val="13"/>
            <w:u w:val="single" w:color="auto"/>
            <w:color w:val="0000EE"/>
          </w:rPr>
          <w:t>Stockholder Proposals or Director Nominations for the 2020 Annual Meeting</w:t>
        </w:r>
      </w:hyperlink>
    </w:p>
    <w:p>
      <w:pPr>
        <w:spacing w:after="0" w:line="158" w:lineRule="exact"/>
        <w:rPr>
          <w:rFonts w:ascii="Arial" w:cs="Arial" w:eastAsia="Arial" w:hAnsi="Arial"/>
          <w:sz w:val="13"/>
          <w:szCs w:val="13"/>
          <w:u w:val="single" w:color="auto"/>
          <w:color w:val="0000EE"/>
        </w:rPr>
      </w:pPr>
    </w:p>
    <w:p>
      <w:pPr>
        <w:ind w:left="353" w:hanging="278"/>
        <w:spacing w:after="0"/>
        <w:tabs>
          <w:tab w:leader="none" w:pos="353" w:val="left"/>
        </w:tabs>
        <w:numPr>
          <w:ilvl w:val="0"/>
          <w:numId w:val="48"/>
        </w:numPr>
        <w:rPr>
          <w:rFonts w:ascii="Arial" w:cs="Arial" w:eastAsia="Arial" w:hAnsi="Arial"/>
          <w:sz w:val="13"/>
          <w:szCs w:val="13"/>
          <w:b w:val="1"/>
          <w:bCs w:val="1"/>
          <w:u w:val="single" w:color="auto"/>
          <w:color w:val="105EAB"/>
        </w:rPr>
      </w:pPr>
      <w:hyperlink w:anchor="page90">
        <w:r>
          <w:rPr>
            <w:rFonts w:ascii="Arial" w:cs="Arial" w:eastAsia="Arial" w:hAnsi="Arial"/>
            <w:sz w:val="13"/>
            <w:szCs w:val="13"/>
            <w:b w:val="1"/>
            <w:bCs w:val="1"/>
            <w:u w:val="single" w:color="auto"/>
            <w:color w:val="105EAB"/>
          </w:rPr>
          <w:t>Stock Ownership Information</w:t>
        </w:r>
      </w:hyperlink>
    </w:p>
    <w:p>
      <w:pPr>
        <w:spacing w:after="0" w:line="42" w:lineRule="exact"/>
        <w:rPr>
          <w:rFonts w:ascii="Arial" w:cs="Arial" w:eastAsia="Arial" w:hAnsi="Arial"/>
          <w:sz w:val="13"/>
          <w:szCs w:val="13"/>
          <w:u w:val="single" w:color="auto"/>
          <w:color w:val="0000EE"/>
        </w:rPr>
      </w:pPr>
    </w:p>
    <w:p>
      <w:pPr>
        <w:ind w:left="353" w:hanging="278"/>
        <w:spacing w:after="0"/>
        <w:tabs>
          <w:tab w:leader="none" w:pos="353" w:val="left"/>
        </w:tabs>
        <w:numPr>
          <w:ilvl w:val="0"/>
          <w:numId w:val="49"/>
        </w:numPr>
        <w:rPr>
          <w:rFonts w:ascii="Arial" w:cs="Arial" w:eastAsia="Arial" w:hAnsi="Arial"/>
          <w:sz w:val="13"/>
          <w:szCs w:val="13"/>
          <w:u w:val="single" w:color="auto"/>
          <w:color w:val="0000EE"/>
        </w:rPr>
      </w:pPr>
      <w:hyperlink w:anchor="page90">
        <w:r>
          <w:rPr>
            <w:rFonts w:ascii="Arial" w:cs="Arial" w:eastAsia="Arial" w:hAnsi="Arial"/>
            <w:sz w:val="13"/>
            <w:szCs w:val="13"/>
            <w:u w:val="single" w:color="auto"/>
            <w:color w:val="0000EE"/>
          </w:rPr>
          <w:t>Security Ownership of Directors and Executive Officers</w:t>
        </w:r>
      </w:hyperlink>
    </w:p>
    <w:p>
      <w:pPr>
        <w:spacing w:after="0" w:line="25" w:lineRule="exact"/>
        <w:rPr>
          <w:rFonts w:ascii="Arial" w:cs="Arial" w:eastAsia="Arial" w:hAnsi="Arial"/>
          <w:sz w:val="13"/>
          <w:szCs w:val="13"/>
          <w:u w:val="single" w:color="auto"/>
          <w:color w:val="0000EE"/>
        </w:rPr>
      </w:pPr>
    </w:p>
    <w:p>
      <w:pPr>
        <w:ind w:left="353" w:hanging="278"/>
        <w:spacing w:after="0"/>
        <w:tabs>
          <w:tab w:leader="none" w:pos="353" w:val="left"/>
        </w:tabs>
        <w:numPr>
          <w:ilvl w:val="0"/>
          <w:numId w:val="49"/>
        </w:numPr>
        <w:rPr>
          <w:rFonts w:ascii="Arial" w:cs="Arial" w:eastAsia="Arial" w:hAnsi="Arial"/>
          <w:sz w:val="13"/>
          <w:szCs w:val="13"/>
          <w:u w:val="single" w:color="auto"/>
          <w:color w:val="0000EE"/>
        </w:rPr>
      </w:pPr>
      <w:hyperlink w:anchor="page91">
        <w:r>
          <w:rPr>
            <w:rFonts w:ascii="Arial" w:cs="Arial" w:eastAsia="Arial" w:hAnsi="Arial"/>
            <w:sz w:val="13"/>
            <w:szCs w:val="13"/>
            <w:u w:val="single" w:color="auto"/>
            <w:color w:val="0000EE"/>
          </w:rPr>
          <w:t>Security Ownership of Certain Beneficial Owners</w:t>
        </w:r>
      </w:hyperlink>
    </w:p>
    <w:p>
      <w:pPr>
        <w:spacing w:after="0" w:line="26" w:lineRule="exact"/>
        <w:rPr>
          <w:rFonts w:ascii="Arial" w:cs="Arial" w:eastAsia="Arial" w:hAnsi="Arial"/>
          <w:sz w:val="13"/>
          <w:szCs w:val="13"/>
          <w:u w:val="single" w:color="auto"/>
          <w:color w:val="0000EE"/>
        </w:rPr>
      </w:pPr>
    </w:p>
    <w:p>
      <w:pPr>
        <w:ind w:left="353" w:hanging="278"/>
        <w:spacing w:after="0"/>
        <w:tabs>
          <w:tab w:leader="none" w:pos="353" w:val="left"/>
        </w:tabs>
        <w:numPr>
          <w:ilvl w:val="0"/>
          <w:numId w:val="50"/>
        </w:numPr>
        <w:rPr>
          <w:rFonts w:ascii="Arial" w:cs="Arial" w:eastAsia="Arial" w:hAnsi="Arial"/>
          <w:sz w:val="13"/>
          <w:szCs w:val="13"/>
          <w:u w:val="single" w:color="auto"/>
          <w:color w:val="0000EE"/>
        </w:rPr>
      </w:pPr>
      <w:hyperlink w:anchor="page91">
        <w:r>
          <w:rPr>
            <w:rFonts w:ascii="Arial" w:cs="Arial" w:eastAsia="Arial" w:hAnsi="Arial"/>
            <w:sz w:val="13"/>
            <w:szCs w:val="13"/>
            <w:u w:val="single" w:color="auto"/>
            <w:color w:val="0000EE"/>
          </w:rPr>
          <w:t>Section 16(a) Beneficial Ownership Reporting Compliance</w:t>
        </w:r>
      </w:hyperlink>
    </w:p>
    <w:p>
      <w:pPr>
        <w:spacing w:after="0" w:line="158" w:lineRule="exact"/>
        <w:rPr>
          <w:rFonts w:ascii="Arial" w:cs="Arial" w:eastAsia="Arial" w:hAnsi="Arial"/>
          <w:sz w:val="13"/>
          <w:szCs w:val="13"/>
          <w:u w:val="single" w:color="auto"/>
          <w:color w:val="0000EE"/>
        </w:rPr>
      </w:pPr>
    </w:p>
    <w:p>
      <w:pPr>
        <w:ind w:left="353" w:hanging="278"/>
        <w:spacing w:after="0"/>
        <w:tabs>
          <w:tab w:leader="none" w:pos="353" w:val="left"/>
        </w:tabs>
        <w:numPr>
          <w:ilvl w:val="0"/>
          <w:numId w:val="50"/>
        </w:numPr>
        <w:rPr>
          <w:rFonts w:ascii="Arial" w:cs="Arial" w:eastAsia="Arial" w:hAnsi="Arial"/>
          <w:sz w:val="13"/>
          <w:szCs w:val="13"/>
          <w:b w:val="1"/>
          <w:bCs w:val="1"/>
          <w:u w:val="single" w:color="auto"/>
          <w:color w:val="105EAB"/>
        </w:rPr>
      </w:pPr>
      <w:hyperlink w:anchor="page92">
        <w:r>
          <w:rPr>
            <w:rFonts w:ascii="Arial" w:cs="Arial" w:eastAsia="Arial" w:hAnsi="Arial"/>
            <w:sz w:val="13"/>
            <w:szCs w:val="13"/>
            <w:b w:val="1"/>
            <w:bCs w:val="1"/>
            <w:u w:val="single" w:color="auto"/>
            <w:color w:val="105EAB"/>
          </w:rPr>
          <w:t>Other Information</w:t>
        </w:r>
      </w:hyperlink>
    </w:p>
    <w:p>
      <w:pPr>
        <w:spacing w:after="0" w:line="42" w:lineRule="exact"/>
        <w:rPr>
          <w:rFonts w:ascii="Arial" w:cs="Arial" w:eastAsia="Arial" w:hAnsi="Arial"/>
          <w:sz w:val="13"/>
          <w:szCs w:val="13"/>
          <w:u w:val="single" w:color="auto"/>
          <w:color w:val="0000EE"/>
        </w:rPr>
      </w:pPr>
    </w:p>
    <w:p>
      <w:pPr>
        <w:ind w:left="73"/>
        <w:spacing w:after="0"/>
        <w:tabs>
          <w:tab w:leader="none" w:pos="333" w:val="left"/>
        </w:tabs>
        <w:rPr>
          <w:rFonts w:ascii="Arial" w:cs="Arial" w:eastAsia="Arial" w:hAnsi="Arial"/>
          <w:sz w:val="13"/>
          <w:szCs w:val="13"/>
          <w:u w:val="single" w:color="auto"/>
          <w:color w:val="0000EE"/>
        </w:rPr>
      </w:pPr>
      <w:r>
        <w:rPr>
          <w:rFonts w:ascii="Arial" w:cs="Arial" w:eastAsia="Arial" w:hAnsi="Arial"/>
          <w:sz w:val="13"/>
          <w:szCs w:val="13"/>
          <w:u w:val="single" w:color="auto"/>
          <w:color w:val="0000EE"/>
        </w:rPr>
        <w:t>91</w:t>
        <w:tab/>
      </w:r>
      <w:hyperlink w:anchor="page92">
        <w:r>
          <w:rPr>
            <w:rFonts w:ascii="Arial" w:cs="Arial" w:eastAsia="Arial" w:hAnsi="Arial"/>
            <w:sz w:val="13"/>
            <w:szCs w:val="13"/>
            <w:u w:val="single" w:color="auto"/>
            <w:color w:val="0000EE"/>
          </w:rPr>
          <w:t>Proxy and Voting Information</w:t>
        </w:r>
      </w:hyperlink>
    </w:p>
    <w:p>
      <w:pPr>
        <w:spacing w:after="0" w:line="26" w:lineRule="exact"/>
        <w:rPr>
          <w:rFonts w:ascii="Arial" w:cs="Arial" w:eastAsia="Arial" w:hAnsi="Arial"/>
          <w:sz w:val="13"/>
          <w:szCs w:val="13"/>
          <w:u w:val="single" w:color="auto"/>
          <w:color w:val="0000EE"/>
        </w:rPr>
      </w:pPr>
    </w:p>
    <w:p>
      <w:pPr>
        <w:ind w:left="73"/>
        <w:spacing w:after="0"/>
        <w:tabs>
          <w:tab w:leader="none" w:pos="333" w:val="left"/>
        </w:tabs>
        <w:rPr>
          <w:rFonts w:ascii="Arial" w:cs="Arial" w:eastAsia="Arial" w:hAnsi="Arial"/>
          <w:sz w:val="13"/>
          <w:szCs w:val="13"/>
          <w:u w:val="single" w:color="auto"/>
          <w:color w:val="0000EE"/>
        </w:rPr>
      </w:pPr>
      <w:r>
        <w:rPr>
          <w:rFonts w:ascii="Arial" w:cs="Arial" w:eastAsia="Arial" w:hAnsi="Arial"/>
          <w:sz w:val="13"/>
          <w:szCs w:val="13"/>
          <w:u w:val="single" w:color="auto"/>
          <w:color w:val="0000EE"/>
        </w:rPr>
        <w:t>95</w:t>
        <w:tab/>
      </w:r>
      <w:hyperlink w:anchor="page96">
        <w:r>
          <w:rPr>
            <w:rFonts w:ascii="Arial" w:cs="Arial" w:eastAsia="Arial" w:hAnsi="Arial"/>
            <w:sz w:val="13"/>
            <w:szCs w:val="13"/>
            <w:u w:val="single" w:color="auto"/>
            <w:color w:val="0000EE"/>
          </w:rPr>
          <w:t>Appendix A – Definitions of Non-GAAP Measures</w:t>
        </w:r>
      </w:hyperlink>
    </w:p>
    <w:p>
      <w:pPr>
        <w:spacing w:after="0" w:line="26" w:lineRule="exact"/>
        <w:rPr>
          <w:rFonts w:ascii="Arial" w:cs="Arial" w:eastAsia="Arial" w:hAnsi="Arial"/>
          <w:sz w:val="13"/>
          <w:szCs w:val="13"/>
          <w:u w:val="single" w:color="auto"/>
          <w:color w:val="0000EE"/>
        </w:rPr>
      </w:pPr>
    </w:p>
    <w:p>
      <w:pPr>
        <w:ind w:left="353" w:hanging="278"/>
        <w:spacing w:after="0"/>
        <w:tabs>
          <w:tab w:leader="none" w:pos="353" w:val="left"/>
        </w:tabs>
        <w:numPr>
          <w:ilvl w:val="0"/>
          <w:numId w:val="51"/>
        </w:numPr>
        <w:rPr>
          <w:rFonts w:ascii="Arial" w:cs="Arial" w:eastAsia="Arial" w:hAnsi="Arial"/>
          <w:sz w:val="13"/>
          <w:szCs w:val="13"/>
          <w:u w:val="single" w:color="auto"/>
          <w:color w:val="0000EE"/>
        </w:rPr>
      </w:pPr>
      <w:hyperlink w:anchor="page100">
        <w:r>
          <w:rPr>
            <w:rFonts w:ascii="Arial" w:cs="Arial" w:eastAsia="Arial" w:hAnsi="Arial"/>
            <w:sz w:val="13"/>
            <w:szCs w:val="13"/>
            <w:u w:val="single" w:color="auto"/>
            <w:color w:val="0000EE"/>
          </w:rPr>
          <w:t>Appendix B – Categorical Standards of Independence</w:t>
        </w:r>
      </w:hyperlink>
    </w:p>
    <w:p>
      <w:pPr>
        <w:spacing w:after="0" w:line="25" w:lineRule="exact"/>
        <w:rPr>
          <w:rFonts w:ascii="Arial" w:cs="Arial" w:eastAsia="Arial" w:hAnsi="Arial"/>
          <w:sz w:val="13"/>
          <w:szCs w:val="13"/>
          <w:u w:val="single" w:color="auto"/>
          <w:color w:val="0000EE"/>
        </w:rPr>
      </w:pPr>
    </w:p>
    <w:p>
      <w:pPr>
        <w:ind w:left="353" w:hanging="353"/>
        <w:spacing w:after="0"/>
        <w:tabs>
          <w:tab w:leader="none" w:pos="353" w:val="left"/>
        </w:tabs>
        <w:numPr>
          <w:ilvl w:val="0"/>
          <w:numId w:val="51"/>
        </w:numPr>
        <w:rPr>
          <w:rFonts w:ascii="Arial" w:cs="Arial" w:eastAsia="Arial" w:hAnsi="Arial"/>
          <w:sz w:val="13"/>
          <w:szCs w:val="13"/>
          <w:u w:val="single" w:color="auto"/>
          <w:color w:val="0000EE"/>
        </w:rPr>
      </w:pPr>
      <w:hyperlink w:anchor="page101">
        <w:r>
          <w:rPr>
            <w:rFonts w:ascii="Arial" w:cs="Arial" w:eastAsia="Arial" w:hAnsi="Arial"/>
            <w:sz w:val="13"/>
            <w:szCs w:val="13"/>
            <w:u w:val="single" w:color="auto"/>
            <w:color w:val="0000EE"/>
          </w:rPr>
          <w:t>Appendix C – Executive Officers</w:t>
        </w:r>
      </w:hyperlink>
    </w:p>
    <w:p>
      <w:pPr>
        <w:spacing w:after="0" w:line="25" w:lineRule="exact"/>
        <w:rPr>
          <w:rFonts w:ascii="Arial" w:cs="Arial" w:eastAsia="Arial" w:hAnsi="Arial"/>
          <w:sz w:val="13"/>
          <w:szCs w:val="13"/>
          <w:u w:val="single" w:color="auto"/>
          <w:color w:val="0000EE"/>
        </w:rPr>
      </w:pPr>
    </w:p>
    <w:p>
      <w:pPr>
        <w:ind w:left="353" w:hanging="353"/>
        <w:spacing w:after="0"/>
        <w:tabs>
          <w:tab w:leader="none" w:pos="353" w:val="left"/>
        </w:tabs>
        <w:numPr>
          <w:ilvl w:val="0"/>
          <w:numId w:val="51"/>
        </w:numPr>
        <w:rPr>
          <w:rFonts w:ascii="Arial" w:cs="Arial" w:eastAsia="Arial" w:hAnsi="Arial"/>
          <w:sz w:val="13"/>
          <w:szCs w:val="13"/>
          <w:u w:val="single" w:color="auto"/>
          <w:color w:val="0000EE"/>
        </w:rPr>
      </w:pPr>
      <w:hyperlink w:anchor="page102">
        <w:r>
          <w:rPr>
            <w:rFonts w:ascii="Arial" w:cs="Arial" w:eastAsia="Arial" w:hAnsi="Arial"/>
            <w:sz w:val="13"/>
            <w:szCs w:val="13"/>
            <w:u w:val="single" w:color="auto"/>
            <w:color w:val="0000EE"/>
          </w:rPr>
          <w:t>Appendix D – 2019 Equity Incentive Plan</w:t>
        </w:r>
      </w:hyperlink>
    </w:p>
    <w:p>
      <w:pPr>
        <w:spacing w:after="0" w:line="200" w:lineRule="exact"/>
        <w:rPr>
          <w:rFonts w:ascii="Arial" w:cs="Arial" w:eastAsia="Arial" w:hAnsi="Arial"/>
          <w:sz w:val="13"/>
          <w:szCs w:val="13"/>
          <w:u w:val="single" w:color="auto"/>
          <w:color w:val="0000EE"/>
        </w:rPr>
      </w:pPr>
    </w:p>
    <w:p>
      <w:pPr>
        <w:spacing w:after="0" w:line="204" w:lineRule="exact"/>
        <w:rPr>
          <w:rFonts w:ascii="Arial" w:cs="Arial" w:eastAsia="Arial" w:hAnsi="Arial"/>
          <w:sz w:val="13"/>
          <w:szCs w:val="13"/>
          <w:u w:val="single" w:color="auto"/>
          <w:color w:val="0000EE"/>
        </w:rPr>
      </w:pPr>
    </w:p>
    <w:p>
      <w:pPr>
        <w:ind w:left="213"/>
        <w:spacing w:after="0"/>
        <w:rPr>
          <w:sz w:val="20"/>
          <w:szCs w:val="20"/>
          <w:color w:val="auto"/>
        </w:rPr>
      </w:pPr>
      <w:r>
        <w:rPr>
          <w:rFonts w:ascii="Arial" w:cs="Arial" w:eastAsia="Arial" w:hAnsi="Arial"/>
          <w:sz w:val="20"/>
          <w:szCs w:val="20"/>
          <w:b w:val="1"/>
          <w:bCs w:val="1"/>
          <w:color w:val="39B6E9"/>
        </w:rPr>
        <w:t>REPORT HIGHLIGHTS</w:t>
      </w:r>
    </w:p>
    <w:p>
      <w:pPr>
        <w:spacing w:after="0" w:line="20" w:lineRule="exact"/>
        <w:rPr>
          <w:rFonts w:ascii="Arial" w:cs="Arial" w:eastAsia="Arial" w:hAnsi="Arial"/>
          <w:sz w:val="13"/>
          <w:szCs w:val="13"/>
          <w:u w:val="single" w:color="auto"/>
          <w:color w:val="0000EE"/>
        </w:rPr>
      </w:pPr>
      <w:r>
        <w:rPr>
          <w:rFonts w:ascii="Arial" w:cs="Arial" w:eastAsia="Arial" w:hAnsi="Arial"/>
          <w:sz w:val="13"/>
          <w:szCs w:val="13"/>
          <w:u w:val="single" w:color="auto"/>
          <w:color w:val="0000EE"/>
        </w:rPr>
        <w:drawing>
          <wp:anchor simplePos="0" relativeHeight="251657728" behindDoc="1" locked="0" layoutInCell="0" allowOverlap="1">
            <wp:simplePos x="0" y="0"/>
            <wp:positionH relativeFrom="column">
              <wp:posOffset>40640</wp:posOffset>
            </wp:positionH>
            <wp:positionV relativeFrom="paragraph">
              <wp:posOffset>76835</wp:posOffset>
            </wp:positionV>
            <wp:extent cx="3434715" cy="16021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34715" cy="1602105"/>
                    </a:xfrm>
                    <a:prstGeom prst="rect">
                      <a:avLst/>
                    </a:prstGeom>
                    <a:noFill/>
                  </pic:spPr>
                </pic:pic>
              </a:graphicData>
            </a:graphic>
          </wp:anchor>
        </w:drawing>
      </w:r>
    </w:p>
    <w:p>
      <w:pPr>
        <w:spacing w:after="0" w:line="263" w:lineRule="exact"/>
        <w:rPr>
          <w:rFonts w:ascii="Arial" w:cs="Arial" w:eastAsia="Arial" w:hAnsi="Arial"/>
          <w:sz w:val="13"/>
          <w:szCs w:val="13"/>
          <w:u w:val="single" w:color="auto"/>
          <w:color w:val="0000EE"/>
        </w:rPr>
      </w:pPr>
    </w:p>
    <w:p>
      <w:pPr>
        <w:ind w:left="553" w:right="820"/>
        <w:spacing w:after="0" w:line="258" w:lineRule="auto"/>
        <w:rPr>
          <w:sz w:val="20"/>
          <w:szCs w:val="20"/>
          <w:color w:val="auto"/>
        </w:rPr>
      </w:pPr>
      <w:r>
        <w:rPr>
          <w:rFonts w:ascii="Arial" w:cs="Arial" w:eastAsia="Arial" w:hAnsi="Arial"/>
          <w:sz w:val="13"/>
          <w:szCs w:val="13"/>
          <w:color w:val="1A1A1A"/>
        </w:rPr>
        <w:t xml:space="preserve">See information about the Nominating and Governance Committee’s oversight of political contributions on </w:t>
      </w:r>
      <w:r>
        <w:rPr>
          <w:rFonts w:ascii="Arial" w:cs="Arial" w:eastAsia="Arial" w:hAnsi="Arial"/>
          <w:sz w:val="13"/>
          <w:szCs w:val="13"/>
          <w:b w:val="1"/>
          <w:bCs w:val="1"/>
          <w:color w:val="39B6E9"/>
        </w:rPr>
        <w:t>page 20</w:t>
      </w:r>
    </w:p>
    <w:p>
      <w:pPr>
        <w:spacing w:after="0" w:line="200" w:lineRule="exact"/>
        <w:rPr>
          <w:rFonts w:ascii="Arial" w:cs="Arial" w:eastAsia="Arial" w:hAnsi="Arial"/>
          <w:sz w:val="13"/>
          <w:szCs w:val="13"/>
          <w:u w:val="single" w:color="auto"/>
          <w:color w:val="0000EE"/>
        </w:rPr>
      </w:pPr>
    </w:p>
    <w:p>
      <w:pPr>
        <w:spacing w:after="0" w:line="200" w:lineRule="exact"/>
        <w:rPr>
          <w:rFonts w:ascii="Arial" w:cs="Arial" w:eastAsia="Arial" w:hAnsi="Arial"/>
          <w:sz w:val="13"/>
          <w:szCs w:val="13"/>
          <w:u w:val="single" w:color="auto"/>
          <w:color w:val="0000EE"/>
        </w:rPr>
      </w:pPr>
    </w:p>
    <w:p>
      <w:pPr>
        <w:spacing w:after="0" w:line="358" w:lineRule="exact"/>
        <w:rPr>
          <w:rFonts w:ascii="Arial" w:cs="Arial" w:eastAsia="Arial" w:hAnsi="Arial"/>
          <w:sz w:val="13"/>
          <w:szCs w:val="13"/>
          <w:u w:val="single" w:color="auto"/>
          <w:color w:val="0000EE"/>
        </w:rPr>
      </w:pPr>
    </w:p>
    <w:p>
      <w:pPr>
        <w:ind w:left="553" w:right="920"/>
        <w:spacing w:after="0" w:line="258" w:lineRule="auto"/>
        <w:rPr>
          <w:sz w:val="20"/>
          <w:szCs w:val="20"/>
          <w:color w:val="auto"/>
        </w:rPr>
      </w:pPr>
      <w:r>
        <w:rPr>
          <w:rFonts w:ascii="Arial" w:cs="Arial" w:eastAsia="Arial" w:hAnsi="Arial"/>
          <w:sz w:val="13"/>
          <w:szCs w:val="13"/>
          <w:color w:val="1A1A1A"/>
        </w:rPr>
        <w:t xml:space="preserve">See information about Allstate’s director compensation program on </w:t>
      </w:r>
      <w:r>
        <w:rPr>
          <w:rFonts w:ascii="Arial" w:cs="Arial" w:eastAsia="Arial" w:hAnsi="Arial"/>
          <w:sz w:val="13"/>
          <w:szCs w:val="13"/>
          <w:b w:val="1"/>
          <w:bCs w:val="1"/>
          <w:color w:val="39B6E9"/>
        </w:rPr>
        <w:t>pages 30-31</w:t>
      </w:r>
    </w:p>
    <w:p>
      <w:pPr>
        <w:spacing w:after="0" w:line="200" w:lineRule="exact"/>
        <w:rPr>
          <w:rFonts w:ascii="Arial" w:cs="Arial" w:eastAsia="Arial" w:hAnsi="Arial"/>
          <w:sz w:val="13"/>
          <w:szCs w:val="13"/>
          <w:u w:val="single" w:color="auto"/>
          <w:color w:val="0000EE"/>
        </w:rPr>
      </w:pPr>
    </w:p>
    <w:p>
      <w:pPr>
        <w:spacing w:after="0" w:line="342" w:lineRule="exact"/>
        <w:rPr>
          <w:rFonts w:ascii="Arial" w:cs="Arial" w:eastAsia="Arial" w:hAnsi="Arial"/>
          <w:sz w:val="13"/>
          <w:szCs w:val="13"/>
          <w:u w:val="single" w:color="auto"/>
          <w:color w:val="0000EE"/>
        </w:rPr>
      </w:pPr>
    </w:p>
    <w:p>
      <w:pPr>
        <w:ind w:left="553" w:right="1100"/>
        <w:spacing w:after="0" w:line="258" w:lineRule="auto"/>
        <w:rPr>
          <w:sz w:val="20"/>
          <w:szCs w:val="20"/>
          <w:color w:val="auto"/>
        </w:rPr>
      </w:pPr>
      <w:r>
        <w:rPr>
          <w:rFonts w:ascii="Arial" w:cs="Arial" w:eastAsia="Arial" w:hAnsi="Arial"/>
          <w:sz w:val="13"/>
          <w:szCs w:val="13"/>
          <w:color w:val="1A1A1A"/>
        </w:rPr>
        <w:t xml:space="preserve">See information about our performance measures related to our Annual Incentive Plan in 2018 on </w:t>
      </w:r>
      <w:r>
        <w:rPr>
          <w:rFonts w:ascii="Arial" w:cs="Arial" w:eastAsia="Arial" w:hAnsi="Arial"/>
          <w:sz w:val="13"/>
          <w:szCs w:val="13"/>
          <w:b w:val="1"/>
          <w:bCs w:val="1"/>
          <w:color w:val="39B6E9"/>
        </w:rPr>
        <w:t>pages 43-45</w:t>
      </w:r>
    </w:p>
    <w:p>
      <w:pPr>
        <w:spacing w:after="0" w:line="200" w:lineRule="exact"/>
        <w:rPr>
          <w:rFonts w:ascii="Arial" w:cs="Arial" w:eastAsia="Arial" w:hAnsi="Arial"/>
          <w:sz w:val="13"/>
          <w:szCs w:val="13"/>
          <w:u w:val="single" w:color="auto"/>
          <w:color w:val="0000EE"/>
        </w:rPr>
      </w:pPr>
    </w:p>
    <w:p>
      <w:pPr>
        <w:spacing w:after="0" w:line="339" w:lineRule="exact"/>
        <w:rPr>
          <w:rFonts w:ascii="Arial" w:cs="Arial" w:eastAsia="Arial" w:hAnsi="Arial"/>
          <w:sz w:val="13"/>
          <w:szCs w:val="13"/>
          <w:u w:val="single" w:color="auto"/>
          <w:color w:val="0000EE"/>
        </w:rPr>
      </w:pPr>
    </w:p>
    <w:tbl>
      <w:tblPr>
        <w:tblLayout w:type="fixed"/>
        <w:tblInd w:w="3653" w:type="dxa"/>
        <w:tblCellMar>
          <w:top w:w="0" w:type="dxa"/>
          <w:left w:w="0" w:type="dxa"/>
          <w:bottom w:w="0" w:type="dxa"/>
          <w:right w:w="0" w:type="dxa"/>
        </w:tblCellMar>
      </w:tblPr>
      <w:tr>
        <w:trPr>
          <w:trHeight w:val="178"/>
        </w:trPr>
        <w:tc>
          <w:tcPr>
            <w:tcW w:w="1540" w:type="dxa"/>
            <w:vAlign w:val="bottom"/>
          </w:tcPr>
          <w:p>
            <w:pPr>
              <w:spacing w:after="0"/>
              <w:rPr>
                <w:sz w:val="20"/>
                <w:szCs w:val="20"/>
                <w:color w:val="auto"/>
              </w:rPr>
            </w:pPr>
            <w:r>
              <w:rPr>
                <w:rFonts w:ascii="Arial" w:cs="Arial" w:eastAsia="Arial" w:hAnsi="Arial"/>
                <w:sz w:val="13"/>
                <w:szCs w:val="13"/>
                <w:color w:val="105EAB"/>
              </w:rPr>
              <w:t>2019 Proxy Statement</w:t>
            </w:r>
          </w:p>
        </w:tc>
        <w:tc>
          <w:tcPr>
            <w:tcW w:w="280" w:type="dxa"/>
            <w:vAlign w:val="bottom"/>
          </w:tcPr>
          <w:p>
            <w:pPr>
              <w:jc w:val="right"/>
              <w:spacing w:after="0"/>
              <w:rPr>
                <w:sz w:val="20"/>
                <w:szCs w:val="20"/>
                <w:color w:val="auto"/>
              </w:rPr>
            </w:pPr>
            <w:r>
              <w:rPr>
                <w:rFonts w:ascii="Arial" w:cs="Arial" w:eastAsia="Arial" w:hAnsi="Arial"/>
                <w:sz w:val="13"/>
                <w:szCs w:val="13"/>
                <w:b w:val="1"/>
                <w:bCs w:val="1"/>
                <w:color w:val="105EAB"/>
              </w:rPr>
              <w:t>9</w:t>
            </w:r>
          </w:p>
        </w:tc>
      </w:tr>
    </w:tbl>
    <w:p>
      <w:pPr>
        <w:sectPr>
          <w:pgSz w:w="11900" w:h="16838" w:orient="portrait"/>
          <w:cols w:equalWidth="0" w:num="2">
            <w:col w:w="5520" w:space="427"/>
            <w:col w:w="5473"/>
          </w:cols>
          <w:pgMar w:left="240" w:top="121"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169" w:lineRule="exact"/>
        <w:rPr>
          <w:sz w:val="20"/>
          <w:szCs w:val="20"/>
          <w:color w:val="auto"/>
        </w:rPr>
      </w:pPr>
    </w:p>
    <w:p>
      <w:pPr>
        <w:spacing w:after="0"/>
        <w:rPr>
          <w:sz w:val="20"/>
          <w:szCs w:val="20"/>
          <w:color w:val="auto"/>
        </w:rPr>
      </w:pPr>
      <w:r>
        <w:rPr>
          <w:rFonts w:ascii="Arial" w:cs="Arial" w:eastAsia="Arial" w:hAnsi="Arial"/>
          <w:sz w:val="50"/>
          <w:szCs w:val="50"/>
          <w:b w:val="1"/>
          <w:bCs w:val="1"/>
          <w:color w:val="105EAB"/>
        </w:rPr>
        <w:t>Corporate Governance</w:t>
      </w:r>
    </w:p>
    <w:p>
      <w:pPr>
        <w:spacing w:after="0" w:line="225" w:lineRule="exact"/>
        <w:rPr>
          <w:sz w:val="20"/>
          <w:szCs w:val="20"/>
          <w:color w:val="auto"/>
        </w:rPr>
      </w:pPr>
    </w:p>
    <w:p>
      <w:pPr>
        <w:ind w:left="140"/>
        <w:spacing w:after="0"/>
        <w:tabs>
          <w:tab w:leader="none" w:pos="1740" w:val="left"/>
        </w:tabs>
        <w:rPr>
          <w:sz w:val="20"/>
          <w:szCs w:val="20"/>
          <w:color w:val="auto"/>
        </w:rPr>
      </w:pPr>
      <w:r>
        <w:rPr>
          <w:rFonts w:ascii="Arial" w:cs="Arial" w:eastAsia="Arial" w:hAnsi="Arial"/>
          <w:sz w:val="26"/>
          <w:szCs w:val="26"/>
          <w:color w:val="39B6E9"/>
          <w:vertAlign w:val="superscript"/>
        </w:rPr>
        <w:t>PROPOSAL</w:t>
      </w:r>
      <w:r>
        <w:rPr>
          <w:rFonts w:ascii="Arial" w:cs="Arial" w:eastAsia="Arial" w:hAnsi="Arial"/>
          <w:sz w:val="54"/>
          <w:szCs w:val="54"/>
          <w:b w:val="1"/>
          <w:bCs w:val="1"/>
          <w:color w:val="39B6E9"/>
        </w:rPr>
        <w:t xml:space="preserve">  1</w:t>
      </w:r>
      <w:r>
        <w:rPr>
          <w:sz w:val="20"/>
          <w:szCs w:val="20"/>
          <w:color w:val="auto"/>
        </w:rPr>
        <w:tab/>
      </w:r>
      <w:r>
        <w:rPr>
          <w:rFonts w:ascii="Arial" w:cs="Arial" w:eastAsia="Arial" w:hAnsi="Arial"/>
          <w:sz w:val="30"/>
          <w:szCs w:val="30"/>
          <w:b w:val="1"/>
          <w:bCs w:val="1"/>
          <w:color w:val="39B6E9"/>
        </w:rPr>
        <w:t>Election of 10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-357505</wp:posOffset>
            </wp:positionV>
            <wp:extent cx="7251065" cy="8413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1065" cy="841375"/>
                    </a:xfrm>
                    <a:prstGeom prst="rect">
                      <a:avLst/>
                    </a:prstGeom>
                    <a:noFill/>
                  </pic:spPr>
                </pic:pic>
              </a:graphicData>
            </a:graphic>
          </wp:anchor>
        </w:drawing>
      </w:r>
    </w:p>
    <w:p>
      <w:pPr>
        <w:spacing w:after="0" w:line="228"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105EAB"/>
        </w:rPr>
        <w:t xml:space="preserve">The Board recommends a vote </w:t>
      </w:r>
      <w:r>
        <w:rPr>
          <w:rFonts w:ascii="Arial" w:cs="Arial" w:eastAsia="Arial" w:hAnsi="Arial"/>
          <w:sz w:val="18"/>
          <w:szCs w:val="18"/>
          <w:b w:val="1"/>
          <w:bCs w:val="1"/>
          <w:color w:val="5CA34F"/>
        </w:rPr>
        <w:t>FOR</w:t>
      </w:r>
      <w:r>
        <w:rPr>
          <w:rFonts w:ascii="Arial" w:cs="Arial" w:eastAsia="Arial" w:hAnsi="Arial"/>
          <w:sz w:val="18"/>
          <w:szCs w:val="18"/>
          <w:b w:val="1"/>
          <w:bCs w:val="1"/>
          <w:color w:val="105EAB"/>
        </w:rPr>
        <w:t xml:space="preserve"> each nominee. </w:t>
      </w:r>
      <w:r>
        <w:rPr>
          <w:sz w:val="1"/>
          <w:szCs w:val="1"/>
          <w:color w:val="auto"/>
        </w:rPr>
        <w:drawing>
          <wp:inline distT="0" distB="0" distL="0" distR="0">
            <wp:extent cx="205740" cy="213995"/>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05740" cy="213995"/>
                    </a:xfrm>
                    <a:prstGeom prst="rect">
                      <a:avLst/>
                    </a:prstGeom>
                    <a:noFill/>
                    <a:ln>
                      <a:noFill/>
                    </a:ln>
                  </pic:spPr>
                </pic:pic>
              </a:graphicData>
            </a:graphic>
          </wp:inline>
        </w:drawing>
      </w:r>
    </w:p>
    <w:p>
      <w:pPr>
        <w:spacing w:after="0" w:line="200" w:lineRule="exact"/>
        <w:rPr>
          <w:sz w:val="20"/>
          <w:szCs w:val="20"/>
          <w:color w:val="auto"/>
        </w:rPr>
      </w:pPr>
    </w:p>
    <w:p>
      <w:pPr>
        <w:spacing w:after="0" w:line="397" w:lineRule="exact"/>
        <w:rPr>
          <w:sz w:val="20"/>
          <w:szCs w:val="20"/>
          <w:color w:val="auto"/>
        </w:rPr>
      </w:pPr>
    </w:p>
    <w:p>
      <w:pPr>
        <w:ind w:right="400"/>
        <w:spacing w:after="0" w:line="239" w:lineRule="auto"/>
        <w:rPr>
          <w:sz w:val="20"/>
          <w:szCs w:val="20"/>
          <w:color w:val="auto"/>
        </w:rPr>
      </w:pPr>
      <w:r>
        <w:rPr>
          <w:rFonts w:ascii="Arial" w:cs="Arial" w:eastAsia="Arial" w:hAnsi="Arial"/>
          <w:sz w:val="18"/>
          <w:szCs w:val="18"/>
          <w:color w:val="auto"/>
        </w:rPr>
        <w:t>The Board recommends 10 nominees for election to the Allstate Board for one-year terms beginning in May 2019 and until a successor is duly elected and qualified or his or her earlier resignation or removal.</w:t>
      </w:r>
    </w:p>
    <w:p>
      <w:pPr>
        <w:spacing w:after="0" w:line="208"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Each nominee was previously elected at Allstate’s annual meeting of stockholders on May 11, 2018, for a one-year term. The Board expects all nominees named in this proxy statement to be available for election. If any nominee is not available, then the proxies may vote for a substitute. On the following pages, we list the reasons for nominating each individual.</w:t>
      </w:r>
    </w:p>
    <w:p>
      <w:pPr>
        <w:spacing w:after="0" w:line="176" w:lineRule="exact"/>
        <w:rPr>
          <w:sz w:val="20"/>
          <w:szCs w:val="20"/>
          <w:color w:val="auto"/>
        </w:rPr>
      </w:pPr>
    </w:p>
    <w:p>
      <w:pPr>
        <w:spacing w:after="0"/>
        <w:rPr>
          <w:sz w:val="20"/>
          <w:szCs w:val="20"/>
          <w:color w:val="auto"/>
        </w:rPr>
      </w:pPr>
      <w:r>
        <w:rPr>
          <w:rFonts w:ascii="Arial" w:cs="Arial" w:eastAsia="Arial" w:hAnsi="Arial"/>
          <w:sz w:val="25"/>
          <w:szCs w:val="25"/>
          <w:b w:val="1"/>
          <w:bCs w:val="1"/>
          <w:color w:val="105EAB"/>
        </w:rPr>
        <w:t>Director Nominees’ Skills and Experience</w:t>
      </w:r>
    </w:p>
    <w:p>
      <w:pPr>
        <w:spacing w:after="0" w:line="259"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Our Board selected the nominees based on their diverse set of skills and experience, which align with our business strategy and contribute to the effective oversight of Allstate. Our nominees are talented, both as individuals and as a team. Fifty percent of our Board is ethnically or gender diverse. They bring a full array of business and leadership skills to their oversight responsibilities. Most nominees serve on other public company boards, enabling our Board to more quickly adopt best practices from other companies. Their diversity of experience and expertise facilitates robust and thoughtful decision-making on Allstate’s Board.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105EAB"/>
        </w:rPr>
        <w:t>CORE COMPETENCIES REQUIRED OF ALL DIRECTOR NOMINEES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81"/>
        </w:trPr>
        <w:tc>
          <w:tcPr>
            <w:tcW w:w="2560" w:type="dxa"/>
            <w:vAlign w:val="bottom"/>
            <w:tcBorders>
              <w:top w:val="single" w:sz="8" w:color="39B7E9"/>
            </w:tcBorders>
            <w:vMerge w:val="restart"/>
          </w:tcPr>
          <w:p>
            <w:pPr>
              <w:ind w:left="120"/>
              <w:spacing w:after="0"/>
              <w:rPr>
                <w:sz w:val="20"/>
                <w:szCs w:val="20"/>
                <w:color w:val="auto"/>
              </w:rPr>
            </w:pPr>
            <w:r>
              <w:rPr>
                <w:rFonts w:ascii="Arial" w:cs="Arial" w:eastAsia="Arial" w:hAnsi="Arial"/>
                <w:sz w:val="13"/>
                <w:szCs w:val="13"/>
                <w:b w:val="1"/>
                <w:bCs w:val="1"/>
                <w:color w:val="39B6E9"/>
              </w:rPr>
              <w:t>Strategic Oversight</w:t>
            </w:r>
          </w:p>
        </w:tc>
        <w:tc>
          <w:tcPr>
            <w:tcW w:w="20" w:type="dxa"/>
            <w:vAlign w:val="bottom"/>
            <w:tcBorders>
              <w:top w:val="single" w:sz="8" w:color="39B7E9"/>
            </w:tcBorders>
          </w:tcPr>
          <w:p>
            <w:pPr>
              <w:spacing w:after="0"/>
              <w:rPr>
                <w:sz w:val="7"/>
                <w:szCs w:val="7"/>
                <w:color w:val="auto"/>
              </w:rPr>
            </w:pPr>
          </w:p>
        </w:tc>
        <w:tc>
          <w:tcPr>
            <w:tcW w:w="3220" w:type="dxa"/>
            <w:vAlign w:val="bottom"/>
            <w:tcBorders>
              <w:top w:val="single" w:sz="8" w:color="39B7E9"/>
            </w:tcBorders>
            <w:vMerge w:val="restart"/>
          </w:tcPr>
          <w:p>
            <w:pPr>
              <w:ind w:left="100"/>
              <w:spacing w:after="0"/>
              <w:rPr>
                <w:sz w:val="20"/>
                <w:szCs w:val="20"/>
                <w:color w:val="auto"/>
              </w:rPr>
            </w:pPr>
            <w:r>
              <w:rPr>
                <w:rFonts w:ascii="Arial" w:cs="Arial" w:eastAsia="Arial" w:hAnsi="Arial"/>
                <w:sz w:val="13"/>
                <w:szCs w:val="13"/>
                <w:b w:val="1"/>
                <w:bCs w:val="1"/>
                <w:color w:val="39B6E9"/>
              </w:rPr>
              <w:t>Stockholder Advocacy</w:t>
            </w:r>
          </w:p>
        </w:tc>
        <w:tc>
          <w:tcPr>
            <w:tcW w:w="20" w:type="dxa"/>
            <w:vAlign w:val="bottom"/>
            <w:tcBorders>
              <w:top w:val="single" w:sz="8" w:color="39B7E9"/>
            </w:tcBorders>
          </w:tcPr>
          <w:p>
            <w:pPr>
              <w:spacing w:after="0"/>
              <w:rPr>
                <w:sz w:val="7"/>
                <w:szCs w:val="7"/>
                <w:color w:val="auto"/>
              </w:rPr>
            </w:pPr>
          </w:p>
        </w:tc>
        <w:tc>
          <w:tcPr>
            <w:tcW w:w="3240" w:type="dxa"/>
            <w:vAlign w:val="bottom"/>
            <w:tcBorders>
              <w:top w:val="single" w:sz="8" w:color="39B7E9"/>
            </w:tcBorders>
            <w:vMerge w:val="restart"/>
          </w:tcPr>
          <w:p>
            <w:pPr>
              <w:ind w:left="100"/>
              <w:spacing w:after="0"/>
              <w:rPr>
                <w:sz w:val="20"/>
                <w:szCs w:val="20"/>
                <w:color w:val="auto"/>
              </w:rPr>
            </w:pPr>
            <w:r>
              <w:rPr>
                <w:rFonts w:ascii="Arial" w:cs="Arial" w:eastAsia="Arial" w:hAnsi="Arial"/>
                <w:sz w:val="13"/>
                <w:szCs w:val="13"/>
                <w:b w:val="1"/>
                <w:bCs w:val="1"/>
                <w:color w:val="39B6E9"/>
              </w:rPr>
              <w:t>Corporate Governance</w:t>
            </w:r>
          </w:p>
        </w:tc>
        <w:tc>
          <w:tcPr>
            <w:tcW w:w="20" w:type="dxa"/>
            <w:vAlign w:val="bottom"/>
            <w:tcBorders>
              <w:top w:val="single" w:sz="8" w:color="39B7E9"/>
            </w:tcBorders>
          </w:tcPr>
          <w:p>
            <w:pPr>
              <w:spacing w:after="0"/>
              <w:rPr>
                <w:sz w:val="7"/>
                <w:szCs w:val="7"/>
                <w:color w:val="auto"/>
              </w:rPr>
            </w:pPr>
          </w:p>
        </w:tc>
        <w:tc>
          <w:tcPr>
            <w:tcW w:w="2340" w:type="dxa"/>
            <w:vAlign w:val="bottom"/>
            <w:tcBorders>
              <w:top w:val="single" w:sz="8" w:color="39B7E9"/>
              <w:right w:val="single" w:sz="8" w:color="39B7E9"/>
            </w:tcBorders>
            <w:vMerge w:val="restart"/>
          </w:tcPr>
          <w:p>
            <w:pPr>
              <w:ind w:left="100"/>
              <w:spacing w:after="0"/>
              <w:rPr>
                <w:sz w:val="20"/>
                <w:szCs w:val="20"/>
                <w:color w:val="auto"/>
              </w:rPr>
            </w:pPr>
            <w:r>
              <w:rPr>
                <w:rFonts w:ascii="Arial" w:cs="Arial" w:eastAsia="Arial" w:hAnsi="Arial"/>
                <w:sz w:val="13"/>
                <w:szCs w:val="13"/>
                <w:b w:val="1"/>
                <w:bCs w:val="1"/>
                <w:color w:val="39B6E9"/>
              </w:rPr>
              <w:t>Leadership</w:t>
            </w:r>
          </w:p>
        </w:tc>
        <w:tc>
          <w:tcPr>
            <w:tcW w:w="0" w:type="dxa"/>
            <w:vAlign w:val="bottom"/>
          </w:tcPr>
          <w:p>
            <w:pPr>
              <w:spacing w:after="0"/>
              <w:rPr>
                <w:sz w:val="1"/>
                <w:szCs w:val="1"/>
                <w:color w:val="auto"/>
              </w:rPr>
            </w:pPr>
          </w:p>
        </w:tc>
      </w:tr>
      <w:tr>
        <w:trPr>
          <w:trHeight w:val="184"/>
        </w:trPr>
        <w:tc>
          <w:tcPr>
            <w:tcW w:w="2560" w:type="dxa"/>
            <w:vAlign w:val="bottom"/>
            <w:vMerge w:val="continue"/>
          </w:tcPr>
          <w:p>
            <w:pPr>
              <w:spacing w:after="0"/>
              <w:rPr>
                <w:sz w:val="15"/>
                <w:szCs w:val="15"/>
                <w:color w:val="auto"/>
              </w:rPr>
            </w:pPr>
          </w:p>
        </w:tc>
        <w:tc>
          <w:tcPr>
            <w:tcW w:w="20" w:type="dxa"/>
            <w:vAlign w:val="bottom"/>
            <w:shd w:val="clear" w:color="auto" w:fill="959595"/>
          </w:tcPr>
          <w:p>
            <w:pPr>
              <w:spacing w:after="0"/>
              <w:rPr>
                <w:sz w:val="15"/>
                <w:szCs w:val="15"/>
                <w:color w:val="auto"/>
              </w:rPr>
            </w:pPr>
          </w:p>
        </w:tc>
        <w:tc>
          <w:tcPr>
            <w:tcW w:w="3220" w:type="dxa"/>
            <w:vAlign w:val="bottom"/>
            <w:vMerge w:val="continue"/>
          </w:tcPr>
          <w:p>
            <w:pPr>
              <w:spacing w:after="0"/>
              <w:rPr>
                <w:sz w:val="15"/>
                <w:szCs w:val="15"/>
                <w:color w:val="auto"/>
              </w:rPr>
            </w:pPr>
          </w:p>
        </w:tc>
        <w:tc>
          <w:tcPr>
            <w:tcW w:w="20" w:type="dxa"/>
            <w:vAlign w:val="bottom"/>
            <w:shd w:val="clear" w:color="auto" w:fill="959595"/>
          </w:tcPr>
          <w:p>
            <w:pPr>
              <w:spacing w:after="0"/>
              <w:rPr>
                <w:sz w:val="15"/>
                <w:szCs w:val="15"/>
                <w:color w:val="auto"/>
              </w:rPr>
            </w:pPr>
          </w:p>
        </w:tc>
        <w:tc>
          <w:tcPr>
            <w:tcW w:w="3240" w:type="dxa"/>
            <w:vAlign w:val="bottom"/>
            <w:vMerge w:val="continue"/>
          </w:tcPr>
          <w:p>
            <w:pPr>
              <w:spacing w:after="0"/>
              <w:rPr>
                <w:sz w:val="15"/>
                <w:szCs w:val="15"/>
                <w:color w:val="auto"/>
              </w:rPr>
            </w:pPr>
          </w:p>
        </w:tc>
        <w:tc>
          <w:tcPr>
            <w:tcW w:w="20" w:type="dxa"/>
            <w:vAlign w:val="bottom"/>
            <w:shd w:val="clear" w:color="auto" w:fill="959595"/>
          </w:tcPr>
          <w:p>
            <w:pPr>
              <w:spacing w:after="0"/>
              <w:rPr>
                <w:sz w:val="15"/>
                <w:szCs w:val="15"/>
                <w:color w:val="auto"/>
              </w:rPr>
            </w:pPr>
          </w:p>
        </w:tc>
        <w:tc>
          <w:tcPr>
            <w:tcW w:w="2340" w:type="dxa"/>
            <w:vAlign w:val="bottom"/>
            <w:tcBorders>
              <w:right w:val="single" w:sz="8" w:color="39B7E9"/>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2560" w:type="dxa"/>
            <w:vAlign w:val="bottom"/>
          </w:tcPr>
          <w:p>
            <w:pPr>
              <w:ind w:left="120"/>
              <w:spacing w:after="0"/>
              <w:rPr>
                <w:sz w:val="20"/>
                <w:szCs w:val="20"/>
                <w:color w:val="auto"/>
              </w:rPr>
            </w:pPr>
            <w:r>
              <w:rPr>
                <w:rFonts w:ascii="Arial" w:cs="Arial" w:eastAsia="Arial" w:hAnsi="Arial"/>
                <w:sz w:val="18"/>
                <w:szCs w:val="18"/>
                <w:b w:val="1"/>
                <w:bCs w:val="1"/>
                <w:color w:val="39B6E9"/>
              </w:rPr>
              <w:t xml:space="preserve">100% </w:t>
            </w:r>
            <w:r>
              <w:rPr>
                <w:rFonts w:ascii="Arial" w:cs="Arial" w:eastAsia="Arial" w:hAnsi="Arial"/>
                <w:sz w:val="18"/>
                <w:szCs w:val="18"/>
                <w:color w:val="000000"/>
              </w:rPr>
              <w:t>of Directors</w:t>
            </w:r>
          </w:p>
        </w:tc>
        <w:tc>
          <w:tcPr>
            <w:tcW w:w="20" w:type="dxa"/>
            <w:vAlign w:val="bottom"/>
            <w:shd w:val="clear" w:color="auto" w:fill="959595"/>
          </w:tcPr>
          <w:p>
            <w:pPr>
              <w:spacing w:after="0"/>
              <w:rPr>
                <w:sz w:val="21"/>
                <w:szCs w:val="21"/>
                <w:color w:val="auto"/>
              </w:rPr>
            </w:pPr>
          </w:p>
        </w:tc>
        <w:tc>
          <w:tcPr>
            <w:tcW w:w="3220" w:type="dxa"/>
            <w:vAlign w:val="bottom"/>
          </w:tcPr>
          <w:p>
            <w:pPr>
              <w:ind w:left="100"/>
              <w:spacing w:after="0"/>
              <w:rPr>
                <w:sz w:val="20"/>
                <w:szCs w:val="20"/>
                <w:color w:val="auto"/>
              </w:rPr>
            </w:pPr>
            <w:r>
              <w:rPr>
                <w:rFonts w:ascii="Arial" w:cs="Arial" w:eastAsia="Arial" w:hAnsi="Arial"/>
                <w:sz w:val="18"/>
                <w:szCs w:val="18"/>
                <w:b w:val="1"/>
                <w:bCs w:val="1"/>
                <w:color w:val="39B6E9"/>
              </w:rPr>
              <w:t xml:space="preserve">100% </w:t>
            </w:r>
            <w:r>
              <w:rPr>
                <w:rFonts w:ascii="Arial" w:cs="Arial" w:eastAsia="Arial" w:hAnsi="Arial"/>
                <w:sz w:val="18"/>
                <w:szCs w:val="18"/>
                <w:color w:val="000000"/>
              </w:rPr>
              <w:t>of Directors</w:t>
            </w:r>
          </w:p>
        </w:tc>
        <w:tc>
          <w:tcPr>
            <w:tcW w:w="20" w:type="dxa"/>
            <w:vAlign w:val="bottom"/>
            <w:shd w:val="clear" w:color="auto" w:fill="959595"/>
          </w:tcPr>
          <w:p>
            <w:pPr>
              <w:spacing w:after="0"/>
              <w:rPr>
                <w:sz w:val="21"/>
                <w:szCs w:val="21"/>
                <w:color w:val="auto"/>
              </w:rPr>
            </w:pPr>
          </w:p>
        </w:tc>
        <w:tc>
          <w:tcPr>
            <w:tcW w:w="3240" w:type="dxa"/>
            <w:vAlign w:val="bottom"/>
          </w:tcPr>
          <w:p>
            <w:pPr>
              <w:ind w:left="100"/>
              <w:spacing w:after="0"/>
              <w:rPr>
                <w:sz w:val="20"/>
                <w:szCs w:val="20"/>
                <w:color w:val="auto"/>
              </w:rPr>
            </w:pPr>
            <w:r>
              <w:rPr>
                <w:rFonts w:ascii="Arial" w:cs="Arial" w:eastAsia="Arial" w:hAnsi="Arial"/>
                <w:sz w:val="18"/>
                <w:szCs w:val="18"/>
                <w:b w:val="1"/>
                <w:bCs w:val="1"/>
                <w:color w:val="39B6E9"/>
              </w:rPr>
              <w:t xml:space="preserve">100% </w:t>
            </w:r>
            <w:r>
              <w:rPr>
                <w:rFonts w:ascii="Arial" w:cs="Arial" w:eastAsia="Arial" w:hAnsi="Arial"/>
                <w:sz w:val="18"/>
                <w:szCs w:val="18"/>
                <w:color w:val="000000"/>
              </w:rPr>
              <w:t>of Directors</w:t>
            </w:r>
          </w:p>
        </w:tc>
        <w:tc>
          <w:tcPr>
            <w:tcW w:w="20" w:type="dxa"/>
            <w:vAlign w:val="bottom"/>
            <w:shd w:val="clear" w:color="auto" w:fill="959595"/>
          </w:tcPr>
          <w:p>
            <w:pPr>
              <w:spacing w:after="0"/>
              <w:rPr>
                <w:sz w:val="21"/>
                <w:szCs w:val="21"/>
                <w:color w:val="auto"/>
              </w:rPr>
            </w:pPr>
          </w:p>
        </w:tc>
        <w:tc>
          <w:tcPr>
            <w:tcW w:w="2340" w:type="dxa"/>
            <w:vAlign w:val="bottom"/>
            <w:tcBorders>
              <w:right w:val="single" w:sz="8" w:color="39B7E9"/>
            </w:tcBorders>
          </w:tcPr>
          <w:p>
            <w:pPr>
              <w:ind w:left="100"/>
              <w:spacing w:after="0"/>
              <w:rPr>
                <w:sz w:val="20"/>
                <w:szCs w:val="20"/>
                <w:color w:val="auto"/>
              </w:rPr>
            </w:pPr>
            <w:r>
              <w:rPr>
                <w:rFonts w:ascii="Arial" w:cs="Arial" w:eastAsia="Arial" w:hAnsi="Arial"/>
                <w:sz w:val="18"/>
                <w:szCs w:val="18"/>
                <w:b w:val="1"/>
                <w:bCs w:val="1"/>
                <w:color w:val="39B6E9"/>
              </w:rPr>
              <w:t xml:space="preserve">100% </w:t>
            </w:r>
            <w:r>
              <w:rPr>
                <w:rFonts w:ascii="Arial" w:cs="Arial" w:eastAsia="Arial" w:hAnsi="Arial"/>
                <w:sz w:val="18"/>
                <w:szCs w:val="18"/>
                <w:color w:val="000000"/>
              </w:rPr>
              <w:t>of Directors</w:t>
            </w:r>
          </w:p>
        </w:tc>
        <w:tc>
          <w:tcPr>
            <w:tcW w:w="0" w:type="dxa"/>
            <w:vAlign w:val="bottom"/>
          </w:tcPr>
          <w:p>
            <w:pPr>
              <w:spacing w:after="0"/>
              <w:rPr>
                <w:sz w:val="1"/>
                <w:szCs w:val="1"/>
                <w:color w:val="auto"/>
              </w:rPr>
            </w:pPr>
          </w:p>
        </w:tc>
      </w:tr>
      <w:tr>
        <w:trPr>
          <w:trHeight w:val="67"/>
        </w:trPr>
        <w:tc>
          <w:tcPr>
            <w:tcW w:w="2560" w:type="dxa"/>
            <w:vAlign w:val="bottom"/>
            <w:tcBorders>
              <w:bottom w:val="single" w:sz="8" w:color="39B7E9"/>
            </w:tcBorders>
          </w:tcPr>
          <w:p>
            <w:pPr>
              <w:spacing w:after="0"/>
              <w:rPr>
                <w:sz w:val="5"/>
                <w:szCs w:val="5"/>
                <w:color w:val="auto"/>
              </w:rPr>
            </w:pPr>
          </w:p>
        </w:tc>
        <w:tc>
          <w:tcPr>
            <w:tcW w:w="20" w:type="dxa"/>
            <w:vAlign w:val="bottom"/>
            <w:tcBorders>
              <w:bottom w:val="single" w:sz="8" w:color="39B7E9"/>
            </w:tcBorders>
          </w:tcPr>
          <w:p>
            <w:pPr>
              <w:spacing w:after="0"/>
              <w:rPr>
                <w:sz w:val="5"/>
                <w:szCs w:val="5"/>
                <w:color w:val="auto"/>
              </w:rPr>
            </w:pPr>
          </w:p>
        </w:tc>
        <w:tc>
          <w:tcPr>
            <w:tcW w:w="3220" w:type="dxa"/>
            <w:vAlign w:val="bottom"/>
            <w:tcBorders>
              <w:bottom w:val="single" w:sz="8" w:color="39B7E9"/>
            </w:tcBorders>
          </w:tcPr>
          <w:p>
            <w:pPr>
              <w:spacing w:after="0"/>
              <w:rPr>
                <w:sz w:val="5"/>
                <w:szCs w:val="5"/>
                <w:color w:val="auto"/>
              </w:rPr>
            </w:pPr>
          </w:p>
        </w:tc>
        <w:tc>
          <w:tcPr>
            <w:tcW w:w="20" w:type="dxa"/>
            <w:vAlign w:val="bottom"/>
            <w:tcBorders>
              <w:bottom w:val="single" w:sz="8" w:color="39B7E9"/>
            </w:tcBorders>
          </w:tcPr>
          <w:p>
            <w:pPr>
              <w:spacing w:after="0"/>
              <w:rPr>
                <w:sz w:val="5"/>
                <w:szCs w:val="5"/>
                <w:color w:val="auto"/>
              </w:rPr>
            </w:pPr>
          </w:p>
        </w:tc>
        <w:tc>
          <w:tcPr>
            <w:tcW w:w="3240" w:type="dxa"/>
            <w:vAlign w:val="bottom"/>
            <w:tcBorders>
              <w:bottom w:val="single" w:sz="8" w:color="39B7E9"/>
            </w:tcBorders>
          </w:tcPr>
          <w:p>
            <w:pPr>
              <w:spacing w:after="0"/>
              <w:rPr>
                <w:sz w:val="5"/>
                <w:szCs w:val="5"/>
                <w:color w:val="auto"/>
              </w:rPr>
            </w:pPr>
          </w:p>
        </w:tc>
        <w:tc>
          <w:tcPr>
            <w:tcW w:w="20" w:type="dxa"/>
            <w:vAlign w:val="bottom"/>
            <w:tcBorders>
              <w:bottom w:val="single" w:sz="8" w:color="39B7E9"/>
            </w:tcBorders>
          </w:tcPr>
          <w:p>
            <w:pPr>
              <w:spacing w:after="0"/>
              <w:rPr>
                <w:sz w:val="5"/>
                <w:szCs w:val="5"/>
                <w:color w:val="auto"/>
              </w:rPr>
            </w:pPr>
          </w:p>
        </w:tc>
        <w:tc>
          <w:tcPr>
            <w:tcW w:w="2340" w:type="dxa"/>
            <w:vAlign w:val="bottom"/>
            <w:tcBorders>
              <w:bottom w:val="single" w:sz="8" w:color="39B7E9"/>
              <w:right w:val="single" w:sz="8" w:color="39B7E9"/>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105EAB"/>
        </w:rPr>
        <w:t>ADDITIONAL CAPABILITIES THAT FACILITATE OVERSIGHT OF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146050</wp:posOffset>
            </wp:positionV>
            <wp:extent cx="8255" cy="17214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255" cy="172148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240" w:lineRule="exact"/>
        <w:rPr>
          <w:sz w:val="20"/>
          <w:szCs w:val="20"/>
          <w:color w:val="auto"/>
        </w:rPr>
      </w:pPr>
    </w:p>
    <w:p>
      <w:pPr>
        <w:spacing w:after="0"/>
        <w:rPr>
          <w:sz w:val="20"/>
          <w:szCs w:val="20"/>
          <w:color w:val="auto"/>
        </w:rPr>
      </w:pPr>
      <w:r>
        <w:rPr>
          <w:rFonts w:ascii="Arial" w:cs="Arial" w:eastAsia="Arial" w:hAnsi="Arial"/>
          <w:sz w:val="13"/>
          <w:szCs w:val="13"/>
          <w:b w:val="1"/>
          <w:bCs w:val="1"/>
          <w:color w:val="105EAB"/>
        </w:rPr>
        <w:t>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2729230</wp:posOffset>
            </wp:positionH>
            <wp:positionV relativeFrom="paragraph">
              <wp:posOffset>-83820</wp:posOffset>
            </wp:positionV>
            <wp:extent cx="770890" cy="2825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70890" cy="282575"/>
                    </a:xfrm>
                    <a:prstGeom prst="rect">
                      <a:avLst/>
                    </a:prstGeom>
                    <a:noFill/>
                  </pic:spPr>
                </pic:pic>
              </a:graphicData>
            </a:graphic>
          </wp:anchor>
        </w:drawing>
      </w:r>
    </w:p>
    <w:p>
      <w:pPr>
        <w:ind w:right="1600"/>
        <w:spacing w:after="0" w:line="258" w:lineRule="auto"/>
        <w:rPr>
          <w:sz w:val="20"/>
          <w:szCs w:val="20"/>
          <w:color w:val="auto"/>
        </w:rPr>
      </w:pPr>
      <w:r>
        <w:rPr>
          <w:rFonts w:ascii="Arial" w:cs="Arial" w:eastAsia="Arial" w:hAnsi="Arial"/>
          <w:sz w:val="13"/>
          <w:szCs w:val="13"/>
          <w:color w:val="auto"/>
        </w:rPr>
        <w:t>Assists with understanding the business and strategy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351218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51218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b w:val="1"/>
          <w:bCs w:val="1"/>
          <w:color w:val="105EAB"/>
        </w:rPr>
        <w:t>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2729230</wp:posOffset>
            </wp:positionH>
            <wp:positionV relativeFrom="paragraph">
              <wp:posOffset>-40640</wp:posOffset>
            </wp:positionV>
            <wp:extent cx="770890" cy="2825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0890" cy="282575"/>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Aids in the Board’s role in overseeing the risks facing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205105</wp:posOffset>
            </wp:positionV>
            <wp:extent cx="351218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512185" cy="8255"/>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Arial" w:cs="Arial" w:eastAsia="Arial" w:hAnsi="Arial"/>
          <w:sz w:val="13"/>
          <w:szCs w:val="13"/>
          <w:b w:val="1"/>
          <w:bCs w:val="1"/>
          <w:color w:val="105EAB"/>
        </w:rPr>
        <w:t>Accounting and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2729230</wp:posOffset>
            </wp:positionH>
            <wp:positionV relativeFrom="paragraph">
              <wp:posOffset>-83820</wp:posOffset>
            </wp:positionV>
            <wp:extent cx="770890" cy="2825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70890" cy="282575"/>
                    </a:xfrm>
                    <a:prstGeom prst="rect">
                      <a:avLst/>
                    </a:prstGeom>
                    <a:noFill/>
                  </pic:spPr>
                </pic:pic>
              </a:graphicData>
            </a:graphic>
          </wp:anchor>
        </w:drawing>
      </w:r>
    </w:p>
    <w:p>
      <w:pPr>
        <w:ind w:right="1420"/>
        <w:spacing w:after="0" w:line="258" w:lineRule="auto"/>
        <w:rPr>
          <w:sz w:val="20"/>
          <w:szCs w:val="20"/>
          <w:color w:val="auto"/>
        </w:rPr>
      </w:pPr>
      <w:r>
        <w:rPr>
          <w:rFonts w:ascii="Arial" w:cs="Arial" w:eastAsia="Arial" w:hAnsi="Arial"/>
          <w:sz w:val="13"/>
          <w:szCs w:val="13"/>
          <w:color w:val="auto"/>
        </w:rPr>
        <w:t>Financial reporting, audit knowledge, and experience in capital markets are elements of Allstate’s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351218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51218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b w:val="1"/>
          <w:bCs w:val="1"/>
          <w:color w:val="105EAB"/>
        </w:rPr>
        <w:t>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2729230</wp:posOffset>
            </wp:positionH>
            <wp:positionV relativeFrom="paragraph">
              <wp:posOffset>-83820</wp:posOffset>
            </wp:positionV>
            <wp:extent cx="779780" cy="2825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9780" cy="282575"/>
                    </a:xfrm>
                    <a:prstGeom prst="rect">
                      <a:avLst/>
                    </a:prstGeom>
                    <a:noFill/>
                  </pic:spPr>
                </pic:pic>
              </a:graphicData>
            </a:graphic>
          </wp:anchor>
        </w:drawing>
      </w:r>
    </w:p>
    <w:p>
      <w:pPr>
        <w:ind w:right="1680"/>
        <w:spacing w:after="0" w:line="258" w:lineRule="auto"/>
        <w:rPr>
          <w:sz w:val="20"/>
          <w:szCs w:val="20"/>
          <w:color w:val="auto"/>
        </w:rPr>
      </w:pPr>
      <w:r>
        <w:rPr>
          <w:rFonts w:ascii="Arial" w:cs="Arial" w:eastAsia="Arial" w:hAnsi="Arial"/>
          <w:sz w:val="13"/>
          <w:szCs w:val="13"/>
          <w:color w:val="auto"/>
        </w:rPr>
        <w:t>Relevant to how Allstate approaches improving its internal operations and the customer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351218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51218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b w:val="1"/>
          <w:bCs w:val="1"/>
          <w:color w:val="105EAB"/>
        </w:rPr>
        <w:t>Global Perspective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2729230</wp:posOffset>
            </wp:positionH>
            <wp:positionV relativeFrom="paragraph">
              <wp:posOffset>-83820</wp:posOffset>
            </wp:positionV>
            <wp:extent cx="779780" cy="2825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79780" cy="282575"/>
                    </a:xfrm>
                    <a:prstGeom prst="rect">
                      <a:avLst/>
                    </a:prstGeom>
                    <a:noFill/>
                  </pic:spPr>
                </pic:pic>
              </a:graphicData>
            </a:graphic>
          </wp:anchor>
        </w:drawing>
      </w:r>
    </w:p>
    <w:p>
      <w:pPr>
        <w:ind w:right="1180"/>
        <w:spacing w:after="0" w:line="258" w:lineRule="auto"/>
        <w:rPr>
          <w:sz w:val="20"/>
          <w:szCs w:val="20"/>
          <w:color w:val="auto"/>
        </w:rPr>
      </w:pPr>
      <w:r>
        <w:rPr>
          <w:rFonts w:ascii="Arial" w:cs="Arial" w:eastAsia="Arial" w:hAnsi="Arial"/>
          <w:sz w:val="13"/>
          <w:szCs w:val="13"/>
          <w:color w:val="auto"/>
        </w:rPr>
        <w:t>Provides valuable insights on how Allstate should continue to grow and manage its businesses outside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351218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51218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spacing w:after="0"/>
        <w:rPr>
          <w:sz w:val="20"/>
          <w:szCs w:val="20"/>
          <w:color w:val="auto"/>
        </w:rPr>
      </w:pPr>
      <w:r>
        <w:rPr>
          <w:rFonts w:ascii="Arial" w:cs="Arial" w:eastAsia="Arial" w:hAnsi="Arial"/>
          <w:sz w:val="13"/>
          <w:szCs w:val="13"/>
          <w:b w:val="1"/>
          <w:bCs w:val="1"/>
          <w:color w:val="105EAB"/>
        </w:rPr>
        <w:t>Complex, Highly Regulated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2729865</wp:posOffset>
            </wp:positionH>
            <wp:positionV relativeFrom="paragraph">
              <wp:posOffset>-83820</wp:posOffset>
            </wp:positionV>
            <wp:extent cx="770890" cy="2825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70890" cy="282575"/>
                    </a:xfrm>
                    <a:prstGeom prst="rect">
                      <a:avLst/>
                    </a:prstGeom>
                    <a:noFill/>
                  </pic:spPr>
                </pic:pic>
              </a:graphicData>
            </a:graphic>
          </wp:anchor>
        </w:drawing>
      </w:r>
    </w:p>
    <w:p>
      <w:pPr>
        <w:ind w:right="1980"/>
        <w:spacing w:after="0" w:line="258" w:lineRule="auto"/>
        <w:rPr>
          <w:sz w:val="20"/>
          <w:szCs w:val="20"/>
          <w:color w:val="auto"/>
        </w:rPr>
      </w:pPr>
      <w:r>
        <w:rPr>
          <w:rFonts w:ascii="Arial" w:cs="Arial" w:eastAsia="Arial" w:hAnsi="Arial"/>
          <w:sz w:val="13"/>
          <w:szCs w:val="13"/>
          <w:color w:val="auto"/>
        </w:rPr>
        <w:t>Our business is highly regulated and is directly impacted by government 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1905</wp:posOffset>
            </wp:positionV>
            <wp:extent cx="351218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51218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b w:val="1"/>
          <w:bCs w:val="1"/>
          <w:color w:val="105EAB"/>
        </w:rPr>
        <w:t>Operational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2729865</wp:posOffset>
            </wp:positionH>
            <wp:positionV relativeFrom="paragraph">
              <wp:posOffset>-32385</wp:posOffset>
            </wp:positionV>
            <wp:extent cx="779780" cy="2743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79780" cy="274320"/>
                    </a:xfrm>
                    <a:prstGeom prst="rect">
                      <a:avLst/>
                    </a:prstGeom>
                    <a:noFill/>
                  </pic:spPr>
                </pic:pic>
              </a:graphicData>
            </a:graphic>
          </wp:anchor>
        </w:drawing>
      </w:r>
    </w:p>
    <w:p>
      <w:pPr>
        <w:ind w:right="1440"/>
        <w:spacing w:after="0" w:line="248" w:lineRule="auto"/>
        <w:rPr>
          <w:sz w:val="20"/>
          <w:szCs w:val="20"/>
          <w:color w:val="auto"/>
        </w:rPr>
      </w:pPr>
      <w:r>
        <w:rPr>
          <w:rFonts w:ascii="Arial" w:cs="Arial" w:eastAsia="Arial" w:hAnsi="Arial"/>
          <w:sz w:val="13"/>
          <w:szCs w:val="13"/>
          <w:color w:val="auto"/>
        </w:rPr>
        <w:t>Provides effective oversight of our enterprise risk and return management (“ERRM”) program, which is important to customer and stockholder protection.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351218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512185" cy="825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b w:val="1"/>
          <w:bCs w:val="1"/>
          <w:color w:val="105EAB"/>
        </w:rPr>
        <w:t>Succession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2729865</wp:posOffset>
            </wp:positionH>
            <wp:positionV relativeFrom="paragraph">
              <wp:posOffset>-83820</wp:posOffset>
            </wp:positionV>
            <wp:extent cx="770890" cy="2825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70890" cy="282575"/>
                    </a:xfrm>
                    <a:prstGeom prst="rect">
                      <a:avLst/>
                    </a:prstGeom>
                    <a:noFill/>
                  </pic:spPr>
                </pic:pic>
              </a:graphicData>
            </a:graphic>
          </wp:anchor>
        </w:drawing>
      </w:r>
    </w:p>
    <w:p>
      <w:pPr>
        <w:ind w:right="1600"/>
        <w:spacing w:after="0" w:line="258" w:lineRule="auto"/>
        <w:rPr>
          <w:sz w:val="20"/>
          <w:szCs w:val="20"/>
          <w:color w:val="auto"/>
        </w:rPr>
      </w:pPr>
      <w:r>
        <w:rPr>
          <w:rFonts w:ascii="Arial" w:cs="Arial" w:eastAsia="Arial" w:hAnsi="Arial"/>
          <w:sz w:val="13"/>
          <w:szCs w:val="13"/>
          <w:color w:val="auto"/>
        </w:rPr>
        <w:t>Important for ensuring Allstate has sufficient talent available for all senior management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1905</wp:posOffset>
            </wp:positionV>
            <wp:extent cx="351218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51218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b w:val="1"/>
          <w:bCs w:val="1"/>
          <w:color w:val="105EAB"/>
        </w:rPr>
        <w:t>Innovation and Customer Focus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2729865</wp:posOffset>
            </wp:positionH>
            <wp:positionV relativeFrom="paragraph">
              <wp:posOffset>-83820</wp:posOffset>
            </wp:positionV>
            <wp:extent cx="770890" cy="2825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70890" cy="282575"/>
                    </a:xfrm>
                    <a:prstGeom prst="rect">
                      <a:avLst/>
                    </a:prstGeom>
                    <a:noFill/>
                  </pic:spPr>
                </pic:pic>
              </a:graphicData>
            </a:graphic>
          </wp:anchor>
        </w:drawing>
      </w:r>
    </w:p>
    <w:p>
      <w:pPr>
        <w:ind w:right="1620"/>
        <w:spacing w:after="0" w:line="258" w:lineRule="auto"/>
        <w:rPr>
          <w:sz w:val="20"/>
          <w:szCs w:val="20"/>
          <w:color w:val="auto"/>
        </w:rPr>
      </w:pPr>
      <w:r>
        <w:rPr>
          <w:rFonts w:ascii="Arial" w:cs="Arial" w:eastAsia="Arial" w:hAnsi="Arial"/>
          <w:sz w:val="13"/>
          <w:szCs w:val="13"/>
          <w:color w:val="auto"/>
        </w:rPr>
        <w:t>Helps Allstate grow its brand, enhance its reputation, generate disruptive innovation, and extend or create new business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1905</wp:posOffset>
            </wp:positionV>
            <wp:extent cx="351218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51218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b w:val="1"/>
          <w:bCs w:val="1"/>
          <w:color w:val="105EAB"/>
        </w:rPr>
        <w:t>Government, Public Policy and Regulatory Affairs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2729865</wp:posOffset>
            </wp:positionH>
            <wp:positionV relativeFrom="paragraph">
              <wp:posOffset>-83820</wp:posOffset>
            </wp:positionV>
            <wp:extent cx="770890" cy="2743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0890" cy="274320"/>
                    </a:xfrm>
                    <a:prstGeom prst="rect">
                      <a:avLst/>
                    </a:prstGeom>
                    <a:noFill/>
                  </pic:spPr>
                </pic:pic>
              </a:graphicData>
            </a:graphic>
          </wp:anchor>
        </w:drawing>
      </w:r>
    </w:p>
    <w:p>
      <w:pPr>
        <w:ind w:right="1540"/>
        <w:spacing w:after="0" w:line="258" w:lineRule="auto"/>
        <w:rPr>
          <w:sz w:val="20"/>
          <w:szCs w:val="20"/>
          <w:color w:val="auto"/>
        </w:rPr>
      </w:pPr>
      <w:r>
        <w:rPr>
          <w:rFonts w:ascii="Arial" w:cs="Arial" w:eastAsia="Arial" w:hAnsi="Arial"/>
          <w:sz w:val="13"/>
          <w:szCs w:val="13"/>
          <w:color w:val="auto"/>
        </w:rPr>
        <w:t>Assists in identifying and understanding compliance issues and the effect of governmental actions on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1905</wp:posOffset>
            </wp:positionV>
            <wp:extent cx="351218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51218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60" w:space="720"/>
            <w:col w:w="5540"/>
          </w:cols>
          <w:pgMar w:left="240" w:top="121" w:right="239" w:bottom="1440" w:gutter="0" w:footer="0" w:header="0"/>
          <w:type w:val="continuous"/>
        </w:sectPr>
      </w:pPr>
    </w:p>
    <w:p>
      <w:pPr>
        <w:spacing w:after="0" w:line="32"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3"/>
          <w:szCs w:val="13"/>
          <w:b w:val="1"/>
          <w:bCs w:val="1"/>
          <w:color w:val="105EAB"/>
        </w:rPr>
      </w:pPr>
      <w:r>
        <w:rPr>
          <w:rFonts w:ascii="Arial" w:cs="Arial" w:eastAsia="Arial" w:hAnsi="Arial"/>
          <w:sz w:val="13"/>
          <w:szCs w:val="13"/>
          <w:color w:val="105EAB"/>
        </w:rPr>
        <w:t>www.allstateproxy.com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134620</wp:posOffset>
            </wp:positionV>
            <wp:extent cx="7268210" cy="209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31"/>
          <w:szCs w:val="31"/>
          <w:b w:val="1"/>
          <w:bCs w:val="1"/>
          <w:color w:val="959595"/>
        </w:rPr>
        <w:t>Director Nominees</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b w:val="1"/>
          <w:bCs w:val="1"/>
          <w:color w:val="105EAB"/>
        </w:rPr>
        <w:t>Kermit R.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2917190</wp:posOffset>
            </wp:positionH>
            <wp:positionV relativeFrom="paragraph">
              <wp:posOffset>-130810</wp:posOffset>
            </wp:positionV>
            <wp:extent cx="608330" cy="5994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8330" cy="59944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39B6E9"/>
        </w:rPr>
        <w:t>Independent</w:t>
      </w:r>
    </w:p>
    <w:p>
      <w:pPr>
        <w:spacing w:after="0"/>
        <w:rPr>
          <w:sz w:val="20"/>
          <w:szCs w:val="20"/>
          <w:color w:val="auto"/>
        </w:rPr>
      </w:pPr>
      <w:r>
        <w:rPr>
          <w:rFonts w:ascii="Arial" w:cs="Arial" w:eastAsia="Arial" w:hAnsi="Arial"/>
          <w:sz w:val="13"/>
          <w:szCs w:val="13"/>
          <w:b w:val="1"/>
          <w:bCs w:val="1"/>
          <w:color w:val="auto"/>
        </w:rPr>
        <w:t xml:space="preserve">Age </w:t>
      </w:r>
      <w:r>
        <w:rPr>
          <w:rFonts w:ascii="Arial" w:cs="Arial" w:eastAsia="Arial" w:hAnsi="Arial"/>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284416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844165" cy="8255"/>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105EAB"/>
        </w:rPr>
        <w:t>Professional Experience</w:t>
      </w:r>
    </w:p>
    <w:p>
      <w:pPr>
        <w:spacing w:after="0" w:line="14" w:lineRule="exact"/>
        <w:rPr>
          <w:sz w:val="20"/>
          <w:szCs w:val="20"/>
          <w:color w:val="auto"/>
        </w:rPr>
      </w:pPr>
    </w:p>
    <w:p>
      <w:pPr>
        <w:ind w:left="280" w:right="80" w:hanging="272"/>
        <w:spacing w:after="0" w:line="258" w:lineRule="auto"/>
        <w:tabs>
          <w:tab w:leader="none" w:pos="269" w:val="left"/>
        </w:tabs>
        <w:numPr>
          <w:ilvl w:val="0"/>
          <w:numId w:val="53"/>
        </w:numPr>
        <w:rPr>
          <w:rFonts w:ascii="Arial" w:cs="Arial" w:eastAsia="Arial" w:hAnsi="Arial"/>
          <w:sz w:val="13"/>
          <w:szCs w:val="13"/>
          <w:color w:val="105EAB"/>
        </w:rPr>
      </w:pPr>
      <w:r>
        <w:rPr>
          <w:rFonts w:ascii="Arial" w:cs="Arial" w:eastAsia="Arial" w:hAnsi="Arial"/>
          <w:sz w:val="13"/>
          <w:szCs w:val="13"/>
          <w:color w:val="auto"/>
        </w:rPr>
        <w:t>Former President and Chief Operating Officer of Rite Aid Corporation, which operates one of the leading retail drugstore chains in the United States.</w:t>
      </w:r>
    </w:p>
    <w:p>
      <w:pPr>
        <w:spacing w:after="0" w:line="42" w:lineRule="exact"/>
        <w:rPr>
          <w:rFonts w:ascii="Arial" w:cs="Arial" w:eastAsia="Arial" w:hAnsi="Arial"/>
          <w:sz w:val="13"/>
          <w:szCs w:val="13"/>
          <w:color w:val="105EAB"/>
        </w:rPr>
      </w:pPr>
    </w:p>
    <w:p>
      <w:pPr>
        <w:ind w:left="280" w:right="20" w:hanging="272"/>
        <w:spacing w:after="0" w:line="258" w:lineRule="auto"/>
        <w:tabs>
          <w:tab w:leader="none" w:pos="269" w:val="left"/>
        </w:tabs>
        <w:numPr>
          <w:ilvl w:val="0"/>
          <w:numId w:val="53"/>
        </w:numPr>
        <w:rPr>
          <w:rFonts w:ascii="Arial" w:cs="Arial" w:eastAsia="Arial" w:hAnsi="Arial"/>
          <w:sz w:val="13"/>
          <w:szCs w:val="13"/>
          <w:color w:val="105EAB"/>
        </w:rPr>
      </w:pPr>
      <w:r>
        <w:rPr>
          <w:rFonts w:ascii="Arial" w:cs="Arial" w:eastAsia="Arial" w:hAnsi="Arial"/>
          <w:sz w:val="13"/>
          <w:szCs w:val="13"/>
          <w:color w:val="auto"/>
        </w:rPr>
        <w:t>Former Executive Vice President and President, Pharmacy, Health and Wellness for Walgreen Co., which operates one of the largest drugstore chains in the United States.</w:t>
      </w:r>
    </w:p>
    <w:p>
      <w:pPr>
        <w:spacing w:after="0" w:line="56" w:lineRule="exact"/>
        <w:rPr>
          <w:rFonts w:ascii="Arial" w:cs="Arial" w:eastAsia="Arial" w:hAnsi="Arial"/>
          <w:sz w:val="13"/>
          <w:szCs w:val="13"/>
          <w:color w:val="105EAB"/>
        </w:rPr>
      </w:pPr>
    </w:p>
    <w:p>
      <w:pPr>
        <w:ind w:left="260" w:hanging="252"/>
        <w:spacing w:after="0"/>
        <w:tabs>
          <w:tab w:leader="none" w:pos="260" w:val="left"/>
        </w:tabs>
        <w:numPr>
          <w:ilvl w:val="0"/>
          <w:numId w:val="53"/>
        </w:numPr>
        <w:rPr>
          <w:rFonts w:ascii="Arial" w:cs="Arial" w:eastAsia="Arial" w:hAnsi="Arial"/>
          <w:sz w:val="13"/>
          <w:szCs w:val="13"/>
          <w:color w:val="105EAB"/>
        </w:rPr>
      </w:pPr>
      <w:r>
        <w:rPr>
          <w:rFonts w:ascii="Arial" w:cs="Arial" w:eastAsia="Arial" w:hAnsi="Arial"/>
          <w:sz w:val="13"/>
          <w:szCs w:val="13"/>
          <w:color w:val="auto"/>
        </w:rPr>
        <w:t>Former Director at LifePoint Health.</w:t>
      </w:r>
    </w:p>
    <w:p>
      <w:pPr>
        <w:spacing w:after="0" w:line="199" w:lineRule="exact"/>
        <w:rPr>
          <w:sz w:val="20"/>
          <w:szCs w:val="20"/>
          <w:color w:val="auto"/>
        </w:rPr>
      </w:pPr>
    </w:p>
    <w:p>
      <w:pPr>
        <w:spacing w:after="0"/>
        <w:rPr>
          <w:sz w:val="20"/>
          <w:szCs w:val="20"/>
          <w:color w:val="auto"/>
        </w:rPr>
      </w:pPr>
      <w:r>
        <w:rPr>
          <w:rFonts w:ascii="Arial" w:cs="Arial" w:eastAsia="Arial" w:hAnsi="Arial"/>
          <w:sz w:val="13"/>
          <w:szCs w:val="13"/>
          <w:b w:val="1"/>
          <w:bCs w:val="1"/>
          <w:color w:val="105EAB"/>
        </w:rPr>
        <w:t>Relevant Skills</w:t>
      </w:r>
    </w:p>
    <w:p>
      <w:pPr>
        <w:spacing w:after="0" w:line="15" w:lineRule="exact"/>
        <w:rPr>
          <w:sz w:val="20"/>
          <w:szCs w:val="20"/>
          <w:color w:val="auto"/>
        </w:rPr>
      </w:pPr>
    </w:p>
    <w:p>
      <w:pPr>
        <w:ind w:left="280" w:hanging="272"/>
        <w:spacing w:after="0" w:line="258" w:lineRule="auto"/>
        <w:tabs>
          <w:tab w:leader="none" w:pos="269" w:val="left"/>
        </w:tabs>
        <w:numPr>
          <w:ilvl w:val="0"/>
          <w:numId w:val="54"/>
        </w:numPr>
        <w:rPr>
          <w:rFonts w:ascii="Arial" w:cs="Arial" w:eastAsia="Arial" w:hAnsi="Arial"/>
          <w:sz w:val="13"/>
          <w:szCs w:val="13"/>
          <w:color w:val="105EAB"/>
        </w:rPr>
      </w:pPr>
      <w:r>
        <w:rPr>
          <w:rFonts w:ascii="Arial" w:cs="Arial" w:eastAsia="Arial" w:hAnsi="Arial"/>
          <w:sz w:val="13"/>
          <w:szCs w:val="13"/>
          <w:color w:val="auto"/>
        </w:rPr>
        <w:t>Expertise assessing the strategies and performance of a geographically distributed and consumer-focused service business in a highly competitive industry.</w:t>
      </w:r>
    </w:p>
    <w:p>
      <w:pPr>
        <w:spacing w:after="0" w:line="42" w:lineRule="exact"/>
        <w:rPr>
          <w:rFonts w:ascii="Arial" w:cs="Arial" w:eastAsia="Arial" w:hAnsi="Arial"/>
          <w:sz w:val="13"/>
          <w:szCs w:val="13"/>
          <w:color w:val="105EAB"/>
        </w:rPr>
      </w:pPr>
    </w:p>
    <w:p>
      <w:pPr>
        <w:ind w:left="280" w:right="460" w:hanging="272"/>
        <w:spacing w:after="0" w:line="258" w:lineRule="auto"/>
        <w:tabs>
          <w:tab w:leader="none" w:pos="269" w:val="left"/>
        </w:tabs>
        <w:numPr>
          <w:ilvl w:val="0"/>
          <w:numId w:val="54"/>
        </w:numPr>
        <w:rPr>
          <w:rFonts w:ascii="Arial" w:cs="Arial" w:eastAsia="Arial" w:hAnsi="Arial"/>
          <w:sz w:val="13"/>
          <w:szCs w:val="13"/>
          <w:color w:val="105EAB"/>
        </w:rPr>
      </w:pPr>
      <w:r>
        <w:rPr>
          <w:rFonts w:ascii="Arial" w:cs="Arial" w:eastAsia="Arial" w:hAnsi="Arial"/>
          <w:sz w:val="13"/>
          <w:szCs w:val="13"/>
          <w:color w:val="auto"/>
        </w:rPr>
        <w:t>Effectively led operational change, including through the use of technology, and established strong platforms for long-term stockholder value creation.</w:t>
      </w:r>
    </w:p>
    <w:p>
      <w:pPr>
        <w:spacing w:after="0" w:line="42" w:lineRule="exact"/>
        <w:rPr>
          <w:rFonts w:ascii="Arial" w:cs="Arial" w:eastAsia="Arial" w:hAnsi="Arial"/>
          <w:sz w:val="13"/>
          <w:szCs w:val="13"/>
          <w:color w:val="105EAB"/>
        </w:rPr>
      </w:pPr>
    </w:p>
    <w:p>
      <w:pPr>
        <w:ind w:left="260" w:hanging="252"/>
        <w:spacing w:after="0"/>
        <w:tabs>
          <w:tab w:leader="none" w:pos="260" w:val="left"/>
        </w:tabs>
        <w:numPr>
          <w:ilvl w:val="0"/>
          <w:numId w:val="54"/>
        </w:numPr>
        <w:rPr>
          <w:rFonts w:ascii="Arial" w:cs="Arial" w:eastAsia="Arial" w:hAnsi="Arial"/>
          <w:sz w:val="13"/>
          <w:szCs w:val="13"/>
          <w:color w:val="105EAB"/>
        </w:rPr>
      </w:pPr>
      <w:r>
        <w:rPr>
          <w:rFonts w:ascii="Arial" w:cs="Arial" w:eastAsia="Arial" w:hAnsi="Arial"/>
          <w:sz w:val="13"/>
          <w:szCs w:val="13"/>
          <w:color w:val="auto"/>
        </w:rPr>
        <w:t>Extensive knowledge of analyzing consumer experience and insights.</w:t>
      </w:r>
    </w:p>
    <w:p>
      <w:pPr>
        <w:spacing w:after="0" w:line="199" w:lineRule="exact"/>
        <w:rPr>
          <w:sz w:val="20"/>
          <w:szCs w:val="20"/>
          <w:color w:val="auto"/>
        </w:rPr>
      </w:pPr>
    </w:p>
    <w:p>
      <w:pPr>
        <w:ind w:right="400"/>
        <w:spacing w:after="0" w:line="284" w:lineRule="auto"/>
        <w:rPr>
          <w:sz w:val="20"/>
          <w:szCs w:val="20"/>
          <w:color w:val="auto"/>
        </w:rPr>
      </w:pPr>
      <w:r>
        <w:rPr>
          <w:rFonts w:ascii="Arial" w:cs="Arial" w:eastAsia="Arial" w:hAnsi="Arial"/>
          <w:sz w:val="13"/>
          <w:szCs w:val="13"/>
          <w:b w:val="1"/>
          <w:bCs w:val="1"/>
          <w:color w:val="39B6E9"/>
        </w:rPr>
        <w:t>Kermit effectively transformed the pharmacy experience from a model focused primarily on drug delivery to a pharmacist-patient centric model.</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b w:val="1"/>
          <w:bCs w:val="1"/>
          <w:color w:val="105EAB"/>
        </w:rPr>
        <w:t>Other Public Board Service</w:t>
      </w:r>
    </w:p>
    <w:p>
      <w:pPr>
        <w:spacing w:after="0" w:line="96" w:lineRule="exact"/>
        <w:rPr>
          <w:sz w:val="20"/>
          <w:szCs w:val="20"/>
          <w:color w:val="auto"/>
        </w:rPr>
      </w:pPr>
    </w:p>
    <w:p>
      <w:pPr>
        <w:ind w:left="260" w:hanging="252"/>
        <w:spacing w:after="0"/>
        <w:tabs>
          <w:tab w:leader="none" w:pos="260" w:val="left"/>
        </w:tabs>
        <w:numPr>
          <w:ilvl w:val="0"/>
          <w:numId w:val="55"/>
        </w:numPr>
        <w:rPr>
          <w:rFonts w:ascii="Arial" w:cs="Arial" w:eastAsia="Arial" w:hAnsi="Arial"/>
          <w:sz w:val="13"/>
          <w:szCs w:val="13"/>
          <w:color w:val="105EAB"/>
        </w:rPr>
      </w:pPr>
      <w:r>
        <w:rPr>
          <w:rFonts w:ascii="Arial" w:cs="Arial" w:eastAsia="Arial" w:hAnsi="Arial"/>
          <w:sz w:val="13"/>
          <w:szCs w:val="13"/>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307975</wp:posOffset>
            </wp:positionV>
            <wp:extent cx="3520440" cy="17214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520440" cy="17214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 xml:space="preserve">Proposal 1 </w:t>
      </w:r>
      <w:r>
        <w:rPr>
          <w:rFonts w:ascii="Arial" w:cs="Arial" w:eastAsia="Arial" w:hAnsi="Arial"/>
          <w:sz w:val="13"/>
          <w:szCs w:val="13"/>
          <w:b w:val="1"/>
          <w:bCs w:val="1"/>
          <w:color w:val="105EAB"/>
        </w:rPr>
        <w:t>| 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105EAB"/>
        </w:rPr>
        <w:t>Michael L. Eskew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wp:posOffset>
            </wp:positionH>
            <wp:positionV relativeFrom="paragraph">
              <wp:posOffset>-156210</wp:posOffset>
            </wp:positionV>
            <wp:extent cx="8255" cy="300672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255" cy="3006725"/>
                    </a:xfrm>
                    <a:prstGeom prst="rect">
                      <a:avLst/>
                    </a:prstGeom>
                    <a:noFill/>
                  </pic:spPr>
                </pic:pic>
              </a:graphicData>
            </a:graphic>
          </wp:anchor>
        </w:drawing>
        <w:drawing>
          <wp:anchor simplePos="0" relativeHeight="251657728" behindDoc="1" locked="0" layoutInCell="0" allowOverlap="1">
            <wp:simplePos x="0" y="0"/>
            <wp:positionH relativeFrom="column">
              <wp:posOffset>2914015</wp:posOffset>
            </wp:positionH>
            <wp:positionV relativeFrom="paragraph">
              <wp:posOffset>-122555</wp:posOffset>
            </wp:positionV>
            <wp:extent cx="591185" cy="5911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91185" cy="59118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39B6E9"/>
        </w:rPr>
        <w:t>Independent</w:t>
      </w:r>
    </w:p>
    <w:p>
      <w:pPr>
        <w:spacing w:after="0"/>
        <w:rPr>
          <w:sz w:val="20"/>
          <w:szCs w:val="20"/>
          <w:color w:val="auto"/>
        </w:rPr>
      </w:pPr>
      <w:r>
        <w:rPr>
          <w:rFonts w:ascii="Arial" w:cs="Arial" w:eastAsia="Arial" w:hAnsi="Arial"/>
          <w:sz w:val="13"/>
          <w:szCs w:val="13"/>
          <w:b w:val="1"/>
          <w:bCs w:val="1"/>
          <w:color w:val="auto"/>
        </w:rPr>
        <w:t xml:space="preserve">Age </w:t>
      </w:r>
      <w:r>
        <w:rPr>
          <w:rFonts w:ascii="Arial" w:cs="Arial" w:eastAsia="Arial" w:hAnsi="Arial"/>
          <w:sz w:val="13"/>
          <w:szCs w:val="13"/>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42545</wp:posOffset>
            </wp:positionV>
            <wp:extent cx="284416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844165" cy="8255"/>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105EAB"/>
        </w:rPr>
        <w:t>Professional Experience</w:t>
      </w:r>
    </w:p>
    <w:p>
      <w:pPr>
        <w:spacing w:after="0" w:line="14" w:lineRule="exact"/>
        <w:rPr>
          <w:sz w:val="20"/>
          <w:szCs w:val="20"/>
          <w:color w:val="auto"/>
        </w:rPr>
      </w:pPr>
    </w:p>
    <w:p>
      <w:pPr>
        <w:ind w:left="280" w:right="440" w:hanging="277"/>
        <w:spacing w:after="0" w:line="258" w:lineRule="auto"/>
        <w:tabs>
          <w:tab w:leader="none" w:pos="270" w:val="left"/>
        </w:tabs>
        <w:numPr>
          <w:ilvl w:val="0"/>
          <w:numId w:val="56"/>
        </w:numPr>
        <w:rPr>
          <w:rFonts w:ascii="Arial" w:cs="Arial" w:eastAsia="Arial" w:hAnsi="Arial"/>
          <w:sz w:val="13"/>
          <w:szCs w:val="13"/>
          <w:color w:val="105EAB"/>
        </w:rPr>
      </w:pPr>
      <w:r>
        <w:rPr>
          <w:rFonts w:ascii="Arial" w:cs="Arial" w:eastAsia="Arial" w:hAnsi="Arial"/>
          <w:sz w:val="13"/>
          <w:szCs w:val="13"/>
          <w:color w:val="auto"/>
        </w:rPr>
        <w:t>Former Chairman and CEO of United Parcel Service, Inc., a provider of specialty transportation and logistics services.</w:t>
      </w:r>
    </w:p>
    <w:p>
      <w:pPr>
        <w:spacing w:after="0" w:line="42" w:lineRule="exact"/>
        <w:rPr>
          <w:rFonts w:ascii="Arial" w:cs="Arial" w:eastAsia="Arial" w:hAnsi="Arial"/>
          <w:sz w:val="13"/>
          <w:szCs w:val="13"/>
          <w:color w:val="105EAB"/>
        </w:rPr>
      </w:pPr>
    </w:p>
    <w:p>
      <w:pPr>
        <w:ind w:left="280" w:right="100" w:hanging="277"/>
        <w:spacing w:after="0" w:line="258" w:lineRule="auto"/>
        <w:tabs>
          <w:tab w:leader="none" w:pos="270" w:val="left"/>
        </w:tabs>
        <w:numPr>
          <w:ilvl w:val="0"/>
          <w:numId w:val="56"/>
        </w:numPr>
        <w:rPr>
          <w:rFonts w:ascii="Arial" w:cs="Arial" w:eastAsia="Arial" w:hAnsi="Arial"/>
          <w:sz w:val="13"/>
          <w:szCs w:val="13"/>
          <w:color w:val="105EAB"/>
        </w:rPr>
      </w:pPr>
      <w:r>
        <w:rPr>
          <w:rFonts w:ascii="Arial" w:cs="Arial" w:eastAsia="Arial" w:hAnsi="Arial"/>
          <w:sz w:val="13"/>
          <w:szCs w:val="13"/>
          <w:color w:val="auto"/>
        </w:rPr>
        <w:t>Presiding director at International Business Machines Corporation since May 2014 and lead director at 3M Company since 2012.</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b w:val="1"/>
          <w:bCs w:val="1"/>
          <w:color w:val="105EAB"/>
        </w:rPr>
        <w:t>Relevant Skills</w:t>
      </w:r>
    </w:p>
    <w:p>
      <w:pPr>
        <w:spacing w:after="0" w:line="15" w:lineRule="exact"/>
        <w:rPr>
          <w:sz w:val="20"/>
          <w:szCs w:val="20"/>
          <w:color w:val="auto"/>
        </w:rPr>
      </w:pPr>
    </w:p>
    <w:p>
      <w:pPr>
        <w:ind w:left="260" w:hanging="257"/>
        <w:spacing w:after="0"/>
        <w:tabs>
          <w:tab w:leader="none" w:pos="260" w:val="left"/>
        </w:tabs>
        <w:numPr>
          <w:ilvl w:val="0"/>
          <w:numId w:val="57"/>
        </w:numPr>
        <w:rPr>
          <w:rFonts w:ascii="Arial" w:cs="Arial" w:eastAsia="Arial" w:hAnsi="Arial"/>
          <w:sz w:val="13"/>
          <w:szCs w:val="13"/>
          <w:color w:val="105EAB"/>
        </w:rPr>
      </w:pPr>
      <w:r>
        <w:rPr>
          <w:rFonts w:ascii="Arial" w:cs="Arial" w:eastAsia="Arial" w:hAnsi="Arial"/>
          <w:sz w:val="13"/>
          <w:szCs w:val="13"/>
          <w:color w:val="auto"/>
        </w:rPr>
        <w:t>Expertise in strategy and leadership development.</w:t>
      </w:r>
    </w:p>
    <w:p>
      <w:pPr>
        <w:spacing w:after="0" w:line="79" w:lineRule="exact"/>
        <w:rPr>
          <w:rFonts w:ascii="Arial" w:cs="Arial" w:eastAsia="Arial" w:hAnsi="Arial"/>
          <w:sz w:val="13"/>
          <w:szCs w:val="13"/>
          <w:color w:val="105EAB"/>
        </w:rPr>
      </w:pPr>
    </w:p>
    <w:p>
      <w:pPr>
        <w:ind w:left="260" w:hanging="257"/>
        <w:spacing w:after="0"/>
        <w:tabs>
          <w:tab w:leader="none" w:pos="260" w:val="left"/>
        </w:tabs>
        <w:numPr>
          <w:ilvl w:val="0"/>
          <w:numId w:val="57"/>
        </w:numPr>
        <w:rPr>
          <w:rFonts w:ascii="Arial" w:cs="Arial" w:eastAsia="Arial" w:hAnsi="Arial"/>
          <w:sz w:val="13"/>
          <w:szCs w:val="13"/>
          <w:color w:val="105EAB"/>
        </w:rPr>
      </w:pPr>
      <w:r>
        <w:rPr>
          <w:rFonts w:ascii="Arial" w:cs="Arial" w:eastAsia="Arial" w:hAnsi="Arial"/>
          <w:sz w:val="13"/>
          <w:szCs w:val="13"/>
          <w:color w:val="auto"/>
        </w:rPr>
        <w:t>Oversight of a highly regulated company as a director of Eli Lilly and Company.</w:t>
      </w:r>
    </w:p>
    <w:p>
      <w:pPr>
        <w:spacing w:after="0" w:line="199" w:lineRule="exact"/>
        <w:rPr>
          <w:sz w:val="20"/>
          <w:szCs w:val="20"/>
          <w:color w:val="auto"/>
        </w:rPr>
      </w:pPr>
    </w:p>
    <w:p>
      <w:pPr>
        <w:ind w:right="140"/>
        <w:spacing w:after="0" w:line="284" w:lineRule="auto"/>
        <w:rPr>
          <w:sz w:val="20"/>
          <w:szCs w:val="20"/>
          <w:color w:val="auto"/>
        </w:rPr>
      </w:pPr>
      <w:r>
        <w:rPr>
          <w:rFonts w:ascii="Arial" w:cs="Arial" w:eastAsia="Arial" w:hAnsi="Arial"/>
          <w:sz w:val="13"/>
          <w:szCs w:val="13"/>
          <w:b w:val="1"/>
          <w:bCs w:val="1"/>
          <w:color w:val="39B6E9"/>
        </w:rPr>
        <w:t>Michael led the redesign of UPS’ operational platforms using digital technologies to more effectively and efficiently deliver a customer-focused worldwide service.</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b w:val="1"/>
          <w:bCs w:val="1"/>
          <w:color w:val="105EAB"/>
        </w:rPr>
        <w:t>Other Public Board Service</w:t>
      </w:r>
    </w:p>
    <w:p>
      <w:pPr>
        <w:spacing w:after="0" w:line="15" w:lineRule="exact"/>
        <w:rPr>
          <w:sz w:val="20"/>
          <w:szCs w:val="20"/>
          <w:color w:val="auto"/>
        </w:rPr>
      </w:pPr>
    </w:p>
    <w:p>
      <w:pPr>
        <w:ind w:left="260" w:hanging="257"/>
        <w:spacing w:after="0"/>
        <w:tabs>
          <w:tab w:leader="none" w:pos="260" w:val="left"/>
        </w:tabs>
        <w:numPr>
          <w:ilvl w:val="0"/>
          <w:numId w:val="58"/>
        </w:numPr>
        <w:rPr>
          <w:rFonts w:ascii="Arial" w:cs="Arial" w:eastAsia="Arial" w:hAnsi="Arial"/>
          <w:sz w:val="13"/>
          <w:szCs w:val="13"/>
          <w:color w:val="105EAB"/>
        </w:rPr>
      </w:pPr>
      <w:r>
        <w:rPr>
          <w:rFonts w:ascii="Arial" w:cs="Arial" w:eastAsia="Arial" w:hAnsi="Arial"/>
          <w:sz w:val="13"/>
          <w:szCs w:val="13"/>
          <w:color w:val="auto"/>
        </w:rPr>
        <w:t>Eli Lilly and Company (2008–present)</w:t>
      </w:r>
    </w:p>
    <w:p>
      <w:pPr>
        <w:spacing w:after="0" w:line="66" w:lineRule="exact"/>
        <w:rPr>
          <w:rFonts w:ascii="Arial" w:cs="Arial" w:eastAsia="Arial" w:hAnsi="Arial"/>
          <w:sz w:val="13"/>
          <w:szCs w:val="13"/>
          <w:color w:val="105EAB"/>
        </w:rPr>
      </w:pPr>
    </w:p>
    <w:p>
      <w:pPr>
        <w:ind w:left="260" w:hanging="257"/>
        <w:spacing w:after="0"/>
        <w:tabs>
          <w:tab w:leader="none" w:pos="260" w:val="left"/>
        </w:tabs>
        <w:numPr>
          <w:ilvl w:val="0"/>
          <w:numId w:val="58"/>
        </w:numPr>
        <w:rPr>
          <w:rFonts w:ascii="Arial" w:cs="Arial" w:eastAsia="Arial" w:hAnsi="Arial"/>
          <w:sz w:val="13"/>
          <w:szCs w:val="13"/>
          <w:color w:val="105EAB"/>
        </w:rPr>
      </w:pPr>
      <w:r>
        <w:rPr>
          <w:rFonts w:ascii="Arial" w:cs="Arial" w:eastAsia="Arial" w:hAnsi="Arial"/>
          <w:sz w:val="13"/>
          <w:szCs w:val="13"/>
          <w:color w:val="auto"/>
        </w:rPr>
        <w:t>IBM (2005–present)</w:t>
      </w:r>
    </w:p>
    <w:p>
      <w:pPr>
        <w:spacing w:after="0" w:line="66" w:lineRule="exact"/>
        <w:rPr>
          <w:rFonts w:ascii="Arial" w:cs="Arial" w:eastAsia="Arial" w:hAnsi="Arial"/>
          <w:sz w:val="13"/>
          <w:szCs w:val="13"/>
          <w:color w:val="105EAB"/>
        </w:rPr>
      </w:pPr>
    </w:p>
    <w:p>
      <w:pPr>
        <w:ind w:left="260" w:hanging="257"/>
        <w:spacing w:after="0"/>
        <w:tabs>
          <w:tab w:leader="none" w:pos="260" w:val="left"/>
        </w:tabs>
        <w:numPr>
          <w:ilvl w:val="0"/>
          <w:numId w:val="58"/>
        </w:numPr>
        <w:rPr>
          <w:rFonts w:ascii="Arial" w:cs="Arial" w:eastAsia="Arial" w:hAnsi="Arial"/>
          <w:sz w:val="13"/>
          <w:szCs w:val="13"/>
          <w:color w:val="105EAB"/>
        </w:rPr>
      </w:pPr>
      <w:r>
        <w:rPr>
          <w:rFonts w:ascii="Arial" w:cs="Arial" w:eastAsia="Arial" w:hAnsi="Arial"/>
          <w:sz w:val="13"/>
          <w:szCs w:val="13"/>
          <w:color w:val="auto"/>
        </w:rPr>
        <w:t>3M Company (2003–present)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548005</wp:posOffset>
            </wp:positionV>
            <wp:extent cx="3503295" cy="17214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503295" cy="1721485"/>
                    </a:xfrm>
                    <a:prstGeom prst="rect">
                      <a:avLst/>
                    </a:prstGeom>
                    <a:noFill/>
                  </pic:spPr>
                </pic:pic>
              </a:graphicData>
            </a:graphic>
          </wp:anchor>
        </w:drawing>
      </w:r>
    </w:p>
    <w:p>
      <w:pPr>
        <w:spacing w:after="0" w:line="577" w:lineRule="exact"/>
        <w:rPr>
          <w:sz w:val="20"/>
          <w:szCs w:val="20"/>
          <w:color w:val="auto"/>
        </w:rPr>
      </w:pPr>
    </w:p>
    <w:p>
      <w:pPr>
        <w:sectPr>
          <w:pgSz w:w="11900" w:h="16838" w:orient="portrait"/>
          <w:cols w:equalWidth="0" w:num="2">
            <w:col w:w="5460" w:space="440"/>
            <w:col w:w="5520"/>
          </w:cols>
          <w:pgMar w:left="240" w:top="121" w:right="239" w:bottom="1440" w:gutter="0" w:footer="0" w:header="0"/>
        </w:sectPr>
      </w:pP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105EAB"/>
        </w:rPr>
        <w:t>Allstate Board Service</w:t>
      </w:r>
    </w:p>
    <w:p>
      <w:pPr>
        <w:spacing w:after="0" w:line="26"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 xml:space="preserve">Director since 2013 </w:t>
      </w:r>
      <w:r>
        <w:rPr>
          <w:rFonts w:ascii="Arial" w:cs="Arial" w:eastAsia="Arial" w:hAnsi="Arial"/>
          <w:sz w:val="13"/>
          <w:szCs w:val="13"/>
          <w:color w:val="auto"/>
        </w:rPr>
        <w:t>(6 years of tenure)</w:t>
      </w:r>
    </w:p>
    <w:p>
      <w:pPr>
        <w:spacing w:after="0" w:line="200"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105EAB"/>
        </w:rPr>
        <w:t>Committee Assignments and Rationale</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3"/>
          <w:szCs w:val="13"/>
          <w:color w:val="105EAB"/>
        </w:rPr>
        <w:t xml:space="preserve">Audit Committee </w:t>
      </w:r>
      <w:r>
        <w:rPr>
          <w:rFonts w:ascii="Arial" w:cs="Arial" w:eastAsia="Arial" w:hAnsi="Arial"/>
          <w:sz w:val="13"/>
          <w:szCs w:val="13"/>
          <w:b w:val="1"/>
          <w:bCs w:val="1"/>
          <w:color w:val="105EAB"/>
        </w:rPr>
        <w:t>(Chair)</w:t>
      </w:r>
    </w:p>
    <w:p>
      <w:pPr>
        <w:jc w:val="both"/>
        <w:ind w:left="380" w:right="591" w:hanging="264"/>
        <w:spacing w:after="0" w:line="258" w:lineRule="auto"/>
        <w:tabs>
          <w:tab w:leader="none" w:pos="369" w:val="left"/>
        </w:tabs>
        <w:numPr>
          <w:ilvl w:val="0"/>
          <w:numId w:val="59"/>
        </w:numPr>
        <w:rPr>
          <w:rFonts w:ascii="Arial" w:cs="Arial" w:eastAsia="Arial" w:hAnsi="Arial"/>
          <w:sz w:val="13"/>
          <w:szCs w:val="13"/>
          <w:color w:val="105EAB"/>
        </w:rPr>
      </w:pPr>
      <w:r>
        <w:rPr>
          <w:rFonts w:ascii="Arial" w:cs="Arial" w:eastAsia="Arial" w:hAnsi="Arial"/>
          <w:sz w:val="13"/>
          <w:szCs w:val="13"/>
          <w:color w:val="auto"/>
        </w:rPr>
        <w:t>Responsibility for all aspects of strategic, operational, and profit and loss management of one of the largest drugstore chains in the United States.</w:t>
      </w:r>
    </w:p>
    <w:p>
      <w:pPr>
        <w:spacing w:after="0" w:line="42" w:lineRule="exact"/>
        <w:rPr>
          <w:rFonts w:ascii="Arial" w:cs="Arial" w:eastAsia="Arial" w:hAnsi="Arial"/>
          <w:sz w:val="13"/>
          <w:szCs w:val="13"/>
          <w:color w:val="105EAB"/>
        </w:rPr>
      </w:pPr>
    </w:p>
    <w:p>
      <w:pPr>
        <w:ind w:left="380" w:hanging="264"/>
        <w:spacing w:after="0"/>
        <w:tabs>
          <w:tab w:leader="none" w:pos="380" w:val="left"/>
        </w:tabs>
        <w:numPr>
          <w:ilvl w:val="0"/>
          <w:numId w:val="59"/>
        </w:numPr>
        <w:rPr>
          <w:rFonts w:ascii="Arial" w:cs="Arial" w:eastAsia="Arial" w:hAnsi="Arial"/>
          <w:sz w:val="13"/>
          <w:szCs w:val="13"/>
          <w:color w:val="105EAB"/>
        </w:rPr>
      </w:pPr>
      <w:r>
        <w:rPr>
          <w:rFonts w:ascii="Arial" w:cs="Arial" w:eastAsia="Arial" w:hAnsi="Arial"/>
          <w:sz w:val="13"/>
          <w:szCs w:val="13"/>
          <w:color w:val="auto"/>
        </w:rPr>
        <w:t>Board leadership and tenure.</w:t>
      </w:r>
    </w:p>
    <w:p>
      <w:pPr>
        <w:spacing w:after="0" w:line="79" w:lineRule="exact"/>
        <w:rPr>
          <w:rFonts w:ascii="Arial" w:cs="Arial" w:eastAsia="Arial" w:hAnsi="Arial"/>
          <w:sz w:val="13"/>
          <w:szCs w:val="13"/>
          <w:color w:val="105EAB"/>
        </w:rPr>
      </w:pPr>
    </w:p>
    <w:p>
      <w:pPr>
        <w:ind w:left="380" w:hanging="264"/>
        <w:spacing w:after="0"/>
        <w:tabs>
          <w:tab w:leader="none" w:pos="380" w:val="left"/>
        </w:tabs>
        <w:numPr>
          <w:ilvl w:val="0"/>
          <w:numId w:val="59"/>
        </w:numPr>
        <w:rPr>
          <w:rFonts w:ascii="Arial" w:cs="Arial" w:eastAsia="Arial" w:hAnsi="Arial"/>
          <w:sz w:val="13"/>
          <w:szCs w:val="13"/>
          <w:color w:val="105EAB"/>
        </w:rPr>
      </w:pPr>
      <w:r>
        <w:rPr>
          <w:rFonts w:ascii="Arial" w:cs="Arial" w:eastAsia="Arial" w:hAnsi="Arial"/>
          <w:sz w:val="13"/>
          <w:szCs w:val="13"/>
          <w:color w:val="auto"/>
        </w:rPr>
        <w:t>Former member of the audit and compliance committee at LifePoint Health.</w:t>
      </w:r>
    </w:p>
    <w:p>
      <w:pPr>
        <w:spacing w:after="0" w:line="214" w:lineRule="exact"/>
        <w:rPr>
          <w:sz w:val="20"/>
          <w:szCs w:val="20"/>
          <w:color w:val="auto"/>
        </w:rPr>
      </w:pPr>
    </w:p>
    <w:p>
      <w:pPr>
        <w:ind w:left="120"/>
        <w:spacing w:after="0"/>
        <w:rPr>
          <w:sz w:val="20"/>
          <w:szCs w:val="20"/>
          <w:color w:val="auto"/>
        </w:rPr>
      </w:pPr>
      <w:r>
        <w:rPr>
          <w:rFonts w:ascii="Arial" w:cs="Arial" w:eastAsia="Arial" w:hAnsi="Arial"/>
          <w:sz w:val="13"/>
          <w:szCs w:val="13"/>
          <w:color w:val="105EAB"/>
        </w:rPr>
        <w:t>Risk and Return Committee</w:t>
      </w:r>
    </w:p>
    <w:p>
      <w:pPr>
        <w:ind w:left="380" w:hanging="264"/>
        <w:spacing w:after="0"/>
        <w:tabs>
          <w:tab w:leader="none" w:pos="380" w:val="left"/>
        </w:tabs>
        <w:numPr>
          <w:ilvl w:val="0"/>
          <w:numId w:val="60"/>
        </w:numPr>
        <w:rPr>
          <w:rFonts w:ascii="Arial" w:cs="Arial" w:eastAsia="Arial" w:hAnsi="Arial"/>
          <w:sz w:val="13"/>
          <w:szCs w:val="13"/>
          <w:color w:val="105EAB"/>
        </w:rPr>
      </w:pPr>
      <w:r>
        <w:rPr>
          <w:rFonts w:ascii="Arial" w:cs="Arial" w:eastAsia="Arial" w:hAnsi="Arial"/>
          <w:sz w:val="13"/>
          <w:szCs w:val="13"/>
          <w:color w:val="auto"/>
        </w:rPr>
        <w:t>Operational experience at large, geographically dispersed service organizations.</w:t>
      </w:r>
    </w:p>
    <w:p>
      <w:pPr>
        <w:spacing w:after="0" w:line="66" w:lineRule="exact"/>
        <w:rPr>
          <w:rFonts w:ascii="Arial" w:cs="Arial" w:eastAsia="Arial" w:hAnsi="Arial"/>
          <w:sz w:val="13"/>
          <w:szCs w:val="13"/>
          <w:color w:val="105EAB"/>
        </w:rPr>
      </w:pPr>
    </w:p>
    <w:p>
      <w:pPr>
        <w:ind w:left="380" w:hanging="264"/>
        <w:spacing w:after="0"/>
        <w:tabs>
          <w:tab w:leader="none" w:pos="380" w:val="left"/>
        </w:tabs>
        <w:numPr>
          <w:ilvl w:val="0"/>
          <w:numId w:val="60"/>
        </w:numPr>
        <w:rPr>
          <w:rFonts w:ascii="Arial" w:cs="Arial" w:eastAsia="Arial" w:hAnsi="Arial"/>
          <w:sz w:val="13"/>
          <w:szCs w:val="13"/>
          <w:color w:val="105EAB"/>
        </w:rPr>
      </w:pPr>
      <w:r>
        <w:rPr>
          <w:rFonts w:ascii="Arial" w:cs="Arial" w:eastAsia="Arial" w:hAnsi="Arial"/>
          <w:sz w:val="13"/>
          <w:szCs w:val="13"/>
          <w:color w:val="auto"/>
        </w:rPr>
        <w:t>Chair of Allstate audit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ind w:left="429"/>
        <w:spacing w:after="0"/>
        <w:rPr>
          <w:sz w:val="20"/>
          <w:szCs w:val="20"/>
          <w:color w:val="auto"/>
        </w:rPr>
      </w:pPr>
      <w:r>
        <w:rPr>
          <w:rFonts w:ascii="Arial" w:cs="Arial" w:eastAsia="Arial" w:hAnsi="Arial"/>
          <w:sz w:val="18"/>
          <w:szCs w:val="18"/>
          <w:b w:val="1"/>
          <w:bCs w:val="1"/>
          <w:color w:val="105EAB"/>
        </w:rPr>
        <w:t>Allstate Board Service</w:t>
      </w:r>
    </w:p>
    <w:p>
      <w:pPr>
        <w:spacing w:after="0" w:line="14" w:lineRule="exact"/>
        <w:rPr>
          <w:sz w:val="20"/>
          <w:szCs w:val="20"/>
          <w:color w:val="auto"/>
        </w:rPr>
      </w:pPr>
    </w:p>
    <w:p>
      <w:pPr>
        <w:ind w:left="9"/>
        <w:spacing w:after="0"/>
        <w:rPr>
          <w:sz w:val="20"/>
          <w:szCs w:val="20"/>
          <w:color w:val="auto"/>
        </w:rPr>
      </w:pPr>
      <w:r>
        <w:rPr>
          <w:rFonts w:ascii="Arial" w:cs="Arial" w:eastAsia="Arial" w:hAnsi="Arial"/>
          <w:sz w:val="13"/>
          <w:szCs w:val="13"/>
          <w:b w:val="1"/>
          <w:bCs w:val="1"/>
          <w:color w:val="auto"/>
        </w:rPr>
        <w:t xml:space="preserve">Director since 2014 </w:t>
      </w:r>
      <w:r>
        <w:rPr>
          <w:rFonts w:ascii="Arial" w:cs="Arial" w:eastAsia="Arial" w:hAnsi="Arial"/>
          <w:sz w:val="13"/>
          <w:szCs w:val="13"/>
          <w:color w:val="auto"/>
        </w:rPr>
        <w:t>(5 years of tenure)</w:t>
      </w:r>
    </w:p>
    <w:p>
      <w:pPr>
        <w:spacing w:after="0" w:line="199" w:lineRule="exact"/>
        <w:rPr>
          <w:sz w:val="20"/>
          <w:szCs w:val="20"/>
          <w:color w:val="auto"/>
        </w:rPr>
      </w:pPr>
    </w:p>
    <w:p>
      <w:pPr>
        <w:ind w:left="9"/>
        <w:spacing w:after="0"/>
        <w:rPr>
          <w:sz w:val="20"/>
          <w:szCs w:val="20"/>
          <w:color w:val="auto"/>
        </w:rPr>
      </w:pPr>
      <w:r>
        <w:rPr>
          <w:rFonts w:ascii="Arial" w:cs="Arial" w:eastAsia="Arial" w:hAnsi="Arial"/>
          <w:sz w:val="13"/>
          <w:szCs w:val="13"/>
          <w:b w:val="1"/>
          <w:bCs w:val="1"/>
          <w:color w:val="105EAB"/>
        </w:rPr>
        <w:t>Committee Assignments and Rationale</w:t>
      </w:r>
    </w:p>
    <w:p>
      <w:pPr>
        <w:spacing w:after="0" w:line="14" w:lineRule="exact"/>
        <w:rPr>
          <w:sz w:val="20"/>
          <w:szCs w:val="20"/>
          <w:color w:val="auto"/>
        </w:rPr>
      </w:pPr>
    </w:p>
    <w:p>
      <w:pPr>
        <w:ind w:left="9"/>
        <w:spacing w:after="0"/>
        <w:rPr>
          <w:sz w:val="20"/>
          <w:szCs w:val="20"/>
          <w:color w:val="auto"/>
        </w:rPr>
      </w:pPr>
      <w:r>
        <w:rPr>
          <w:rFonts w:ascii="Arial" w:cs="Arial" w:eastAsia="Arial" w:hAnsi="Arial"/>
          <w:sz w:val="13"/>
          <w:szCs w:val="13"/>
          <w:color w:val="105EAB"/>
        </w:rPr>
        <w:t xml:space="preserve">Compensation and Succession Committee </w:t>
      </w:r>
      <w:r>
        <w:rPr>
          <w:rFonts w:ascii="Arial" w:cs="Arial" w:eastAsia="Arial" w:hAnsi="Arial"/>
          <w:sz w:val="13"/>
          <w:szCs w:val="13"/>
          <w:b w:val="1"/>
          <w:bCs w:val="1"/>
          <w:color w:val="105EAB"/>
        </w:rPr>
        <w:t>(Chair)</w:t>
      </w:r>
    </w:p>
    <w:p>
      <w:pPr>
        <w:ind w:left="269" w:right="420" w:hanging="269"/>
        <w:spacing w:after="0" w:line="258" w:lineRule="auto"/>
        <w:tabs>
          <w:tab w:leader="none" w:pos="259" w:val="left"/>
        </w:tabs>
        <w:numPr>
          <w:ilvl w:val="0"/>
          <w:numId w:val="61"/>
        </w:numPr>
        <w:rPr>
          <w:rFonts w:ascii="Arial" w:cs="Arial" w:eastAsia="Arial" w:hAnsi="Arial"/>
          <w:sz w:val="13"/>
          <w:szCs w:val="13"/>
          <w:color w:val="105EAB"/>
        </w:rPr>
      </w:pPr>
      <w:r>
        <w:rPr>
          <w:rFonts w:ascii="Arial" w:cs="Arial" w:eastAsia="Arial" w:hAnsi="Arial"/>
          <w:sz w:val="13"/>
          <w:szCs w:val="13"/>
          <w:color w:val="auto"/>
        </w:rPr>
        <w:t>Significant management experience as former Chairman and CEO of UPS from 2002 to 2007 and director of other publicly traded companies.</w:t>
      </w:r>
    </w:p>
    <w:p>
      <w:pPr>
        <w:spacing w:after="0" w:line="42" w:lineRule="exact"/>
        <w:rPr>
          <w:rFonts w:ascii="Arial" w:cs="Arial" w:eastAsia="Arial" w:hAnsi="Arial"/>
          <w:sz w:val="13"/>
          <w:szCs w:val="13"/>
          <w:color w:val="105EAB"/>
        </w:rPr>
      </w:pPr>
    </w:p>
    <w:p>
      <w:pPr>
        <w:ind w:left="269" w:right="620" w:hanging="269"/>
        <w:spacing w:after="0" w:line="258" w:lineRule="auto"/>
        <w:tabs>
          <w:tab w:leader="none" w:pos="259" w:val="left"/>
        </w:tabs>
        <w:numPr>
          <w:ilvl w:val="0"/>
          <w:numId w:val="61"/>
        </w:numPr>
        <w:rPr>
          <w:rFonts w:ascii="Arial" w:cs="Arial" w:eastAsia="Arial" w:hAnsi="Arial"/>
          <w:sz w:val="13"/>
          <w:szCs w:val="13"/>
          <w:color w:val="105EAB"/>
        </w:rPr>
      </w:pPr>
      <w:r>
        <w:rPr>
          <w:rFonts w:ascii="Arial" w:cs="Arial" w:eastAsia="Arial" w:hAnsi="Arial"/>
          <w:sz w:val="13"/>
          <w:szCs w:val="13"/>
          <w:color w:val="auto"/>
        </w:rPr>
        <w:t>Former chair of the 3M compensation committee and member of the Eli Lilly compensation committee.</w:t>
      </w:r>
    </w:p>
    <w:p>
      <w:pPr>
        <w:spacing w:after="0" w:line="190" w:lineRule="exact"/>
        <w:rPr>
          <w:sz w:val="20"/>
          <w:szCs w:val="20"/>
          <w:color w:val="auto"/>
        </w:rPr>
      </w:pPr>
    </w:p>
    <w:p>
      <w:pPr>
        <w:ind w:left="9"/>
        <w:spacing w:after="0"/>
        <w:rPr>
          <w:sz w:val="20"/>
          <w:szCs w:val="20"/>
          <w:color w:val="auto"/>
        </w:rPr>
      </w:pPr>
      <w:r>
        <w:rPr>
          <w:rFonts w:ascii="Arial" w:cs="Arial" w:eastAsia="Arial" w:hAnsi="Arial"/>
          <w:sz w:val="13"/>
          <w:szCs w:val="13"/>
          <w:color w:val="105EAB"/>
        </w:rPr>
        <w:t>Audit Committee</w:t>
      </w:r>
    </w:p>
    <w:p>
      <w:pPr>
        <w:ind w:left="269" w:right="260" w:hanging="269"/>
        <w:spacing w:after="0" w:line="258" w:lineRule="auto"/>
        <w:tabs>
          <w:tab w:leader="none" w:pos="259" w:val="left"/>
        </w:tabs>
        <w:numPr>
          <w:ilvl w:val="0"/>
          <w:numId w:val="62"/>
        </w:numPr>
        <w:rPr>
          <w:rFonts w:ascii="Arial" w:cs="Arial" w:eastAsia="Arial" w:hAnsi="Arial"/>
          <w:sz w:val="13"/>
          <w:szCs w:val="13"/>
          <w:color w:val="105EAB"/>
        </w:rPr>
      </w:pPr>
      <w:r>
        <w:rPr>
          <w:rFonts w:ascii="Arial" w:cs="Arial" w:eastAsia="Arial" w:hAnsi="Arial"/>
          <w:sz w:val="13"/>
          <w:szCs w:val="13"/>
          <w:color w:val="auto"/>
        </w:rPr>
        <w:t>Chair of the IBM and Eli Lilly audit committees and a past member of the 3M audit committee.</w:t>
      </w:r>
    </w:p>
    <w:p>
      <w:pPr>
        <w:spacing w:after="0" w:line="56" w:lineRule="exact"/>
        <w:rPr>
          <w:rFonts w:ascii="Arial" w:cs="Arial" w:eastAsia="Arial" w:hAnsi="Arial"/>
          <w:sz w:val="13"/>
          <w:szCs w:val="13"/>
          <w:color w:val="105EAB"/>
        </w:rPr>
      </w:pPr>
    </w:p>
    <w:p>
      <w:pPr>
        <w:ind w:left="269" w:hanging="269"/>
        <w:spacing w:after="0"/>
        <w:tabs>
          <w:tab w:leader="none" w:pos="269" w:val="left"/>
        </w:tabs>
        <w:numPr>
          <w:ilvl w:val="0"/>
          <w:numId w:val="62"/>
        </w:numPr>
        <w:rPr>
          <w:rFonts w:ascii="Arial" w:cs="Arial" w:eastAsia="Arial" w:hAnsi="Arial"/>
          <w:sz w:val="13"/>
          <w:szCs w:val="13"/>
          <w:color w:val="105EAB"/>
        </w:rPr>
      </w:pPr>
      <w:r>
        <w:rPr>
          <w:rFonts w:ascii="Arial" w:cs="Arial" w:eastAsia="Arial" w:hAnsi="Arial"/>
          <w:sz w:val="13"/>
          <w:szCs w:val="13"/>
          <w:color w:val="auto"/>
        </w:rPr>
        <w:t>Successful execution of financial oversight responsibilities as CEO of UPS.</w:t>
      </w:r>
    </w:p>
    <w:p>
      <w:pPr>
        <w:spacing w:after="0" w:line="307" w:lineRule="exact"/>
        <w:rPr>
          <w:sz w:val="20"/>
          <w:szCs w:val="20"/>
          <w:color w:val="auto"/>
        </w:rPr>
      </w:pPr>
    </w:p>
    <w:tbl>
      <w:tblPr>
        <w:tblLayout w:type="fixed"/>
        <w:tblInd w:w="3629" w:type="dxa"/>
        <w:tblCellMar>
          <w:top w:w="0" w:type="dxa"/>
          <w:left w:w="0" w:type="dxa"/>
          <w:bottom w:w="0" w:type="dxa"/>
          <w:right w:w="0" w:type="dxa"/>
        </w:tblCellMar>
      </w:tblPr>
      <w:tr>
        <w:trPr>
          <w:trHeight w:val="178"/>
        </w:trPr>
        <w:tc>
          <w:tcPr>
            <w:tcW w:w="1480" w:type="dxa"/>
            <w:vAlign w:val="bottom"/>
          </w:tcPr>
          <w:p>
            <w:pPr>
              <w:spacing w:after="0"/>
              <w:rPr>
                <w:sz w:val="20"/>
                <w:szCs w:val="20"/>
                <w:color w:val="auto"/>
              </w:rPr>
            </w:pPr>
            <w:r>
              <w:rPr>
                <w:rFonts w:ascii="Arial" w:cs="Arial" w:eastAsia="Arial" w:hAnsi="Arial"/>
                <w:sz w:val="13"/>
                <w:szCs w:val="13"/>
                <w:color w:val="105EAB"/>
              </w:rPr>
              <w:t>2019 Proxy Statement</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105EAB"/>
              </w:rPr>
              <w:t>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-3813175</wp:posOffset>
            </wp:positionH>
            <wp:positionV relativeFrom="paragraph">
              <wp:posOffset>127000</wp:posOffset>
            </wp:positionV>
            <wp:extent cx="7268210" cy="209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2">
            <w:col w:w="5291" w:space="720"/>
            <w:col w:w="5409"/>
          </w:cols>
          <w:pgMar w:left="240" w:top="121" w:right="23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b w:val="1"/>
          <w:bCs w:val="1"/>
          <w:color w:val="105EAB"/>
        </w:rPr>
        <w:t xml:space="preserve">Corporate Governance | </w:t>
      </w:r>
      <w:r>
        <w:rPr>
          <w:rFonts w:ascii="Arial" w:cs="Arial" w:eastAsia="Arial" w:hAnsi="Arial"/>
          <w:sz w:val="13"/>
          <w:szCs w:val="13"/>
          <w:b w:val="1"/>
          <w:bCs w:val="1"/>
          <w:color w:val="000000"/>
        </w:rPr>
        <w:t>Proposal 1</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color w:val="105EAB"/>
        </w:rPr>
        <w:t>Margaret M. Keane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2917190</wp:posOffset>
            </wp:positionH>
            <wp:positionV relativeFrom="paragraph">
              <wp:posOffset>-130810</wp:posOffset>
            </wp:positionV>
            <wp:extent cx="599440" cy="5994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99440" cy="59944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39B6E9"/>
        </w:rPr>
        <w:t>Independent</w:t>
      </w:r>
    </w:p>
    <w:p>
      <w:pPr>
        <w:spacing w:after="0"/>
        <w:rPr>
          <w:sz w:val="20"/>
          <w:szCs w:val="20"/>
          <w:color w:val="auto"/>
        </w:rPr>
      </w:pPr>
      <w:r>
        <w:rPr>
          <w:rFonts w:ascii="Arial" w:cs="Arial" w:eastAsia="Arial" w:hAnsi="Arial"/>
          <w:sz w:val="13"/>
          <w:szCs w:val="13"/>
          <w:b w:val="1"/>
          <w:bCs w:val="1"/>
          <w:color w:val="auto"/>
        </w:rPr>
        <w:t xml:space="preserve">Age </w:t>
      </w:r>
      <w:r>
        <w:rPr>
          <w:rFonts w:ascii="Arial" w:cs="Arial" w:eastAsia="Arial" w:hAnsi="Arial"/>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284416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844165" cy="8255"/>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105EAB"/>
        </w:rPr>
        <w:t>Professional Experience</w:t>
      </w:r>
    </w:p>
    <w:p>
      <w:pPr>
        <w:spacing w:after="0" w:line="14" w:lineRule="exact"/>
        <w:rPr>
          <w:sz w:val="20"/>
          <w:szCs w:val="20"/>
          <w:color w:val="auto"/>
        </w:rPr>
      </w:pPr>
    </w:p>
    <w:p>
      <w:pPr>
        <w:ind w:left="280" w:right="180" w:hanging="272"/>
        <w:spacing w:after="0" w:line="258" w:lineRule="auto"/>
        <w:tabs>
          <w:tab w:leader="none" w:pos="269" w:val="left"/>
        </w:tabs>
        <w:numPr>
          <w:ilvl w:val="0"/>
          <w:numId w:val="63"/>
        </w:numPr>
        <w:rPr>
          <w:rFonts w:ascii="Arial" w:cs="Arial" w:eastAsia="Arial" w:hAnsi="Arial"/>
          <w:sz w:val="13"/>
          <w:szCs w:val="13"/>
          <w:color w:val="105EAB"/>
        </w:rPr>
      </w:pPr>
      <w:r>
        <w:rPr>
          <w:rFonts w:ascii="Arial" w:cs="Arial" w:eastAsia="Arial" w:hAnsi="Arial"/>
          <w:sz w:val="13"/>
          <w:szCs w:val="13"/>
          <w:color w:val="auto"/>
        </w:rPr>
        <w:t>Current President and CEO of Synchrony Financial, a consumer financial services company.</w:t>
      </w:r>
    </w:p>
    <w:p>
      <w:pPr>
        <w:spacing w:after="0" w:line="42" w:lineRule="exact"/>
        <w:rPr>
          <w:rFonts w:ascii="Arial" w:cs="Arial" w:eastAsia="Arial" w:hAnsi="Arial"/>
          <w:sz w:val="13"/>
          <w:szCs w:val="13"/>
          <w:color w:val="105EAB"/>
        </w:rPr>
      </w:pPr>
    </w:p>
    <w:p>
      <w:pPr>
        <w:ind w:left="260" w:hanging="252"/>
        <w:spacing w:after="0"/>
        <w:tabs>
          <w:tab w:leader="none" w:pos="260" w:val="left"/>
        </w:tabs>
        <w:numPr>
          <w:ilvl w:val="0"/>
          <w:numId w:val="63"/>
        </w:numPr>
        <w:rPr>
          <w:rFonts w:ascii="Arial" w:cs="Arial" w:eastAsia="Arial" w:hAnsi="Arial"/>
          <w:sz w:val="13"/>
          <w:szCs w:val="13"/>
          <w:color w:val="105EAB"/>
        </w:rPr>
      </w:pPr>
      <w:r>
        <w:rPr>
          <w:rFonts w:ascii="Arial" w:cs="Arial" w:eastAsia="Arial" w:hAnsi="Arial"/>
          <w:sz w:val="13"/>
          <w:szCs w:val="13"/>
          <w:color w:val="auto"/>
        </w:rPr>
        <w:t>Former President and CEO of GE Capital Retail Finance.</w:t>
      </w:r>
    </w:p>
    <w:p>
      <w:pPr>
        <w:spacing w:after="0" w:line="199" w:lineRule="exact"/>
        <w:rPr>
          <w:sz w:val="20"/>
          <w:szCs w:val="20"/>
          <w:color w:val="auto"/>
        </w:rPr>
      </w:pPr>
    </w:p>
    <w:p>
      <w:pPr>
        <w:spacing w:after="0"/>
        <w:rPr>
          <w:sz w:val="20"/>
          <w:szCs w:val="20"/>
          <w:color w:val="auto"/>
        </w:rPr>
      </w:pPr>
      <w:r>
        <w:rPr>
          <w:rFonts w:ascii="Arial" w:cs="Arial" w:eastAsia="Arial" w:hAnsi="Arial"/>
          <w:sz w:val="13"/>
          <w:szCs w:val="13"/>
          <w:b w:val="1"/>
          <w:bCs w:val="1"/>
          <w:color w:val="105EAB"/>
        </w:rPr>
        <w:t>Relevant Skills</w:t>
      </w:r>
    </w:p>
    <w:p>
      <w:pPr>
        <w:spacing w:after="0" w:line="15" w:lineRule="exact"/>
        <w:rPr>
          <w:sz w:val="20"/>
          <w:szCs w:val="20"/>
          <w:color w:val="auto"/>
        </w:rPr>
      </w:pPr>
    </w:p>
    <w:p>
      <w:pPr>
        <w:ind w:left="280" w:right="160" w:hanging="272"/>
        <w:spacing w:after="0" w:line="258" w:lineRule="auto"/>
        <w:tabs>
          <w:tab w:leader="none" w:pos="269" w:val="left"/>
        </w:tabs>
        <w:numPr>
          <w:ilvl w:val="0"/>
          <w:numId w:val="64"/>
        </w:numPr>
        <w:rPr>
          <w:rFonts w:ascii="Arial" w:cs="Arial" w:eastAsia="Arial" w:hAnsi="Arial"/>
          <w:sz w:val="13"/>
          <w:szCs w:val="13"/>
          <w:color w:val="105EAB"/>
        </w:rPr>
      </w:pPr>
      <w:r>
        <w:rPr>
          <w:rFonts w:ascii="Arial" w:cs="Arial" w:eastAsia="Arial" w:hAnsi="Arial"/>
          <w:sz w:val="13"/>
          <w:szCs w:val="13"/>
          <w:color w:val="auto"/>
        </w:rPr>
        <w:t>Extensive operational and strategic experience in the financial services industry as President and CEO of Synchrony Financial.</w:t>
      </w:r>
    </w:p>
    <w:p>
      <w:pPr>
        <w:spacing w:after="0" w:line="56" w:lineRule="exact"/>
        <w:rPr>
          <w:rFonts w:ascii="Arial" w:cs="Arial" w:eastAsia="Arial" w:hAnsi="Arial"/>
          <w:sz w:val="13"/>
          <w:szCs w:val="13"/>
          <w:color w:val="105EAB"/>
        </w:rPr>
      </w:pPr>
    </w:p>
    <w:p>
      <w:pPr>
        <w:ind w:left="280" w:right="600" w:hanging="272"/>
        <w:spacing w:after="0" w:line="258" w:lineRule="auto"/>
        <w:tabs>
          <w:tab w:leader="none" w:pos="269" w:val="left"/>
        </w:tabs>
        <w:numPr>
          <w:ilvl w:val="0"/>
          <w:numId w:val="64"/>
        </w:numPr>
        <w:rPr>
          <w:rFonts w:ascii="Arial" w:cs="Arial" w:eastAsia="Arial" w:hAnsi="Arial"/>
          <w:sz w:val="13"/>
          <w:szCs w:val="13"/>
          <w:color w:val="105EAB"/>
        </w:rPr>
      </w:pPr>
      <w:r>
        <w:rPr>
          <w:rFonts w:ascii="Arial" w:cs="Arial" w:eastAsia="Arial" w:hAnsi="Arial"/>
          <w:sz w:val="13"/>
          <w:szCs w:val="13"/>
          <w:color w:val="auto"/>
        </w:rPr>
        <w:t>Valuable insights into innovation, technology transformation, and employee development.</w:t>
      </w:r>
    </w:p>
    <w:p>
      <w:pPr>
        <w:spacing w:after="0" w:line="42" w:lineRule="exact"/>
        <w:rPr>
          <w:rFonts w:ascii="Arial" w:cs="Arial" w:eastAsia="Arial" w:hAnsi="Arial"/>
          <w:sz w:val="13"/>
          <w:szCs w:val="13"/>
          <w:color w:val="105EAB"/>
        </w:rPr>
      </w:pPr>
    </w:p>
    <w:p>
      <w:pPr>
        <w:ind w:left="280" w:right="120" w:hanging="272"/>
        <w:spacing w:after="0" w:line="258" w:lineRule="auto"/>
        <w:tabs>
          <w:tab w:leader="none" w:pos="269" w:val="left"/>
        </w:tabs>
        <w:numPr>
          <w:ilvl w:val="0"/>
          <w:numId w:val="64"/>
        </w:numPr>
        <w:rPr>
          <w:rFonts w:ascii="Arial" w:cs="Arial" w:eastAsia="Arial" w:hAnsi="Arial"/>
          <w:sz w:val="13"/>
          <w:szCs w:val="13"/>
          <w:color w:val="105EAB"/>
        </w:rPr>
      </w:pPr>
      <w:r>
        <w:rPr>
          <w:rFonts w:ascii="Arial" w:cs="Arial" w:eastAsia="Arial" w:hAnsi="Arial"/>
          <w:sz w:val="13"/>
          <w:szCs w:val="13"/>
          <w:color w:val="auto"/>
        </w:rPr>
        <w:t>Successful leadership experience across roles spanning consumer finance, vendor financial services, operations and quality.</w:t>
      </w:r>
    </w:p>
    <w:p>
      <w:pPr>
        <w:spacing w:after="0" w:line="175" w:lineRule="exact"/>
        <w:rPr>
          <w:sz w:val="20"/>
          <w:szCs w:val="20"/>
          <w:color w:val="auto"/>
        </w:rPr>
      </w:pPr>
    </w:p>
    <w:p>
      <w:pPr>
        <w:spacing w:after="0" w:line="284" w:lineRule="auto"/>
        <w:rPr>
          <w:sz w:val="20"/>
          <w:szCs w:val="20"/>
          <w:color w:val="auto"/>
        </w:rPr>
      </w:pPr>
      <w:r>
        <w:rPr>
          <w:rFonts w:ascii="Arial" w:cs="Arial" w:eastAsia="Arial" w:hAnsi="Arial"/>
          <w:sz w:val="13"/>
          <w:szCs w:val="13"/>
          <w:b w:val="1"/>
          <w:bCs w:val="1"/>
          <w:color w:val="39B6E9"/>
        </w:rPr>
        <w:t>Margaret is leading the strategic, operational, and technology transformation in the rapidly changing consumer payments industry.</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b w:val="1"/>
          <w:bCs w:val="1"/>
          <w:color w:val="105EAB"/>
        </w:rPr>
        <w:t>Other Public Board Service</w:t>
      </w:r>
    </w:p>
    <w:p>
      <w:pPr>
        <w:spacing w:after="0" w:line="82" w:lineRule="exact"/>
        <w:rPr>
          <w:sz w:val="20"/>
          <w:szCs w:val="20"/>
          <w:color w:val="auto"/>
        </w:rPr>
      </w:pPr>
    </w:p>
    <w:p>
      <w:pPr>
        <w:ind w:left="260" w:hanging="252"/>
        <w:spacing w:after="0"/>
        <w:tabs>
          <w:tab w:leader="none" w:pos="260" w:val="left"/>
        </w:tabs>
        <w:numPr>
          <w:ilvl w:val="0"/>
          <w:numId w:val="65"/>
        </w:numPr>
        <w:rPr>
          <w:rFonts w:ascii="Arial" w:cs="Arial" w:eastAsia="Arial" w:hAnsi="Arial"/>
          <w:sz w:val="13"/>
          <w:szCs w:val="13"/>
          <w:color w:val="105EAB"/>
        </w:rPr>
      </w:pPr>
      <w:r>
        <w:rPr>
          <w:rFonts w:ascii="Arial" w:cs="Arial" w:eastAsia="Arial" w:hAnsi="Arial"/>
          <w:sz w:val="13"/>
          <w:szCs w:val="13"/>
          <w:color w:val="auto"/>
        </w:rPr>
        <w:t>Synchrony Financial (2014–present)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307975</wp:posOffset>
            </wp:positionV>
            <wp:extent cx="3512185" cy="1816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512185" cy="18161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22"/>
          <w:szCs w:val="22"/>
          <w:b w:val="1"/>
          <w:bCs w:val="1"/>
          <w:color w:val="105EAB"/>
        </w:rPr>
        <w:t>Siddharth N. (Bobby) Mehta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-156210</wp:posOffset>
            </wp:positionV>
            <wp:extent cx="8255" cy="28613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255" cy="2861310"/>
                    </a:xfrm>
                    <a:prstGeom prst="rect">
                      <a:avLst/>
                    </a:prstGeom>
                    <a:noFill/>
                  </pic:spPr>
                </pic:pic>
              </a:graphicData>
            </a:graphic>
          </wp:anchor>
        </w:drawing>
        <w:drawing>
          <wp:anchor simplePos="0" relativeHeight="251657728" behindDoc="1" locked="0" layoutInCell="0" allowOverlap="1">
            <wp:simplePos x="0" y="0"/>
            <wp:positionH relativeFrom="column">
              <wp:posOffset>2926715</wp:posOffset>
            </wp:positionH>
            <wp:positionV relativeFrom="paragraph">
              <wp:posOffset>-130810</wp:posOffset>
            </wp:positionV>
            <wp:extent cx="591185" cy="5994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91185" cy="59944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39B6E9"/>
        </w:rPr>
        <w:t>Independent</w:t>
      </w:r>
    </w:p>
    <w:p>
      <w:pPr>
        <w:spacing w:after="0"/>
        <w:rPr>
          <w:sz w:val="20"/>
          <w:szCs w:val="20"/>
          <w:color w:val="auto"/>
        </w:rPr>
      </w:pPr>
      <w:r>
        <w:rPr>
          <w:rFonts w:ascii="Arial" w:cs="Arial" w:eastAsia="Arial" w:hAnsi="Arial"/>
          <w:sz w:val="13"/>
          <w:szCs w:val="13"/>
          <w:b w:val="1"/>
          <w:bCs w:val="1"/>
          <w:color w:val="auto"/>
        </w:rPr>
        <w:t xml:space="preserve">Age </w:t>
      </w:r>
      <w:r>
        <w:rPr>
          <w:rFonts w:ascii="Arial" w:cs="Arial" w:eastAsia="Arial" w:hAnsi="Arial"/>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42545</wp:posOffset>
            </wp:positionV>
            <wp:extent cx="28524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852420" cy="8255"/>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105EAB"/>
        </w:rPr>
        <w:t>Professional Experience</w:t>
      </w:r>
    </w:p>
    <w:p>
      <w:pPr>
        <w:spacing w:after="0" w:line="14" w:lineRule="exact"/>
        <w:rPr>
          <w:sz w:val="20"/>
          <w:szCs w:val="20"/>
          <w:color w:val="auto"/>
        </w:rPr>
      </w:pPr>
    </w:p>
    <w:p>
      <w:pPr>
        <w:ind w:left="280" w:hanging="271"/>
        <w:spacing w:after="0" w:line="258" w:lineRule="auto"/>
        <w:tabs>
          <w:tab w:leader="none" w:pos="269" w:val="left"/>
        </w:tabs>
        <w:numPr>
          <w:ilvl w:val="0"/>
          <w:numId w:val="66"/>
        </w:numPr>
        <w:rPr>
          <w:rFonts w:ascii="Arial" w:cs="Arial" w:eastAsia="Arial" w:hAnsi="Arial"/>
          <w:sz w:val="13"/>
          <w:szCs w:val="13"/>
          <w:color w:val="105EAB"/>
        </w:rPr>
      </w:pPr>
      <w:r>
        <w:rPr>
          <w:rFonts w:ascii="Arial" w:cs="Arial" w:eastAsia="Arial" w:hAnsi="Arial"/>
          <w:sz w:val="13"/>
          <w:szCs w:val="13"/>
          <w:color w:val="auto"/>
        </w:rPr>
        <w:t>Former President, CEO, and current director of TransUnion, a global provider of credit information and risk management solutions.</w:t>
      </w:r>
    </w:p>
    <w:p>
      <w:pPr>
        <w:spacing w:after="0" w:line="42" w:lineRule="exact"/>
        <w:rPr>
          <w:rFonts w:ascii="Arial" w:cs="Arial" w:eastAsia="Arial" w:hAnsi="Arial"/>
          <w:sz w:val="13"/>
          <w:szCs w:val="13"/>
          <w:color w:val="105EAB"/>
        </w:rPr>
      </w:pPr>
    </w:p>
    <w:p>
      <w:pPr>
        <w:ind w:left="260" w:hanging="251"/>
        <w:spacing w:after="0"/>
        <w:tabs>
          <w:tab w:leader="none" w:pos="260" w:val="left"/>
        </w:tabs>
        <w:numPr>
          <w:ilvl w:val="0"/>
          <w:numId w:val="66"/>
        </w:numPr>
        <w:rPr>
          <w:rFonts w:ascii="Arial" w:cs="Arial" w:eastAsia="Arial" w:hAnsi="Arial"/>
          <w:sz w:val="13"/>
          <w:szCs w:val="13"/>
          <w:color w:val="105EAB"/>
        </w:rPr>
      </w:pPr>
      <w:r>
        <w:rPr>
          <w:rFonts w:ascii="Arial" w:cs="Arial" w:eastAsia="Arial" w:hAnsi="Arial"/>
          <w:sz w:val="13"/>
          <w:szCs w:val="13"/>
          <w:color w:val="auto"/>
        </w:rPr>
        <w:t>Former Chairman and CEO, HSBC North America Holdings Inc.</w:t>
      </w:r>
    </w:p>
    <w:p>
      <w:pPr>
        <w:spacing w:after="0" w:line="79" w:lineRule="exact"/>
        <w:rPr>
          <w:rFonts w:ascii="Arial" w:cs="Arial" w:eastAsia="Arial" w:hAnsi="Arial"/>
          <w:sz w:val="13"/>
          <w:szCs w:val="13"/>
          <w:color w:val="105EAB"/>
        </w:rPr>
      </w:pPr>
    </w:p>
    <w:p>
      <w:pPr>
        <w:ind w:left="260" w:hanging="251"/>
        <w:spacing w:after="0"/>
        <w:tabs>
          <w:tab w:leader="none" w:pos="260" w:val="left"/>
        </w:tabs>
        <w:numPr>
          <w:ilvl w:val="0"/>
          <w:numId w:val="66"/>
        </w:numPr>
        <w:rPr>
          <w:rFonts w:ascii="Arial" w:cs="Arial" w:eastAsia="Arial" w:hAnsi="Arial"/>
          <w:sz w:val="13"/>
          <w:szCs w:val="13"/>
          <w:color w:val="105EAB"/>
        </w:rPr>
      </w:pPr>
      <w:r>
        <w:rPr>
          <w:rFonts w:ascii="Arial" w:cs="Arial" w:eastAsia="Arial" w:hAnsi="Arial"/>
          <w:sz w:val="13"/>
          <w:szCs w:val="13"/>
          <w:color w:val="auto"/>
        </w:rPr>
        <w:t>Former CEO, HSBC Finance Corporation.</w:t>
      </w:r>
    </w:p>
    <w:p>
      <w:pPr>
        <w:spacing w:after="0" w:line="199" w:lineRule="exact"/>
        <w:rPr>
          <w:sz w:val="20"/>
          <w:szCs w:val="20"/>
          <w:color w:val="auto"/>
        </w:rPr>
      </w:pPr>
    </w:p>
    <w:p>
      <w:pPr>
        <w:spacing w:after="0"/>
        <w:rPr>
          <w:sz w:val="20"/>
          <w:szCs w:val="20"/>
          <w:color w:val="auto"/>
        </w:rPr>
      </w:pPr>
      <w:r>
        <w:rPr>
          <w:rFonts w:ascii="Arial" w:cs="Arial" w:eastAsia="Arial" w:hAnsi="Arial"/>
          <w:sz w:val="13"/>
          <w:szCs w:val="13"/>
          <w:b w:val="1"/>
          <w:bCs w:val="1"/>
          <w:color w:val="105EAB"/>
        </w:rPr>
        <w:t>Relevant Skills</w:t>
      </w:r>
    </w:p>
    <w:p>
      <w:pPr>
        <w:spacing w:after="0" w:line="15" w:lineRule="exact"/>
        <w:rPr>
          <w:sz w:val="20"/>
          <w:szCs w:val="20"/>
          <w:color w:val="auto"/>
        </w:rPr>
      </w:pPr>
    </w:p>
    <w:p>
      <w:pPr>
        <w:ind w:left="280" w:right="80" w:hanging="271"/>
        <w:spacing w:after="0" w:line="248" w:lineRule="auto"/>
        <w:tabs>
          <w:tab w:leader="none" w:pos="269" w:val="left"/>
        </w:tabs>
        <w:numPr>
          <w:ilvl w:val="0"/>
          <w:numId w:val="67"/>
        </w:numPr>
        <w:rPr>
          <w:rFonts w:ascii="Arial" w:cs="Arial" w:eastAsia="Arial" w:hAnsi="Arial"/>
          <w:sz w:val="13"/>
          <w:szCs w:val="13"/>
          <w:color w:val="105EAB"/>
        </w:rPr>
      </w:pPr>
      <w:r>
        <w:rPr>
          <w:rFonts w:ascii="Arial" w:cs="Arial" w:eastAsia="Arial" w:hAnsi="Arial"/>
          <w:sz w:val="13"/>
          <w:szCs w:val="13"/>
          <w:color w:val="auto"/>
        </w:rPr>
        <w:t>Extensive operational and strategic experience in the financial services industry, including in banking and the credit markets, which provides valuable insights into the highly regulated insurance industry and investment activities.</w:t>
      </w:r>
    </w:p>
    <w:p>
      <w:pPr>
        <w:spacing w:after="0" w:line="182" w:lineRule="exact"/>
        <w:rPr>
          <w:sz w:val="20"/>
          <w:szCs w:val="20"/>
          <w:color w:val="auto"/>
        </w:rPr>
      </w:pPr>
    </w:p>
    <w:p>
      <w:pPr>
        <w:ind w:right="40"/>
        <w:spacing w:after="0" w:line="284" w:lineRule="auto"/>
        <w:rPr>
          <w:sz w:val="20"/>
          <w:szCs w:val="20"/>
          <w:color w:val="auto"/>
        </w:rPr>
      </w:pPr>
      <w:r>
        <w:rPr>
          <w:rFonts w:ascii="Arial" w:cs="Arial" w:eastAsia="Arial" w:hAnsi="Arial"/>
          <w:sz w:val="13"/>
          <w:szCs w:val="13"/>
          <w:b w:val="1"/>
          <w:bCs w:val="1"/>
          <w:color w:val="39B6E9"/>
        </w:rPr>
        <w:t>As a CEO, Bobby demonstrated successful leadership that increased revenues and global reach through the use of technology and advanced analytics.</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b w:val="1"/>
          <w:bCs w:val="1"/>
          <w:color w:val="105EAB"/>
        </w:rPr>
        <w:t>Other Public Board Service</w:t>
      </w:r>
    </w:p>
    <w:p>
      <w:pPr>
        <w:spacing w:after="0" w:line="15" w:lineRule="exact"/>
        <w:rPr>
          <w:sz w:val="20"/>
          <w:szCs w:val="20"/>
          <w:color w:val="auto"/>
        </w:rPr>
      </w:pPr>
    </w:p>
    <w:p>
      <w:pPr>
        <w:ind w:left="260" w:hanging="251"/>
        <w:spacing w:after="0"/>
        <w:tabs>
          <w:tab w:leader="none" w:pos="260" w:val="left"/>
        </w:tabs>
        <w:numPr>
          <w:ilvl w:val="0"/>
          <w:numId w:val="68"/>
        </w:numPr>
        <w:rPr>
          <w:rFonts w:ascii="Arial" w:cs="Arial" w:eastAsia="Arial" w:hAnsi="Arial"/>
          <w:sz w:val="13"/>
          <w:szCs w:val="13"/>
          <w:color w:val="105EAB"/>
        </w:rPr>
      </w:pPr>
      <w:r>
        <w:rPr>
          <w:rFonts w:ascii="Arial" w:cs="Arial" w:eastAsia="Arial" w:hAnsi="Arial"/>
          <w:sz w:val="13"/>
          <w:szCs w:val="13"/>
          <w:color w:val="auto"/>
        </w:rPr>
        <w:t>Northern Trust Corp. (2019–present)</w:t>
      </w:r>
    </w:p>
    <w:p>
      <w:pPr>
        <w:spacing w:after="0" w:line="66" w:lineRule="exact"/>
        <w:rPr>
          <w:rFonts w:ascii="Arial" w:cs="Arial" w:eastAsia="Arial" w:hAnsi="Arial"/>
          <w:sz w:val="13"/>
          <w:szCs w:val="13"/>
          <w:color w:val="105EAB"/>
        </w:rPr>
      </w:pPr>
    </w:p>
    <w:p>
      <w:pPr>
        <w:ind w:left="260" w:hanging="251"/>
        <w:spacing w:after="0"/>
        <w:tabs>
          <w:tab w:leader="none" w:pos="260" w:val="left"/>
        </w:tabs>
        <w:numPr>
          <w:ilvl w:val="0"/>
          <w:numId w:val="68"/>
        </w:numPr>
        <w:rPr>
          <w:rFonts w:ascii="Arial" w:cs="Arial" w:eastAsia="Arial" w:hAnsi="Arial"/>
          <w:sz w:val="13"/>
          <w:szCs w:val="13"/>
          <w:color w:val="105EAB"/>
        </w:rPr>
      </w:pPr>
      <w:r>
        <w:rPr>
          <w:rFonts w:ascii="Arial" w:cs="Arial" w:eastAsia="Arial" w:hAnsi="Arial"/>
          <w:sz w:val="13"/>
          <w:szCs w:val="13"/>
          <w:color w:val="auto"/>
        </w:rPr>
        <w:t>Piramal Enterprises Ltd. (2013–present)</w:t>
      </w:r>
    </w:p>
    <w:p>
      <w:pPr>
        <w:spacing w:after="0" w:line="66" w:lineRule="exact"/>
        <w:rPr>
          <w:rFonts w:ascii="Arial" w:cs="Arial" w:eastAsia="Arial" w:hAnsi="Arial"/>
          <w:sz w:val="13"/>
          <w:szCs w:val="13"/>
          <w:color w:val="105EAB"/>
        </w:rPr>
      </w:pPr>
    </w:p>
    <w:p>
      <w:pPr>
        <w:ind w:left="260" w:hanging="251"/>
        <w:spacing w:after="0"/>
        <w:tabs>
          <w:tab w:leader="none" w:pos="260" w:val="left"/>
        </w:tabs>
        <w:numPr>
          <w:ilvl w:val="0"/>
          <w:numId w:val="68"/>
        </w:numPr>
        <w:rPr>
          <w:rFonts w:ascii="Arial" w:cs="Arial" w:eastAsia="Arial" w:hAnsi="Arial"/>
          <w:sz w:val="13"/>
          <w:szCs w:val="13"/>
          <w:color w:val="105EAB"/>
        </w:rPr>
      </w:pPr>
      <w:r>
        <w:rPr>
          <w:rFonts w:ascii="Arial" w:cs="Arial" w:eastAsia="Arial" w:hAnsi="Arial"/>
          <w:sz w:val="13"/>
          <w:szCs w:val="13"/>
          <w:color w:val="auto"/>
        </w:rPr>
        <w:t>TransUnion (2012–present)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307975</wp:posOffset>
            </wp:positionV>
            <wp:extent cx="3512185" cy="1816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512185" cy="18161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40" w:space="540"/>
            <w:col w:w="5400"/>
          </w:cols>
          <w:pgMar w:left="240" w:top="121" w:right="379" w:bottom="1440" w:gutter="0" w:footer="0" w:header="0"/>
        </w:sectPr>
      </w:pP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105EAB"/>
        </w:rPr>
        <w:t>Allstate Board Service</w:t>
      </w:r>
    </w:p>
    <w:p>
      <w:pPr>
        <w:spacing w:after="0" w:line="26"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 xml:space="preserve">Director since 2018 </w:t>
      </w:r>
      <w:r>
        <w:rPr>
          <w:rFonts w:ascii="Arial" w:cs="Arial" w:eastAsia="Arial" w:hAnsi="Arial"/>
          <w:sz w:val="13"/>
          <w:szCs w:val="13"/>
          <w:color w:val="auto"/>
        </w:rPr>
        <w:t>(1 year of tenure)</w:t>
      </w:r>
    </w:p>
    <w:p>
      <w:pPr>
        <w:spacing w:after="0" w:line="200"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105EAB"/>
        </w:rPr>
        <w:t>Committee Assignments and Rationale</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3"/>
          <w:szCs w:val="13"/>
          <w:color w:val="105EAB"/>
        </w:rPr>
        <w:t>Compensation and Succession Committee</w:t>
      </w:r>
    </w:p>
    <w:p>
      <w:pPr>
        <w:ind w:left="380" w:hanging="264"/>
        <w:spacing w:after="0" w:line="258" w:lineRule="auto"/>
        <w:tabs>
          <w:tab w:leader="none" w:pos="369" w:val="left"/>
        </w:tabs>
        <w:numPr>
          <w:ilvl w:val="0"/>
          <w:numId w:val="69"/>
        </w:numPr>
        <w:rPr>
          <w:rFonts w:ascii="Arial" w:cs="Arial" w:eastAsia="Arial" w:hAnsi="Arial"/>
          <w:sz w:val="13"/>
          <w:szCs w:val="13"/>
          <w:color w:val="105EAB"/>
        </w:rPr>
      </w:pPr>
      <w:r>
        <w:rPr>
          <w:rFonts w:ascii="Arial" w:cs="Arial" w:eastAsia="Arial" w:hAnsi="Arial"/>
          <w:sz w:val="13"/>
          <w:szCs w:val="13"/>
          <w:color w:val="auto"/>
        </w:rPr>
        <w:t>Significant current market knowledge of executive compensation as President and CEO of Synchrony Financial.</w:t>
      </w:r>
    </w:p>
    <w:p>
      <w:pPr>
        <w:spacing w:after="0" w:line="42" w:lineRule="exact"/>
        <w:rPr>
          <w:rFonts w:ascii="Arial" w:cs="Arial" w:eastAsia="Arial" w:hAnsi="Arial"/>
          <w:sz w:val="13"/>
          <w:szCs w:val="13"/>
          <w:color w:val="105EAB"/>
        </w:rPr>
      </w:pPr>
    </w:p>
    <w:p>
      <w:pPr>
        <w:ind w:left="380" w:right="120" w:hanging="264"/>
        <w:spacing w:after="0" w:line="258" w:lineRule="auto"/>
        <w:tabs>
          <w:tab w:leader="none" w:pos="369" w:val="left"/>
        </w:tabs>
        <w:numPr>
          <w:ilvl w:val="0"/>
          <w:numId w:val="69"/>
        </w:numPr>
        <w:rPr>
          <w:rFonts w:ascii="Arial" w:cs="Arial" w:eastAsia="Arial" w:hAnsi="Arial"/>
          <w:sz w:val="13"/>
          <w:szCs w:val="13"/>
          <w:color w:val="105EAB"/>
        </w:rPr>
      </w:pPr>
      <w:r>
        <w:rPr>
          <w:rFonts w:ascii="Arial" w:cs="Arial" w:eastAsia="Arial" w:hAnsi="Arial"/>
          <w:sz w:val="13"/>
          <w:szCs w:val="13"/>
          <w:color w:val="auto"/>
        </w:rPr>
        <w:t>Substantial experience in establishing management performance objectives and specific goals.</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3"/>
          <w:szCs w:val="13"/>
          <w:color w:val="105EAB"/>
        </w:rPr>
        <w:t>Nominating and Governance Committee</w:t>
      </w:r>
    </w:p>
    <w:p>
      <w:pPr>
        <w:ind w:left="380" w:right="100" w:hanging="264"/>
        <w:spacing w:after="0" w:line="258" w:lineRule="auto"/>
        <w:tabs>
          <w:tab w:leader="none" w:pos="369" w:val="left"/>
        </w:tabs>
        <w:numPr>
          <w:ilvl w:val="0"/>
          <w:numId w:val="70"/>
        </w:numPr>
        <w:rPr>
          <w:rFonts w:ascii="Arial" w:cs="Arial" w:eastAsia="Arial" w:hAnsi="Arial"/>
          <w:sz w:val="13"/>
          <w:szCs w:val="13"/>
          <w:color w:val="105EAB"/>
        </w:rPr>
      </w:pPr>
      <w:r>
        <w:rPr>
          <w:rFonts w:ascii="Arial" w:cs="Arial" w:eastAsia="Arial" w:hAnsi="Arial"/>
          <w:sz w:val="13"/>
          <w:szCs w:val="13"/>
          <w:color w:val="auto"/>
        </w:rPr>
        <w:t>It is expected that Ms. Keane will be assigned to the nominating and governance committee after the Annual Meeting.</w:t>
      </w:r>
    </w:p>
    <w:p>
      <w:pPr>
        <w:spacing w:after="0" w:line="56" w:lineRule="exact"/>
        <w:rPr>
          <w:rFonts w:ascii="Arial" w:cs="Arial" w:eastAsia="Arial" w:hAnsi="Arial"/>
          <w:sz w:val="13"/>
          <w:szCs w:val="13"/>
          <w:color w:val="105EAB"/>
        </w:rPr>
      </w:pPr>
    </w:p>
    <w:p>
      <w:pPr>
        <w:ind w:left="380" w:right="340" w:hanging="264"/>
        <w:spacing w:after="0" w:line="258" w:lineRule="auto"/>
        <w:tabs>
          <w:tab w:leader="none" w:pos="369" w:val="left"/>
        </w:tabs>
        <w:numPr>
          <w:ilvl w:val="0"/>
          <w:numId w:val="70"/>
        </w:numPr>
        <w:rPr>
          <w:rFonts w:ascii="Arial" w:cs="Arial" w:eastAsia="Arial" w:hAnsi="Arial"/>
          <w:sz w:val="13"/>
          <w:szCs w:val="13"/>
          <w:color w:val="105EAB"/>
        </w:rPr>
      </w:pPr>
      <w:r>
        <w:rPr>
          <w:rFonts w:ascii="Arial" w:cs="Arial" w:eastAsia="Arial" w:hAnsi="Arial"/>
          <w:sz w:val="13"/>
          <w:szCs w:val="13"/>
          <w:color w:val="auto"/>
        </w:rPr>
        <w:t>Significant management experience as the President and CEO of Synchrony Financial.</w:t>
      </w:r>
    </w:p>
    <w:p>
      <w:pPr>
        <w:spacing w:after="0" w:line="299" w:lineRule="exact"/>
        <w:rPr>
          <w:sz w:val="20"/>
          <w:szCs w:val="20"/>
          <w:color w:val="auto"/>
        </w:rPr>
      </w:pPr>
    </w:p>
    <w:p>
      <w:pPr>
        <w:ind w:left="460" w:hanging="452"/>
        <w:spacing w:after="0"/>
        <w:tabs>
          <w:tab w:leader="none" w:pos="460" w:val="left"/>
        </w:tabs>
        <w:numPr>
          <w:ilvl w:val="0"/>
          <w:numId w:val="71"/>
        </w:numPr>
        <w:rPr>
          <w:rFonts w:ascii="Arial" w:cs="Arial" w:eastAsia="Arial" w:hAnsi="Arial"/>
          <w:sz w:val="13"/>
          <w:szCs w:val="13"/>
          <w:b w:val="1"/>
          <w:bCs w:val="1"/>
          <w:color w:val="105EAB"/>
        </w:rPr>
      </w:pPr>
      <w:r>
        <w:rPr>
          <w:rFonts w:ascii="Arial" w:cs="Arial" w:eastAsia="Arial" w:hAnsi="Arial"/>
          <w:sz w:val="13"/>
          <w:szCs w:val="13"/>
          <w:color w:val="105EAB"/>
        </w:rPr>
        <w:t>www.allstateproxy.com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ind w:left="423"/>
        <w:spacing w:after="0"/>
        <w:rPr>
          <w:sz w:val="20"/>
          <w:szCs w:val="20"/>
          <w:color w:val="auto"/>
        </w:rPr>
      </w:pPr>
      <w:r>
        <w:rPr>
          <w:rFonts w:ascii="Arial" w:cs="Arial" w:eastAsia="Arial" w:hAnsi="Arial"/>
          <w:sz w:val="18"/>
          <w:szCs w:val="18"/>
          <w:b w:val="1"/>
          <w:bCs w:val="1"/>
          <w:color w:val="105EAB"/>
        </w:rPr>
        <w:t>Allstate Board Service</w:t>
      </w:r>
    </w:p>
    <w:p>
      <w:pPr>
        <w:spacing w:after="0" w:line="14"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auto"/>
        </w:rPr>
        <w:t xml:space="preserve">Director since 2014 </w:t>
      </w:r>
      <w:r>
        <w:rPr>
          <w:rFonts w:ascii="Arial" w:cs="Arial" w:eastAsia="Arial" w:hAnsi="Arial"/>
          <w:sz w:val="13"/>
          <w:szCs w:val="13"/>
          <w:color w:val="auto"/>
        </w:rPr>
        <w:t>(5 years of tenure)</w:t>
      </w:r>
    </w:p>
    <w:p>
      <w:pPr>
        <w:spacing w:after="0" w:line="199"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105EAB"/>
        </w:rPr>
        <w:t>Committee Assignments and Rationale</w:t>
      </w:r>
    </w:p>
    <w:p>
      <w:pPr>
        <w:spacing w:after="0" w:line="14" w:lineRule="exact"/>
        <w:rPr>
          <w:sz w:val="20"/>
          <w:szCs w:val="20"/>
          <w:color w:val="auto"/>
        </w:rPr>
      </w:pPr>
    </w:p>
    <w:p>
      <w:pPr>
        <w:ind w:left="3"/>
        <w:spacing w:after="0"/>
        <w:rPr>
          <w:sz w:val="20"/>
          <w:szCs w:val="20"/>
          <w:color w:val="auto"/>
        </w:rPr>
      </w:pPr>
      <w:r>
        <w:rPr>
          <w:rFonts w:ascii="Arial" w:cs="Arial" w:eastAsia="Arial" w:hAnsi="Arial"/>
          <w:sz w:val="13"/>
          <w:szCs w:val="13"/>
          <w:color w:val="105EAB"/>
        </w:rPr>
        <w:t xml:space="preserve">Risk and Return Committee </w:t>
      </w:r>
      <w:r>
        <w:rPr>
          <w:rFonts w:ascii="Arial" w:cs="Arial" w:eastAsia="Arial" w:hAnsi="Arial"/>
          <w:sz w:val="13"/>
          <w:szCs w:val="13"/>
          <w:b w:val="1"/>
          <w:bCs w:val="1"/>
          <w:color w:val="105EAB"/>
        </w:rPr>
        <w:t>(Chair)</w:t>
      </w:r>
    </w:p>
    <w:p>
      <w:pPr>
        <w:ind w:left="263" w:right="240" w:hanging="263"/>
        <w:spacing w:after="0" w:line="258" w:lineRule="auto"/>
        <w:tabs>
          <w:tab w:leader="none" w:pos="252" w:val="left"/>
        </w:tabs>
        <w:numPr>
          <w:ilvl w:val="0"/>
          <w:numId w:val="72"/>
        </w:numPr>
        <w:rPr>
          <w:rFonts w:ascii="Arial" w:cs="Arial" w:eastAsia="Arial" w:hAnsi="Arial"/>
          <w:sz w:val="13"/>
          <w:szCs w:val="13"/>
          <w:color w:val="105EAB"/>
        </w:rPr>
      </w:pPr>
      <w:r>
        <w:rPr>
          <w:rFonts w:ascii="Arial" w:cs="Arial" w:eastAsia="Arial" w:hAnsi="Arial"/>
          <w:sz w:val="13"/>
          <w:szCs w:val="13"/>
          <w:color w:val="auto"/>
        </w:rPr>
        <w:t>Significant experience in financial markets through multiple executive leadership positions at HSBC Group.</w:t>
      </w:r>
    </w:p>
    <w:p>
      <w:pPr>
        <w:spacing w:after="0" w:line="42" w:lineRule="exact"/>
        <w:rPr>
          <w:rFonts w:ascii="Arial" w:cs="Arial" w:eastAsia="Arial" w:hAnsi="Arial"/>
          <w:sz w:val="13"/>
          <w:szCs w:val="13"/>
          <w:color w:val="105EAB"/>
        </w:rPr>
      </w:pPr>
    </w:p>
    <w:p>
      <w:pPr>
        <w:ind w:left="263" w:right="20" w:hanging="263"/>
        <w:spacing w:after="0" w:line="258" w:lineRule="auto"/>
        <w:tabs>
          <w:tab w:leader="none" w:pos="252" w:val="left"/>
        </w:tabs>
        <w:numPr>
          <w:ilvl w:val="0"/>
          <w:numId w:val="72"/>
        </w:numPr>
        <w:rPr>
          <w:rFonts w:ascii="Arial" w:cs="Arial" w:eastAsia="Arial" w:hAnsi="Arial"/>
          <w:sz w:val="13"/>
          <w:szCs w:val="13"/>
          <w:color w:val="105EAB"/>
        </w:rPr>
      </w:pPr>
      <w:r>
        <w:rPr>
          <w:rFonts w:ascii="Arial" w:cs="Arial" w:eastAsia="Arial" w:hAnsi="Arial"/>
          <w:sz w:val="13"/>
          <w:szCs w:val="13"/>
          <w:color w:val="auto"/>
        </w:rPr>
        <w:t>In-depth understanding and experience in risk and return management as a director and former chief executive officer.</w:t>
      </w:r>
    </w:p>
    <w:p>
      <w:pPr>
        <w:spacing w:after="0" w:line="190" w:lineRule="exact"/>
        <w:rPr>
          <w:sz w:val="20"/>
          <w:szCs w:val="20"/>
          <w:color w:val="auto"/>
        </w:rPr>
      </w:pPr>
    </w:p>
    <w:p>
      <w:pPr>
        <w:ind w:left="3"/>
        <w:spacing w:after="0"/>
        <w:rPr>
          <w:sz w:val="20"/>
          <w:szCs w:val="20"/>
          <w:color w:val="auto"/>
        </w:rPr>
      </w:pPr>
      <w:r>
        <w:rPr>
          <w:rFonts w:ascii="Arial" w:cs="Arial" w:eastAsia="Arial" w:hAnsi="Arial"/>
          <w:sz w:val="13"/>
          <w:szCs w:val="13"/>
          <w:color w:val="105EAB"/>
        </w:rPr>
        <w:t>Audit Committee</w:t>
      </w:r>
    </w:p>
    <w:p>
      <w:pPr>
        <w:jc w:val="both"/>
        <w:ind w:left="263" w:right="480" w:hanging="263"/>
        <w:spacing w:after="0" w:line="248" w:lineRule="auto"/>
        <w:tabs>
          <w:tab w:leader="none" w:pos="252" w:val="left"/>
        </w:tabs>
        <w:numPr>
          <w:ilvl w:val="0"/>
          <w:numId w:val="73"/>
        </w:numPr>
        <w:rPr>
          <w:rFonts w:ascii="Arial" w:cs="Arial" w:eastAsia="Arial" w:hAnsi="Arial"/>
          <w:sz w:val="13"/>
          <w:szCs w:val="13"/>
          <w:color w:val="105EAB"/>
        </w:rPr>
      </w:pPr>
      <w:r>
        <w:rPr>
          <w:rFonts w:ascii="Arial" w:cs="Arial" w:eastAsia="Arial" w:hAnsi="Arial"/>
          <w:sz w:val="13"/>
          <w:szCs w:val="13"/>
          <w:color w:val="auto"/>
        </w:rPr>
        <w:t>Multiple leadership positions with financial oversight responsibility, including President and CEO of TransUnion, CEO of HSBC Finance Corporation, and Chairman and CEO of HSBC North America Holdings Inc.</w:t>
      </w:r>
    </w:p>
    <w:p>
      <w:pPr>
        <w:spacing w:after="0" w:line="62" w:lineRule="exact"/>
        <w:rPr>
          <w:rFonts w:ascii="Arial" w:cs="Arial" w:eastAsia="Arial" w:hAnsi="Arial"/>
          <w:sz w:val="13"/>
          <w:szCs w:val="13"/>
          <w:color w:val="105EAB"/>
        </w:rPr>
      </w:pPr>
    </w:p>
    <w:p>
      <w:pPr>
        <w:ind w:left="263" w:hanging="263"/>
        <w:spacing w:after="0"/>
        <w:tabs>
          <w:tab w:leader="none" w:pos="263" w:val="left"/>
        </w:tabs>
        <w:numPr>
          <w:ilvl w:val="0"/>
          <w:numId w:val="73"/>
        </w:numPr>
        <w:rPr>
          <w:rFonts w:ascii="Arial" w:cs="Arial" w:eastAsia="Arial" w:hAnsi="Arial"/>
          <w:sz w:val="13"/>
          <w:szCs w:val="13"/>
          <w:color w:val="105EAB"/>
        </w:rPr>
      </w:pPr>
      <w:r>
        <w:rPr>
          <w:rFonts w:ascii="Arial" w:cs="Arial" w:eastAsia="Arial" w:hAnsi="Arial"/>
          <w:sz w:val="13"/>
          <w:szCs w:val="13"/>
          <w:color w:val="auto"/>
        </w:rPr>
        <w:t>Chair of Allstate risk and return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-3804920</wp:posOffset>
            </wp:positionH>
            <wp:positionV relativeFrom="paragraph">
              <wp:posOffset>434340</wp:posOffset>
            </wp:positionV>
            <wp:extent cx="7268210" cy="209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2">
            <w:col w:w="5280" w:space="717"/>
            <w:col w:w="5283"/>
          </w:cols>
          <w:pgMar w:left="240" w:top="121" w:right="37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22"/>
          <w:szCs w:val="22"/>
          <w:b w:val="1"/>
          <w:bCs w:val="1"/>
          <w:color w:val="105EAB"/>
        </w:rPr>
        <w:t>Jacques P. Perold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2917190</wp:posOffset>
            </wp:positionH>
            <wp:positionV relativeFrom="paragraph">
              <wp:posOffset>-113665</wp:posOffset>
            </wp:positionV>
            <wp:extent cx="599440" cy="58229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99440" cy="58229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39B6E9"/>
        </w:rPr>
        <w:t>Independent</w:t>
      </w:r>
    </w:p>
    <w:p>
      <w:pPr>
        <w:spacing w:after="0"/>
        <w:rPr>
          <w:sz w:val="20"/>
          <w:szCs w:val="20"/>
          <w:color w:val="auto"/>
        </w:rPr>
      </w:pPr>
      <w:r>
        <w:rPr>
          <w:rFonts w:ascii="Arial" w:cs="Arial" w:eastAsia="Arial" w:hAnsi="Arial"/>
          <w:sz w:val="13"/>
          <w:szCs w:val="13"/>
          <w:b w:val="1"/>
          <w:bCs w:val="1"/>
          <w:color w:val="auto"/>
        </w:rPr>
        <w:t xml:space="preserve">Age </w:t>
      </w:r>
      <w:r>
        <w:rPr>
          <w:rFonts w:ascii="Arial" w:cs="Arial" w:eastAsia="Arial" w:hAnsi="Arial"/>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284416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844165" cy="8255"/>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105EAB"/>
        </w:rPr>
        <w:t>Professional Experience</w:t>
      </w:r>
    </w:p>
    <w:p>
      <w:pPr>
        <w:spacing w:after="0" w:line="14" w:lineRule="exact"/>
        <w:rPr>
          <w:sz w:val="20"/>
          <w:szCs w:val="20"/>
          <w:color w:val="auto"/>
        </w:rPr>
      </w:pPr>
    </w:p>
    <w:p>
      <w:pPr>
        <w:ind w:left="280" w:right="380" w:hanging="272"/>
        <w:spacing w:after="0" w:line="258" w:lineRule="auto"/>
        <w:tabs>
          <w:tab w:leader="none" w:pos="269" w:val="left"/>
        </w:tabs>
        <w:numPr>
          <w:ilvl w:val="0"/>
          <w:numId w:val="74"/>
        </w:numPr>
        <w:rPr>
          <w:rFonts w:ascii="Arial" w:cs="Arial" w:eastAsia="Arial" w:hAnsi="Arial"/>
          <w:sz w:val="13"/>
          <w:szCs w:val="13"/>
          <w:color w:val="105EAB"/>
        </w:rPr>
      </w:pPr>
      <w:r>
        <w:rPr>
          <w:rFonts w:ascii="Arial" w:cs="Arial" w:eastAsia="Arial" w:hAnsi="Arial"/>
          <w:sz w:val="13"/>
          <w:szCs w:val="13"/>
          <w:color w:val="auto"/>
        </w:rPr>
        <w:t>Former President of Fidelity Management &amp; Research Company, a privately-held investment and asset management company serving clients worldwide.</w:t>
      </w:r>
    </w:p>
    <w:p>
      <w:pPr>
        <w:spacing w:after="0" w:line="42" w:lineRule="exact"/>
        <w:rPr>
          <w:rFonts w:ascii="Arial" w:cs="Arial" w:eastAsia="Arial" w:hAnsi="Arial"/>
          <w:sz w:val="13"/>
          <w:szCs w:val="13"/>
          <w:color w:val="105EAB"/>
        </w:rPr>
      </w:pPr>
    </w:p>
    <w:p>
      <w:pPr>
        <w:ind w:left="280" w:hanging="272"/>
        <w:spacing w:after="0" w:line="248" w:lineRule="auto"/>
        <w:tabs>
          <w:tab w:leader="none" w:pos="269" w:val="left"/>
        </w:tabs>
        <w:numPr>
          <w:ilvl w:val="0"/>
          <w:numId w:val="74"/>
        </w:numPr>
        <w:rPr>
          <w:rFonts w:ascii="Arial" w:cs="Arial" w:eastAsia="Arial" w:hAnsi="Arial"/>
          <w:sz w:val="13"/>
          <w:szCs w:val="13"/>
          <w:color w:val="105EAB"/>
        </w:rPr>
      </w:pPr>
      <w:r>
        <w:rPr>
          <w:rFonts w:ascii="Arial" w:cs="Arial" w:eastAsia="Arial" w:hAnsi="Arial"/>
          <w:sz w:val="13"/>
          <w:szCs w:val="13"/>
          <w:color w:val="auto"/>
        </w:rPr>
        <w:t>Founder, former President and Chief Investment Officer of Geode Capital Management LLC, a global asset manager and independent institutional investment firm and sub-advisor to Fidelity.</w:t>
      </w:r>
    </w:p>
    <w:p>
      <w:pPr>
        <w:spacing w:after="0" w:line="62" w:lineRule="exact"/>
        <w:rPr>
          <w:rFonts w:ascii="Arial" w:cs="Arial" w:eastAsia="Arial" w:hAnsi="Arial"/>
          <w:sz w:val="13"/>
          <w:szCs w:val="13"/>
          <w:color w:val="105EAB"/>
        </w:rPr>
      </w:pPr>
    </w:p>
    <w:p>
      <w:pPr>
        <w:ind w:left="260" w:hanging="252"/>
        <w:spacing w:after="0"/>
        <w:tabs>
          <w:tab w:leader="none" w:pos="260" w:val="left"/>
        </w:tabs>
        <w:numPr>
          <w:ilvl w:val="0"/>
          <w:numId w:val="74"/>
        </w:numPr>
        <w:rPr>
          <w:rFonts w:ascii="Arial" w:cs="Arial" w:eastAsia="Arial" w:hAnsi="Arial"/>
          <w:sz w:val="13"/>
          <w:szCs w:val="13"/>
          <w:color w:val="105EAB"/>
        </w:rPr>
      </w:pPr>
      <w:r>
        <w:rPr>
          <w:rFonts w:ascii="Arial" w:cs="Arial" w:eastAsia="Arial" w:hAnsi="Arial"/>
          <w:sz w:val="13"/>
          <w:szCs w:val="13"/>
          <w:color w:val="auto"/>
        </w:rPr>
        <w:t>Current trustee of New York Life Insurance Company’s MainStay Funds.</w:t>
      </w:r>
    </w:p>
    <w:p>
      <w:pPr>
        <w:spacing w:after="0" w:line="199" w:lineRule="exact"/>
        <w:rPr>
          <w:sz w:val="20"/>
          <w:szCs w:val="20"/>
          <w:color w:val="auto"/>
        </w:rPr>
      </w:pPr>
    </w:p>
    <w:p>
      <w:pPr>
        <w:spacing w:after="0"/>
        <w:rPr>
          <w:sz w:val="20"/>
          <w:szCs w:val="20"/>
          <w:color w:val="auto"/>
        </w:rPr>
      </w:pPr>
      <w:r>
        <w:rPr>
          <w:rFonts w:ascii="Arial" w:cs="Arial" w:eastAsia="Arial" w:hAnsi="Arial"/>
          <w:sz w:val="13"/>
          <w:szCs w:val="13"/>
          <w:b w:val="1"/>
          <w:bCs w:val="1"/>
          <w:color w:val="105EAB"/>
        </w:rPr>
        <w:t>Relevant Skills</w:t>
      </w:r>
    </w:p>
    <w:p>
      <w:pPr>
        <w:spacing w:after="0" w:line="15" w:lineRule="exact"/>
        <w:rPr>
          <w:sz w:val="20"/>
          <w:szCs w:val="20"/>
          <w:color w:val="auto"/>
        </w:rPr>
      </w:pPr>
    </w:p>
    <w:p>
      <w:pPr>
        <w:ind w:left="280" w:right="60" w:hanging="272"/>
        <w:spacing w:after="0" w:line="258" w:lineRule="auto"/>
        <w:tabs>
          <w:tab w:leader="none" w:pos="269" w:val="left"/>
        </w:tabs>
        <w:numPr>
          <w:ilvl w:val="0"/>
          <w:numId w:val="75"/>
        </w:numPr>
        <w:rPr>
          <w:rFonts w:ascii="Arial" w:cs="Arial" w:eastAsia="Arial" w:hAnsi="Arial"/>
          <w:sz w:val="13"/>
          <w:szCs w:val="13"/>
          <w:color w:val="105EAB"/>
        </w:rPr>
      </w:pPr>
      <w:r>
        <w:rPr>
          <w:rFonts w:ascii="Arial" w:cs="Arial" w:eastAsia="Arial" w:hAnsi="Arial"/>
          <w:sz w:val="13"/>
          <w:szCs w:val="13"/>
          <w:color w:val="auto"/>
        </w:rPr>
        <w:t>30 years of successful leadership of strategy and operations and investment expertise in the financial services industry.</w:t>
      </w:r>
    </w:p>
    <w:p>
      <w:pPr>
        <w:spacing w:after="0" w:line="42" w:lineRule="exact"/>
        <w:rPr>
          <w:rFonts w:ascii="Arial" w:cs="Arial" w:eastAsia="Arial" w:hAnsi="Arial"/>
          <w:sz w:val="13"/>
          <w:szCs w:val="13"/>
          <w:color w:val="105EAB"/>
        </w:rPr>
      </w:pPr>
    </w:p>
    <w:p>
      <w:pPr>
        <w:ind w:left="260" w:hanging="252"/>
        <w:spacing w:after="0"/>
        <w:tabs>
          <w:tab w:leader="none" w:pos="260" w:val="left"/>
        </w:tabs>
        <w:numPr>
          <w:ilvl w:val="0"/>
          <w:numId w:val="75"/>
        </w:numPr>
        <w:rPr>
          <w:rFonts w:ascii="Arial" w:cs="Arial" w:eastAsia="Arial" w:hAnsi="Arial"/>
          <w:sz w:val="13"/>
          <w:szCs w:val="13"/>
          <w:color w:val="105EAB"/>
        </w:rPr>
      </w:pPr>
      <w:r>
        <w:rPr>
          <w:rFonts w:ascii="Arial" w:cs="Arial" w:eastAsia="Arial" w:hAnsi="Arial"/>
          <w:sz w:val="13"/>
          <w:szCs w:val="13"/>
          <w:color w:val="auto"/>
        </w:rPr>
        <w:t>Leader of one of the world’s largest asset management firms.</w:t>
      </w:r>
    </w:p>
    <w:p>
      <w:pPr>
        <w:spacing w:after="0" w:line="199" w:lineRule="exact"/>
        <w:rPr>
          <w:sz w:val="20"/>
          <w:szCs w:val="20"/>
          <w:color w:val="auto"/>
        </w:rPr>
      </w:pPr>
    </w:p>
    <w:p>
      <w:pPr>
        <w:ind w:right="80"/>
        <w:spacing w:after="0" w:line="284" w:lineRule="auto"/>
        <w:rPr>
          <w:sz w:val="20"/>
          <w:szCs w:val="20"/>
          <w:color w:val="auto"/>
        </w:rPr>
      </w:pPr>
      <w:r>
        <w:rPr>
          <w:rFonts w:ascii="Arial" w:cs="Arial" w:eastAsia="Arial" w:hAnsi="Arial"/>
          <w:sz w:val="13"/>
          <w:szCs w:val="13"/>
          <w:b w:val="1"/>
          <w:bCs w:val="1"/>
          <w:color w:val="39B6E9"/>
        </w:rPr>
        <w:t>Jacques had significant success in leading the investments and operations for Fidelity’s family of mutual funds with over $1.8 trillion in assets under management.</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b w:val="1"/>
          <w:bCs w:val="1"/>
          <w:color w:val="105EAB"/>
        </w:rPr>
        <w:t>Other Public Board Service</w:t>
      </w:r>
    </w:p>
    <w:p>
      <w:pPr>
        <w:spacing w:after="0" w:line="15" w:lineRule="exact"/>
        <w:rPr>
          <w:sz w:val="20"/>
          <w:szCs w:val="20"/>
          <w:color w:val="auto"/>
        </w:rPr>
      </w:pPr>
    </w:p>
    <w:p>
      <w:pPr>
        <w:ind w:left="260" w:hanging="252"/>
        <w:spacing w:after="0"/>
        <w:tabs>
          <w:tab w:leader="none" w:pos="260" w:val="left"/>
        </w:tabs>
        <w:numPr>
          <w:ilvl w:val="0"/>
          <w:numId w:val="76"/>
        </w:numPr>
        <w:rPr>
          <w:rFonts w:ascii="Arial" w:cs="Arial" w:eastAsia="Arial" w:hAnsi="Arial"/>
          <w:sz w:val="13"/>
          <w:szCs w:val="13"/>
          <w:color w:val="105EAB"/>
        </w:rPr>
      </w:pPr>
      <w:r>
        <w:rPr>
          <w:rFonts w:ascii="Arial" w:cs="Arial" w:eastAsia="Arial" w:hAnsi="Arial"/>
          <w:sz w:val="13"/>
          <w:szCs w:val="13"/>
          <w:color w:val="auto"/>
        </w:rPr>
        <w:t>MSCI Inc. (2017–present)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590550</wp:posOffset>
            </wp:positionV>
            <wp:extent cx="3512185" cy="19100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512185" cy="19100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 xml:space="preserve">Proposal 1 </w:t>
      </w:r>
      <w:r>
        <w:rPr>
          <w:rFonts w:ascii="Arial" w:cs="Arial" w:eastAsia="Arial" w:hAnsi="Arial"/>
          <w:sz w:val="13"/>
          <w:szCs w:val="13"/>
          <w:b w:val="1"/>
          <w:bCs w:val="1"/>
          <w:color w:val="105EAB"/>
        </w:rPr>
        <w:t>| Corporate Governance</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color w:val="105EAB"/>
        </w:rPr>
        <w:t>Andrea Redmond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-156210</wp:posOffset>
            </wp:positionV>
            <wp:extent cx="8255" cy="31007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255" cy="3100705"/>
                    </a:xfrm>
                    <a:prstGeom prst="rect">
                      <a:avLst/>
                    </a:prstGeom>
                    <a:noFill/>
                  </pic:spPr>
                </pic:pic>
              </a:graphicData>
            </a:graphic>
          </wp:anchor>
        </w:drawing>
        <w:drawing>
          <wp:anchor simplePos="0" relativeHeight="251657728" behindDoc="1" locked="0" layoutInCell="0" allowOverlap="1">
            <wp:simplePos x="0" y="0"/>
            <wp:positionH relativeFrom="column">
              <wp:posOffset>2918460</wp:posOffset>
            </wp:positionH>
            <wp:positionV relativeFrom="paragraph">
              <wp:posOffset>-122555</wp:posOffset>
            </wp:positionV>
            <wp:extent cx="599440" cy="5911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99440" cy="59118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39B6E9"/>
        </w:rPr>
        <w:t>Independent</w:t>
      </w:r>
    </w:p>
    <w:p>
      <w:pPr>
        <w:spacing w:after="0"/>
        <w:rPr>
          <w:sz w:val="20"/>
          <w:szCs w:val="20"/>
          <w:color w:val="auto"/>
        </w:rPr>
      </w:pPr>
      <w:r>
        <w:rPr>
          <w:rFonts w:ascii="Arial" w:cs="Arial" w:eastAsia="Arial" w:hAnsi="Arial"/>
          <w:sz w:val="13"/>
          <w:szCs w:val="13"/>
          <w:b w:val="1"/>
          <w:bCs w:val="1"/>
          <w:color w:val="auto"/>
        </w:rPr>
        <w:t xml:space="preserve">Age </w:t>
      </w:r>
      <w:r>
        <w:rPr>
          <w:rFonts w:ascii="Arial" w:cs="Arial" w:eastAsia="Arial" w:hAnsi="Arial"/>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42545</wp:posOffset>
            </wp:positionV>
            <wp:extent cx="284416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844165" cy="8255"/>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105EAB"/>
        </w:rPr>
        <w:t>Professional Experience</w:t>
      </w:r>
    </w:p>
    <w:p>
      <w:pPr>
        <w:spacing w:after="0" w:line="14" w:lineRule="exact"/>
        <w:rPr>
          <w:sz w:val="20"/>
          <w:szCs w:val="20"/>
          <w:color w:val="auto"/>
        </w:rPr>
      </w:pPr>
    </w:p>
    <w:p>
      <w:pPr>
        <w:ind w:left="280" w:right="20" w:hanging="271"/>
        <w:spacing w:after="0" w:line="244" w:lineRule="auto"/>
        <w:tabs>
          <w:tab w:leader="none" w:pos="269" w:val="left"/>
        </w:tabs>
        <w:numPr>
          <w:ilvl w:val="0"/>
          <w:numId w:val="77"/>
        </w:numPr>
        <w:rPr>
          <w:rFonts w:ascii="Arial" w:cs="Arial" w:eastAsia="Arial" w:hAnsi="Arial"/>
          <w:sz w:val="13"/>
          <w:szCs w:val="13"/>
          <w:color w:val="105EAB"/>
        </w:rPr>
      </w:pPr>
      <w:r>
        <w:rPr>
          <w:rFonts w:ascii="Arial" w:cs="Arial" w:eastAsia="Arial" w:hAnsi="Arial"/>
          <w:sz w:val="13"/>
          <w:szCs w:val="13"/>
          <w:color w:val="auto"/>
        </w:rPr>
        <w:t>Former Managing Director, co-head of the CEO/board services practice, founder and leader of global insurance practice, and member of financial services practice at Russell Reynolds Associates Inc., a global executive search firm, with 20 years of experience at the firm.</w:t>
      </w:r>
    </w:p>
    <w:p>
      <w:pPr>
        <w:spacing w:after="0" w:line="53" w:lineRule="exact"/>
        <w:rPr>
          <w:rFonts w:ascii="Arial" w:cs="Arial" w:eastAsia="Arial" w:hAnsi="Arial"/>
          <w:sz w:val="13"/>
          <w:szCs w:val="13"/>
          <w:color w:val="105EAB"/>
        </w:rPr>
      </w:pPr>
    </w:p>
    <w:p>
      <w:pPr>
        <w:ind w:left="280" w:right="40" w:hanging="271"/>
        <w:spacing w:after="0" w:line="258" w:lineRule="auto"/>
        <w:tabs>
          <w:tab w:leader="none" w:pos="269" w:val="left"/>
        </w:tabs>
        <w:numPr>
          <w:ilvl w:val="0"/>
          <w:numId w:val="77"/>
        </w:numPr>
        <w:rPr>
          <w:rFonts w:ascii="Arial" w:cs="Arial" w:eastAsia="Arial" w:hAnsi="Arial"/>
          <w:sz w:val="13"/>
          <w:szCs w:val="13"/>
          <w:color w:val="105EAB"/>
        </w:rPr>
      </w:pPr>
      <w:r>
        <w:rPr>
          <w:rFonts w:ascii="Arial" w:cs="Arial" w:eastAsia="Arial" w:hAnsi="Arial"/>
          <w:sz w:val="13"/>
          <w:szCs w:val="13"/>
          <w:color w:val="auto"/>
        </w:rPr>
        <w:t>Independent consultant providing executive recruiting, succession planning, and human capital management services.</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b w:val="1"/>
          <w:bCs w:val="1"/>
          <w:color w:val="105EAB"/>
        </w:rPr>
        <w:t>Relevant Skills</w:t>
      </w:r>
    </w:p>
    <w:p>
      <w:pPr>
        <w:spacing w:after="0" w:line="15" w:lineRule="exact"/>
        <w:rPr>
          <w:sz w:val="20"/>
          <w:szCs w:val="20"/>
          <w:color w:val="auto"/>
        </w:rPr>
      </w:pPr>
    </w:p>
    <w:p>
      <w:pPr>
        <w:ind w:left="280" w:right="480" w:hanging="271"/>
        <w:spacing w:after="0" w:line="258" w:lineRule="auto"/>
        <w:tabs>
          <w:tab w:leader="none" w:pos="269" w:val="left"/>
        </w:tabs>
        <w:numPr>
          <w:ilvl w:val="0"/>
          <w:numId w:val="78"/>
        </w:numPr>
        <w:rPr>
          <w:rFonts w:ascii="Arial" w:cs="Arial" w:eastAsia="Arial" w:hAnsi="Arial"/>
          <w:sz w:val="13"/>
          <w:szCs w:val="13"/>
          <w:color w:val="105EAB"/>
        </w:rPr>
      </w:pPr>
      <w:r>
        <w:rPr>
          <w:rFonts w:ascii="Arial" w:cs="Arial" w:eastAsia="Arial" w:hAnsi="Arial"/>
          <w:sz w:val="13"/>
          <w:szCs w:val="13"/>
          <w:color w:val="auto"/>
        </w:rPr>
        <w:t>Expert in public company succession planning, human capital management, and executive compensation across a wide range of industries.</w:t>
      </w:r>
    </w:p>
    <w:p>
      <w:pPr>
        <w:spacing w:after="0" w:line="56" w:lineRule="exact"/>
        <w:rPr>
          <w:rFonts w:ascii="Arial" w:cs="Arial" w:eastAsia="Arial" w:hAnsi="Arial"/>
          <w:sz w:val="13"/>
          <w:szCs w:val="13"/>
          <w:color w:val="105EAB"/>
        </w:rPr>
      </w:pPr>
    </w:p>
    <w:p>
      <w:pPr>
        <w:ind w:left="280" w:right="600" w:hanging="271"/>
        <w:spacing w:after="0" w:line="258" w:lineRule="auto"/>
        <w:tabs>
          <w:tab w:leader="none" w:pos="269" w:val="left"/>
        </w:tabs>
        <w:numPr>
          <w:ilvl w:val="0"/>
          <w:numId w:val="78"/>
        </w:numPr>
        <w:rPr>
          <w:rFonts w:ascii="Arial" w:cs="Arial" w:eastAsia="Arial" w:hAnsi="Arial"/>
          <w:sz w:val="13"/>
          <w:szCs w:val="13"/>
          <w:color w:val="105EAB"/>
        </w:rPr>
      </w:pPr>
      <w:r>
        <w:rPr>
          <w:rFonts w:ascii="Arial" w:cs="Arial" w:eastAsia="Arial" w:hAnsi="Arial"/>
          <w:sz w:val="13"/>
          <w:szCs w:val="13"/>
          <w:color w:val="auto"/>
        </w:rPr>
        <w:t>Substantial experience in financial services leadership selection and executive development.</w:t>
      </w:r>
    </w:p>
    <w:p>
      <w:pPr>
        <w:spacing w:after="0" w:line="42" w:lineRule="exact"/>
        <w:rPr>
          <w:rFonts w:ascii="Arial" w:cs="Arial" w:eastAsia="Arial" w:hAnsi="Arial"/>
          <w:sz w:val="13"/>
          <w:szCs w:val="13"/>
          <w:color w:val="105EAB"/>
        </w:rPr>
      </w:pPr>
    </w:p>
    <w:p>
      <w:pPr>
        <w:ind w:left="280" w:right="180" w:hanging="271"/>
        <w:spacing w:after="0" w:line="258" w:lineRule="auto"/>
        <w:tabs>
          <w:tab w:leader="none" w:pos="269" w:val="left"/>
        </w:tabs>
        <w:numPr>
          <w:ilvl w:val="0"/>
          <w:numId w:val="78"/>
        </w:numPr>
        <w:rPr>
          <w:rFonts w:ascii="Arial" w:cs="Arial" w:eastAsia="Arial" w:hAnsi="Arial"/>
          <w:sz w:val="13"/>
          <w:szCs w:val="13"/>
          <w:color w:val="105EAB"/>
        </w:rPr>
      </w:pPr>
      <w:r>
        <w:rPr>
          <w:rFonts w:ascii="Arial" w:cs="Arial" w:eastAsia="Arial" w:hAnsi="Arial"/>
          <w:sz w:val="13"/>
          <w:szCs w:val="13"/>
          <w:color w:val="auto"/>
        </w:rPr>
        <w:t>Extensive experience in assessing required board capabilities and evaluating director candidates.</w:t>
      </w:r>
    </w:p>
    <w:p>
      <w:pPr>
        <w:spacing w:after="0" w:line="175" w:lineRule="exact"/>
        <w:rPr>
          <w:sz w:val="20"/>
          <w:szCs w:val="20"/>
          <w:color w:val="auto"/>
        </w:rPr>
      </w:pPr>
    </w:p>
    <w:p>
      <w:pPr>
        <w:ind w:right="700"/>
        <w:spacing w:after="0" w:line="284" w:lineRule="auto"/>
        <w:rPr>
          <w:sz w:val="20"/>
          <w:szCs w:val="20"/>
          <w:color w:val="auto"/>
        </w:rPr>
      </w:pPr>
      <w:r>
        <w:rPr>
          <w:rFonts w:ascii="Arial" w:cs="Arial" w:eastAsia="Arial" w:hAnsi="Arial"/>
          <w:sz w:val="13"/>
          <w:szCs w:val="13"/>
          <w:b w:val="1"/>
          <w:bCs w:val="1"/>
          <w:color w:val="39B6E9"/>
        </w:rPr>
        <w:t>Andrea’s insights and judgment on leadership helped companies and high-performance organizations execute their corporate strategies.</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b w:val="1"/>
          <w:bCs w:val="1"/>
          <w:color w:val="105EAB"/>
        </w:rPr>
        <w:t>Other Public Board Service</w:t>
      </w:r>
    </w:p>
    <w:p>
      <w:pPr>
        <w:spacing w:after="0" w:line="15" w:lineRule="exact"/>
        <w:rPr>
          <w:sz w:val="20"/>
          <w:szCs w:val="20"/>
          <w:color w:val="auto"/>
        </w:rPr>
      </w:pPr>
    </w:p>
    <w:p>
      <w:pPr>
        <w:ind w:left="260" w:hanging="251"/>
        <w:spacing w:after="0"/>
        <w:tabs>
          <w:tab w:leader="none" w:pos="260" w:val="left"/>
        </w:tabs>
        <w:numPr>
          <w:ilvl w:val="0"/>
          <w:numId w:val="79"/>
        </w:numPr>
        <w:rPr>
          <w:rFonts w:ascii="Arial" w:cs="Arial" w:eastAsia="Arial" w:hAnsi="Arial"/>
          <w:sz w:val="13"/>
          <w:szCs w:val="13"/>
          <w:color w:val="105EAB"/>
        </w:rPr>
      </w:pPr>
      <w:r>
        <w:rPr>
          <w:rFonts w:ascii="Arial" w:cs="Arial" w:eastAsia="Arial" w:hAnsi="Arial"/>
          <w:sz w:val="13"/>
          <w:szCs w:val="13"/>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307975</wp:posOffset>
            </wp:positionV>
            <wp:extent cx="3512185" cy="19100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512185" cy="19100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60" w:space="420"/>
            <w:col w:w="5540"/>
          </w:cols>
          <w:pgMar w:left="240" w:top="121" w:right="239" w:bottom="1440" w:gutter="0" w:footer="0" w:header="0"/>
        </w:sectPr>
      </w:pP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105EAB"/>
        </w:rPr>
        <w:t>Allstate Board Service</w:t>
      </w:r>
    </w:p>
    <w:p>
      <w:pPr>
        <w:spacing w:after="0" w:line="26"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 xml:space="preserve">Director since 2015 </w:t>
      </w:r>
      <w:r>
        <w:rPr>
          <w:rFonts w:ascii="Arial" w:cs="Arial" w:eastAsia="Arial" w:hAnsi="Arial"/>
          <w:sz w:val="13"/>
          <w:szCs w:val="13"/>
          <w:color w:val="auto"/>
        </w:rPr>
        <w:t>(3 years of tenure)</w:t>
      </w:r>
    </w:p>
    <w:p>
      <w:pPr>
        <w:spacing w:after="0" w:line="200"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105EAB"/>
        </w:rPr>
        <w:t>Committee Assignments and Rationale</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3"/>
          <w:szCs w:val="13"/>
          <w:color w:val="105EAB"/>
        </w:rPr>
        <w:t>Nominating and Governance Committee</w:t>
      </w:r>
    </w:p>
    <w:p>
      <w:pPr>
        <w:ind w:left="380" w:right="157" w:hanging="264"/>
        <w:spacing w:after="0" w:line="258" w:lineRule="auto"/>
        <w:tabs>
          <w:tab w:leader="none" w:pos="369" w:val="left"/>
        </w:tabs>
        <w:numPr>
          <w:ilvl w:val="0"/>
          <w:numId w:val="80"/>
        </w:numPr>
        <w:rPr>
          <w:rFonts w:ascii="Arial" w:cs="Arial" w:eastAsia="Arial" w:hAnsi="Arial"/>
          <w:sz w:val="13"/>
          <w:szCs w:val="13"/>
          <w:color w:val="105EAB"/>
        </w:rPr>
      </w:pPr>
      <w:r>
        <w:rPr>
          <w:rFonts w:ascii="Arial" w:cs="Arial" w:eastAsia="Arial" w:hAnsi="Arial"/>
          <w:sz w:val="13"/>
          <w:szCs w:val="13"/>
          <w:color w:val="auto"/>
        </w:rPr>
        <w:t>Investor perspective on corporate governance as a result of asset management expertise.</w:t>
      </w:r>
    </w:p>
    <w:p>
      <w:pPr>
        <w:spacing w:after="0" w:line="42" w:lineRule="exact"/>
        <w:rPr>
          <w:rFonts w:ascii="Arial" w:cs="Arial" w:eastAsia="Arial" w:hAnsi="Arial"/>
          <w:sz w:val="13"/>
          <w:szCs w:val="13"/>
          <w:color w:val="105EAB"/>
        </w:rPr>
      </w:pPr>
    </w:p>
    <w:p>
      <w:pPr>
        <w:ind w:left="380" w:right="57" w:hanging="264"/>
        <w:spacing w:after="0" w:line="258" w:lineRule="auto"/>
        <w:tabs>
          <w:tab w:leader="none" w:pos="369" w:val="left"/>
        </w:tabs>
        <w:numPr>
          <w:ilvl w:val="0"/>
          <w:numId w:val="80"/>
        </w:numPr>
        <w:rPr>
          <w:rFonts w:ascii="Arial" w:cs="Arial" w:eastAsia="Arial" w:hAnsi="Arial"/>
          <w:sz w:val="13"/>
          <w:szCs w:val="13"/>
          <w:color w:val="105EAB"/>
        </w:rPr>
      </w:pPr>
      <w:r>
        <w:rPr>
          <w:rFonts w:ascii="Arial" w:cs="Arial" w:eastAsia="Arial" w:hAnsi="Arial"/>
          <w:sz w:val="13"/>
          <w:szCs w:val="13"/>
          <w:color w:val="auto"/>
        </w:rPr>
        <w:t>Significant governance experience as President of Geode Capital, which involved interlocking financial and operating relationships.</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3"/>
          <w:szCs w:val="13"/>
          <w:color w:val="105EAB"/>
        </w:rPr>
        <w:t>Risk and Return Committee</w:t>
      </w:r>
    </w:p>
    <w:p>
      <w:pPr>
        <w:ind w:left="380" w:right="137" w:hanging="264"/>
        <w:spacing w:after="0" w:line="258" w:lineRule="auto"/>
        <w:tabs>
          <w:tab w:leader="none" w:pos="369" w:val="left"/>
        </w:tabs>
        <w:numPr>
          <w:ilvl w:val="0"/>
          <w:numId w:val="81"/>
        </w:numPr>
        <w:rPr>
          <w:rFonts w:ascii="Arial" w:cs="Arial" w:eastAsia="Arial" w:hAnsi="Arial"/>
          <w:sz w:val="13"/>
          <w:szCs w:val="13"/>
          <w:color w:val="105EAB"/>
        </w:rPr>
      </w:pPr>
      <w:r>
        <w:rPr>
          <w:rFonts w:ascii="Arial" w:cs="Arial" w:eastAsia="Arial" w:hAnsi="Arial"/>
          <w:sz w:val="13"/>
          <w:szCs w:val="13"/>
          <w:color w:val="auto"/>
        </w:rPr>
        <w:t>Significant experience in management and oversight of risk for three large asset management firms.</w:t>
      </w:r>
    </w:p>
    <w:p>
      <w:pPr>
        <w:spacing w:after="0" w:line="56" w:lineRule="exact"/>
        <w:rPr>
          <w:rFonts w:ascii="Arial" w:cs="Arial" w:eastAsia="Arial" w:hAnsi="Arial"/>
          <w:sz w:val="13"/>
          <w:szCs w:val="13"/>
          <w:color w:val="105EAB"/>
        </w:rPr>
      </w:pPr>
    </w:p>
    <w:p>
      <w:pPr>
        <w:ind w:left="380" w:hanging="264"/>
        <w:spacing w:after="0"/>
        <w:tabs>
          <w:tab w:leader="none" w:pos="380" w:val="left"/>
        </w:tabs>
        <w:numPr>
          <w:ilvl w:val="0"/>
          <w:numId w:val="81"/>
        </w:numPr>
        <w:rPr>
          <w:rFonts w:ascii="Arial" w:cs="Arial" w:eastAsia="Arial" w:hAnsi="Arial"/>
          <w:sz w:val="13"/>
          <w:szCs w:val="13"/>
          <w:color w:val="105EAB"/>
        </w:rPr>
      </w:pPr>
      <w:r>
        <w:rPr>
          <w:rFonts w:ascii="Arial" w:cs="Arial" w:eastAsia="Arial" w:hAnsi="Arial"/>
          <w:sz w:val="13"/>
          <w:szCs w:val="13"/>
          <w:color w:val="auto"/>
        </w:rPr>
        <w:t>Current trustee of several mutual funds.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ind w:left="423"/>
        <w:spacing w:after="0"/>
        <w:rPr>
          <w:sz w:val="20"/>
          <w:szCs w:val="20"/>
          <w:color w:val="auto"/>
        </w:rPr>
      </w:pPr>
      <w:r>
        <w:rPr>
          <w:rFonts w:ascii="Arial" w:cs="Arial" w:eastAsia="Arial" w:hAnsi="Arial"/>
          <w:sz w:val="18"/>
          <w:szCs w:val="18"/>
          <w:b w:val="1"/>
          <w:bCs w:val="1"/>
          <w:color w:val="105EAB"/>
        </w:rPr>
        <w:t>Allstate Board Service</w:t>
      </w:r>
    </w:p>
    <w:p>
      <w:pPr>
        <w:spacing w:after="0" w:line="14"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auto"/>
        </w:rPr>
        <w:t xml:space="preserve">Director since 2010 </w:t>
      </w:r>
      <w:r>
        <w:rPr>
          <w:rFonts w:ascii="Arial" w:cs="Arial" w:eastAsia="Arial" w:hAnsi="Arial"/>
          <w:sz w:val="13"/>
          <w:szCs w:val="13"/>
          <w:color w:val="auto"/>
        </w:rPr>
        <w:t>(9 years of tenure)</w:t>
      </w:r>
    </w:p>
    <w:p>
      <w:pPr>
        <w:spacing w:after="0" w:line="199"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105EAB"/>
        </w:rPr>
        <w:t>Committee Assignments and Rationale</w:t>
      </w:r>
    </w:p>
    <w:p>
      <w:pPr>
        <w:spacing w:after="0" w:line="14" w:lineRule="exact"/>
        <w:rPr>
          <w:sz w:val="20"/>
          <w:szCs w:val="20"/>
          <w:color w:val="auto"/>
        </w:rPr>
      </w:pPr>
    </w:p>
    <w:p>
      <w:pPr>
        <w:ind w:left="3"/>
        <w:spacing w:after="0"/>
        <w:rPr>
          <w:sz w:val="20"/>
          <w:szCs w:val="20"/>
          <w:color w:val="auto"/>
        </w:rPr>
      </w:pPr>
      <w:r>
        <w:rPr>
          <w:rFonts w:ascii="Arial" w:cs="Arial" w:eastAsia="Arial" w:hAnsi="Arial"/>
          <w:sz w:val="13"/>
          <w:szCs w:val="13"/>
          <w:color w:val="105EAB"/>
        </w:rPr>
        <w:t xml:space="preserve">Nominating and Governance Committee </w:t>
      </w:r>
      <w:r>
        <w:rPr>
          <w:rFonts w:ascii="Arial" w:cs="Arial" w:eastAsia="Arial" w:hAnsi="Arial"/>
          <w:sz w:val="13"/>
          <w:szCs w:val="13"/>
          <w:b w:val="1"/>
          <w:bCs w:val="1"/>
          <w:color w:val="105EAB"/>
        </w:rPr>
        <w:t>(Chair)</w:t>
      </w:r>
    </w:p>
    <w:p>
      <w:pPr>
        <w:ind w:left="263" w:right="620" w:hanging="263"/>
        <w:spacing w:after="0" w:line="258" w:lineRule="auto"/>
        <w:tabs>
          <w:tab w:leader="none" w:pos="252" w:val="left"/>
        </w:tabs>
        <w:numPr>
          <w:ilvl w:val="0"/>
          <w:numId w:val="82"/>
        </w:numPr>
        <w:rPr>
          <w:rFonts w:ascii="Arial" w:cs="Arial" w:eastAsia="Arial" w:hAnsi="Arial"/>
          <w:sz w:val="13"/>
          <w:szCs w:val="13"/>
          <w:color w:val="105EAB"/>
        </w:rPr>
      </w:pPr>
      <w:r>
        <w:rPr>
          <w:rFonts w:ascii="Arial" w:cs="Arial" w:eastAsia="Arial" w:hAnsi="Arial"/>
          <w:sz w:val="13"/>
          <w:szCs w:val="13"/>
          <w:color w:val="auto"/>
        </w:rPr>
        <w:t>Significant expertise recruiting and evaluating directors for a variety of public companies.</w:t>
      </w:r>
    </w:p>
    <w:p>
      <w:pPr>
        <w:spacing w:after="0" w:line="42" w:lineRule="exact"/>
        <w:rPr>
          <w:rFonts w:ascii="Arial" w:cs="Arial" w:eastAsia="Arial" w:hAnsi="Arial"/>
          <w:sz w:val="13"/>
          <w:szCs w:val="13"/>
          <w:color w:val="105EAB"/>
        </w:rPr>
      </w:pPr>
    </w:p>
    <w:p>
      <w:pPr>
        <w:ind w:left="263" w:right="140" w:hanging="263"/>
        <w:spacing w:after="0" w:line="248" w:lineRule="auto"/>
        <w:tabs>
          <w:tab w:leader="none" w:pos="252" w:val="left"/>
        </w:tabs>
        <w:numPr>
          <w:ilvl w:val="0"/>
          <w:numId w:val="82"/>
        </w:numPr>
        <w:rPr>
          <w:rFonts w:ascii="Arial" w:cs="Arial" w:eastAsia="Arial" w:hAnsi="Arial"/>
          <w:sz w:val="13"/>
          <w:szCs w:val="13"/>
          <w:color w:val="105EAB"/>
        </w:rPr>
      </w:pPr>
      <w:r>
        <w:rPr>
          <w:rFonts w:ascii="Arial" w:cs="Arial" w:eastAsia="Arial" w:hAnsi="Arial"/>
          <w:sz w:val="13"/>
          <w:szCs w:val="13"/>
          <w:color w:val="auto"/>
        </w:rPr>
        <w:t>A senior partner at a highly regarded global executive search firm, Russell Reynolds Associates, from 1986 to 2007, including significant tenure as co-head of the CEO/board services practice.</w:t>
      </w:r>
    </w:p>
    <w:p>
      <w:pPr>
        <w:spacing w:after="0" w:line="196" w:lineRule="exact"/>
        <w:rPr>
          <w:sz w:val="20"/>
          <w:szCs w:val="20"/>
          <w:color w:val="auto"/>
        </w:rPr>
      </w:pPr>
    </w:p>
    <w:p>
      <w:pPr>
        <w:ind w:left="3"/>
        <w:spacing w:after="0"/>
        <w:rPr>
          <w:sz w:val="20"/>
          <w:szCs w:val="20"/>
          <w:color w:val="auto"/>
        </w:rPr>
      </w:pPr>
      <w:r>
        <w:rPr>
          <w:rFonts w:ascii="Arial" w:cs="Arial" w:eastAsia="Arial" w:hAnsi="Arial"/>
          <w:sz w:val="13"/>
          <w:szCs w:val="13"/>
          <w:color w:val="105EAB"/>
        </w:rPr>
        <w:t>Compensation and Succession Committee</w:t>
      </w:r>
    </w:p>
    <w:p>
      <w:pPr>
        <w:ind w:left="263" w:right="680" w:hanging="263"/>
        <w:spacing w:after="0" w:line="258" w:lineRule="auto"/>
        <w:tabs>
          <w:tab w:leader="none" w:pos="252" w:val="left"/>
        </w:tabs>
        <w:numPr>
          <w:ilvl w:val="0"/>
          <w:numId w:val="83"/>
        </w:numPr>
        <w:rPr>
          <w:rFonts w:ascii="Arial" w:cs="Arial" w:eastAsia="Arial" w:hAnsi="Arial"/>
          <w:sz w:val="13"/>
          <w:szCs w:val="13"/>
          <w:color w:val="105EAB"/>
        </w:rPr>
      </w:pPr>
      <w:r>
        <w:rPr>
          <w:rFonts w:ascii="Arial" w:cs="Arial" w:eastAsia="Arial" w:hAnsi="Arial"/>
          <w:sz w:val="13"/>
          <w:szCs w:val="13"/>
          <w:color w:val="auto"/>
        </w:rPr>
        <w:t>Experience in executive recruiting, succession planning, and human capital management.</w:t>
      </w:r>
    </w:p>
    <w:p>
      <w:pPr>
        <w:spacing w:after="0" w:line="56" w:lineRule="exact"/>
        <w:rPr>
          <w:rFonts w:ascii="Arial" w:cs="Arial" w:eastAsia="Arial" w:hAnsi="Arial"/>
          <w:sz w:val="13"/>
          <w:szCs w:val="13"/>
          <w:color w:val="105EAB"/>
        </w:rPr>
      </w:pPr>
    </w:p>
    <w:p>
      <w:pPr>
        <w:ind w:left="263" w:right="300" w:hanging="263"/>
        <w:spacing w:after="0" w:line="258" w:lineRule="auto"/>
        <w:tabs>
          <w:tab w:leader="none" w:pos="252" w:val="left"/>
        </w:tabs>
        <w:numPr>
          <w:ilvl w:val="0"/>
          <w:numId w:val="83"/>
        </w:numPr>
        <w:rPr>
          <w:rFonts w:ascii="Arial" w:cs="Arial" w:eastAsia="Arial" w:hAnsi="Arial"/>
          <w:sz w:val="13"/>
          <w:szCs w:val="13"/>
          <w:color w:val="105EAB"/>
        </w:rPr>
      </w:pPr>
      <w:r>
        <w:rPr>
          <w:rFonts w:ascii="Arial" w:cs="Arial" w:eastAsia="Arial" w:hAnsi="Arial"/>
          <w:sz w:val="13"/>
          <w:szCs w:val="13"/>
          <w:color w:val="auto"/>
        </w:rPr>
        <w:t>Extensive experience working with numerous publicly traded companies to recruit and place senior executives.</w:t>
      </w:r>
    </w:p>
    <w:p>
      <w:pPr>
        <w:spacing w:after="0" w:line="283" w:lineRule="exact"/>
        <w:rPr>
          <w:sz w:val="20"/>
          <w:szCs w:val="20"/>
          <w:color w:val="auto"/>
        </w:rPr>
      </w:pPr>
    </w:p>
    <w:tbl>
      <w:tblPr>
        <w:tblLayout w:type="fixed"/>
        <w:tblInd w:w="3643" w:type="dxa"/>
        <w:tblCellMar>
          <w:top w:w="0" w:type="dxa"/>
          <w:left w:w="0" w:type="dxa"/>
          <w:bottom w:w="0" w:type="dxa"/>
          <w:right w:w="0" w:type="dxa"/>
        </w:tblCellMar>
      </w:tblPr>
      <w:tr>
        <w:trPr>
          <w:trHeight w:val="178"/>
        </w:trPr>
        <w:tc>
          <w:tcPr>
            <w:tcW w:w="1480" w:type="dxa"/>
            <w:vAlign w:val="bottom"/>
          </w:tcPr>
          <w:p>
            <w:pPr>
              <w:spacing w:after="0"/>
              <w:rPr>
                <w:sz w:val="20"/>
                <w:szCs w:val="20"/>
                <w:color w:val="auto"/>
              </w:rPr>
            </w:pPr>
            <w:r>
              <w:rPr>
                <w:rFonts w:ascii="Arial" w:cs="Arial" w:eastAsia="Arial" w:hAnsi="Arial"/>
                <w:sz w:val="13"/>
                <w:szCs w:val="13"/>
                <w:color w:val="105EAB"/>
              </w:rPr>
              <w:t>2019 Proxy Statement</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105EAB"/>
              </w:rPr>
              <w:t>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-3804920</wp:posOffset>
            </wp:positionH>
            <wp:positionV relativeFrom="paragraph">
              <wp:posOffset>127000</wp:posOffset>
            </wp:positionV>
            <wp:extent cx="7268210" cy="209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2">
            <w:col w:w="5277" w:space="720"/>
            <w:col w:w="5423"/>
          </w:cols>
          <w:pgMar w:left="240" w:top="121" w:right="23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b w:val="1"/>
          <w:bCs w:val="1"/>
          <w:color w:val="105EAB"/>
        </w:rPr>
        <w:t xml:space="preserve">Corporate Governance | </w:t>
      </w:r>
      <w:r>
        <w:rPr>
          <w:rFonts w:ascii="Arial" w:cs="Arial" w:eastAsia="Arial" w:hAnsi="Arial"/>
          <w:sz w:val="13"/>
          <w:szCs w:val="13"/>
          <w:b w:val="1"/>
          <w:bCs w:val="1"/>
          <w:color w:val="000000"/>
        </w:rPr>
        <w:t>Proposal 1</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color w:val="105EAB"/>
        </w:rPr>
        <w:t>Gregg M. Sherrill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2926080</wp:posOffset>
            </wp:positionH>
            <wp:positionV relativeFrom="paragraph">
              <wp:posOffset>-113665</wp:posOffset>
            </wp:positionV>
            <wp:extent cx="582295" cy="5822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82295" cy="58229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39B6E9"/>
        </w:rPr>
        <w:t>Independent</w:t>
      </w:r>
    </w:p>
    <w:p>
      <w:pPr>
        <w:spacing w:after="0"/>
        <w:rPr>
          <w:sz w:val="20"/>
          <w:szCs w:val="20"/>
          <w:color w:val="auto"/>
        </w:rPr>
      </w:pPr>
      <w:r>
        <w:rPr>
          <w:rFonts w:ascii="Arial" w:cs="Arial" w:eastAsia="Arial" w:hAnsi="Arial"/>
          <w:sz w:val="13"/>
          <w:szCs w:val="13"/>
          <w:b w:val="1"/>
          <w:bCs w:val="1"/>
          <w:color w:val="auto"/>
        </w:rPr>
        <w:t xml:space="preserve">Age </w:t>
      </w:r>
      <w:r>
        <w:rPr>
          <w:rFonts w:ascii="Arial" w:cs="Arial" w:eastAsia="Arial" w:hAnsi="Arial"/>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28524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852420" cy="8255"/>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105EAB"/>
        </w:rPr>
        <w:t>Professional Experience</w:t>
      </w:r>
    </w:p>
    <w:p>
      <w:pPr>
        <w:spacing w:after="0" w:line="14" w:lineRule="exact"/>
        <w:rPr>
          <w:sz w:val="20"/>
          <w:szCs w:val="20"/>
          <w:color w:val="auto"/>
        </w:rPr>
      </w:pPr>
    </w:p>
    <w:p>
      <w:pPr>
        <w:ind w:left="280" w:right="260" w:hanging="272"/>
        <w:spacing w:after="0" w:line="258" w:lineRule="auto"/>
        <w:tabs>
          <w:tab w:leader="none" w:pos="269" w:val="left"/>
        </w:tabs>
        <w:numPr>
          <w:ilvl w:val="0"/>
          <w:numId w:val="84"/>
        </w:numPr>
        <w:rPr>
          <w:rFonts w:ascii="Arial" w:cs="Arial" w:eastAsia="Arial" w:hAnsi="Arial"/>
          <w:sz w:val="13"/>
          <w:szCs w:val="13"/>
          <w:color w:val="105EAB"/>
        </w:rPr>
      </w:pPr>
      <w:r>
        <w:rPr>
          <w:rFonts w:ascii="Arial" w:cs="Arial" w:eastAsia="Arial" w:hAnsi="Arial"/>
          <w:sz w:val="13"/>
          <w:szCs w:val="13"/>
          <w:color w:val="auto"/>
        </w:rPr>
        <w:t>Current non-executive Chairman, and former Chairman and CEO of Tenneco Inc., a producer of automotive emission control and ride control products and systems.</w:t>
      </w:r>
    </w:p>
    <w:p>
      <w:pPr>
        <w:spacing w:after="0" w:line="42" w:lineRule="exact"/>
        <w:rPr>
          <w:rFonts w:ascii="Arial" w:cs="Arial" w:eastAsia="Arial" w:hAnsi="Arial"/>
          <w:sz w:val="13"/>
          <w:szCs w:val="13"/>
          <w:color w:val="105EAB"/>
        </w:rPr>
      </w:pPr>
    </w:p>
    <w:p>
      <w:pPr>
        <w:ind w:left="280" w:hanging="272"/>
        <w:spacing w:after="0" w:line="258" w:lineRule="auto"/>
        <w:tabs>
          <w:tab w:leader="none" w:pos="269" w:val="left"/>
        </w:tabs>
        <w:numPr>
          <w:ilvl w:val="0"/>
          <w:numId w:val="84"/>
        </w:numPr>
        <w:rPr>
          <w:rFonts w:ascii="Arial" w:cs="Arial" w:eastAsia="Arial" w:hAnsi="Arial"/>
          <w:sz w:val="13"/>
          <w:szCs w:val="13"/>
          <w:color w:val="105EAB"/>
        </w:rPr>
      </w:pPr>
      <w:r>
        <w:rPr>
          <w:rFonts w:ascii="Arial" w:cs="Arial" w:eastAsia="Arial" w:hAnsi="Arial"/>
          <w:sz w:val="13"/>
          <w:szCs w:val="13"/>
          <w:color w:val="auto"/>
        </w:rPr>
        <w:t>Former Corporate Vice President and President of Power Solutions at Johnson Controls Inc., a global diversified technology and industrial company.</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b w:val="1"/>
          <w:bCs w:val="1"/>
          <w:color w:val="105EAB"/>
        </w:rPr>
        <w:t>Relevant Skills</w:t>
      </w:r>
    </w:p>
    <w:p>
      <w:pPr>
        <w:spacing w:after="0" w:line="15" w:lineRule="exact"/>
        <w:rPr>
          <w:sz w:val="20"/>
          <w:szCs w:val="20"/>
          <w:color w:val="auto"/>
        </w:rPr>
      </w:pPr>
    </w:p>
    <w:p>
      <w:pPr>
        <w:ind w:left="280" w:right="80" w:hanging="272"/>
        <w:spacing w:after="0" w:line="248" w:lineRule="auto"/>
        <w:tabs>
          <w:tab w:leader="none" w:pos="269" w:val="left"/>
        </w:tabs>
        <w:numPr>
          <w:ilvl w:val="0"/>
          <w:numId w:val="85"/>
        </w:numPr>
        <w:rPr>
          <w:rFonts w:ascii="Arial" w:cs="Arial" w:eastAsia="Arial" w:hAnsi="Arial"/>
          <w:sz w:val="13"/>
          <w:szCs w:val="13"/>
          <w:color w:val="105EAB"/>
        </w:rPr>
      </w:pPr>
      <w:r>
        <w:rPr>
          <w:rFonts w:ascii="Arial" w:cs="Arial" w:eastAsia="Arial" w:hAnsi="Arial"/>
          <w:sz w:val="13"/>
          <w:szCs w:val="13"/>
          <w:color w:val="auto"/>
        </w:rPr>
        <w:t>Extensive operational and strategic experience in the automotive industry as Chair and CEO at Tenneco, which provides valuable insights into Allstate’s strategic discussions related to the rapid changes in the personal transportation system.</w:t>
      </w:r>
    </w:p>
    <w:p>
      <w:pPr>
        <w:spacing w:after="0" w:line="62" w:lineRule="exact"/>
        <w:rPr>
          <w:rFonts w:ascii="Arial" w:cs="Arial" w:eastAsia="Arial" w:hAnsi="Arial"/>
          <w:sz w:val="13"/>
          <w:szCs w:val="13"/>
          <w:color w:val="105EAB"/>
        </w:rPr>
      </w:pPr>
    </w:p>
    <w:p>
      <w:pPr>
        <w:ind w:left="280" w:right="280" w:hanging="272"/>
        <w:spacing w:after="0" w:line="258" w:lineRule="auto"/>
        <w:tabs>
          <w:tab w:leader="none" w:pos="269" w:val="left"/>
        </w:tabs>
        <w:numPr>
          <w:ilvl w:val="0"/>
          <w:numId w:val="85"/>
        </w:numPr>
        <w:rPr>
          <w:rFonts w:ascii="Arial" w:cs="Arial" w:eastAsia="Arial" w:hAnsi="Arial"/>
          <w:sz w:val="13"/>
          <w:szCs w:val="13"/>
          <w:color w:val="105EAB"/>
        </w:rPr>
      </w:pPr>
      <w:r>
        <w:rPr>
          <w:rFonts w:ascii="Arial" w:cs="Arial" w:eastAsia="Arial" w:hAnsi="Arial"/>
          <w:sz w:val="13"/>
          <w:szCs w:val="13"/>
          <w:color w:val="auto"/>
        </w:rPr>
        <w:t>Successful experience managing international operations as CEO at a global public company with employees in 23 countries.</w:t>
      </w:r>
    </w:p>
    <w:p>
      <w:pPr>
        <w:spacing w:after="0" w:line="175" w:lineRule="exact"/>
        <w:rPr>
          <w:sz w:val="20"/>
          <w:szCs w:val="20"/>
          <w:color w:val="auto"/>
        </w:rPr>
      </w:pPr>
    </w:p>
    <w:p>
      <w:pPr>
        <w:ind w:right="120"/>
        <w:spacing w:after="0" w:line="284" w:lineRule="auto"/>
        <w:rPr>
          <w:sz w:val="20"/>
          <w:szCs w:val="20"/>
          <w:color w:val="auto"/>
        </w:rPr>
      </w:pPr>
      <w:r>
        <w:rPr>
          <w:rFonts w:ascii="Arial" w:cs="Arial" w:eastAsia="Arial" w:hAnsi="Arial"/>
          <w:sz w:val="13"/>
          <w:szCs w:val="13"/>
          <w:b w:val="1"/>
          <w:bCs w:val="1"/>
          <w:color w:val="39B6E9"/>
        </w:rPr>
        <w:t>Gregg created the strategies and implemented operating plans to increase revenues and profitability during his tenure at Tenneco.</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b w:val="1"/>
          <w:bCs w:val="1"/>
          <w:color w:val="105EAB"/>
        </w:rPr>
        <w:t>Other Public Board Service</w:t>
      </w:r>
    </w:p>
    <w:p>
      <w:pPr>
        <w:spacing w:after="0" w:line="15" w:lineRule="exact"/>
        <w:rPr>
          <w:sz w:val="20"/>
          <w:szCs w:val="20"/>
          <w:color w:val="auto"/>
        </w:rPr>
      </w:pPr>
    </w:p>
    <w:p>
      <w:pPr>
        <w:ind w:left="260" w:hanging="252"/>
        <w:spacing w:after="0"/>
        <w:tabs>
          <w:tab w:leader="none" w:pos="260" w:val="left"/>
        </w:tabs>
        <w:numPr>
          <w:ilvl w:val="0"/>
          <w:numId w:val="86"/>
        </w:numPr>
        <w:rPr>
          <w:rFonts w:ascii="Arial" w:cs="Arial" w:eastAsia="Arial" w:hAnsi="Arial"/>
          <w:sz w:val="13"/>
          <w:szCs w:val="13"/>
          <w:color w:val="105EAB"/>
        </w:rPr>
      </w:pPr>
      <w:r>
        <w:rPr>
          <w:rFonts w:ascii="Arial" w:cs="Arial" w:eastAsia="Arial" w:hAnsi="Arial"/>
          <w:sz w:val="13"/>
          <w:szCs w:val="13"/>
          <w:color w:val="auto"/>
        </w:rPr>
        <w:t>Snap-on Inc. (2010–present)</w:t>
      </w:r>
    </w:p>
    <w:p>
      <w:pPr>
        <w:spacing w:after="0" w:line="66" w:lineRule="exact"/>
        <w:rPr>
          <w:rFonts w:ascii="Arial" w:cs="Arial" w:eastAsia="Arial" w:hAnsi="Arial"/>
          <w:sz w:val="13"/>
          <w:szCs w:val="13"/>
          <w:color w:val="105EAB"/>
        </w:rPr>
      </w:pPr>
    </w:p>
    <w:p>
      <w:pPr>
        <w:ind w:left="260" w:hanging="252"/>
        <w:spacing w:after="0"/>
        <w:tabs>
          <w:tab w:leader="none" w:pos="260" w:val="left"/>
        </w:tabs>
        <w:numPr>
          <w:ilvl w:val="0"/>
          <w:numId w:val="86"/>
        </w:numPr>
        <w:rPr>
          <w:rFonts w:ascii="Arial" w:cs="Arial" w:eastAsia="Arial" w:hAnsi="Arial"/>
          <w:sz w:val="13"/>
          <w:szCs w:val="13"/>
          <w:color w:val="105EAB"/>
        </w:rPr>
      </w:pPr>
      <w:r>
        <w:rPr>
          <w:rFonts w:ascii="Arial" w:cs="Arial" w:eastAsia="Arial" w:hAnsi="Arial"/>
          <w:sz w:val="13"/>
          <w:szCs w:val="13"/>
          <w:color w:val="auto"/>
        </w:rPr>
        <w:t>Tenneco Inc. (2007–present)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307975</wp:posOffset>
            </wp:positionV>
            <wp:extent cx="3503295" cy="22783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503295" cy="22783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4"/>
        <w:spacing w:after="0"/>
        <w:rPr>
          <w:sz w:val="20"/>
          <w:szCs w:val="20"/>
          <w:color w:val="auto"/>
        </w:rPr>
      </w:pPr>
      <w:r>
        <w:rPr>
          <w:rFonts w:ascii="Arial" w:cs="Arial" w:eastAsia="Arial" w:hAnsi="Arial"/>
          <w:sz w:val="22"/>
          <w:szCs w:val="22"/>
          <w:b w:val="1"/>
          <w:bCs w:val="1"/>
          <w:color w:val="105EAB"/>
        </w:rPr>
        <w:t>Judith A. Sprieser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-156210</wp:posOffset>
            </wp:positionV>
            <wp:extent cx="8255" cy="29121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255" cy="2912110"/>
                    </a:xfrm>
                    <a:prstGeom prst="rect">
                      <a:avLst/>
                    </a:prstGeom>
                    <a:noFill/>
                  </pic:spPr>
                </pic:pic>
              </a:graphicData>
            </a:graphic>
          </wp:anchor>
        </w:drawing>
        <w:drawing>
          <wp:anchor simplePos="0" relativeHeight="251657728" behindDoc="1" locked="0" layoutInCell="0" allowOverlap="1">
            <wp:simplePos x="0" y="0"/>
            <wp:positionH relativeFrom="column">
              <wp:posOffset>2921000</wp:posOffset>
            </wp:positionH>
            <wp:positionV relativeFrom="paragraph">
              <wp:posOffset>-113665</wp:posOffset>
            </wp:positionV>
            <wp:extent cx="599440" cy="5822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99440" cy="582295"/>
                    </a:xfrm>
                    <a:prstGeom prst="rect">
                      <a:avLst/>
                    </a:prstGeom>
                    <a:noFill/>
                  </pic:spPr>
                </pic:pic>
              </a:graphicData>
            </a:graphic>
          </wp:anchor>
        </w:drawing>
      </w:r>
    </w:p>
    <w:p>
      <w:pPr>
        <w:ind w:left="4"/>
        <w:spacing w:after="0"/>
        <w:rPr>
          <w:sz w:val="20"/>
          <w:szCs w:val="20"/>
          <w:color w:val="auto"/>
        </w:rPr>
      </w:pPr>
      <w:r>
        <w:rPr>
          <w:rFonts w:ascii="Arial" w:cs="Arial" w:eastAsia="Arial" w:hAnsi="Arial"/>
          <w:sz w:val="18"/>
          <w:szCs w:val="18"/>
          <w:b w:val="1"/>
          <w:bCs w:val="1"/>
          <w:color w:val="39B6E9"/>
        </w:rPr>
        <w:t>Lead Independent Director</w:t>
      </w:r>
    </w:p>
    <w:p>
      <w:pPr>
        <w:ind w:left="4"/>
        <w:spacing w:after="0"/>
        <w:rPr>
          <w:sz w:val="20"/>
          <w:szCs w:val="20"/>
          <w:color w:val="auto"/>
        </w:rPr>
      </w:pPr>
      <w:r>
        <w:rPr>
          <w:rFonts w:ascii="Arial" w:cs="Arial" w:eastAsia="Arial" w:hAnsi="Arial"/>
          <w:sz w:val="13"/>
          <w:szCs w:val="13"/>
          <w:b w:val="1"/>
          <w:bCs w:val="1"/>
          <w:color w:val="auto"/>
        </w:rPr>
        <w:t xml:space="preserve">Age </w:t>
      </w:r>
      <w:r>
        <w:rPr>
          <w:rFonts w:ascii="Arial" w:cs="Arial" w:eastAsia="Arial" w:hAnsi="Arial"/>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42545</wp:posOffset>
            </wp:positionV>
            <wp:extent cx="28524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852420" cy="8255"/>
                    </a:xfrm>
                    <a:prstGeom prst="rect">
                      <a:avLst/>
                    </a:prstGeom>
                    <a:noFill/>
                  </pic:spPr>
                </pic:pic>
              </a:graphicData>
            </a:graphic>
          </wp:anchor>
        </w:drawing>
      </w:r>
    </w:p>
    <w:p>
      <w:pPr>
        <w:spacing w:after="0" w:line="15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105EAB"/>
        </w:rPr>
        <w:t>Professional Experience</w:t>
      </w:r>
    </w:p>
    <w:p>
      <w:pPr>
        <w:spacing w:after="0" w:line="14" w:lineRule="exact"/>
        <w:rPr>
          <w:sz w:val="20"/>
          <w:szCs w:val="20"/>
          <w:color w:val="auto"/>
        </w:rPr>
      </w:pPr>
    </w:p>
    <w:p>
      <w:pPr>
        <w:ind w:left="264" w:hanging="264"/>
        <w:spacing w:after="0"/>
        <w:tabs>
          <w:tab w:leader="none" w:pos="264" w:val="left"/>
        </w:tabs>
        <w:numPr>
          <w:ilvl w:val="0"/>
          <w:numId w:val="87"/>
        </w:numPr>
        <w:rPr>
          <w:rFonts w:ascii="Arial" w:cs="Arial" w:eastAsia="Arial" w:hAnsi="Arial"/>
          <w:sz w:val="13"/>
          <w:szCs w:val="13"/>
          <w:color w:val="105EAB"/>
        </w:rPr>
      </w:pPr>
      <w:r>
        <w:rPr>
          <w:rFonts w:ascii="Arial" w:cs="Arial" w:eastAsia="Arial" w:hAnsi="Arial"/>
          <w:sz w:val="13"/>
          <w:szCs w:val="13"/>
          <w:color w:val="auto"/>
        </w:rPr>
        <w:t>Former CEO of Transora Inc., a technology software and services company.</w:t>
      </w:r>
    </w:p>
    <w:p>
      <w:pPr>
        <w:spacing w:after="0" w:line="66" w:lineRule="exact"/>
        <w:rPr>
          <w:rFonts w:ascii="Arial" w:cs="Arial" w:eastAsia="Arial" w:hAnsi="Arial"/>
          <w:sz w:val="13"/>
          <w:szCs w:val="13"/>
          <w:color w:val="105EAB"/>
        </w:rPr>
      </w:pPr>
    </w:p>
    <w:p>
      <w:pPr>
        <w:ind w:left="264" w:hanging="264"/>
        <w:spacing w:after="0" w:line="258" w:lineRule="auto"/>
        <w:tabs>
          <w:tab w:leader="none" w:pos="254" w:val="left"/>
        </w:tabs>
        <w:numPr>
          <w:ilvl w:val="0"/>
          <w:numId w:val="87"/>
        </w:numPr>
        <w:rPr>
          <w:rFonts w:ascii="Arial" w:cs="Arial" w:eastAsia="Arial" w:hAnsi="Arial"/>
          <w:sz w:val="13"/>
          <w:szCs w:val="13"/>
          <w:color w:val="105EAB"/>
        </w:rPr>
      </w:pPr>
      <w:r>
        <w:rPr>
          <w:rFonts w:ascii="Arial" w:cs="Arial" w:eastAsia="Arial" w:hAnsi="Arial"/>
          <w:sz w:val="13"/>
          <w:szCs w:val="13"/>
          <w:color w:val="auto"/>
        </w:rPr>
        <w:t>Former CFO and other senior operating executive positions at Sara Lee Corporation, a global manufacturer and marketer of brand-name consumer goods.</w:t>
      </w:r>
    </w:p>
    <w:p>
      <w:pPr>
        <w:spacing w:after="0" w:line="56" w:lineRule="exact"/>
        <w:rPr>
          <w:rFonts w:ascii="Arial" w:cs="Arial" w:eastAsia="Arial" w:hAnsi="Arial"/>
          <w:sz w:val="13"/>
          <w:szCs w:val="13"/>
          <w:color w:val="105EAB"/>
        </w:rPr>
      </w:pPr>
    </w:p>
    <w:p>
      <w:pPr>
        <w:ind w:left="264" w:hanging="264"/>
        <w:spacing w:after="0"/>
        <w:tabs>
          <w:tab w:leader="none" w:pos="264" w:val="left"/>
        </w:tabs>
        <w:numPr>
          <w:ilvl w:val="0"/>
          <w:numId w:val="87"/>
        </w:numPr>
        <w:rPr>
          <w:rFonts w:ascii="Arial" w:cs="Arial" w:eastAsia="Arial" w:hAnsi="Arial"/>
          <w:sz w:val="13"/>
          <w:szCs w:val="13"/>
          <w:color w:val="105EAB"/>
        </w:rPr>
      </w:pPr>
      <w:r>
        <w:rPr>
          <w:rFonts w:ascii="Arial" w:cs="Arial" w:eastAsia="Arial" w:hAnsi="Arial"/>
          <w:sz w:val="13"/>
          <w:szCs w:val="13"/>
          <w:color w:val="auto"/>
        </w:rPr>
        <w:t>Former director at Royal Ahold NV, Experian, and Reckitt Benckiser Group plc.</w:t>
      </w:r>
    </w:p>
    <w:p>
      <w:pPr>
        <w:spacing w:after="0" w:line="199" w:lineRule="exact"/>
        <w:rPr>
          <w:sz w:val="20"/>
          <w:szCs w:val="20"/>
          <w:color w:val="auto"/>
        </w:rPr>
      </w:pPr>
    </w:p>
    <w:p>
      <w:pPr>
        <w:ind w:left="4"/>
        <w:spacing w:after="0"/>
        <w:rPr>
          <w:sz w:val="20"/>
          <w:szCs w:val="20"/>
          <w:color w:val="auto"/>
        </w:rPr>
      </w:pPr>
      <w:r>
        <w:rPr>
          <w:rFonts w:ascii="Arial" w:cs="Arial" w:eastAsia="Arial" w:hAnsi="Arial"/>
          <w:sz w:val="13"/>
          <w:szCs w:val="13"/>
          <w:b w:val="1"/>
          <w:bCs w:val="1"/>
          <w:color w:val="105EAB"/>
        </w:rPr>
        <w:t>Relevant Skills</w:t>
      </w:r>
    </w:p>
    <w:p>
      <w:pPr>
        <w:spacing w:after="0" w:line="15" w:lineRule="exact"/>
        <w:rPr>
          <w:sz w:val="20"/>
          <w:szCs w:val="20"/>
          <w:color w:val="auto"/>
        </w:rPr>
      </w:pPr>
    </w:p>
    <w:p>
      <w:pPr>
        <w:ind w:left="264" w:right="400" w:hanging="264"/>
        <w:spacing w:after="0" w:line="258" w:lineRule="auto"/>
        <w:tabs>
          <w:tab w:leader="none" w:pos="254" w:val="left"/>
        </w:tabs>
        <w:numPr>
          <w:ilvl w:val="0"/>
          <w:numId w:val="88"/>
        </w:numPr>
        <w:rPr>
          <w:rFonts w:ascii="Arial" w:cs="Arial" w:eastAsia="Arial" w:hAnsi="Arial"/>
          <w:sz w:val="13"/>
          <w:szCs w:val="13"/>
          <w:color w:val="105EAB"/>
        </w:rPr>
      </w:pPr>
      <w:r>
        <w:rPr>
          <w:rFonts w:ascii="Arial" w:cs="Arial" w:eastAsia="Arial" w:hAnsi="Arial"/>
          <w:sz w:val="13"/>
          <w:szCs w:val="13"/>
          <w:color w:val="auto"/>
        </w:rPr>
        <w:t>More than 20 years of operational experience in executive positions at Sara Lee Corporation and other consumer goods and services companies.</w:t>
      </w:r>
    </w:p>
    <w:p>
      <w:pPr>
        <w:spacing w:after="0" w:line="42" w:lineRule="exact"/>
        <w:rPr>
          <w:rFonts w:ascii="Arial" w:cs="Arial" w:eastAsia="Arial" w:hAnsi="Arial"/>
          <w:sz w:val="13"/>
          <w:szCs w:val="13"/>
          <w:color w:val="105EAB"/>
        </w:rPr>
      </w:pPr>
    </w:p>
    <w:p>
      <w:pPr>
        <w:ind w:left="264" w:hanging="264"/>
        <w:spacing w:after="0"/>
        <w:tabs>
          <w:tab w:leader="none" w:pos="264" w:val="left"/>
        </w:tabs>
        <w:numPr>
          <w:ilvl w:val="0"/>
          <w:numId w:val="88"/>
        </w:numPr>
        <w:rPr>
          <w:rFonts w:ascii="Arial" w:cs="Arial" w:eastAsia="Arial" w:hAnsi="Arial"/>
          <w:sz w:val="13"/>
          <w:szCs w:val="13"/>
          <w:color w:val="105EAB"/>
        </w:rPr>
      </w:pPr>
      <w:r>
        <w:rPr>
          <w:rFonts w:ascii="Arial" w:cs="Arial" w:eastAsia="Arial" w:hAnsi="Arial"/>
          <w:sz w:val="13"/>
          <w:szCs w:val="13"/>
          <w:color w:val="auto"/>
        </w:rPr>
        <w:t>Extensive evaluation of financial statements and supervision of financial executives.</w:t>
      </w:r>
    </w:p>
    <w:p>
      <w:pPr>
        <w:spacing w:after="0" w:line="199" w:lineRule="exact"/>
        <w:rPr>
          <w:sz w:val="20"/>
          <w:szCs w:val="20"/>
          <w:color w:val="auto"/>
        </w:rPr>
      </w:pPr>
    </w:p>
    <w:p>
      <w:pPr>
        <w:ind w:left="4" w:right="620"/>
        <w:spacing w:after="0" w:line="284" w:lineRule="auto"/>
        <w:rPr>
          <w:sz w:val="20"/>
          <w:szCs w:val="20"/>
          <w:color w:val="auto"/>
        </w:rPr>
      </w:pPr>
      <w:r>
        <w:rPr>
          <w:rFonts w:ascii="Arial" w:cs="Arial" w:eastAsia="Arial" w:hAnsi="Arial"/>
          <w:sz w:val="13"/>
          <w:szCs w:val="13"/>
          <w:b w:val="1"/>
          <w:bCs w:val="1"/>
          <w:color w:val="39B6E9"/>
        </w:rPr>
        <w:t>Judith has extensive service on boards of publicly traded and international companies, and significant operating experience.</w:t>
      </w:r>
    </w:p>
    <w:p>
      <w:pPr>
        <w:spacing w:after="0" w:line="159" w:lineRule="exact"/>
        <w:rPr>
          <w:sz w:val="20"/>
          <w:szCs w:val="20"/>
          <w:color w:val="auto"/>
        </w:rPr>
      </w:pPr>
    </w:p>
    <w:p>
      <w:pPr>
        <w:ind w:left="4"/>
        <w:spacing w:after="0"/>
        <w:rPr>
          <w:sz w:val="20"/>
          <w:szCs w:val="20"/>
          <w:color w:val="auto"/>
        </w:rPr>
      </w:pPr>
      <w:r>
        <w:rPr>
          <w:rFonts w:ascii="Arial" w:cs="Arial" w:eastAsia="Arial" w:hAnsi="Arial"/>
          <w:sz w:val="13"/>
          <w:szCs w:val="13"/>
          <w:b w:val="1"/>
          <w:bCs w:val="1"/>
          <w:color w:val="105EAB"/>
        </w:rPr>
        <w:t>Other Public Board Service</w:t>
      </w:r>
    </w:p>
    <w:p>
      <w:pPr>
        <w:spacing w:after="0" w:line="15" w:lineRule="exact"/>
        <w:rPr>
          <w:sz w:val="20"/>
          <w:szCs w:val="20"/>
          <w:color w:val="auto"/>
        </w:rPr>
      </w:pPr>
    </w:p>
    <w:p>
      <w:pPr>
        <w:ind w:left="264" w:hanging="264"/>
        <w:spacing w:after="0"/>
        <w:tabs>
          <w:tab w:leader="none" w:pos="264" w:val="left"/>
        </w:tabs>
        <w:numPr>
          <w:ilvl w:val="0"/>
          <w:numId w:val="89"/>
        </w:numPr>
        <w:rPr>
          <w:rFonts w:ascii="Arial" w:cs="Arial" w:eastAsia="Arial" w:hAnsi="Arial"/>
          <w:sz w:val="13"/>
          <w:szCs w:val="13"/>
          <w:color w:val="105EAB"/>
        </w:rPr>
      </w:pPr>
      <w:r>
        <w:rPr>
          <w:rFonts w:ascii="Arial" w:cs="Arial" w:eastAsia="Arial" w:hAnsi="Arial"/>
          <w:sz w:val="13"/>
          <w:szCs w:val="13"/>
          <w:color w:val="auto"/>
        </w:rPr>
        <w:t>Newell Brands Inc. (2018-present)</w:t>
      </w:r>
    </w:p>
    <w:p>
      <w:pPr>
        <w:spacing w:after="0" w:line="66" w:lineRule="exact"/>
        <w:rPr>
          <w:rFonts w:ascii="Arial" w:cs="Arial" w:eastAsia="Arial" w:hAnsi="Arial"/>
          <w:sz w:val="13"/>
          <w:szCs w:val="13"/>
          <w:color w:val="105EAB"/>
        </w:rPr>
      </w:pPr>
    </w:p>
    <w:p>
      <w:pPr>
        <w:ind w:left="264" w:hanging="264"/>
        <w:spacing w:after="0"/>
        <w:tabs>
          <w:tab w:leader="none" w:pos="264" w:val="left"/>
        </w:tabs>
        <w:numPr>
          <w:ilvl w:val="0"/>
          <w:numId w:val="89"/>
        </w:numPr>
        <w:rPr>
          <w:rFonts w:ascii="Arial" w:cs="Arial" w:eastAsia="Arial" w:hAnsi="Arial"/>
          <w:sz w:val="13"/>
          <w:szCs w:val="13"/>
          <w:color w:val="105EAB"/>
        </w:rPr>
      </w:pPr>
      <w:r>
        <w:rPr>
          <w:rFonts w:ascii="Arial" w:cs="Arial" w:eastAsia="Arial" w:hAnsi="Arial"/>
          <w:sz w:val="13"/>
          <w:szCs w:val="13"/>
          <w:color w:val="auto"/>
        </w:rPr>
        <w:t>Intercontinental Exchange Inc. (2004–present)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454025</wp:posOffset>
            </wp:positionV>
            <wp:extent cx="3520440" cy="227838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520440" cy="2278380"/>
                    </a:xfrm>
                    <a:prstGeom prst="rect">
                      <a:avLst/>
                    </a:prstGeom>
                    <a:noFill/>
                  </pic:spPr>
                </pic:pic>
              </a:graphicData>
            </a:graphic>
          </wp:anchor>
        </w:drawing>
      </w:r>
    </w:p>
    <w:p>
      <w:pPr>
        <w:spacing w:after="0" w:line="429" w:lineRule="exact"/>
        <w:rPr>
          <w:sz w:val="20"/>
          <w:szCs w:val="20"/>
          <w:color w:val="auto"/>
        </w:rPr>
      </w:pPr>
    </w:p>
    <w:p>
      <w:pPr>
        <w:sectPr>
          <w:pgSz w:w="11900" w:h="16838" w:orient="portrait"/>
          <w:cols w:equalWidth="0" w:num="2">
            <w:col w:w="5520" w:space="356"/>
            <w:col w:w="5424"/>
          </w:cols>
          <w:pgMar w:left="240" w:top="121" w:right="359" w:bottom="1440" w:gutter="0" w:footer="0" w:header="0"/>
        </w:sectPr>
      </w:pP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105EAB"/>
        </w:rPr>
        <w:t>Allstate Board Service</w:t>
      </w:r>
    </w:p>
    <w:p>
      <w:pPr>
        <w:spacing w:after="0" w:line="26"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 xml:space="preserve">Director since 2017 </w:t>
      </w:r>
      <w:r>
        <w:rPr>
          <w:rFonts w:ascii="Arial" w:cs="Arial" w:eastAsia="Arial" w:hAnsi="Arial"/>
          <w:sz w:val="13"/>
          <w:szCs w:val="13"/>
          <w:color w:val="auto"/>
        </w:rPr>
        <w:t>(1 year of tenure)</w:t>
      </w:r>
    </w:p>
    <w:p>
      <w:pPr>
        <w:spacing w:after="0" w:line="200"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105EAB"/>
        </w:rPr>
        <w:t>Committee Assignments and Rationale</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3"/>
          <w:szCs w:val="13"/>
          <w:color w:val="105EAB"/>
        </w:rPr>
        <w:t>Audit Committee</w:t>
      </w:r>
    </w:p>
    <w:p>
      <w:pPr>
        <w:ind w:left="380" w:right="240" w:hanging="264"/>
        <w:spacing w:after="0" w:line="258" w:lineRule="auto"/>
        <w:tabs>
          <w:tab w:leader="none" w:pos="369" w:val="left"/>
        </w:tabs>
        <w:numPr>
          <w:ilvl w:val="0"/>
          <w:numId w:val="90"/>
        </w:numPr>
        <w:rPr>
          <w:rFonts w:ascii="Arial" w:cs="Arial" w:eastAsia="Arial" w:hAnsi="Arial"/>
          <w:sz w:val="13"/>
          <w:szCs w:val="13"/>
          <w:color w:val="105EAB"/>
        </w:rPr>
      </w:pPr>
      <w:r>
        <w:rPr>
          <w:rFonts w:ascii="Arial" w:cs="Arial" w:eastAsia="Arial" w:hAnsi="Arial"/>
          <w:sz w:val="13"/>
          <w:szCs w:val="13"/>
          <w:color w:val="auto"/>
        </w:rPr>
        <w:t>Multiple leadership positions with financial oversight responsibility, including as Chairman and CEO at Tenneco.</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3"/>
          <w:szCs w:val="13"/>
          <w:color w:val="105EAB"/>
        </w:rPr>
        <w:t>Nominating and Governance Committee</w:t>
      </w:r>
    </w:p>
    <w:p>
      <w:pPr>
        <w:ind w:left="380" w:hanging="264"/>
        <w:spacing w:after="0"/>
        <w:tabs>
          <w:tab w:leader="none" w:pos="380" w:val="left"/>
        </w:tabs>
        <w:numPr>
          <w:ilvl w:val="0"/>
          <w:numId w:val="91"/>
        </w:numPr>
        <w:rPr>
          <w:rFonts w:ascii="Arial" w:cs="Arial" w:eastAsia="Arial" w:hAnsi="Arial"/>
          <w:sz w:val="13"/>
          <w:szCs w:val="13"/>
          <w:color w:val="105EAB"/>
        </w:rPr>
      </w:pPr>
      <w:r>
        <w:rPr>
          <w:rFonts w:ascii="Arial" w:cs="Arial" w:eastAsia="Arial" w:hAnsi="Arial"/>
          <w:sz w:val="13"/>
          <w:szCs w:val="13"/>
          <w:color w:val="auto"/>
        </w:rPr>
        <w:t>Significant management experience as the Chairman and former CEO of Tenneco.</w:t>
      </w:r>
    </w:p>
    <w:p>
      <w:pPr>
        <w:spacing w:after="0" w:line="66" w:lineRule="exact"/>
        <w:rPr>
          <w:rFonts w:ascii="Arial" w:cs="Arial" w:eastAsia="Arial" w:hAnsi="Arial"/>
          <w:sz w:val="13"/>
          <w:szCs w:val="13"/>
          <w:color w:val="105EAB"/>
        </w:rPr>
      </w:pPr>
    </w:p>
    <w:p>
      <w:pPr>
        <w:ind w:left="380" w:hanging="264"/>
        <w:spacing w:after="0"/>
        <w:tabs>
          <w:tab w:leader="none" w:pos="380" w:val="left"/>
        </w:tabs>
        <w:numPr>
          <w:ilvl w:val="0"/>
          <w:numId w:val="91"/>
        </w:numPr>
        <w:rPr>
          <w:rFonts w:ascii="Arial" w:cs="Arial" w:eastAsia="Arial" w:hAnsi="Arial"/>
          <w:sz w:val="13"/>
          <w:szCs w:val="13"/>
          <w:color w:val="105EAB"/>
        </w:rPr>
      </w:pPr>
      <w:r>
        <w:rPr>
          <w:rFonts w:ascii="Arial" w:cs="Arial" w:eastAsia="Arial" w:hAnsi="Arial"/>
          <w:sz w:val="13"/>
          <w:szCs w:val="13"/>
          <w:color w:val="auto"/>
        </w:rPr>
        <w:t>Significant experience on boards of publicly traded and international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460" w:hanging="452"/>
        <w:spacing w:after="0"/>
        <w:tabs>
          <w:tab w:leader="none" w:pos="460" w:val="left"/>
        </w:tabs>
        <w:numPr>
          <w:ilvl w:val="0"/>
          <w:numId w:val="92"/>
        </w:numPr>
        <w:rPr>
          <w:rFonts w:ascii="Arial" w:cs="Arial" w:eastAsia="Arial" w:hAnsi="Arial"/>
          <w:sz w:val="13"/>
          <w:szCs w:val="13"/>
          <w:b w:val="1"/>
          <w:bCs w:val="1"/>
          <w:color w:val="105EAB"/>
        </w:rPr>
      </w:pPr>
      <w:r>
        <w:rPr>
          <w:rFonts w:ascii="Arial" w:cs="Arial" w:eastAsia="Arial" w:hAnsi="Arial"/>
          <w:sz w:val="13"/>
          <w:szCs w:val="13"/>
          <w:color w:val="105EAB"/>
        </w:rPr>
        <w:t>www.allstateproxy.com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105EAB"/>
        </w:rPr>
        <w:t>Allstate Board Service</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Director since 1999 </w:t>
      </w:r>
      <w:r>
        <w:rPr>
          <w:rFonts w:ascii="Arial" w:cs="Arial" w:eastAsia="Arial" w:hAnsi="Arial"/>
          <w:sz w:val="13"/>
          <w:szCs w:val="13"/>
          <w:color w:val="auto"/>
        </w:rPr>
        <w:t>(20 years of tenure)</w:t>
      </w:r>
    </w:p>
    <w:p>
      <w:pPr>
        <w:spacing w:after="0" w:line="199" w:lineRule="exact"/>
        <w:rPr>
          <w:sz w:val="20"/>
          <w:szCs w:val="20"/>
          <w:color w:val="auto"/>
        </w:rPr>
      </w:pPr>
    </w:p>
    <w:p>
      <w:pPr>
        <w:spacing w:after="0"/>
        <w:rPr>
          <w:sz w:val="20"/>
          <w:szCs w:val="20"/>
          <w:color w:val="auto"/>
        </w:rPr>
      </w:pPr>
      <w:r>
        <w:rPr>
          <w:rFonts w:ascii="Arial" w:cs="Arial" w:eastAsia="Arial" w:hAnsi="Arial"/>
          <w:sz w:val="13"/>
          <w:szCs w:val="13"/>
          <w:b w:val="1"/>
          <w:bCs w:val="1"/>
          <w:color w:val="105EAB"/>
        </w:rPr>
        <w:t>Committee Assignments and Rationale</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105EAB"/>
        </w:rPr>
        <w:t>Lead Director</w:t>
      </w:r>
    </w:p>
    <w:p>
      <w:pPr>
        <w:ind w:left="260" w:hanging="256"/>
        <w:spacing w:after="0"/>
        <w:tabs>
          <w:tab w:leader="none" w:pos="260" w:val="left"/>
        </w:tabs>
        <w:numPr>
          <w:ilvl w:val="0"/>
          <w:numId w:val="93"/>
        </w:numPr>
        <w:rPr>
          <w:rFonts w:ascii="Arial" w:cs="Arial" w:eastAsia="Arial" w:hAnsi="Arial"/>
          <w:sz w:val="13"/>
          <w:szCs w:val="13"/>
          <w:color w:val="105EAB"/>
        </w:rPr>
      </w:pPr>
      <w:r>
        <w:rPr>
          <w:rFonts w:ascii="Arial" w:cs="Arial" w:eastAsia="Arial" w:hAnsi="Arial"/>
          <w:sz w:val="13"/>
          <w:szCs w:val="13"/>
          <w:color w:val="auto"/>
        </w:rPr>
        <w:t>Prior chair of audit committee (7 years).</w:t>
      </w:r>
    </w:p>
    <w:p>
      <w:pPr>
        <w:spacing w:after="0" w:line="66" w:lineRule="exact"/>
        <w:rPr>
          <w:rFonts w:ascii="Arial" w:cs="Arial" w:eastAsia="Arial" w:hAnsi="Arial"/>
          <w:sz w:val="13"/>
          <w:szCs w:val="13"/>
          <w:color w:val="105EAB"/>
        </w:rPr>
      </w:pPr>
    </w:p>
    <w:p>
      <w:pPr>
        <w:ind w:left="280" w:right="80" w:hanging="276"/>
        <w:spacing w:after="0" w:line="258" w:lineRule="auto"/>
        <w:tabs>
          <w:tab w:leader="none" w:pos="269" w:val="left"/>
        </w:tabs>
        <w:numPr>
          <w:ilvl w:val="0"/>
          <w:numId w:val="93"/>
        </w:numPr>
        <w:rPr>
          <w:rFonts w:ascii="Arial" w:cs="Arial" w:eastAsia="Arial" w:hAnsi="Arial"/>
          <w:sz w:val="13"/>
          <w:szCs w:val="13"/>
          <w:color w:val="105EAB"/>
        </w:rPr>
      </w:pPr>
      <w:r>
        <w:rPr>
          <w:rFonts w:ascii="Arial" w:cs="Arial" w:eastAsia="Arial" w:hAnsi="Arial"/>
          <w:sz w:val="13"/>
          <w:szCs w:val="13"/>
          <w:color w:val="auto"/>
        </w:rPr>
        <w:t>Board service at Allstate during many different external operating environments and two CEOs.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105EAB"/>
        </w:rPr>
        <w:t>Nominating and Governance Committee</w:t>
      </w:r>
    </w:p>
    <w:p>
      <w:pPr>
        <w:ind w:left="260" w:hanging="256"/>
        <w:spacing w:after="0"/>
        <w:tabs>
          <w:tab w:leader="none" w:pos="260" w:val="left"/>
        </w:tabs>
        <w:numPr>
          <w:ilvl w:val="0"/>
          <w:numId w:val="94"/>
        </w:numPr>
        <w:rPr>
          <w:rFonts w:ascii="Arial" w:cs="Arial" w:eastAsia="Arial" w:hAnsi="Arial"/>
          <w:sz w:val="13"/>
          <w:szCs w:val="13"/>
          <w:color w:val="105EAB"/>
        </w:rPr>
      </w:pPr>
      <w:r>
        <w:rPr>
          <w:rFonts w:ascii="Arial" w:cs="Arial" w:eastAsia="Arial" w:hAnsi="Arial"/>
          <w:sz w:val="13"/>
          <w:szCs w:val="13"/>
          <w:color w:val="auto"/>
        </w:rPr>
        <w:t>Significant experience on boards of publicly traded and international companies.</w:t>
      </w:r>
    </w:p>
    <w:p>
      <w:pPr>
        <w:spacing w:after="0" w:line="79" w:lineRule="exact"/>
        <w:rPr>
          <w:rFonts w:ascii="Arial" w:cs="Arial" w:eastAsia="Arial" w:hAnsi="Arial"/>
          <w:sz w:val="13"/>
          <w:szCs w:val="13"/>
          <w:color w:val="105EAB"/>
        </w:rPr>
      </w:pPr>
    </w:p>
    <w:p>
      <w:pPr>
        <w:ind w:left="280" w:right="460" w:hanging="276"/>
        <w:spacing w:after="0" w:line="258" w:lineRule="auto"/>
        <w:tabs>
          <w:tab w:leader="none" w:pos="269" w:val="left"/>
        </w:tabs>
        <w:numPr>
          <w:ilvl w:val="0"/>
          <w:numId w:val="94"/>
        </w:numPr>
        <w:rPr>
          <w:rFonts w:ascii="Arial" w:cs="Arial" w:eastAsia="Arial" w:hAnsi="Arial"/>
          <w:sz w:val="13"/>
          <w:szCs w:val="13"/>
          <w:color w:val="105EAB"/>
        </w:rPr>
      </w:pPr>
      <w:r>
        <w:rPr>
          <w:rFonts w:ascii="Arial" w:cs="Arial" w:eastAsia="Arial" w:hAnsi="Arial"/>
          <w:sz w:val="13"/>
          <w:szCs w:val="13"/>
          <w:color w:val="auto"/>
        </w:rPr>
        <w:t>Current member of nominating and governance committee at Intercontinental Exchange Inc. and Newell Brands.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105EAB"/>
        </w:rPr>
        <w:t>Risk and Return Committee</w:t>
      </w:r>
    </w:p>
    <w:p>
      <w:pPr>
        <w:ind w:left="280" w:right="300" w:hanging="276"/>
        <w:spacing w:after="0" w:line="258" w:lineRule="auto"/>
        <w:tabs>
          <w:tab w:leader="none" w:pos="269" w:val="left"/>
        </w:tabs>
        <w:numPr>
          <w:ilvl w:val="0"/>
          <w:numId w:val="95"/>
        </w:numPr>
        <w:rPr>
          <w:rFonts w:ascii="Arial" w:cs="Arial" w:eastAsia="Arial" w:hAnsi="Arial"/>
          <w:sz w:val="13"/>
          <w:szCs w:val="13"/>
          <w:color w:val="105EAB"/>
        </w:rPr>
      </w:pPr>
      <w:r>
        <w:rPr>
          <w:rFonts w:ascii="Arial" w:cs="Arial" w:eastAsia="Arial" w:hAnsi="Arial"/>
          <w:sz w:val="13"/>
          <w:szCs w:val="13"/>
          <w:color w:val="auto"/>
        </w:rPr>
        <w:t>Insight from service as prior chair of Allstate’s audit committee and current audit committee chair at Intercontinental Exchange Inc.</w:t>
      </w:r>
    </w:p>
    <w:p>
      <w:pPr>
        <w:spacing w:after="0" w:line="42" w:lineRule="exact"/>
        <w:rPr>
          <w:rFonts w:ascii="Arial" w:cs="Arial" w:eastAsia="Arial" w:hAnsi="Arial"/>
          <w:sz w:val="13"/>
          <w:szCs w:val="13"/>
          <w:color w:val="105EAB"/>
        </w:rPr>
      </w:pPr>
    </w:p>
    <w:p>
      <w:pPr>
        <w:ind w:left="280" w:right="200" w:hanging="276"/>
        <w:spacing w:after="0" w:line="258" w:lineRule="auto"/>
        <w:tabs>
          <w:tab w:leader="none" w:pos="269" w:val="left"/>
        </w:tabs>
        <w:numPr>
          <w:ilvl w:val="0"/>
          <w:numId w:val="95"/>
        </w:numPr>
        <w:rPr>
          <w:rFonts w:ascii="Arial" w:cs="Arial" w:eastAsia="Arial" w:hAnsi="Arial"/>
          <w:sz w:val="13"/>
          <w:szCs w:val="13"/>
          <w:color w:val="105EAB"/>
        </w:rPr>
      </w:pPr>
      <w:r>
        <w:rPr>
          <w:rFonts w:ascii="Arial" w:cs="Arial" w:eastAsia="Arial" w:hAnsi="Arial"/>
          <w:sz w:val="13"/>
          <w:szCs w:val="13"/>
          <w:color w:val="auto"/>
        </w:rPr>
        <w:t>Tenure as an Allstate director has provided experience through multiple operating environments.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-3793490</wp:posOffset>
            </wp:positionH>
            <wp:positionV relativeFrom="paragraph">
              <wp:posOffset>419735</wp:posOffset>
            </wp:positionV>
            <wp:extent cx="7268210" cy="209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2">
            <w:col w:w="5300" w:space="680"/>
            <w:col w:w="5320"/>
          </w:cols>
          <w:pgMar w:left="240" w:top="121" w:right="35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22"/>
          <w:szCs w:val="22"/>
          <w:b w:val="1"/>
          <w:bCs w:val="1"/>
          <w:color w:val="105EAB"/>
        </w:rPr>
        <w:t>Perry M. Traquina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2917190</wp:posOffset>
            </wp:positionH>
            <wp:positionV relativeFrom="paragraph">
              <wp:posOffset>-122555</wp:posOffset>
            </wp:positionV>
            <wp:extent cx="591185" cy="5911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91185" cy="59118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39B6E9"/>
        </w:rPr>
        <w:t>Independent</w:t>
      </w:r>
    </w:p>
    <w:p>
      <w:pPr>
        <w:spacing w:after="0"/>
        <w:rPr>
          <w:sz w:val="20"/>
          <w:szCs w:val="20"/>
          <w:color w:val="auto"/>
        </w:rPr>
      </w:pPr>
      <w:r>
        <w:rPr>
          <w:rFonts w:ascii="Arial" w:cs="Arial" w:eastAsia="Arial" w:hAnsi="Arial"/>
          <w:sz w:val="13"/>
          <w:szCs w:val="13"/>
          <w:b w:val="1"/>
          <w:bCs w:val="1"/>
          <w:color w:val="auto"/>
        </w:rPr>
        <w:t xml:space="preserve">Age </w:t>
      </w:r>
      <w:r>
        <w:rPr>
          <w:rFonts w:ascii="Arial" w:cs="Arial" w:eastAsia="Arial" w:hAnsi="Arial"/>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284416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844165" cy="8255"/>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105EAB"/>
        </w:rPr>
        <w:t>Professional Experience</w:t>
      </w:r>
    </w:p>
    <w:p>
      <w:pPr>
        <w:spacing w:after="0" w:line="14" w:lineRule="exact"/>
        <w:rPr>
          <w:sz w:val="20"/>
          <w:szCs w:val="20"/>
          <w:color w:val="auto"/>
        </w:rPr>
      </w:pPr>
    </w:p>
    <w:p>
      <w:pPr>
        <w:ind w:left="280" w:right="180" w:hanging="272"/>
        <w:spacing w:after="0" w:line="248" w:lineRule="auto"/>
        <w:tabs>
          <w:tab w:leader="none" w:pos="269" w:val="left"/>
        </w:tabs>
        <w:numPr>
          <w:ilvl w:val="0"/>
          <w:numId w:val="96"/>
        </w:numPr>
        <w:rPr>
          <w:rFonts w:ascii="Arial" w:cs="Arial" w:eastAsia="Arial" w:hAnsi="Arial"/>
          <w:sz w:val="13"/>
          <w:szCs w:val="13"/>
          <w:color w:val="105EAB"/>
        </w:rPr>
      </w:pPr>
      <w:r>
        <w:rPr>
          <w:rFonts w:ascii="Arial" w:cs="Arial" w:eastAsia="Arial" w:hAnsi="Arial"/>
          <w:sz w:val="13"/>
          <w:szCs w:val="13"/>
          <w:color w:val="auto"/>
        </w:rPr>
        <w:t>Former Chairman, CEO and Managing Partner of Wellington Management Company LLP, one of the world’s largest global investment management firms with over $900 billion of assets under management.</w:t>
      </w:r>
    </w:p>
    <w:p>
      <w:pPr>
        <w:spacing w:after="0" w:line="49" w:lineRule="exact"/>
        <w:rPr>
          <w:rFonts w:ascii="Arial" w:cs="Arial" w:eastAsia="Arial" w:hAnsi="Arial"/>
          <w:sz w:val="13"/>
          <w:szCs w:val="13"/>
          <w:color w:val="105EAB"/>
        </w:rPr>
      </w:pPr>
    </w:p>
    <w:p>
      <w:pPr>
        <w:ind w:left="280" w:right="100" w:hanging="272"/>
        <w:spacing w:after="0" w:line="258" w:lineRule="auto"/>
        <w:tabs>
          <w:tab w:leader="none" w:pos="269" w:val="left"/>
        </w:tabs>
        <w:numPr>
          <w:ilvl w:val="0"/>
          <w:numId w:val="96"/>
        </w:numPr>
        <w:rPr>
          <w:rFonts w:ascii="Arial" w:cs="Arial" w:eastAsia="Arial" w:hAnsi="Arial"/>
          <w:sz w:val="13"/>
          <w:szCs w:val="13"/>
          <w:color w:val="105EAB"/>
        </w:rPr>
      </w:pPr>
      <w:r>
        <w:rPr>
          <w:rFonts w:ascii="Arial" w:cs="Arial" w:eastAsia="Arial" w:hAnsi="Arial"/>
          <w:sz w:val="13"/>
          <w:szCs w:val="13"/>
          <w:color w:val="auto"/>
        </w:rPr>
        <w:t>Held a series of positions of increasing responsibility at Wellington, including Assistant Vice President, Director of Global Research, Partner and President.</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b w:val="1"/>
          <w:bCs w:val="1"/>
          <w:color w:val="105EAB"/>
        </w:rPr>
        <w:t>Relevant Skills</w:t>
      </w:r>
    </w:p>
    <w:p>
      <w:pPr>
        <w:spacing w:after="0" w:line="15" w:lineRule="exact"/>
        <w:rPr>
          <w:sz w:val="20"/>
          <w:szCs w:val="20"/>
          <w:color w:val="auto"/>
        </w:rPr>
      </w:pPr>
    </w:p>
    <w:p>
      <w:pPr>
        <w:ind w:left="280" w:hanging="272"/>
        <w:spacing w:after="0" w:line="258" w:lineRule="auto"/>
        <w:tabs>
          <w:tab w:leader="none" w:pos="269" w:val="left"/>
        </w:tabs>
        <w:numPr>
          <w:ilvl w:val="0"/>
          <w:numId w:val="97"/>
        </w:numPr>
        <w:rPr>
          <w:rFonts w:ascii="Arial" w:cs="Arial" w:eastAsia="Arial" w:hAnsi="Arial"/>
          <w:sz w:val="13"/>
          <w:szCs w:val="13"/>
          <w:color w:val="105EAB"/>
        </w:rPr>
      </w:pPr>
      <w:r>
        <w:rPr>
          <w:rFonts w:ascii="Arial" w:cs="Arial" w:eastAsia="Arial" w:hAnsi="Arial"/>
          <w:sz w:val="13"/>
          <w:szCs w:val="13"/>
          <w:color w:val="auto"/>
        </w:rPr>
        <w:t>Extensive leadership and management experience as CEO of one of the world’s largest institutional investors.</w:t>
      </w:r>
    </w:p>
    <w:p>
      <w:pPr>
        <w:spacing w:after="0" w:line="56" w:lineRule="exact"/>
        <w:rPr>
          <w:rFonts w:ascii="Arial" w:cs="Arial" w:eastAsia="Arial" w:hAnsi="Arial"/>
          <w:sz w:val="13"/>
          <w:szCs w:val="13"/>
          <w:color w:val="105EAB"/>
        </w:rPr>
      </w:pPr>
    </w:p>
    <w:p>
      <w:pPr>
        <w:ind w:left="280" w:right="320" w:hanging="272"/>
        <w:spacing w:after="0" w:line="258" w:lineRule="auto"/>
        <w:tabs>
          <w:tab w:leader="none" w:pos="269" w:val="left"/>
        </w:tabs>
        <w:numPr>
          <w:ilvl w:val="0"/>
          <w:numId w:val="97"/>
        </w:numPr>
        <w:rPr>
          <w:rFonts w:ascii="Arial" w:cs="Arial" w:eastAsia="Arial" w:hAnsi="Arial"/>
          <w:sz w:val="13"/>
          <w:szCs w:val="13"/>
          <w:color w:val="105EAB"/>
        </w:rPr>
      </w:pPr>
      <w:r>
        <w:rPr>
          <w:rFonts w:ascii="Arial" w:cs="Arial" w:eastAsia="Arial" w:hAnsi="Arial"/>
          <w:sz w:val="13"/>
          <w:szCs w:val="13"/>
          <w:color w:val="auto"/>
        </w:rPr>
        <w:t>Strong financial services and global investment management expertise through 34 years at Wellington.</w:t>
      </w:r>
    </w:p>
    <w:p>
      <w:pPr>
        <w:spacing w:after="0" w:line="42" w:lineRule="exact"/>
        <w:rPr>
          <w:rFonts w:ascii="Arial" w:cs="Arial" w:eastAsia="Arial" w:hAnsi="Arial"/>
          <w:sz w:val="13"/>
          <w:szCs w:val="13"/>
          <w:color w:val="105EAB"/>
        </w:rPr>
      </w:pPr>
    </w:p>
    <w:p>
      <w:pPr>
        <w:ind w:left="260" w:hanging="252"/>
        <w:spacing w:after="0"/>
        <w:tabs>
          <w:tab w:leader="none" w:pos="260" w:val="left"/>
        </w:tabs>
        <w:numPr>
          <w:ilvl w:val="0"/>
          <w:numId w:val="97"/>
        </w:numPr>
        <w:rPr>
          <w:rFonts w:ascii="Arial" w:cs="Arial" w:eastAsia="Arial" w:hAnsi="Arial"/>
          <w:sz w:val="13"/>
          <w:szCs w:val="13"/>
          <w:color w:val="105EAB"/>
        </w:rPr>
      </w:pPr>
      <w:r>
        <w:rPr>
          <w:rFonts w:ascii="Arial" w:cs="Arial" w:eastAsia="Arial" w:hAnsi="Arial"/>
          <w:sz w:val="13"/>
          <w:szCs w:val="13"/>
          <w:color w:val="auto"/>
        </w:rPr>
        <w:t>Oversaw the globalization of Wellington’s investment platform.</w:t>
      </w:r>
    </w:p>
    <w:p>
      <w:pPr>
        <w:spacing w:after="0" w:line="66" w:lineRule="exact"/>
        <w:rPr>
          <w:rFonts w:ascii="Arial" w:cs="Arial" w:eastAsia="Arial" w:hAnsi="Arial"/>
          <w:sz w:val="13"/>
          <w:szCs w:val="13"/>
          <w:color w:val="105EAB"/>
        </w:rPr>
      </w:pPr>
    </w:p>
    <w:p>
      <w:pPr>
        <w:ind w:left="280" w:right="380" w:hanging="272"/>
        <w:spacing w:after="0" w:line="258" w:lineRule="auto"/>
        <w:tabs>
          <w:tab w:leader="none" w:pos="269" w:val="left"/>
        </w:tabs>
        <w:numPr>
          <w:ilvl w:val="0"/>
          <w:numId w:val="97"/>
        </w:numPr>
        <w:rPr>
          <w:rFonts w:ascii="Arial" w:cs="Arial" w:eastAsia="Arial" w:hAnsi="Arial"/>
          <w:sz w:val="13"/>
          <w:szCs w:val="13"/>
          <w:color w:val="105EAB"/>
        </w:rPr>
      </w:pPr>
      <w:r>
        <w:rPr>
          <w:rFonts w:ascii="Arial" w:cs="Arial" w:eastAsia="Arial" w:hAnsi="Arial"/>
          <w:sz w:val="13"/>
          <w:szCs w:val="13"/>
          <w:color w:val="auto"/>
        </w:rPr>
        <w:t>During ten-year leadership tenure, Wellington more than doubled its assets under management.</w:t>
      </w:r>
    </w:p>
    <w:p>
      <w:pPr>
        <w:spacing w:after="0" w:line="56" w:lineRule="exact"/>
        <w:rPr>
          <w:rFonts w:ascii="Arial" w:cs="Arial" w:eastAsia="Arial" w:hAnsi="Arial"/>
          <w:sz w:val="13"/>
          <w:szCs w:val="13"/>
          <w:color w:val="105EAB"/>
        </w:rPr>
      </w:pPr>
    </w:p>
    <w:p>
      <w:pPr>
        <w:ind w:left="260" w:hanging="252"/>
        <w:spacing w:after="0"/>
        <w:tabs>
          <w:tab w:leader="none" w:pos="260" w:val="left"/>
        </w:tabs>
        <w:numPr>
          <w:ilvl w:val="0"/>
          <w:numId w:val="97"/>
        </w:numPr>
        <w:rPr>
          <w:rFonts w:ascii="Arial" w:cs="Arial" w:eastAsia="Arial" w:hAnsi="Arial"/>
          <w:sz w:val="13"/>
          <w:szCs w:val="13"/>
          <w:color w:val="105EAB"/>
        </w:rPr>
      </w:pPr>
      <w:r>
        <w:rPr>
          <w:rFonts w:ascii="Arial" w:cs="Arial" w:eastAsia="Arial" w:hAnsi="Arial"/>
          <w:sz w:val="13"/>
          <w:szCs w:val="13"/>
          <w:color w:val="auto"/>
        </w:rPr>
        <w:t>Fostered a culture of diversity and inclusion at Wellington.</w:t>
      </w:r>
    </w:p>
    <w:p>
      <w:pPr>
        <w:spacing w:after="0" w:line="66" w:lineRule="exact"/>
        <w:rPr>
          <w:rFonts w:ascii="Arial" w:cs="Arial" w:eastAsia="Arial" w:hAnsi="Arial"/>
          <w:sz w:val="13"/>
          <w:szCs w:val="13"/>
          <w:color w:val="105EAB"/>
        </w:rPr>
      </w:pPr>
    </w:p>
    <w:p>
      <w:pPr>
        <w:ind w:left="260" w:hanging="252"/>
        <w:spacing w:after="0"/>
        <w:tabs>
          <w:tab w:leader="none" w:pos="260" w:val="left"/>
        </w:tabs>
        <w:numPr>
          <w:ilvl w:val="0"/>
          <w:numId w:val="97"/>
        </w:numPr>
        <w:rPr>
          <w:rFonts w:ascii="Arial" w:cs="Arial" w:eastAsia="Arial" w:hAnsi="Arial"/>
          <w:sz w:val="13"/>
          <w:szCs w:val="13"/>
          <w:color w:val="105EAB"/>
        </w:rPr>
      </w:pPr>
      <w:r>
        <w:rPr>
          <w:rFonts w:ascii="Arial" w:cs="Arial" w:eastAsia="Arial" w:hAnsi="Arial"/>
          <w:sz w:val="13"/>
          <w:szCs w:val="13"/>
          <w:color w:val="auto"/>
        </w:rPr>
        <w:t>Brings valuable market-oriented investor perspective.</w:t>
      </w:r>
    </w:p>
    <w:p>
      <w:pPr>
        <w:spacing w:after="0" w:line="199" w:lineRule="exact"/>
        <w:rPr>
          <w:sz w:val="20"/>
          <w:szCs w:val="20"/>
          <w:color w:val="auto"/>
        </w:rPr>
      </w:pPr>
    </w:p>
    <w:p>
      <w:pPr>
        <w:jc w:val="both"/>
        <w:ind w:right="360"/>
        <w:spacing w:after="0" w:line="261" w:lineRule="auto"/>
        <w:rPr>
          <w:sz w:val="20"/>
          <w:szCs w:val="20"/>
          <w:color w:val="auto"/>
        </w:rPr>
      </w:pPr>
      <w:r>
        <w:rPr>
          <w:rFonts w:ascii="Arial" w:cs="Arial" w:eastAsia="Arial" w:hAnsi="Arial"/>
          <w:sz w:val="13"/>
          <w:szCs w:val="13"/>
          <w:b w:val="1"/>
          <w:bCs w:val="1"/>
          <w:color w:val="39B6E9"/>
        </w:rPr>
        <w:t>Perry had significant success as an investor, building a world-class investment organization and overseeing the strategies and operating performance of public companies.</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b w:val="1"/>
          <w:bCs w:val="1"/>
          <w:color w:val="105EAB"/>
        </w:rPr>
        <w:t>Other Public Board Service</w:t>
      </w:r>
    </w:p>
    <w:p>
      <w:pPr>
        <w:spacing w:after="0" w:line="15" w:lineRule="exact"/>
        <w:rPr>
          <w:sz w:val="20"/>
          <w:szCs w:val="20"/>
          <w:color w:val="auto"/>
        </w:rPr>
      </w:pPr>
    </w:p>
    <w:p>
      <w:pPr>
        <w:ind w:left="260" w:hanging="252"/>
        <w:spacing w:after="0"/>
        <w:tabs>
          <w:tab w:leader="none" w:pos="260" w:val="left"/>
        </w:tabs>
        <w:numPr>
          <w:ilvl w:val="0"/>
          <w:numId w:val="98"/>
        </w:numPr>
        <w:rPr>
          <w:rFonts w:ascii="Arial" w:cs="Arial" w:eastAsia="Arial" w:hAnsi="Arial"/>
          <w:sz w:val="13"/>
          <w:szCs w:val="13"/>
          <w:color w:val="105EAB"/>
        </w:rPr>
      </w:pPr>
      <w:r>
        <w:rPr>
          <w:rFonts w:ascii="Arial" w:cs="Arial" w:eastAsia="Arial" w:hAnsi="Arial"/>
          <w:sz w:val="13"/>
          <w:szCs w:val="13"/>
          <w:color w:val="auto"/>
        </w:rPr>
        <w:t>Morgan Stanley (2015–present)</w:t>
      </w:r>
    </w:p>
    <w:p>
      <w:pPr>
        <w:spacing w:after="0" w:line="66" w:lineRule="exact"/>
        <w:rPr>
          <w:rFonts w:ascii="Arial" w:cs="Arial" w:eastAsia="Arial" w:hAnsi="Arial"/>
          <w:sz w:val="13"/>
          <w:szCs w:val="13"/>
          <w:color w:val="105EAB"/>
        </w:rPr>
      </w:pPr>
    </w:p>
    <w:p>
      <w:pPr>
        <w:ind w:left="260" w:hanging="252"/>
        <w:spacing w:after="0"/>
        <w:tabs>
          <w:tab w:leader="none" w:pos="260" w:val="left"/>
        </w:tabs>
        <w:numPr>
          <w:ilvl w:val="0"/>
          <w:numId w:val="98"/>
        </w:numPr>
        <w:rPr>
          <w:rFonts w:ascii="Arial" w:cs="Arial" w:eastAsia="Arial" w:hAnsi="Arial"/>
          <w:sz w:val="13"/>
          <w:szCs w:val="13"/>
          <w:color w:val="105EAB"/>
        </w:rPr>
      </w:pPr>
      <w:r>
        <w:rPr>
          <w:rFonts w:ascii="Arial" w:cs="Arial" w:eastAsia="Arial" w:hAnsi="Arial"/>
          <w:sz w:val="13"/>
          <w:szCs w:val="13"/>
          <w:color w:val="auto"/>
        </w:rPr>
        <w:t>eBay Inc. (2015–present)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307975</wp:posOffset>
            </wp:positionV>
            <wp:extent cx="3503295" cy="17214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503295" cy="17214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 xml:space="preserve">Proposal 1 </w:t>
      </w:r>
      <w:r>
        <w:rPr>
          <w:rFonts w:ascii="Arial" w:cs="Arial" w:eastAsia="Arial" w:hAnsi="Arial"/>
          <w:sz w:val="13"/>
          <w:szCs w:val="13"/>
          <w:b w:val="1"/>
          <w:bCs w:val="1"/>
          <w:color w:val="105EAB"/>
        </w:rPr>
        <w:t>| Corporate Governance</w:t>
      </w:r>
    </w:p>
    <w:p>
      <w:pPr>
        <w:spacing w:after="0" w:line="226" w:lineRule="exact"/>
        <w:rPr>
          <w:sz w:val="20"/>
          <w:szCs w:val="20"/>
          <w:color w:val="auto"/>
        </w:rPr>
      </w:pPr>
    </w:p>
    <w:p>
      <w:pPr>
        <w:ind w:left="4"/>
        <w:spacing w:after="0"/>
        <w:rPr>
          <w:sz w:val="20"/>
          <w:szCs w:val="20"/>
          <w:color w:val="auto"/>
        </w:rPr>
      </w:pPr>
      <w:r>
        <w:rPr>
          <w:rFonts w:ascii="Arial" w:cs="Arial" w:eastAsia="Arial" w:hAnsi="Arial"/>
          <w:sz w:val="22"/>
          <w:szCs w:val="22"/>
          <w:b w:val="1"/>
          <w:bCs w:val="1"/>
          <w:color w:val="105EAB"/>
        </w:rPr>
        <w:t>Thomas J.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-156210</wp:posOffset>
            </wp:positionV>
            <wp:extent cx="8255" cy="36576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255" cy="3657600"/>
                    </a:xfrm>
                    <a:prstGeom prst="rect">
                      <a:avLst/>
                    </a:prstGeom>
                    <a:noFill/>
                  </pic:spPr>
                </pic:pic>
              </a:graphicData>
            </a:graphic>
          </wp:anchor>
        </w:drawing>
        <w:drawing>
          <wp:anchor simplePos="0" relativeHeight="251657728" behindDoc="1" locked="0" layoutInCell="0" allowOverlap="1">
            <wp:simplePos x="0" y="0"/>
            <wp:positionH relativeFrom="column">
              <wp:posOffset>2921000</wp:posOffset>
            </wp:positionH>
            <wp:positionV relativeFrom="paragraph">
              <wp:posOffset>-122555</wp:posOffset>
            </wp:positionV>
            <wp:extent cx="599440" cy="5911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99440" cy="591185"/>
                    </a:xfrm>
                    <a:prstGeom prst="rect">
                      <a:avLst/>
                    </a:prstGeom>
                    <a:noFill/>
                  </pic:spPr>
                </pic:pic>
              </a:graphicData>
            </a:graphic>
          </wp:anchor>
        </w:drawing>
      </w:r>
    </w:p>
    <w:p>
      <w:pPr>
        <w:ind w:left="4"/>
        <w:spacing w:after="0"/>
        <w:rPr>
          <w:sz w:val="20"/>
          <w:szCs w:val="20"/>
          <w:color w:val="auto"/>
        </w:rPr>
      </w:pPr>
      <w:r>
        <w:rPr>
          <w:rFonts w:ascii="Arial" w:cs="Arial" w:eastAsia="Arial" w:hAnsi="Arial"/>
          <w:sz w:val="18"/>
          <w:szCs w:val="18"/>
          <w:b w:val="1"/>
          <w:bCs w:val="1"/>
          <w:color w:val="105EAB"/>
        </w:rPr>
        <w:t>Board Chair, President, and Chief Executive Officer</w:t>
      </w:r>
    </w:p>
    <w:p>
      <w:pPr>
        <w:ind w:left="4"/>
        <w:spacing w:after="0"/>
        <w:rPr>
          <w:sz w:val="20"/>
          <w:szCs w:val="20"/>
          <w:color w:val="auto"/>
        </w:rPr>
      </w:pPr>
      <w:r>
        <w:rPr>
          <w:rFonts w:ascii="Arial" w:cs="Arial" w:eastAsia="Arial" w:hAnsi="Arial"/>
          <w:sz w:val="13"/>
          <w:szCs w:val="13"/>
          <w:b w:val="1"/>
          <w:bCs w:val="1"/>
          <w:color w:val="auto"/>
        </w:rPr>
        <w:t xml:space="preserve">Age </w:t>
      </w:r>
      <w:r>
        <w:rPr>
          <w:rFonts w:ascii="Arial" w:cs="Arial" w:eastAsia="Arial" w:hAnsi="Arial"/>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42545</wp:posOffset>
            </wp:positionV>
            <wp:extent cx="28524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852420" cy="8255"/>
                    </a:xfrm>
                    <a:prstGeom prst="rect">
                      <a:avLst/>
                    </a:prstGeom>
                    <a:noFill/>
                  </pic:spPr>
                </pic:pic>
              </a:graphicData>
            </a:graphic>
          </wp:anchor>
        </w:drawing>
      </w:r>
    </w:p>
    <w:p>
      <w:pPr>
        <w:spacing w:after="0" w:line="15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105EAB"/>
        </w:rPr>
        <w:t>Professional Experience</w:t>
      </w:r>
    </w:p>
    <w:p>
      <w:pPr>
        <w:spacing w:after="0" w:line="14" w:lineRule="exact"/>
        <w:rPr>
          <w:sz w:val="20"/>
          <w:szCs w:val="20"/>
          <w:color w:val="auto"/>
        </w:rPr>
      </w:pPr>
    </w:p>
    <w:p>
      <w:pPr>
        <w:ind w:left="264" w:hanging="264"/>
        <w:spacing w:after="0"/>
        <w:tabs>
          <w:tab w:leader="none" w:pos="264" w:val="left"/>
        </w:tabs>
        <w:numPr>
          <w:ilvl w:val="0"/>
          <w:numId w:val="99"/>
        </w:numPr>
        <w:rPr>
          <w:rFonts w:ascii="Arial" w:cs="Arial" w:eastAsia="Arial" w:hAnsi="Arial"/>
          <w:sz w:val="13"/>
          <w:szCs w:val="13"/>
          <w:color w:val="105EAB"/>
        </w:rPr>
      </w:pPr>
      <w:r>
        <w:rPr>
          <w:rFonts w:ascii="Arial" w:cs="Arial" w:eastAsia="Arial" w:hAnsi="Arial"/>
          <w:sz w:val="13"/>
          <w:szCs w:val="13"/>
          <w:color w:val="auto"/>
        </w:rPr>
        <w:t>CEO since January 2007 and Chair of Board since May 2008.</w:t>
      </w:r>
    </w:p>
    <w:p>
      <w:pPr>
        <w:spacing w:after="0" w:line="66" w:lineRule="exact"/>
        <w:rPr>
          <w:rFonts w:ascii="Arial" w:cs="Arial" w:eastAsia="Arial" w:hAnsi="Arial"/>
          <w:sz w:val="13"/>
          <w:szCs w:val="13"/>
          <w:color w:val="105EAB"/>
        </w:rPr>
      </w:pPr>
    </w:p>
    <w:p>
      <w:pPr>
        <w:ind w:left="264" w:hanging="264"/>
        <w:spacing w:after="0"/>
        <w:tabs>
          <w:tab w:leader="none" w:pos="264" w:val="left"/>
        </w:tabs>
        <w:numPr>
          <w:ilvl w:val="0"/>
          <w:numId w:val="99"/>
        </w:numPr>
        <w:rPr>
          <w:rFonts w:ascii="Arial" w:cs="Arial" w:eastAsia="Arial" w:hAnsi="Arial"/>
          <w:sz w:val="13"/>
          <w:szCs w:val="13"/>
          <w:color w:val="105EAB"/>
        </w:rPr>
      </w:pPr>
      <w:r>
        <w:rPr>
          <w:rFonts w:ascii="Arial" w:cs="Arial" w:eastAsia="Arial" w:hAnsi="Arial"/>
          <w:sz w:val="13"/>
          <w:szCs w:val="13"/>
          <w:color w:val="auto"/>
        </w:rPr>
        <w:t>President from June 2005 to January 2015, and from February 23, 2018, to present.</w:t>
      </w:r>
    </w:p>
    <w:p>
      <w:pPr>
        <w:spacing w:after="0" w:line="79" w:lineRule="exact"/>
        <w:rPr>
          <w:rFonts w:ascii="Arial" w:cs="Arial" w:eastAsia="Arial" w:hAnsi="Arial"/>
          <w:sz w:val="13"/>
          <w:szCs w:val="13"/>
          <w:color w:val="105EAB"/>
        </w:rPr>
      </w:pPr>
    </w:p>
    <w:p>
      <w:pPr>
        <w:ind w:left="264" w:hanging="264"/>
        <w:spacing w:after="0"/>
        <w:tabs>
          <w:tab w:leader="none" w:pos="264" w:val="left"/>
        </w:tabs>
        <w:numPr>
          <w:ilvl w:val="0"/>
          <w:numId w:val="99"/>
        </w:numPr>
        <w:rPr>
          <w:rFonts w:ascii="Arial" w:cs="Arial" w:eastAsia="Arial" w:hAnsi="Arial"/>
          <w:sz w:val="13"/>
          <w:szCs w:val="13"/>
          <w:color w:val="105EAB"/>
        </w:rPr>
      </w:pPr>
      <w:r>
        <w:rPr>
          <w:rFonts w:ascii="Arial" w:cs="Arial" w:eastAsia="Arial" w:hAnsi="Arial"/>
          <w:sz w:val="13"/>
          <w:szCs w:val="13"/>
          <w:color w:val="auto"/>
        </w:rPr>
        <w:t>Held senior executive roles other than CEO, having led all major operating units.</w:t>
      </w:r>
    </w:p>
    <w:p>
      <w:pPr>
        <w:spacing w:after="0" w:line="66" w:lineRule="exact"/>
        <w:rPr>
          <w:rFonts w:ascii="Arial" w:cs="Arial" w:eastAsia="Arial" w:hAnsi="Arial"/>
          <w:sz w:val="13"/>
          <w:szCs w:val="13"/>
          <w:color w:val="105EAB"/>
        </w:rPr>
      </w:pPr>
    </w:p>
    <w:p>
      <w:pPr>
        <w:ind w:left="264" w:hanging="264"/>
        <w:spacing w:after="0"/>
        <w:tabs>
          <w:tab w:leader="none" w:pos="264" w:val="left"/>
        </w:tabs>
        <w:numPr>
          <w:ilvl w:val="0"/>
          <w:numId w:val="99"/>
        </w:numPr>
        <w:rPr>
          <w:rFonts w:ascii="Arial" w:cs="Arial" w:eastAsia="Arial" w:hAnsi="Arial"/>
          <w:sz w:val="13"/>
          <w:szCs w:val="13"/>
          <w:color w:val="105EAB"/>
        </w:rPr>
      </w:pPr>
      <w:r>
        <w:rPr>
          <w:rFonts w:ascii="Arial" w:cs="Arial" w:eastAsia="Arial" w:hAnsi="Arial"/>
          <w:sz w:val="13"/>
          <w:szCs w:val="13"/>
          <w:color w:val="auto"/>
        </w:rPr>
        <w:t>Former director at State Street Corporation.</w:t>
      </w:r>
    </w:p>
    <w:p>
      <w:pPr>
        <w:spacing w:after="0" w:line="199" w:lineRule="exact"/>
        <w:rPr>
          <w:sz w:val="20"/>
          <w:szCs w:val="20"/>
          <w:color w:val="auto"/>
        </w:rPr>
      </w:pPr>
    </w:p>
    <w:p>
      <w:pPr>
        <w:ind w:left="4"/>
        <w:spacing w:after="0"/>
        <w:rPr>
          <w:sz w:val="20"/>
          <w:szCs w:val="20"/>
          <w:color w:val="auto"/>
        </w:rPr>
      </w:pPr>
      <w:r>
        <w:rPr>
          <w:rFonts w:ascii="Arial" w:cs="Arial" w:eastAsia="Arial" w:hAnsi="Arial"/>
          <w:sz w:val="13"/>
          <w:szCs w:val="13"/>
          <w:b w:val="1"/>
          <w:bCs w:val="1"/>
          <w:color w:val="105EAB"/>
        </w:rPr>
        <w:t>Relevant Skills</w:t>
      </w:r>
    </w:p>
    <w:p>
      <w:pPr>
        <w:spacing w:after="0" w:line="15" w:lineRule="exact"/>
        <w:rPr>
          <w:sz w:val="20"/>
          <w:szCs w:val="20"/>
          <w:color w:val="auto"/>
        </w:rPr>
      </w:pPr>
    </w:p>
    <w:p>
      <w:pPr>
        <w:ind w:left="264" w:hanging="264"/>
        <w:spacing w:after="0"/>
        <w:tabs>
          <w:tab w:leader="none" w:pos="264" w:val="left"/>
        </w:tabs>
        <w:numPr>
          <w:ilvl w:val="0"/>
          <w:numId w:val="100"/>
        </w:numPr>
        <w:rPr>
          <w:rFonts w:ascii="Arial" w:cs="Arial" w:eastAsia="Arial" w:hAnsi="Arial"/>
          <w:sz w:val="13"/>
          <w:szCs w:val="13"/>
          <w:color w:val="105EAB"/>
        </w:rPr>
      </w:pPr>
      <w:r>
        <w:rPr>
          <w:rFonts w:ascii="Arial" w:cs="Arial" w:eastAsia="Arial" w:hAnsi="Arial"/>
          <w:sz w:val="13"/>
          <w:szCs w:val="13"/>
          <w:color w:val="auto"/>
        </w:rPr>
        <w:t>Key leadership roles throughout Allstate over 24 years.</w:t>
      </w:r>
    </w:p>
    <w:p>
      <w:pPr>
        <w:spacing w:after="0" w:line="66" w:lineRule="exact"/>
        <w:rPr>
          <w:rFonts w:ascii="Arial" w:cs="Arial" w:eastAsia="Arial" w:hAnsi="Arial"/>
          <w:sz w:val="13"/>
          <w:szCs w:val="13"/>
          <w:color w:val="105EAB"/>
        </w:rPr>
      </w:pPr>
    </w:p>
    <w:p>
      <w:pPr>
        <w:ind w:left="264" w:right="220" w:hanging="264"/>
        <w:spacing w:after="0" w:line="258" w:lineRule="auto"/>
        <w:tabs>
          <w:tab w:leader="none" w:pos="254" w:val="left"/>
        </w:tabs>
        <w:numPr>
          <w:ilvl w:val="0"/>
          <w:numId w:val="100"/>
        </w:numPr>
        <w:rPr>
          <w:rFonts w:ascii="Arial" w:cs="Arial" w:eastAsia="Arial" w:hAnsi="Arial"/>
          <w:sz w:val="13"/>
          <w:szCs w:val="13"/>
          <w:color w:val="105EAB"/>
        </w:rPr>
      </w:pPr>
      <w:r>
        <w:rPr>
          <w:rFonts w:ascii="Arial" w:cs="Arial" w:eastAsia="Arial" w:hAnsi="Arial"/>
          <w:sz w:val="13"/>
          <w:szCs w:val="13"/>
          <w:color w:val="auto"/>
        </w:rPr>
        <w:t>Developed Allstate’s Shared Purpose and corporate strategy to grow market share in protecting people from life’s uncertainties.</w:t>
      </w:r>
    </w:p>
    <w:p>
      <w:pPr>
        <w:spacing w:after="0" w:line="56" w:lineRule="exact"/>
        <w:rPr>
          <w:rFonts w:ascii="Arial" w:cs="Arial" w:eastAsia="Arial" w:hAnsi="Arial"/>
          <w:sz w:val="13"/>
          <w:szCs w:val="13"/>
          <w:color w:val="105EAB"/>
        </w:rPr>
      </w:pPr>
    </w:p>
    <w:p>
      <w:pPr>
        <w:ind w:left="264" w:right="400" w:hanging="264"/>
        <w:spacing w:after="0" w:line="248" w:lineRule="auto"/>
        <w:tabs>
          <w:tab w:leader="none" w:pos="254" w:val="left"/>
        </w:tabs>
        <w:numPr>
          <w:ilvl w:val="0"/>
          <w:numId w:val="100"/>
        </w:numPr>
        <w:rPr>
          <w:rFonts w:ascii="Arial" w:cs="Arial" w:eastAsia="Arial" w:hAnsi="Arial"/>
          <w:sz w:val="13"/>
          <w:szCs w:val="13"/>
          <w:color w:val="105EAB"/>
        </w:rPr>
      </w:pPr>
      <w:r>
        <w:rPr>
          <w:rFonts w:ascii="Arial" w:cs="Arial" w:eastAsia="Arial" w:hAnsi="Arial"/>
          <w:sz w:val="13"/>
          <w:szCs w:val="13"/>
          <w:color w:val="auto"/>
        </w:rPr>
        <w:t>Created and implemented Allstate’s risk and return optimization program, allowing Allstate to simultaneously withstand the 2008 financial market crisis and adapt to increases in severe weather and hurricanes.</w:t>
      </w:r>
    </w:p>
    <w:p>
      <w:pPr>
        <w:spacing w:after="0" w:line="49" w:lineRule="exact"/>
        <w:rPr>
          <w:rFonts w:ascii="Arial" w:cs="Arial" w:eastAsia="Arial" w:hAnsi="Arial"/>
          <w:sz w:val="13"/>
          <w:szCs w:val="13"/>
          <w:color w:val="105EAB"/>
        </w:rPr>
      </w:pPr>
    </w:p>
    <w:p>
      <w:pPr>
        <w:ind w:left="264" w:hanging="264"/>
        <w:spacing w:after="0"/>
        <w:tabs>
          <w:tab w:leader="none" w:pos="264" w:val="left"/>
        </w:tabs>
        <w:numPr>
          <w:ilvl w:val="0"/>
          <w:numId w:val="100"/>
        </w:numPr>
        <w:rPr>
          <w:rFonts w:ascii="Arial" w:cs="Arial" w:eastAsia="Arial" w:hAnsi="Arial"/>
          <w:sz w:val="13"/>
          <w:szCs w:val="13"/>
          <w:color w:val="105EAB"/>
        </w:rPr>
      </w:pPr>
      <w:r>
        <w:rPr>
          <w:rFonts w:ascii="Arial" w:cs="Arial" w:eastAsia="Arial" w:hAnsi="Arial"/>
          <w:sz w:val="13"/>
          <w:szCs w:val="13"/>
          <w:color w:val="auto"/>
        </w:rPr>
        <w:t>In-depth understanding of the insurance industry.</w:t>
      </w:r>
    </w:p>
    <w:p>
      <w:pPr>
        <w:spacing w:after="0" w:line="66" w:lineRule="exact"/>
        <w:rPr>
          <w:rFonts w:ascii="Arial" w:cs="Arial" w:eastAsia="Arial" w:hAnsi="Arial"/>
          <w:sz w:val="13"/>
          <w:szCs w:val="13"/>
          <w:color w:val="105EAB"/>
        </w:rPr>
      </w:pPr>
    </w:p>
    <w:p>
      <w:pPr>
        <w:ind w:left="264" w:right="300" w:hanging="264"/>
        <w:spacing w:after="0" w:line="248" w:lineRule="auto"/>
        <w:tabs>
          <w:tab w:leader="none" w:pos="254" w:val="left"/>
        </w:tabs>
        <w:numPr>
          <w:ilvl w:val="0"/>
          <w:numId w:val="100"/>
        </w:numPr>
        <w:rPr>
          <w:rFonts w:ascii="Arial" w:cs="Arial" w:eastAsia="Arial" w:hAnsi="Arial"/>
          <w:sz w:val="13"/>
          <w:szCs w:val="13"/>
          <w:color w:val="105EAB"/>
        </w:rPr>
      </w:pPr>
      <w:r>
        <w:rPr>
          <w:rFonts w:ascii="Arial" w:cs="Arial" w:eastAsia="Arial" w:hAnsi="Arial"/>
          <w:sz w:val="13"/>
          <w:szCs w:val="13"/>
          <w:color w:val="auto"/>
        </w:rPr>
        <w:t>Industry and community leadership, including former chair of the Financial Services Roundtable, chair of the U.S. Chamber of Commerce, co-chair of a public-private partnership to reduce violence in Chicago, and national and Illinois co-chair for WE.</w:t>
      </w:r>
    </w:p>
    <w:p>
      <w:pPr>
        <w:spacing w:after="0" w:line="182" w:lineRule="exact"/>
        <w:rPr>
          <w:sz w:val="20"/>
          <w:szCs w:val="20"/>
          <w:color w:val="auto"/>
        </w:rPr>
      </w:pPr>
    </w:p>
    <w:p>
      <w:pPr>
        <w:ind w:left="4" w:right="100"/>
        <w:spacing w:after="0" w:line="284" w:lineRule="auto"/>
        <w:rPr>
          <w:sz w:val="20"/>
          <w:szCs w:val="20"/>
          <w:color w:val="auto"/>
        </w:rPr>
      </w:pPr>
      <w:r>
        <w:rPr>
          <w:rFonts w:ascii="Arial" w:cs="Arial" w:eastAsia="Arial" w:hAnsi="Arial"/>
          <w:sz w:val="13"/>
          <w:szCs w:val="13"/>
          <w:b w:val="1"/>
          <w:bCs w:val="1"/>
          <w:color w:val="39B6E9"/>
        </w:rPr>
        <w:t>Tom possesses a thorough and in-depth understanding of Allstate’s business, including its employees, agencies, products, investments, customers, and investors.</w:t>
      </w:r>
    </w:p>
    <w:p>
      <w:pPr>
        <w:spacing w:after="0" w:line="159" w:lineRule="exact"/>
        <w:rPr>
          <w:sz w:val="20"/>
          <w:szCs w:val="20"/>
          <w:color w:val="auto"/>
        </w:rPr>
      </w:pPr>
    </w:p>
    <w:p>
      <w:pPr>
        <w:ind w:left="4"/>
        <w:spacing w:after="0"/>
        <w:rPr>
          <w:sz w:val="20"/>
          <w:szCs w:val="20"/>
          <w:color w:val="auto"/>
        </w:rPr>
      </w:pPr>
      <w:r>
        <w:rPr>
          <w:rFonts w:ascii="Arial" w:cs="Arial" w:eastAsia="Arial" w:hAnsi="Arial"/>
          <w:sz w:val="13"/>
          <w:szCs w:val="13"/>
          <w:b w:val="1"/>
          <w:bCs w:val="1"/>
          <w:color w:val="105EAB"/>
        </w:rPr>
        <w:t>Other Public Board Service</w:t>
      </w:r>
    </w:p>
    <w:p>
      <w:pPr>
        <w:spacing w:after="0" w:line="15" w:lineRule="exact"/>
        <w:rPr>
          <w:sz w:val="20"/>
          <w:szCs w:val="20"/>
          <w:color w:val="auto"/>
        </w:rPr>
      </w:pPr>
    </w:p>
    <w:p>
      <w:pPr>
        <w:ind w:left="264" w:hanging="264"/>
        <w:spacing w:after="0"/>
        <w:tabs>
          <w:tab w:leader="none" w:pos="264" w:val="left"/>
        </w:tabs>
        <w:numPr>
          <w:ilvl w:val="0"/>
          <w:numId w:val="101"/>
        </w:numPr>
        <w:rPr>
          <w:rFonts w:ascii="Arial" w:cs="Arial" w:eastAsia="Arial" w:hAnsi="Arial"/>
          <w:sz w:val="13"/>
          <w:szCs w:val="13"/>
          <w:color w:val="105EAB"/>
        </w:rPr>
      </w:pPr>
      <w:r>
        <w:rPr>
          <w:rFonts w:ascii="Arial" w:cs="Arial" w:eastAsia="Arial" w:hAnsi="Arial"/>
          <w:sz w:val="13"/>
          <w:szCs w:val="13"/>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496570</wp:posOffset>
            </wp:positionV>
            <wp:extent cx="3520440" cy="17214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520440" cy="1721485"/>
                    </a:xfrm>
                    <a:prstGeom prst="rect">
                      <a:avLst/>
                    </a:prstGeom>
                    <a:noFill/>
                  </pic:spPr>
                </pic:pic>
              </a:graphicData>
            </a:graphic>
          </wp:anchor>
        </w:drawing>
      </w:r>
    </w:p>
    <w:p>
      <w:pPr>
        <w:spacing w:after="0" w:line="496" w:lineRule="exact"/>
        <w:rPr>
          <w:sz w:val="20"/>
          <w:szCs w:val="20"/>
          <w:color w:val="auto"/>
        </w:rPr>
      </w:pPr>
    </w:p>
    <w:p>
      <w:pPr>
        <w:sectPr>
          <w:pgSz w:w="11900" w:h="16838" w:orient="portrait"/>
          <w:cols w:equalWidth="0" w:num="2">
            <w:col w:w="5500" w:space="376"/>
            <w:col w:w="5544"/>
          </w:cols>
          <w:pgMar w:left="240" w:top="121" w:right="239" w:bottom="1440" w:gutter="0" w:footer="0" w:header="0"/>
        </w:sectPr>
      </w:pP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105EAB"/>
        </w:rPr>
        <w:t>Allstate Board Service</w:t>
      </w:r>
    </w:p>
    <w:p>
      <w:pPr>
        <w:spacing w:after="0" w:line="26"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 xml:space="preserve">Director since 2016 </w:t>
      </w:r>
      <w:r>
        <w:rPr>
          <w:rFonts w:ascii="Arial" w:cs="Arial" w:eastAsia="Arial" w:hAnsi="Arial"/>
          <w:sz w:val="13"/>
          <w:szCs w:val="13"/>
          <w:color w:val="auto"/>
        </w:rPr>
        <w:t>(2 years of tenure)</w:t>
      </w:r>
    </w:p>
    <w:p>
      <w:pPr>
        <w:spacing w:after="0" w:line="200"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105EAB"/>
        </w:rPr>
        <w:t>Committee Assignments and Rationale</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3"/>
          <w:szCs w:val="13"/>
          <w:color w:val="105EAB"/>
        </w:rPr>
        <w:t>Compensation and Succession Committee</w:t>
      </w:r>
    </w:p>
    <w:p>
      <w:pPr>
        <w:ind w:left="380" w:right="140" w:hanging="264"/>
        <w:spacing w:after="0" w:line="258" w:lineRule="auto"/>
        <w:tabs>
          <w:tab w:leader="none" w:pos="369" w:val="left"/>
        </w:tabs>
        <w:numPr>
          <w:ilvl w:val="0"/>
          <w:numId w:val="102"/>
        </w:numPr>
        <w:rPr>
          <w:rFonts w:ascii="Arial" w:cs="Arial" w:eastAsia="Arial" w:hAnsi="Arial"/>
          <w:sz w:val="13"/>
          <w:szCs w:val="13"/>
          <w:color w:val="105EAB"/>
        </w:rPr>
      </w:pPr>
      <w:r>
        <w:rPr>
          <w:rFonts w:ascii="Arial" w:cs="Arial" w:eastAsia="Arial" w:hAnsi="Arial"/>
          <w:sz w:val="13"/>
          <w:szCs w:val="13"/>
          <w:color w:val="auto"/>
        </w:rPr>
        <w:t>Significant management experience as former Chairman and CEO of Wellington Management Company LLP from 2004 through June 2014.</w:t>
      </w:r>
    </w:p>
    <w:p>
      <w:pPr>
        <w:spacing w:after="0" w:line="42" w:lineRule="exact"/>
        <w:rPr>
          <w:rFonts w:ascii="Arial" w:cs="Arial" w:eastAsia="Arial" w:hAnsi="Arial"/>
          <w:sz w:val="13"/>
          <w:szCs w:val="13"/>
          <w:color w:val="105EAB"/>
        </w:rPr>
      </w:pPr>
    </w:p>
    <w:p>
      <w:pPr>
        <w:ind w:left="380" w:hanging="264"/>
        <w:spacing w:after="0" w:line="258" w:lineRule="auto"/>
        <w:tabs>
          <w:tab w:leader="none" w:pos="369" w:val="left"/>
        </w:tabs>
        <w:numPr>
          <w:ilvl w:val="0"/>
          <w:numId w:val="102"/>
        </w:numPr>
        <w:rPr>
          <w:rFonts w:ascii="Arial" w:cs="Arial" w:eastAsia="Arial" w:hAnsi="Arial"/>
          <w:sz w:val="13"/>
          <w:szCs w:val="13"/>
          <w:color w:val="105EAB"/>
        </w:rPr>
      </w:pPr>
      <w:r>
        <w:rPr>
          <w:rFonts w:ascii="Arial" w:cs="Arial" w:eastAsia="Arial" w:hAnsi="Arial"/>
          <w:sz w:val="13"/>
          <w:szCs w:val="13"/>
          <w:color w:val="auto"/>
        </w:rPr>
        <w:t>Shareholder perspective on compensation and succession as a significant investor and director of other public companies.</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3"/>
          <w:szCs w:val="13"/>
          <w:color w:val="105EAB"/>
        </w:rPr>
        <w:t>Risk and Return Committee</w:t>
      </w:r>
    </w:p>
    <w:p>
      <w:pPr>
        <w:ind w:left="380" w:right="420" w:hanging="264"/>
        <w:spacing w:after="0" w:line="258" w:lineRule="auto"/>
        <w:tabs>
          <w:tab w:leader="none" w:pos="369" w:val="left"/>
        </w:tabs>
        <w:numPr>
          <w:ilvl w:val="0"/>
          <w:numId w:val="103"/>
        </w:numPr>
        <w:rPr>
          <w:rFonts w:ascii="Arial" w:cs="Arial" w:eastAsia="Arial" w:hAnsi="Arial"/>
          <w:sz w:val="13"/>
          <w:szCs w:val="13"/>
          <w:color w:val="105EAB"/>
        </w:rPr>
      </w:pPr>
      <w:r>
        <w:rPr>
          <w:rFonts w:ascii="Arial" w:cs="Arial" w:eastAsia="Arial" w:hAnsi="Arial"/>
          <w:sz w:val="13"/>
          <w:szCs w:val="13"/>
          <w:color w:val="auto"/>
        </w:rPr>
        <w:t>In-depth understanding of financial markets, asset allocation strategies, and investment performance management.</w:t>
      </w:r>
    </w:p>
    <w:p>
      <w:pPr>
        <w:spacing w:after="0" w:line="56" w:lineRule="exact"/>
        <w:rPr>
          <w:rFonts w:ascii="Arial" w:cs="Arial" w:eastAsia="Arial" w:hAnsi="Arial"/>
          <w:sz w:val="13"/>
          <w:szCs w:val="13"/>
          <w:color w:val="105EAB"/>
        </w:rPr>
      </w:pPr>
    </w:p>
    <w:p>
      <w:pPr>
        <w:ind w:left="380" w:hanging="264"/>
        <w:spacing w:after="0"/>
        <w:tabs>
          <w:tab w:leader="none" w:pos="380" w:val="left"/>
        </w:tabs>
        <w:numPr>
          <w:ilvl w:val="0"/>
          <w:numId w:val="103"/>
        </w:numPr>
        <w:rPr>
          <w:rFonts w:ascii="Arial" w:cs="Arial" w:eastAsia="Arial" w:hAnsi="Arial"/>
          <w:sz w:val="13"/>
          <w:szCs w:val="13"/>
          <w:color w:val="105EAB"/>
        </w:rPr>
      </w:pPr>
      <w:r>
        <w:rPr>
          <w:rFonts w:ascii="Arial" w:cs="Arial" w:eastAsia="Arial" w:hAnsi="Arial"/>
          <w:sz w:val="13"/>
          <w:szCs w:val="13"/>
          <w:color w:val="auto"/>
        </w:rPr>
        <w:t>Current chair of the risk committee at Morgan Stanley.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105EAB"/>
        </w:rPr>
        <w:t>Allstate Board Service</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Director since 2006 </w:t>
      </w:r>
      <w:r>
        <w:rPr>
          <w:rFonts w:ascii="Arial" w:cs="Arial" w:eastAsia="Arial" w:hAnsi="Arial"/>
          <w:sz w:val="13"/>
          <w:szCs w:val="13"/>
          <w:color w:val="auto"/>
        </w:rPr>
        <w:t>(13 years of tenure)</w:t>
      </w:r>
    </w:p>
    <w:p>
      <w:pPr>
        <w:spacing w:after="0" w:line="199" w:lineRule="exact"/>
        <w:rPr>
          <w:sz w:val="20"/>
          <w:szCs w:val="20"/>
          <w:color w:val="auto"/>
        </w:rPr>
      </w:pPr>
    </w:p>
    <w:p>
      <w:pPr>
        <w:spacing w:after="0"/>
        <w:rPr>
          <w:sz w:val="20"/>
          <w:szCs w:val="20"/>
          <w:color w:val="auto"/>
        </w:rPr>
      </w:pPr>
      <w:r>
        <w:rPr>
          <w:rFonts w:ascii="Arial" w:cs="Arial" w:eastAsia="Arial" w:hAnsi="Arial"/>
          <w:sz w:val="13"/>
          <w:szCs w:val="13"/>
          <w:b w:val="1"/>
          <w:bCs w:val="1"/>
          <w:color w:val="105EAB"/>
        </w:rPr>
        <w:t>Committee Assignments and Rationale</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105EAB"/>
        </w:rPr>
        <w:t xml:space="preserve">Executive Committee </w:t>
      </w:r>
      <w:r>
        <w:rPr>
          <w:rFonts w:ascii="Arial" w:cs="Arial" w:eastAsia="Arial" w:hAnsi="Arial"/>
          <w:sz w:val="13"/>
          <w:szCs w:val="13"/>
          <w:b w:val="1"/>
          <w:bCs w:val="1"/>
          <w:color w:val="105EAB"/>
        </w:rPr>
        <w:t>(Chair)</w:t>
      </w:r>
    </w:p>
    <w:p>
      <w:pPr>
        <w:ind w:left="280" w:right="480" w:hanging="276"/>
        <w:spacing w:after="0" w:line="258" w:lineRule="auto"/>
        <w:tabs>
          <w:tab w:leader="none" w:pos="269" w:val="left"/>
        </w:tabs>
        <w:numPr>
          <w:ilvl w:val="0"/>
          <w:numId w:val="104"/>
        </w:numPr>
        <w:rPr>
          <w:rFonts w:ascii="Arial" w:cs="Arial" w:eastAsia="Arial" w:hAnsi="Arial"/>
          <w:sz w:val="13"/>
          <w:szCs w:val="13"/>
          <w:color w:val="105EAB"/>
        </w:rPr>
      </w:pPr>
      <w:r>
        <w:rPr>
          <w:rFonts w:ascii="Arial" w:cs="Arial" w:eastAsia="Arial" w:hAnsi="Arial"/>
          <w:sz w:val="13"/>
          <w:szCs w:val="13"/>
          <w:color w:val="auto"/>
        </w:rPr>
        <w:t>Comprehensive knowledge of Allstate’s business and industry, with 24 years of leadership experience at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3660" w:type="dxa"/>
        <w:tblCellMar>
          <w:top w:w="0" w:type="dxa"/>
          <w:left w:w="0" w:type="dxa"/>
          <w:bottom w:w="0" w:type="dxa"/>
          <w:right w:w="0" w:type="dxa"/>
        </w:tblCellMar>
      </w:tblPr>
      <w:tr>
        <w:trPr>
          <w:trHeight w:val="178"/>
        </w:trPr>
        <w:tc>
          <w:tcPr>
            <w:tcW w:w="1480" w:type="dxa"/>
            <w:vAlign w:val="bottom"/>
          </w:tcPr>
          <w:p>
            <w:pPr>
              <w:spacing w:after="0"/>
              <w:rPr>
                <w:sz w:val="20"/>
                <w:szCs w:val="20"/>
                <w:color w:val="auto"/>
              </w:rPr>
            </w:pPr>
            <w:r>
              <w:rPr>
                <w:rFonts w:ascii="Arial" w:cs="Arial" w:eastAsia="Arial" w:hAnsi="Arial"/>
                <w:sz w:val="13"/>
                <w:szCs w:val="13"/>
                <w:color w:val="105EAB"/>
              </w:rPr>
              <w:t>2019 Proxy Statement</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105EAB"/>
              </w:rPr>
              <w:t>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-3793490</wp:posOffset>
            </wp:positionH>
            <wp:positionV relativeFrom="paragraph">
              <wp:posOffset>127000</wp:posOffset>
            </wp:positionV>
            <wp:extent cx="7268210" cy="209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2">
            <w:col w:w="5300" w:space="680"/>
            <w:col w:w="5440"/>
          </w:cols>
          <w:pgMar w:left="240" w:top="121" w:right="23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b w:val="1"/>
          <w:bCs w:val="1"/>
          <w:color w:val="105EAB"/>
        </w:rPr>
        <w:t xml:space="preserve">Corporate Governance | </w:t>
      </w:r>
      <w:r>
        <w:rPr>
          <w:rFonts w:ascii="Arial" w:cs="Arial" w:eastAsia="Arial" w:hAnsi="Arial"/>
          <w:sz w:val="13"/>
          <w:szCs w:val="13"/>
          <w:b w:val="1"/>
          <w:bCs w:val="1"/>
          <w:color w:val="000000"/>
        </w:rPr>
        <w:t>Board Composition and Nominee Considerations</w:t>
      </w:r>
    </w:p>
    <w:p>
      <w:pPr>
        <w:spacing w:after="0" w:line="200" w:lineRule="exact"/>
        <w:rPr>
          <w:sz w:val="20"/>
          <w:szCs w:val="20"/>
          <w:color w:val="auto"/>
        </w:rPr>
      </w:pPr>
    </w:p>
    <w:p>
      <w:pPr>
        <w:spacing w:after="0"/>
        <w:rPr>
          <w:sz w:val="20"/>
          <w:szCs w:val="20"/>
          <w:color w:val="auto"/>
        </w:rPr>
      </w:pPr>
      <w:r>
        <w:rPr>
          <w:rFonts w:ascii="Arial" w:cs="Arial" w:eastAsia="Arial" w:hAnsi="Arial"/>
          <w:sz w:val="31"/>
          <w:szCs w:val="31"/>
          <w:b w:val="1"/>
          <w:bCs w:val="1"/>
          <w:color w:val="959595"/>
        </w:rPr>
        <w:t>Board Composition and Nominee Considerations</w:t>
      </w:r>
    </w:p>
    <w:p>
      <w:pPr>
        <w:spacing w:after="0" w:line="258"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 xml:space="preserve">In addition to fulfilling the core competencies and additional capabilities listed on page 10, the Board and nominating and governance committee </w:t>
      </w:r>
      <w:r>
        <w:rPr>
          <w:rFonts w:ascii="Arial" w:cs="Arial" w:eastAsia="Arial" w:hAnsi="Arial"/>
          <w:sz w:val="18"/>
          <w:szCs w:val="18"/>
          <w:b w:val="1"/>
          <w:bCs w:val="1"/>
          <w:color w:val="auto"/>
        </w:rPr>
        <w:t>expect non-employee directors to be free of interests or affiliations that could give rise to a biased approach to directorship responsibilities or a conflict of interest and to be free of any significant relationship with Allstate that would interfere with the director’s exercise of independent judgment</w:t>
      </w:r>
      <w:r>
        <w:rPr>
          <w:rFonts w:ascii="Arial" w:cs="Arial" w:eastAsia="Arial" w:hAnsi="Arial"/>
          <w:sz w:val="18"/>
          <w:szCs w:val="18"/>
          <w:color w:val="auto"/>
        </w:rPr>
        <w:t>. The Board and committee also expect each director to devote the time and effort necessary to serve as an</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director and act in a manner consistent with a director’s fiduciary duties of loyalty and care. Allstate executive officers may not serve on boards of other corporations whose executive officers serve on Allstate’s Board.</w:t>
      </w:r>
    </w:p>
    <w:p>
      <w:pPr>
        <w:spacing w:after="0" w:line="209"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 xml:space="preserve">The Board also has limits on the number of other public boards on which our directors may sit. Directors who are active executives may serve on the board of no more than two other public companies, and other </w:t>
      </w:r>
      <w:r>
        <w:rPr>
          <w:rFonts w:ascii="Arial" w:cs="Arial" w:eastAsia="Arial" w:hAnsi="Arial"/>
          <w:sz w:val="18"/>
          <w:szCs w:val="18"/>
          <w:b w:val="1"/>
          <w:bCs w:val="1"/>
          <w:color w:val="auto"/>
        </w:rPr>
        <w:t>directors may serve on the board of no more than four other public</w:t>
      </w:r>
      <w:r>
        <w:rPr>
          <w:rFonts w:ascii="Arial" w:cs="Arial" w:eastAsia="Arial" w:hAnsi="Arial"/>
          <w:sz w:val="18"/>
          <w:szCs w:val="18"/>
          <w:color w:val="auto"/>
        </w:rPr>
        <w:t xml:space="preserve"> </w:t>
      </w:r>
      <w:r>
        <w:rPr>
          <w:rFonts w:ascii="Arial" w:cs="Arial" w:eastAsia="Arial" w:hAnsi="Arial"/>
          <w:sz w:val="18"/>
          <w:szCs w:val="18"/>
          <w:b w:val="1"/>
          <w:bCs w:val="1"/>
          <w:color w:val="auto"/>
        </w:rPr>
        <w:t>companies (in addition to Allstate’s Board in each case)</w:t>
      </w:r>
      <w:r>
        <w:rPr>
          <w:rFonts w:ascii="Arial" w:cs="Arial" w:eastAsia="Arial" w:hAnsi="Arial"/>
          <w:sz w:val="18"/>
          <w:szCs w:val="18"/>
          <w:color w:val="auto"/>
        </w:rPr>
        <w:t>.</w:t>
      </w:r>
    </w:p>
    <w:p>
      <w:pPr>
        <w:spacing w:after="0" w:line="210"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color w:val="auto"/>
        </w:rPr>
        <w:t>Board nominees are identified through a retained search firm, suggestions from current directors and stockholders, and through other methods, including self-nominations.</w:t>
      </w:r>
    </w:p>
    <w:p>
      <w:pPr>
        <w:spacing w:after="0" w:line="208" w:lineRule="exact"/>
        <w:rPr>
          <w:sz w:val="20"/>
          <w:szCs w:val="20"/>
          <w:color w:val="auto"/>
        </w:rPr>
      </w:pPr>
    </w:p>
    <w:p>
      <w:pPr>
        <w:jc w:val="both"/>
        <w:ind w:right="460"/>
        <w:spacing w:after="0" w:line="237" w:lineRule="auto"/>
        <w:rPr>
          <w:sz w:val="20"/>
          <w:szCs w:val="20"/>
          <w:color w:val="auto"/>
        </w:rPr>
      </w:pPr>
      <w:r>
        <w:rPr>
          <w:rFonts w:ascii="Arial" w:cs="Arial" w:eastAsia="Arial" w:hAnsi="Arial"/>
          <w:sz w:val="18"/>
          <w:szCs w:val="18"/>
          <w:color w:val="auto"/>
        </w:rPr>
        <w:t>The nominating and governance committee will consider director candidates recommended by a stockholder in the same manner as all other candidates recommended by other sources. A stockholder may recommend a candidate at any time of the year by writing to the Office of the Secretary, The Allstate Corporation, 2775 Sanders Road, Suite F7, Northbrook, IL 60062-6127.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2617470</wp:posOffset>
            </wp:positionH>
            <wp:positionV relativeFrom="paragraph">
              <wp:posOffset>131445</wp:posOffset>
            </wp:positionV>
            <wp:extent cx="4634230" cy="5480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634230" cy="54800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p>
      <w:pPr>
        <w:spacing w:after="0" w:line="21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 stockholder or group of up to 20 stockholders owning 3% or more of Allstate’s outstanding common stock continuously for at least three years can nominate director candidates constituting up to 20% of the Board in the Company’s annual meeting proxy materials.</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jc w:val="both"/>
        <w:ind w:right="200"/>
        <w:spacing w:after="0" w:line="237" w:lineRule="auto"/>
        <w:rPr>
          <w:sz w:val="20"/>
          <w:szCs w:val="20"/>
          <w:color w:val="auto"/>
        </w:rPr>
      </w:pPr>
      <w:r>
        <w:rPr>
          <w:rFonts w:ascii="Arial" w:cs="Arial" w:eastAsia="Arial" w:hAnsi="Arial"/>
          <w:sz w:val="18"/>
          <w:szCs w:val="18"/>
          <w:color w:val="105EAB"/>
        </w:rPr>
        <w:t>All candidates are evaluated and considered for their diversity, including gender, ethnic and diversity of background, expertise, and perspective, as well as the criteria described in our Corporate Governance Guidelines at www.allstateinvestors.com.</w:t>
      </w:r>
    </w:p>
    <w:p>
      <w:pPr>
        <w:spacing w:after="0" w:line="890" w:lineRule="exact"/>
        <w:rPr>
          <w:sz w:val="20"/>
          <w:szCs w:val="20"/>
          <w:color w:val="auto"/>
        </w:rPr>
      </w:pPr>
    </w:p>
    <w:p>
      <w:pPr>
        <w:sectPr>
          <w:pgSz w:w="11900" w:h="16838" w:orient="portrait"/>
          <w:cols w:equalWidth="0" w:num="2">
            <w:col w:w="3640" w:space="480"/>
            <w:col w:w="7260"/>
          </w:cols>
          <w:pgMar w:left="240" w:top="121" w:right="279" w:bottom="1440" w:gutter="0" w:footer="0" w:header="0"/>
          <w:type w:val="continuous"/>
        </w:sectPr>
      </w:pPr>
    </w:p>
    <w:p>
      <w:pPr>
        <w:spacing w:after="0" w:line="190" w:lineRule="exact"/>
        <w:rPr>
          <w:sz w:val="20"/>
          <w:szCs w:val="20"/>
          <w:color w:val="auto"/>
        </w:rPr>
      </w:pPr>
    </w:p>
    <w:p>
      <w:pPr>
        <w:spacing w:after="0"/>
        <w:rPr>
          <w:sz w:val="20"/>
          <w:szCs w:val="20"/>
          <w:color w:val="auto"/>
        </w:rPr>
      </w:pPr>
      <w:r>
        <w:rPr>
          <w:rFonts w:ascii="Arial" w:cs="Arial" w:eastAsia="Arial" w:hAnsi="Arial"/>
          <w:sz w:val="25"/>
          <w:szCs w:val="25"/>
          <w:b w:val="1"/>
          <w:bCs w:val="1"/>
          <w:color w:val="105EAB"/>
        </w:rPr>
        <w:t>Nomination Process for Board Election</w:t>
      </w:r>
    </w:p>
    <w:p>
      <w:pPr>
        <w:spacing w:after="0" w:line="25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Board continually considers potential director candidates in anticipation of retirements, resignations, or the need for additional capabilities. The graphic below describes the ongoing process to identify highly qualified candidates for Board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818515</wp:posOffset>
            </wp:positionH>
            <wp:positionV relativeFrom="paragraph">
              <wp:posOffset>130175</wp:posOffset>
            </wp:positionV>
            <wp:extent cx="5628005" cy="227838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628005" cy="2278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60" w:hanging="452"/>
        <w:spacing w:after="0"/>
        <w:tabs>
          <w:tab w:leader="none" w:pos="460" w:val="left"/>
        </w:tabs>
        <w:numPr>
          <w:ilvl w:val="0"/>
          <w:numId w:val="105"/>
        </w:numPr>
        <w:rPr>
          <w:rFonts w:ascii="Arial" w:cs="Arial" w:eastAsia="Arial" w:hAnsi="Arial"/>
          <w:sz w:val="13"/>
          <w:szCs w:val="13"/>
          <w:b w:val="1"/>
          <w:bCs w:val="1"/>
          <w:color w:val="105EAB"/>
        </w:rPr>
      </w:pPr>
      <w:r>
        <w:rPr>
          <w:rFonts w:ascii="Arial" w:cs="Arial" w:eastAsia="Arial" w:hAnsi="Arial"/>
          <w:sz w:val="13"/>
          <w:szCs w:val="13"/>
          <w:color w:val="105EAB"/>
        </w:rPr>
        <w:t>www.allstateproxy.com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134620</wp:posOffset>
            </wp:positionV>
            <wp:extent cx="7268210" cy="209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jc w:val="right"/>
        <w:ind w:right="20"/>
        <w:spacing w:after="0"/>
        <w:rPr>
          <w:sz w:val="20"/>
          <w:szCs w:val="20"/>
          <w:color w:val="auto"/>
        </w:rPr>
      </w:pPr>
      <w:r>
        <w:rPr>
          <w:rFonts w:ascii="Arial" w:cs="Arial" w:eastAsia="Arial" w:hAnsi="Arial"/>
          <w:sz w:val="13"/>
          <w:szCs w:val="13"/>
          <w:b w:val="1"/>
          <w:bCs w:val="1"/>
          <w:color w:val="auto"/>
        </w:rPr>
        <w:t xml:space="preserve">Board Effectiveness </w:t>
      </w:r>
      <w:r>
        <w:rPr>
          <w:rFonts w:ascii="Arial" w:cs="Arial" w:eastAsia="Arial" w:hAnsi="Arial"/>
          <w:sz w:val="13"/>
          <w:szCs w:val="13"/>
          <w:b w:val="1"/>
          <w:bCs w:val="1"/>
          <w:color w:val="105EAB"/>
        </w:rPr>
        <w:t>| Corporate Governance</w:t>
      </w:r>
    </w:p>
    <w:p>
      <w:pPr>
        <w:spacing w:after="0" w:line="200" w:lineRule="exact"/>
        <w:rPr>
          <w:sz w:val="20"/>
          <w:szCs w:val="20"/>
          <w:color w:val="auto"/>
        </w:rPr>
      </w:pPr>
    </w:p>
    <w:p>
      <w:pPr>
        <w:spacing w:after="0"/>
        <w:rPr>
          <w:sz w:val="20"/>
          <w:szCs w:val="20"/>
          <w:color w:val="auto"/>
        </w:rPr>
      </w:pPr>
      <w:r>
        <w:rPr>
          <w:rFonts w:ascii="Arial" w:cs="Arial" w:eastAsia="Arial" w:hAnsi="Arial"/>
          <w:sz w:val="31"/>
          <w:szCs w:val="31"/>
          <w:b w:val="1"/>
          <w:bCs w:val="1"/>
          <w:color w:val="959595"/>
        </w:rPr>
        <w:t>Board Effectiveness</w:t>
      </w:r>
    </w:p>
    <w:p>
      <w:pPr>
        <w:spacing w:after="0" w:line="224" w:lineRule="exact"/>
        <w:rPr>
          <w:sz w:val="20"/>
          <w:szCs w:val="20"/>
          <w:color w:val="auto"/>
        </w:rPr>
      </w:pPr>
    </w:p>
    <w:p>
      <w:pPr>
        <w:spacing w:after="0"/>
        <w:rPr>
          <w:sz w:val="20"/>
          <w:szCs w:val="20"/>
          <w:color w:val="auto"/>
        </w:rPr>
      </w:pPr>
      <w:r>
        <w:rPr>
          <w:rFonts w:ascii="Arial" w:cs="Arial" w:eastAsia="Arial" w:hAnsi="Arial"/>
          <w:sz w:val="25"/>
          <w:szCs w:val="25"/>
          <w:b w:val="1"/>
          <w:bCs w:val="1"/>
          <w:color w:val="105EAB"/>
        </w:rPr>
        <w:t>Evaluation Process</w:t>
      </w:r>
    </w:p>
    <w:p>
      <w:pPr>
        <w:spacing w:after="0" w:line="259" w:lineRule="exact"/>
        <w:rPr>
          <w:sz w:val="20"/>
          <w:szCs w:val="20"/>
          <w:color w:val="auto"/>
        </w:rPr>
      </w:pPr>
    </w:p>
    <w:p>
      <w:pPr>
        <w:ind w:right="500"/>
        <w:spacing w:after="0" w:line="237" w:lineRule="auto"/>
        <w:rPr>
          <w:sz w:val="20"/>
          <w:szCs w:val="20"/>
          <w:color w:val="auto"/>
        </w:rPr>
      </w:pPr>
      <w:r>
        <w:rPr>
          <w:rFonts w:ascii="Arial" w:cs="Arial" w:eastAsia="Arial" w:hAnsi="Arial"/>
          <w:sz w:val="18"/>
          <w:szCs w:val="18"/>
          <w:color w:val="auto"/>
        </w:rPr>
        <w:t>Allstate’s Board evaluation process includes multiple assessments and reviews performed throughout the year. This process ensures that the Board’s governance and oversight responsibilities are updated to reflect best practices and are well executed. These evaluations include discussions after every meeting, an annual Board assessment and individual director evaluations.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105EAB"/>
        </w:rPr>
        <w:t>STEPS TO ACHIEVE BOARD EFFECTIVENESS</w:t>
      </w:r>
    </w:p>
    <w:p>
      <w:pPr>
        <w:sectPr>
          <w:pgSz w:w="11900" w:h="16838" w:orient="portrait"/>
          <w:cols w:equalWidth="0" w:num="1">
            <w:col w:w="11440"/>
          </w:cols>
          <w:pgMar w:left="240" w:top="121" w:right="219" w:bottom="1440" w:gutter="0" w:footer="0" w:header="0"/>
        </w:sectPr>
      </w:pPr>
    </w:p>
    <w:p>
      <w:pPr>
        <w:spacing w:after="0" w:line="267" w:lineRule="exact"/>
        <w:rPr>
          <w:sz w:val="20"/>
          <w:szCs w:val="20"/>
          <w:color w:val="auto"/>
        </w:rPr>
      </w:pPr>
    </w:p>
    <w:tbl>
      <w:tblPr>
        <w:tblLayout w:type="fixed"/>
        <w:tblInd w:w="620" w:type="dxa"/>
        <w:tblCellMar>
          <w:top w:w="0" w:type="dxa"/>
          <w:left w:w="0" w:type="dxa"/>
          <w:bottom w:w="0" w:type="dxa"/>
          <w:right w:w="0" w:type="dxa"/>
        </w:tblCellMar>
      </w:tblPr>
      <w:tr>
        <w:trPr>
          <w:trHeight w:val="199"/>
        </w:trPr>
        <w:tc>
          <w:tcPr>
            <w:tcW w:w="1520" w:type="dxa"/>
            <w:vAlign w:val="bottom"/>
            <w:tcBorders>
              <w:bottom w:val="single" w:sz="8" w:color="105EAB"/>
            </w:tcBorders>
          </w:tcPr>
          <w:p>
            <w:pPr>
              <w:spacing w:after="0"/>
              <w:rPr>
                <w:sz w:val="20"/>
                <w:szCs w:val="20"/>
                <w:color w:val="auto"/>
              </w:rPr>
            </w:pPr>
            <w:r>
              <w:rPr>
                <w:rFonts w:ascii="Arial" w:cs="Arial" w:eastAsia="Arial" w:hAnsi="Arial"/>
                <w:sz w:val="13"/>
                <w:szCs w:val="13"/>
                <w:b w:val="1"/>
                <w:bCs w:val="1"/>
                <w:color w:val="105EAB"/>
              </w:rPr>
              <w:t>Process</w:t>
            </w:r>
          </w:p>
        </w:tc>
        <w:tc>
          <w:tcPr>
            <w:tcW w:w="1120" w:type="dxa"/>
            <w:vAlign w:val="bottom"/>
            <w:tcBorders>
              <w:bottom w:val="single" w:sz="8" w:color="105EAB"/>
            </w:tcBorders>
          </w:tcPr>
          <w:p>
            <w:pPr>
              <w:ind w:left="100"/>
              <w:spacing w:after="0"/>
              <w:rPr>
                <w:sz w:val="20"/>
                <w:szCs w:val="20"/>
                <w:color w:val="auto"/>
              </w:rPr>
            </w:pPr>
            <w:r>
              <w:rPr>
                <w:rFonts w:ascii="Arial" w:cs="Arial" w:eastAsia="Arial" w:hAnsi="Arial"/>
                <w:sz w:val="13"/>
                <w:szCs w:val="13"/>
                <w:b w:val="1"/>
                <w:bCs w:val="1"/>
                <w:color w:val="105EAB"/>
              </w:rPr>
              <w:t>Performed By</w:t>
            </w:r>
          </w:p>
        </w:tc>
        <w:tc>
          <w:tcPr>
            <w:tcW w:w="5700" w:type="dxa"/>
            <w:vAlign w:val="bottom"/>
            <w:tcBorders>
              <w:bottom w:val="single" w:sz="8" w:color="105EAB"/>
            </w:tcBorders>
          </w:tcPr>
          <w:p>
            <w:pPr>
              <w:ind w:left="120"/>
              <w:spacing w:after="0"/>
              <w:rPr>
                <w:sz w:val="20"/>
                <w:szCs w:val="20"/>
                <w:color w:val="auto"/>
              </w:rPr>
            </w:pPr>
            <w:r>
              <w:rPr>
                <w:rFonts w:ascii="Arial" w:cs="Arial" w:eastAsia="Arial" w:hAnsi="Arial"/>
                <w:sz w:val="13"/>
                <w:szCs w:val="13"/>
                <w:b w:val="1"/>
                <w:bCs w:val="1"/>
                <w:color w:val="105EAB"/>
              </w:rPr>
              <w:t>Description</w:t>
            </w:r>
          </w:p>
        </w:tc>
        <w:tc>
          <w:tcPr>
            <w:tcW w:w="0" w:type="dxa"/>
            <w:vAlign w:val="bottom"/>
          </w:tcPr>
          <w:p>
            <w:pPr>
              <w:spacing w:after="0"/>
              <w:rPr>
                <w:sz w:val="1"/>
                <w:szCs w:val="1"/>
                <w:color w:val="auto"/>
              </w:rPr>
            </w:pPr>
          </w:p>
        </w:tc>
      </w:tr>
      <w:tr>
        <w:trPr>
          <w:trHeight w:val="159"/>
        </w:trPr>
        <w:tc>
          <w:tcPr>
            <w:tcW w:w="1520" w:type="dxa"/>
            <w:vAlign w:val="bottom"/>
          </w:tcPr>
          <w:p>
            <w:pPr>
              <w:spacing w:after="0"/>
              <w:rPr>
                <w:sz w:val="20"/>
                <w:szCs w:val="20"/>
                <w:color w:val="auto"/>
              </w:rPr>
            </w:pPr>
            <w:r>
              <w:rPr>
                <w:rFonts w:ascii="Arial" w:cs="Arial" w:eastAsia="Arial" w:hAnsi="Arial"/>
                <w:sz w:val="13"/>
                <w:szCs w:val="13"/>
                <w:b w:val="1"/>
                <w:bCs w:val="1"/>
                <w:color w:val="105EAB"/>
              </w:rPr>
              <w:t>Evaluation at every in-</w:t>
            </w:r>
          </w:p>
        </w:tc>
        <w:tc>
          <w:tcPr>
            <w:tcW w:w="1120" w:type="dxa"/>
            <w:vAlign w:val="bottom"/>
          </w:tcPr>
          <w:p>
            <w:pPr>
              <w:ind w:left="100"/>
              <w:spacing w:after="0"/>
              <w:rPr>
                <w:sz w:val="20"/>
                <w:szCs w:val="20"/>
                <w:color w:val="auto"/>
              </w:rPr>
            </w:pPr>
            <w:r>
              <w:rPr>
                <w:rFonts w:ascii="Arial" w:cs="Arial" w:eastAsia="Arial" w:hAnsi="Arial"/>
                <w:sz w:val="13"/>
                <w:szCs w:val="13"/>
                <w:color w:val="auto"/>
              </w:rPr>
              <w:t>Independent</w:t>
            </w:r>
          </w:p>
        </w:tc>
        <w:tc>
          <w:tcPr>
            <w:tcW w:w="5700" w:type="dxa"/>
            <w:vAlign w:val="bottom"/>
          </w:tcPr>
          <w:p>
            <w:pPr>
              <w:ind w:left="120"/>
              <w:spacing w:after="0"/>
              <w:rPr>
                <w:sz w:val="20"/>
                <w:szCs w:val="20"/>
                <w:color w:val="auto"/>
              </w:rPr>
            </w:pPr>
            <w:r>
              <w:rPr>
                <w:rFonts w:ascii="Arial" w:cs="Arial" w:eastAsia="Arial" w:hAnsi="Arial"/>
                <w:sz w:val="13"/>
                <w:szCs w:val="13"/>
                <w:color w:val="105EAB"/>
              </w:rPr>
              <w:t xml:space="preserve">►  </w:t>
            </w:r>
            <w:r>
              <w:rPr>
                <w:rFonts w:ascii="Arial" w:cs="Arial" w:eastAsia="Arial" w:hAnsi="Arial"/>
                <w:sz w:val="13"/>
                <w:szCs w:val="13"/>
                <w:color w:val="000000"/>
              </w:rPr>
              <w:t>Measures effectiveness of Board and committee oversight</w:t>
            </w:r>
          </w:p>
        </w:tc>
        <w:tc>
          <w:tcPr>
            <w:tcW w:w="0" w:type="dxa"/>
            <w:vAlign w:val="bottom"/>
          </w:tcPr>
          <w:p>
            <w:pPr>
              <w:spacing w:after="0"/>
              <w:rPr>
                <w:sz w:val="1"/>
                <w:szCs w:val="1"/>
                <w:color w:val="auto"/>
              </w:rPr>
            </w:pPr>
          </w:p>
        </w:tc>
      </w:tr>
      <w:tr>
        <w:trPr>
          <w:trHeight w:val="178"/>
        </w:trPr>
        <w:tc>
          <w:tcPr>
            <w:tcW w:w="1520" w:type="dxa"/>
            <w:vAlign w:val="bottom"/>
          </w:tcPr>
          <w:p>
            <w:pPr>
              <w:spacing w:after="0"/>
              <w:rPr>
                <w:sz w:val="20"/>
                <w:szCs w:val="20"/>
                <w:color w:val="auto"/>
              </w:rPr>
            </w:pPr>
            <w:r>
              <w:rPr>
                <w:rFonts w:ascii="Arial" w:cs="Arial" w:eastAsia="Arial" w:hAnsi="Arial"/>
                <w:sz w:val="13"/>
                <w:szCs w:val="13"/>
                <w:b w:val="1"/>
                <w:bCs w:val="1"/>
                <w:color w:val="105EAB"/>
              </w:rPr>
              <w:t>person meeting</w:t>
            </w:r>
          </w:p>
        </w:tc>
        <w:tc>
          <w:tcPr>
            <w:tcW w:w="1120" w:type="dxa"/>
            <w:vAlign w:val="bottom"/>
          </w:tcPr>
          <w:p>
            <w:pPr>
              <w:ind w:left="100"/>
              <w:spacing w:after="0"/>
              <w:rPr>
                <w:sz w:val="20"/>
                <w:szCs w:val="20"/>
                <w:color w:val="auto"/>
              </w:rPr>
            </w:pPr>
            <w:r>
              <w:rPr>
                <w:rFonts w:ascii="Arial" w:cs="Arial" w:eastAsia="Arial" w:hAnsi="Arial"/>
                <w:sz w:val="13"/>
                <w:szCs w:val="13"/>
                <w:color w:val="auto"/>
              </w:rPr>
              <w:t>Directors</w:t>
            </w:r>
          </w:p>
        </w:tc>
        <w:tc>
          <w:tcPr>
            <w:tcW w:w="5700" w:type="dxa"/>
            <w:vAlign w:val="bottom"/>
            <w:vMerge w:val="restart"/>
          </w:tcPr>
          <w:p>
            <w:pPr>
              <w:ind w:left="120"/>
              <w:spacing w:after="0"/>
              <w:rPr>
                <w:sz w:val="20"/>
                <w:szCs w:val="20"/>
                <w:color w:val="auto"/>
              </w:rPr>
            </w:pPr>
            <w:r>
              <w:rPr>
                <w:rFonts w:ascii="Arial" w:cs="Arial" w:eastAsia="Arial" w:hAnsi="Arial"/>
                <w:sz w:val="13"/>
                <w:szCs w:val="13"/>
                <w:color w:val="105EAB"/>
              </w:rPr>
              <w:t xml:space="preserve">►  </w:t>
            </w:r>
            <w:r>
              <w:rPr>
                <w:rFonts w:ascii="Arial" w:cs="Arial" w:eastAsia="Arial" w:hAnsi="Arial"/>
                <w:sz w:val="13"/>
                <w:szCs w:val="13"/>
                <w:color w:val="000000"/>
              </w:rPr>
              <w:t>Ensures objectives were satisfied, all agenda items sufficiently considered and</w:t>
            </w:r>
          </w:p>
        </w:tc>
        <w:tc>
          <w:tcPr>
            <w:tcW w:w="0" w:type="dxa"/>
            <w:vAlign w:val="bottom"/>
          </w:tcPr>
          <w:p>
            <w:pPr>
              <w:spacing w:after="0"/>
              <w:rPr>
                <w:sz w:val="1"/>
                <w:szCs w:val="1"/>
                <w:color w:val="auto"/>
              </w:rPr>
            </w:pPr>
          </w:p>
        </w:tc>
      </w:tr>
      <w:tr>
        <w:trPr>
          <w:trHeight w:val="94"/>
        </w:trPr>
        <w:tc>
          <w:tcPr>
            <w:tcW w:w="15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5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1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700" w:type="dxa"/>
            <w:vAlign w:val="bottom"/>
          </w:tcPr>
          <w:p>
            <w:pPr>
              <w:ind w:left="400"/>
              <w:spacing w:after="0"/>
              <w:rPr>
                <w:sz w:val="20"/>
                <w:szCs w:val="20"/>
                <w:color w:val="auto"/>
              </w:rPr>
            </w:pPr>
            <w:r>
              <w:rPr>
                <w:rFonts w:ascii="Arial" w:cs="Arial" w:eastAsia="Arial" w:hAnsi="Arial"/>
                <w:sz w:val="13"/>
                <w:szCs w:val="13"/>
                <w:color w:val="auto"/>
              </w:rPr>
              <w:t>information presented was sufficient, complete, understandable and organized</w:t>
            </w:r>
          </w:p>
        </w:tc>
        <w:tc>
          <w:tcPr>
            <w:tcW w:w="0" w:type="dxa"/>
            <w:vAlign w:val="bottom"/>
          </w:tcPr>
          <w:p>
            <w:pPr>
              <w:spacing w:after="0"/>
              <w:rPr>
                <w:sz w:val="1"/>
                <w:szCs w:val="1"/>
                <w:color w:val="auto"/>
              </w:rPr>
            </w:pPr>
          </w:p>
        </w:tc>
      </w:tr>
      <w:tr>
        <w:trPr>
          <w:trHeight w:val="264"/>
        </w:trPr>
        <w:tc>
          <w:tcPr>
            <w:tcW w:w="1520" w:type="dxa"/>
            <w:vAlign w:val="bottom"/>
            <w:tcBorders>
              <w:bottom w:val="single" w:sz="8" w:color="39B6E9"/>
            </w:tcBorders>
          </w:tcPr>
          <w:p>
            <w:pPr>
              <w:spacing w:after="0"/>
              <w:rPr>
                <w:sz w:val="22"/>
                <w:szCs w:val="22"/>
                <w:color w:val="auto"/>
              </w:rPr>
            </w:pPr>
          </w:p>
        </w:tc>
        <w:tc>
          <w:tcPr>
            <w:tcW w:w="1120" w:type="dxa"/>
            <w:vAlign w:val="bottom"/>
            <w:tcBorders>
              <w:bottom w:val="single" w:sz="8" w:color="39B6E9"/>
            </w:tcBorders>
          </w:tcPr>
          <w:p>
            <w:pPr>
              <w:spacing w:after="0"/>
              <w:rPr>
                <w:sz w:val="22"/>
                <w:szCs w:val="22"/>
                <w:color w:val="auto"/>
              </w:rPr>
            </w:pPr>
          </w:p>
        </w:tc>
        <w:tc>
          <w:tcPr>
            <w:tcW w:w="5700" w:type="dxa"/>
            <w:vAlign w:val="bottom"/>
            <w:tcBorders>
              <w:bottom w:val="single" w:sz="8" w:color="39B6E9"/>
            </w:tcBorders>
          </w:tcPr>
          <w:p>
            <w:pPr>
              <w:ind w:left="120"/>
              <w:spacing w:after="0"/>
              <w:rPr>
                <w:sz w:val="20"/>
                <w:szCs w:val="20"/>
                <w:color w:val="auto"/>
              </w:rPr>
            </w:pPr>
            <w:r>
              <w:rPr>
                <w:rFonts w:ascii="Arial" w:cs="Arial" w:eastAsia="Arial" w:hAnsi="Arial"/>
                <w:sz w:val="13"/>
                <w:szCs w:val="13"/>
                <w:color w:val="105EAB"/>
              </w:rPr>
              <w:t xml:space="preserve">►  </w:t>
            </w:r>
            <w:r>
              <w:rPr>
                <w:rFonts w:ascii="Arial" w:cs="Arial" w:eastAsia="Arial" w:hAnsi="Arial"/>
                <w:sz w:val="13"/>
                <w:szCs w:val="13"/>
                <w:color w:val="000000"/>
              </w:rPr>
              <w:t>Identifies issues that need additional dialogue</w:t>
            </w:r>
          </w:p>
        </w:tc>
        <w:tc>
          <w:tcPr>
            <w:tcW w:w="0" w:type="dxa"/>
            <w:vAlign w:val="bottom"/>
          </w:tcPr>
          <w:p>
            <w:pPr>
              <w:spacing w:after="0"/>
              <w:rPr>
                <w:sz w:val="1"/>
                <w:szCs w:val="1"/>
                <w:color w:val="auto"/>
              </w:rPr>
            </w:pPr>
          </w:p>
        </w:tc>
      </w:tr>
      <w:tr>
        <w:trPr>
          <w:trHeight w:val="159"/>
        </w:trPr>
        <w:tc>
          <w:tcPr>
            <w:tcW w:w="1520" w:type="dxa"/>
            <w:vAlign w:val="bottom"/>
          </w:tcPr>
          <w:p>
            <w:pPr>
              <w:spacing w:after="0"/>
              <w:rPr>
                <w:sz w:val="20"/>
                <w:szCs w:val="20"/>
                <w:color w:val="auto"/>
              </w:rPr>
            </w:pPr>
            <w:r>
              <w:rPr>
                <w:rFonts w:ascii="Arial" w:cs="Arial" w:eastAsia="Arial" w:hAnsi="Arial"/>
                <w:sz w:val="13"/>
                <w:szCs w:val="13"/>
                <w:b w:val="1"/>
                <w:bCs w:val="1"/>
                <w:color w:val="105EAB"/>
              </w:rPr>
              <w:t>Biennial review of</w:t>
            </w:r>
          </w:p>
        </w:tc>
        <w:tc>
          <w:tcPr>
            <w:tcW w:w="1120" w:type="dxa"/>
            <w:vAlign w:val="bottom"/>
          </w:tcPr>
          <w:p>
            <w:pPr>
              <w:ind w:left="100"/>
              <w:spacing w:after="0"/>
              <w:rPr>
                <w:sz w:val="20"/>
                <w:szCs w:val="20"/>
                <w:color w:val="auto"/>
              </w:rPr>
            </w:pPr>
            <w:r>
              <w:rPr>
                <w:rFonts w:ascii="Arial" w:cs="Arial" w:eastAsia="Arial" w:hAnsi="Arial"/>
                <w:sz w:val="13"/>
                <w:szCs w:val="13"/>
                <w:color w:val="auto"/>
              </w:rPr>
              <w:t>Board and</w:t>
            </w:r>
          </w:p>
        </w:tc>
        <w:tc>
          <w:tcPr>
            <w:tcW w:w="5700" w:type="dxa"/>
            <w:vAlign w:val="bottom"/>
          </w:tcPr>
          <w:p>
            <w:pPr>
              <w:ind w:left="120"/>
              <w:spacing w:after="0"/>
              <w:rPr>
                <w:sz w:val="20"/>
                <w:szCs w:val="20"/>
                <w:color w:val="auto"/>
              </w:rPr>
            </w:pPr>
            <w:r>
              <w:rPr>
                <w:rFonts w:ascii="Arial" w:cs="Arial" w:eastAsia="Arial" w:hAnsi="Arial"/>
                <w:sz w:val="13"/>
                <w:szCs w:val="13"/>
                <w:color w:val="105EAB"/>
              </w:rPr>
              <w:t xml:space="preserve">►  </w:t>
            </w:r>
            <w:r>
              <w:rPr>
                <w:rFonts w:ascii="Arial" w:cs="Arial" w:eastAsia="Arial" w:hAnsi="Arial"/>
                <w:sz w:val="13"/>
                <w:szCs w:val="13"/>
                <w:color w:val="000000"/>
              </w:rPr>
              <w:t>Ensures all necessary agenda items were considered to fulfill Board and committee</w:t>
            </w:r>
          </w:p>
        </w:tc>
        <w:tc>
          <w:tcPr>
            <w:tcW w:w="0" w:type="dxa"/>
            <w:vAlign w:val="bottom"/>
          </w:tcPr>
          <w:p>
            <w:pPr>
              <w:spacing w:after="0"/>
              <w:rPr>
                <w:sz w:val="1"/>
                <w:szCs w:val="1"/>
                <w:color w:val="auto"/>
              </w:rPr>
            </w:pPr>
          </w:p>
        </w:tc>
      </w:tr>
      <w:tr>
        <w:trPr>
          <w:trHeight w:val="148"/>
        </w:trPr>
        <w:tc>
          <w:tcPr>
            <w:tcW w:w="1520" w:type="dxa"/>
            <w:vAlign w:val="bottom"/>
          </w:tcPr>
          <w:p>
            <w:pPr>
              <w:spacing w:after="0" w:line="149" w:lineRule="exact"/>
              <w:rPr>
                <w:sz w:val="20"/>
                <w:szCs w:val="20"/>
                <w:color w:val="auto"/>
              </w:rPr>
            </w:pPr>
            <w:r>
              <w:rPr>
                <w:rFonts w:ascii="Arial" w:cs="Arial" w:eastAsia="Arial" w:hAnsi="Arial"/>
                <w:sz w:val="13"/>
                <w:szCs w:val="13"/>
                <w:b w:val="1"/>
                <w:bCs w:val="1"/>
                <w:color w:val="105EAB"/>
              </w:rPr>
              <w:t>responsibilities</w:t>
            </w:r>
          </w:p>
        </w:tc>
        <w:tc>
          <w:tcPr>
            <w:tcW w:w="1120" w:type="dxa"/>
            <w:vAlign w:val="bottom"/>
          </w:tcPr>
          <w:p>
            <w:pPr>
              <w:ind w:left="100"/>
              <w:spacing w:after="0" w:line="149" w:lineRule="exact"/>
              <w:rPr>
                <w:sz w:val="20"/>
                <w:szCs w:val="20"/>
                <w:color w:val="auto"/>
              </w:rPr>
            </w:pPr>
            <w:r>
              <w:rPr>
                <w:rFonts w:ascii="Arial" w:cs="Arial" w:eastAsia="Arial" w:hAnsi="Arial"/>
                <w:sz w:val="13"/>
                <w:szCs w:val="13"/>
                <w:color w:val="auto"/>
              </w:rPr>
              <w:t>Committees</w:t>
            </w:r>
          </w:p>
        </w:tc>
        <w:tc>
          <w:tcPr>
            <w:tcW w:w="5700" w:type="dxa"/>
            <w:vAlign w:val="bottom"/>
          </w:tcPr>
          <w:p>
            <w:pPr>
              <w:ind w:left="400"/>
              <w:spacing w:after="0" w:line="149" w:lineRule="exact"/>
              <w:rPr>
                <w:sz w:val="20"/>
                <w:szCs w:val="20"/>
                <w:color w:val="auto"/>
              </w:rPr>
            </w:pPr>
            <w:r>
              <w:rPr>
                <w:rFonts w:ascii="Arial" w:cs="Arial" w:eastAsia="Arial" w:hAnsi="Arial"/>
                <w:sz w:val="13"/>
                <w:szCs w:val="13"/>
                <w:color w:val="auto"/>
              </w:rPr>
              <w:t>responsibilities</w:t>
            </w:r>
          </w:p>
        </w:tc>
        <w:tc>
          <w:tcPr>
            <w:tcW w:w="0" w:type="dxa"/>
            <w:vAlign w:val="bottom"/>
          </w:tcPr>
          <w:p>
            <w:pPr>
              <w:spacing w:after="0"/>
              <w:rPr>
                <w:sz w:val="1"/>
                <w:szCs w:val="1"/>
                <w:color w:val="auto"/>
              </w:rPr>
            </w:pPr>
          </w:p>
        </w:tc>
      </w:tr>
      <w:tr>
        <w:trPr>
          <w:trHeight w:val="178"/>
        </w:trPr>
        <w:tc>
          <w:tcPr>
            <w:tcW w:w="1520" w:type="dxa"/>
            <w:vAlign w:val="bottom"/>
          </w:tcPr>
          <w:p>
            <w:pPr>
              <w:spacing w:after="0"/>
              <w:rPr>
                <w:sz w:val="20"/>
                <w:szCs w:val="20"/>
                <w:color w:val="auto"/>
              </w:rPr>
            </w:pPr>
            <w:r>
              <w:rPr>
                <w:rFonts w:ascii="Arial" w:cs="Arial" w:eastAsia="Arial" w:hAnsi="Arial"/>
                <w:sz w:val="13"/>
                <w:szCs w:val="13"/>
                <w:b w:val="1"/>
                <w:bCs w:val="1"/>
                <w:color w:val="105EAB"/>
              </w:rPr>
              <w:t>and time allocation</w:t>
            </w:r>
          </w:p>
        </w:tc>
        <w:tc>
          <w:tcPr>
            <w:tcW w:w="1120" w:type="dxa"/>
            <w:vAlign w:val="bottom"/>
          </w:tcPr>
          <w:p>
            <w:pPr>
              <w:spacing w:after="0"/>
              <w:rPr>
                <w:sz w:val="15"/>
                <w:szCs w:val="15"/>
                <w:color w:val="auto"/>
              </w:rPr>
            </w:pPr>
          </w:p>
        </w:tc>
        <w:tc>
          <w:tcPr>
            <w:tcW w:w="5700" w:type="dxa"/>
            <w:vAlign w:val="bottom"/>
            <w:vMerge w:val="restart"/>
          </w:tcPr>
          <w:p>
            <w:pPr>
              <w:ind w:left="120"/>
              <w:spacing w:after="0"/>
              <w:rPr>
                <w:sz w:val="20"/>
                <w:szCs w:val="20"/>
                <w:color w:val="auto"/>
              </w:rPr>
            </w:pPr>
            <w:r>
              <w:rPr>
                <w:rFonts w:ascii="Arial" w:cs="Arial" w:eastAsia="Arial" w:hAnsi="Arial"/>
                <w:sz w:val="13"/>
                <w:szCs w:val="13"/>
                <w:color w:val="105EAB"/>
              </w:rPr>
              <w:t xml:space="preserve">►  </w:t>
            </w:r>
            <w:r>
              <w:rPr>
                <w:rFonts w:ascii="Arial" w:cs="Arial" w:eastAsia="Arial" w:hAnsi="Arial"/>
                <w:sz w:val="13"/>
                <w:szCs w:val="13"/>
                <w:color w:val="000000"/>
              </w:rPr>
              <w:t>Adjustments made to future agendas and timelines</w:t>
            </w:r>
          </w:p>
        </w:tc>
        <w:tc>
          <w:tcPr>
            <w:tcW w:w="0" w:type="dxa"/>
            <w:vAlign w:val="bottom"/>
          </w:tcPr>
          <w:p>
            <w:pPr>
              <w:spacing w:after="0"/>
              <w:rPr>
                <w:sz w:val="1"/>
                <w:szCs w:val="1"/>
                <w:color w:val="auto"/>
              </w:rPr>
            </w:pPr>
          </w:p>
        </w:tc>
      </w:tr>
      <w:tr>
        <w:trPr>
          <w:trHeight w:val="115"/>
        </w:trPr>
        <w:tc>
          <w:tcPr>
            <w:tcW w:w="1520" w:type="dxa"/>
            <w:vAlign w:val="bottom"/>
            <w:tcBorders>
              <w:bottom w:val="single" w:sz="8" w:color="39B6E9"/>
            </w:tcBorders>
          </w:tcPr>
          <w:p>
            <w:pPr>
              <w:spacing w:after="0"/>
              <w:rPr>
                <w:sz w:val="10"/>
                <w:szCs w:val="10"/>
                <w:color w:val="auto"/>
              </w:rPr>
            </w:pPr>
          </w:p>
        </w:tc>
        <w:tc>
          <w:tcPr>
            <w:tcW w:w="1120" w:type="dxa"/>
            <w:vAlign w:val="bottom"/>
            <w:tcBorders>
              <w:bottom w:val="single" w:sz="8" w:color="39B6E9"/>
            </w:tcBorders>
          </w:tcPr>
          <w:p>
            <w:pPr>
              <w:spacing w:after="0"/>
              <w:rPr>
                <w:sz w:val="10"/>
                <w:szCs w:val="10"/>
                <w:color w:val="auto"/>
              </w:rPr>
            </w:pPr>
          </w:p>
        </w:tc>
        <w:tc>
          <w:tcPr>
            <w:tcW w:w="5700" w:type="dxa"/>
            <w:vAlign w:val="bottom"/>
            <w:tcBorders>
              <w:bottom w:val="single" w:sz="8" w:color="39B6E9"/>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1520" w:type="dxa"/>
            <w:vAlign w:val="bottom"/>
          </w:tcPr>
          <w:p>
            <w:pPr>
              <w:spacing w:after="0"/>
              <w:rPr>
                <w:sz w:val="20"/>
                <w:szCs w:val="20"/>
                <w:color w:val="auto"/>
              </w:rPr>
            </w:pPr>
            <w:r>
              <w:rPr>
                <w:rFonts w:ascii="Arial" w:cs="Arial" w:eastAsia="Arial" w:hAnsi="Arial"/>
                <w:sz w:val="13"/>
                <w:szCs w:val="13"/>
                <w:b w:val="1"/>
                <w:bCs w:val="1"/>
                <w:color w:val="105EAB"/>
              </w:rPr>
              <w:t>Annual evaluation</w:t>
            </w:r>
          </w:p>
        </w:tc>
        <w:tc>
          <w:tcPr>
            <w:tcW w:w="1120" w:type="dxa"/>
            <w:vAlign w:val="bottom"/>
          </w:tcPr>
          <w:p>
            <w:pPr>
              <w:ind w:left="100"/>
              <w:spacing w:after="0"/>
              <w:rPr>
                <w:sz w:val="20"/>
                <w:szCs w:val="20"/>
                <w:color w:val="auto"/>
              </w:rPr>
            </w:pPr>
            <w:r>
              <w:rPr>
                <w:rFonts w:ascii="Arial" w:cs="Arial" w:eastAsia="Arial" w:hAnsi="Arial"/>
                <w:sz w:val="13"/>
                <w:szCs w:val="13"/>
                <w:color w:val="auto"/>
              </w:rPr>
              <w:t>Board</w:t>
            </w:r>
          </w:p>
        </w:tc>
        <w:tc>
          <w:tcPr>
            <w:tcW w:w="5700" w:type="dxa"/>
            <w:vAlign w:val="bottom"/>
          </w:tcPr>
          <w:p>
            <w:pPr>
              <w:ind w:left="120"/>
              <w:spacing w:after="0"/>
              <w:rPr>
                <w:sz w:val="20"/>
                <w:szCs w:val="20"/>
                <w:color w:val="auto"/>
              </w:rPr>
            </w:pPr>
            <w:r>
              <w:rPr>
                <w:rFonts w:ascii="Arial" w:cs="Arial" w:eastAsia="Arial" w:hAnsi="Arial"/>
                <w:sz w:val="13"/>
                <w:szCs w:val="13"/>
                <w:color w:val="105EAB"/>
              </w:rPr>
              <w:t xml:space="preserve">►  </w:t>
            </w:r>
            <w:r>
              <w:rPr>
                <w:rFonts w:ascii="Arial" w:cs="Arial" w:eastAsia="Arial" w:hAnsi="Arial"/>
                <w:sz w:val="13"/>
                <w:szCs w:val="13"/>
                <w:color w:val="000000"/>
              </w:rPr>
              <w:t>Ensures Board and committees are functioning effectively</w:t>
            </w:r>
          </w:p>
        </w:tc>
        <w:tc>
          <w:tcPr>
            <w:tcW w:w="0" w:type="dxa"/>
            <w:vAlign w:val="bottom"/>
          </w:tcPr>
          <w:p>
            <w:pPr>
              <w:spacing w:after="0"/>
              <w:rPr>
                <w:sz w:val="1"/>
                <w:szCs w:val="1"/>
                <w:color w:val="auto"/>
              </w:rPr>
            </w:pPr>
          </w:p>
        </w:tc>
      </w:tr>
      <w:tr>
        <w:trPr>
          <w:trHeight w:val="243"/>
        </w:trPr>
        <w:tc>
          <w:tcPr>
            <w:tcW w:w="15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700" w:type="dxa"/>
            <w:vAlign w:val="bottom"/>
          </w:tcPr>
          <w:p>
            <w:pPr>
              <w:ind w:left="120"/>
              <w:spacing w:after="0"/>
              <w:rPr>
                <w:sz w:val="20"/>
                <w:szCs w:val="20"/>
                <w:color w:val="auto"/>
              </w:rPr>
            </w:pPr>
            <w:r>
              <w:rPr>
                <w:rFonts w:ascii="Arial" w:cs="Arial" w:eastAsia="Arial" w:hAnsi="Arial"/>
                <w:sz w:val="13"/>
                <w:szCs w:val="13"/>
                <w:color w:val="105EAB"/>
              </w:rPr>
              <w:t xml:space="preserve">►  </w:t>
            </w:r>
            <w:r>
              <w:rPr>
                <w:rFonts w:ascii="Arial" w:cs="Arial" w:eastAsia="Arial" w:hAnsi="Arial"/>
                <w:sz w:val="13"/>
                <w:szCs w:val="13"/>
                <w:color w:val="000000"/>
              </w:rPr>
              <w:t>Results reviewed by nominating and governance committee and summarized for full</w:t>
            </w:r>
          </w:p>
        </w:tc>
        <w:tc>
          <w:tcPr>
            <w:tcW w:w="0" w:type="dxa"/>
            <w:vAlign w:val="bottom"/>
          </w:tcPr>
          <w:p>
            <w:pPr>
              <w:spacing w:after="0"/>
              <w:rPr>
                <w:sz w:val="1"/>
                <w:szCs w:val="1"/>
                <w:color w:val="auto"/>
              </w:rPr>
            </w:pPr>
          </w:p>
        </w:tc>
      </w:tr>
      <w:tr>
        <w:trPr>
          <w:trHeight w:val="162"/>
        </w:trPr>
        <w:tc>
          <w:tcPr>
            <w:tcW w:w="1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700" w:type="dxa"/>
            <w:vAlign w:val="bottom"/>
          </w:tcPr>
          <w:p>
            <w:pPr>
              <w:ind w:left="400"/>
              <w:spacing w:after="0"/>
              <w:rPr>
                <w:sz w:val="20"/>
                <w:szCs w:val="20"/>
                <w:color w:val="auto"/>
              </w:rPr>
            </w:pPr>
            <w:r>
              <w:rPr>
                <w:rFonts w:ascii="Arial" w:cs="Arial" w:eastAsia="Arial" w:hAnsi="Arial"/>
                <w:sz w:val="13"/>
                <w:szCs w:val="13"/>
                <w:color w:val="auto"/>
              </w:rPr>
              <w:t>Board; recommendations for improvement are reviewed and plans initiated</w:t>
            </w:r>
          </w:p>
        </w:tc>
        <w:tc>
          <w:tcPr>
            <w:tcW w:w="0" w:type="dxa"/>
            <w:vAlign w:val="bottom"/>
          </w:tcPr>
          <w:p>
            <w:pPr>
              <w:spacing w:after="0"/>
              <w:rPr>
                <w:sz w:val="1"/>
                <w:szCs w:val="1"/>
                <w:color w:val="auto"/>
              </w:rPr>
            </w:pPr>
          </w:p>
        </w:tc>
      </w:tr>
      <w:tr>
        <w:trPr>
          <w:trHeight w:val="243"/>
        </w:trPr>
        <w:tc>
          <w:tcPr>
            <w:tcW w:w="15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700" w:type="dxa"/>
            <w:vAlign w:val="bottom"/>
          </w:tcPr>
          <w:p>
            <w:pPr>
              <w:ind w:left="120"/>
              <w:spacing w:after="0"/>
              <w:rPr>
                <w:sz w:val="20"/>
                <w:szCs w:val="20"/>
                <w:color w:val="auto"/>
              </w:rPr>
            </w:pPr>
            <w:r>
              <w:rPr>
                <w:rFonts w:ascii="Arial" w:cs="Arial" w:eastAsia="Arial" w:hAnsi="Arial"/>
                <w:sz w:val="13"/>
                <w:szCs w:val="13"/>
                <w:color w:val="105EAB"/>
              </w:rPr>
              <w:t xml:space="preserve">►  </w:t>
            </w:r>
            <w:r>
              <w:rPr>
                <w:rFonts w:ascii="Arial" w:cs="Arial" w:eastAsia="Arial" w:hAnsi="Arial"/>
                <w:sz w:val="13"/>
                <w:szCs w:val="13"/>
                <w:color w:val="000000"/>
              </w:rPr>
              <w:t>In 2018, an independent outside consultant was engaged to conduct the Board</w:t>
            </w:r>
          </w:p>
        </w:tc>
        <w:tc>
          <w:tcPr>
            <w:tcW w:w="0" w:type="dxa"/>
            <w:vAlign w:val="bottom"/>
          </w:tcPr>
          <w:p>
            <w:pPr>
              <w:spacing w:after="0"/>
              <w:rPr>
                <w:sz w:val="1"/>
                <w:szCs w:val="1"/>
                <w:color w:val="auto"/>
              </w:rPr>
            </w:pPr>
          </w:p>
        </w:tc>
      </w:tr>
      <w:tr>
        <w:trPr>
          <w:trHeight w:val="183"/>
        </w:trPr>
        <w:tc>
          <w:tcPr>
            <w:tcW w:w="1520" w:type="dxa"/>
            <w:vAlign w:val="bottom"/>
            <w:tcBorders>
              <w:bottom w:val="single" w:sz="8" w:color="105EAB"/>
            </w:tcBorders>
          </w:tcPr>
          <w:p>
            <w:pPr>
              <w:spacing w:after="0"/>
              <w:rPr>
                <w:sz w:val="15"/>
                <w:szCs w:val="15"/>
                <w:color w:val="auto"/>
              </w:rPr>
            </w:pPr>
          </w:p>
        </w:tc>
        <w:tc>
          <w:tcPr>
            <w:tcW w:w="1120" w:type="dxa"/>
            <w:vAlign w:val="bottom"/>
            <w:tcBorders>
              <w:bottom w:val="single" w:sz="8" w:color="105EAB"/>
            </w:tcBorders>
          </w:tcPr>
          <w:p>
            <w:pPr>
              <w:spacing w:after="0"/>
              <w:rPr>
                <w:sz w:val="15"/>
                <w:szCs w:val="15"/>
                <w:color w:val="auto"/>
              </w:rPr>
            </w:pPr>
          </w:p>
        </w:tc>
        <w:tc>
          <w:tcPr>
            <w:tcW w:w="5700" w:type="dxa"/>
            <w:vAlign w:val="bottom"/>
            <w:tcBorders>
              <w:bottom w:val="single" w:sz="8" w:color="105EAB"/>
            </w:tcBorders>
          </w:tcPr>
          <w:p>
            <w:pPr>
              <w:ind w:left="400"/>
              <w:spacing w:after="0"/>
              <w:rPr>
                <w:sz w:val="20"/>
                <w:szCs w:val="20"/>
                <w:color w:val="auto"/>
              </w:rPr>
            </w:pPr>
            <w:r>
              <w:rPr>
                <w:rFonts w:ascii="Arial" w:cs="Arial" w:eastAsia="Arial" w:hAnsi="Arial"/>
                <w:sz w:val="13"/>
                <w:szCs w:val="13"/>
                <w:color w:val="auto"/>
              </w:rPr>
              <w:t>evaluation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-1618615</wp:posOffset>
            </wp:positionV>
            <wp:extent cx="248285" cy="16192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48285" cy="1619250"/>
                    </a:xfrm>
                    <a:prstGeom prst="rect">
                      <a:avLst/>
                    </a:prstGeom>
                    <a:noFill/>
                  </pic:spPr>
                </pic:pic>
              </a:graphicData>
            </a:graphic>
          </wp:anchor>
        </w:drawing>
        <w:drawing>
          <wp:anchor simplePos="0" relativeHeight="251657728" behindDoc="1" locked="0" layoutInCell="0" allowOverlap="1">
            <wp:simplePos x="0" y="0"/>
            <wp:positionH relativeFrom="column">
              <wp:posOffset>1812290</wp:posOffset>
            </wp:positionH>
            <wp:positionV relativeFrom="paragraph">
              <wp:posOffset>-222250</wp:posOffset>
            </wp:positionV>
            <wp:extent cx="308610" cy="1625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0861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39B6E9"/>
        </w:rPr>
        <w:t>2018 OUTCOME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-521335</wp:posOffset>
            </wp:positionV>
            <wp:extent cx="1430655" cy="16103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430655" cy="1610360"/>
                    </a:xfrm>
                    <a:prstGeom prst="rect">
                      <a:avLst/>
                    </a:prstGeom>
                    <a:noFill/>
                  </pic:spPr>
                </pic:pic>
              </a:graphicData>
            </a:graphic>
          </wp:anchor>
        </w:drawing>
      </w:r>
    </w:p>
    <w:p>
      <w:pPr>
        <w:ind w:right="340"/>
        <w:spacing w:after="0" w:line="241" w:lineRule="auto"/>
        <w:rPr>
          <w:sz w:val="20"/>
          <w:szCs w:val="20"/>
          <w:color w:val="auto"/>
        </w:rPr>
      </w:pPr>
      <w:r>
        <w:rPr>
          <w:rFonts w:ascii="Arial" w:cs="Arial" w:eastAsia="Arial" w:hAnsi="Arial"/>
          <w:sz w:val="13"/>
          <w:szCs w:val="13"/>
          <w:color w:val="auto"/>
        </w:rPr>
        <w:t>Based on the Board evaluation process, enhancements were made to meeting schedules and the timing and frequency of the distribution of Board materials to allow for more conversations around strategy and succession.</w:t>
      </w:r>
    </w:p>
    <w:p>
      <w:pPr>
        <w:spacing w:after="0" w:line="849" w:lineRule="exact"/>
        <w:rPr>
          <w:sz w:val="20"/>
          <w:szCs w:val="20"/>
          <w:color w:val="auto"/>
        </w:rPr>
      </w:pPr>
    </w:p>
    <w:p>
      <w:pPr>
        <w:sectPr>
          <w:pgSz w:w="11900" w:h="16838" w:orient="portrait"/>
          <w:cols w:equalWidth="0" w:num="2">
            <w:col w:w="8960" w:space="200"/>
            <w:col w:w="2280"/>
          </w:cols>
          <w:pgMar w:left="240" w:top="121" w:right="219" w:bottom="1440" w:gutter="0" w:footer="0" w:header="0"/>
          <w:type w:val="continuous"/>
        </w:sectPr>
      </w:pPr>
    </w:p>
    <w:p>
      <w:pPr>
        <w:spacing w:after="0" w:line="134" w:lineRule="exact"/>
        <w:rPr>
          <w:sz w:val="20"/>
          <w:szCs w:val="20"/>
          <w:color w:val="auto"/>
        </w:rPr>
      </w:pPr>
    </w:p>
    <w:tbl>
      <w:tblPr>
        <w:tblLayout w:type="fixed"/>
        <w:tblInd w:w="620" w:type="dxa"/>
        <w:tblCellMar>
          <w:top w:w="0" w:type="dxa"/>
          <w:left w:w="0" w:type="dxa"/>
          <w:bottom w:w="0" w:type="dxa"/>
          <w:right w:w="0" w:type="dxa"/>
        </w:tblCellMar>
      </w:tblPr>
      <w:tr>
        <w:trPr>
          <w:trHeight w:val="199"/>
        </w:trPr>
        <w:tc>
          <w:tcPr>
            <w:tcW w:w="1420" w:type="dxa"/>
            <w:vAlign w:val="bottom"/>
            <w:tcBorders>
              <w:bottom w:val="single" w:sz="8" w:color="105EAB"/>
            </w:tcBorders>
          </w:tcPr>
          <w:p>
            <w:pPr>
              <w:spacing w:after="0"/>
              <w:rPr>
                <w:sz w:val="20"/>
                <w:szCs w:val="20"/>
                <w:color w:val="auto"/>
              </w:rPr>
            </w:pPr>
            <w:r>
              <w:rPr>
                <w:rFonts w:ascii="Arial" w:cs="Arial" w:eastAsia="Arial" w:hAnsi="Arial"/>
                <w:sz w:val="13"/>
                <w:szCs w:val="13"/>
                <w:b w:val="1"/>
                <w:bCs w:val="1"/>
                <w:color w:val="105EAB"/>
              </w:rPr>
              <w:t>Process</w:t>
            </w:r>
          </w:p>
        </w:tc>
        <w:tc>
          <w:tcPr>
            <w:tcW w:w="1260" w:type="dxa"/>
            <w:vAlign w:val="bottom"/>
            <w:tcBorders>
              <w:bottom w:val="single" w:sz="8" w:color="105EAB"/>
            </w:tcBorders>
          </w:tcPr>
          <w:p>
            <w:pPr>
              <w:ind w:left="200"/>
              <w:spacing w:after="0"/>
              <w:rPr>
                <w:sz w:val="20"/>
                <w:szCs w:val="20"/>
                <w:color w:val="auto"/>
              </w:rPr>
            </w:pPr>
            <w:r>
              <w:rPr>
                <w:rFonts w:ascii="Arial" w:cs="Arial" w:eastAsia="Arial" w:hAnsi="Arial"/>
                <w:sz w:val="13"/>
                <w:szCs w:val="13"/>
                <w:b w:val="1"/>
                <w:bCs w:val="1"/>
                <w:color w:val="105EAB"/>
              </w:rPr>
              <w:t>Performed By</w:t>
            </w:r>
          </w:p>
        </w:tc>
        <w:tc>
          <w:tcPr>
            <w:tcW w:w="5660" w:type="dxa"/>
            <w:vAlign w:val="bottom"/>
            <w:tcBorders>
              <w:bottom w:val="single" w:sz="8" w:color="105EAB"/>
            </w:tcBorders>
          </w:tcPr>
          <w:p>
            <w:pPr>
              <w:ind w:left="80"/>
              <w:spacing w:after="0"/>
              <w:rPr>
                <w:sz w:val="20"/>
                <w:szCs w:val="20"/>
                <w:color w:val="auto"/>
              </w:rPr>
            </w:pPr>
            <w:r>
              <w:rPr>
                <w:rFonts w:ascii="Arial" w:cs="Arial" w:eastAsia="Arial" w:hAnsi="Arial"/>
                <w:sz w:val="13"/>
                <w:szCs w:val="13"/>
                <w:b w:val="1"/>
                <w:bCs w:val="1"/>
                <w:color w:val="105EAB"/>
              </w:rPr>
              <w:t>Description</w:t>
            </w:r>
          </w:p>
        </w:tc>
        <w:tc>
          <w:tcPr>
            <w:tcW w:w="0" w:type="dxa"/>
            <w:vAlign w:val="bottom"/>
          </w:tcPr>
          <w:p>
            <w:pPr>
              <w:spacing w:after="0"/>
              <w:rPr>
                <w:sz w:val="1"/>
                <w:szCs w:val="1"/>
                <w:color w:val="auto"/>
              </w:rPr>
            </w:pPr>
          </w:p>
        </w:tc>
      </w:tr>
      <w:tr>
        <w:trPr>
          <w:trHeight w:val="175"/>
        </w:trPr>
        <w:tc>
          <w:tcPr>
            <w:tcW w:w="1420" w:type="dxa"/>
            <w:vAlign w:val="bottom"/>
          </w:tcPr>
          <w:p>
            <w:pPr>
              <w:spacing w:after="0"/>
              <w:rPr>
                <w:sz w:val="20"/>
                <w:szCs w:val="20"/>
                <w:color w:val="auto"/>
              </w:rPr>
            </w:pPr>
            <w:r>
              <w:rPr>
                <w:rFonts w:ascii="Arial" w:cs="Arial" w:eastAsia="Arial" w:hAnsi="Arial"/>
                <w:sz w:val="13"/>
                <w:szCs w:val="13"/>
                <w:b w:val="1"/>
                <w:bCs w:val="1"/>
                <w:color w:val="105EAB"/>
              </w:rPr>
              <w:t>Annual evaluation</w:t>
            </w:r>
          </w:p>
        </w:tc>
        <w:tc>
          <w:tcPr>
            <w:tcW w:w="1260" w:type="dxa"/>
            <w:vAlign w:val="bottom"/>
          </w:tcPr>
          <w:p>
            <w:pPr>
              <w:ind w:left="200"/>
              <w:spacing w:after="0"/>
              <w:rPr>
                <w:sz w:val="20"/>
                <w:szCs w:val="20"/>
                <w:color w:val="auto"/>
              </w:rPr>
            </w:pPr>
            <w:r>
              <w:rPr>
                <w:rFonts w:ascii="Arial" w:cs="Arial" w:eastAsia="Arial" w:hAnsi="Arial"/>
                <w:sz w:val="13"/>
                <w:szCs w:val="13"/>
                <w:color w:val="auto"/>
              </w:rPr>
              <w:t>Lead Director,</w:t>
            </w:r>
          </w:p>
        </w:tc>
        <w:tc>
          <w:tcPr>
            <w:tcW w:w="5660" w:type="dxa"/>
            <w:vAlign w:val="bottom"/>
          </w:tcPr>
          <w:p>
            <w:pPr>
              <w:ind w:left="80"/>
              <w:spacing w:after="0"/>
              <w:rPr>
                <w:sz w:val="20"/>
                <w:szCs w:val="20"/>
                <w:color w:val="auto"/>
              </w:rPr>
            </w:pPr>
            <w:r>
              <w:rPr>
                <w:rFonts w:ascii="Arial" w:cs="Arial" w:eastAsia="Arial" w:hAnsi="Arial"/>
                <w:sz w:val="13"/>
                <w:szCs w:val="13"/>
                <w:color w:val="105EAB"/>
              </w:rPr>
              <w:t xml:space="preserve">►  </w:t>
            </w:r>
            <w:r>
              <w:rPr>
                <w:rFonts w:ascii="Arial" w:cs="Arial" w:eastAsia="Arial" w:hAnsi="Arial"/>
                <w:sz w:val="13"/>
                <w:szCs w:val="13"/>
                <w:color w:val="000000"/>
              </w:rPr>
              <w:t>Review contributions and performance in light of Allstate’s business and strategies and</w:t>
            </w: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1260" w:type="dxa"/>
            <w:vAlign w:val="bottom"/>
          </w:tcPr>
          <w:p>
            <w:pPr>
              <w:ind w:left="200"/>
              <w:spacing w:after="0" w:line="149" w:lineRule="exact"/>
              <w:rPr>
                <w:sz w:val="20"/>
                <w:szCs w:val="20"/>
                <w:color w:val="auto"/>
              </w:rPr>
            </w:pPr>
            <w:r>
              <w:rPr>
                <w:rFonts w:ascii="Arial" w:cs="Arial" w:eastAsia="Arial" w:hAnsi="Arial"/>
                <w:sz w:val="13"/>
                <w:szCs w:val="13"/>
                <w:color w:val="auto"/>
              </w:rPr>
              <w:t>Nominating and</w:t>
            </w:r>
          </w:p>
        </w:tc>
        <w:tc>
          <w:tcPr>
            <w:tcW w:w="5660" w:type="dxa"/>
            <w:vAlign w:val="bottom"/>
          </w:tcPr>
          <w:p>
            <w:pPr>
              <w:ind w:left="360"/>
              <w:spacing w:after="0" w:line="149" w:lineRule="exact"/>
              <w:rPr>
                <w:sz w:val="20"/>
                <w:szCs w:val="20"/>
                <w:color w:val="auto"/>
              </w:rPr>
            </w:pPr>
            <w:r>
              <w:rPr>
                <w:rFonts w:ascii="Arial" w:cs="Arial" w:eastAsia="Arial" w:hAnsi="Arial"/>
                <w:sz w:val="13"/>
                <w:szCs w:val="13"/>
                <w:color w:val="auto"/>
              </w:rPr>
              <w:t>confirm continued independence</w:t>
            </w: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1260" w:type="dxa"/>
            <w:vAlign w:val="bottom"/>
          </w:tcPr>
          <w:p>
            <w:pPr>
              <w:ind w:left="200"/>
              <w:spacing w:after="0" w:line="149" w:lineRule="exact"/>
              <w:rPr>
                <w:sz w:val="20"/>
                <w:szCs w:val="20"/>
                <w:color w:val="auto"/>
              </w:rPr>
            </w:pPr>
            <w:r>
              <w:rPr>
                <w:rFonts w:ascii="Arial" w:cs="Arial" w:eastAsia="Arial" w:hAnsi="Arial"/>
                <w:sz w:val="13"/>
                <w:szCs w:val="13"/>
                <w:color w:val="auto"/>
              </w:rPr>
              <w:t>Governance</w:t>
            </w:r>
          </w:p>
        </w:tc>
        <w:tc>
          <w:tcPr>
            <w:tcW w:w="5660" w:type="dxa"/>
            <w:vAlign w:val="bottom"/>
            <w:vMerge w:val="restart"/>
          </w:tcPr>
          <w:p>
            <w:pPr>
              <w:ind w:left="80"/>
              <w:spacing w:after="0"/>
              <w:rPr>
                <w:sz w:val="20"/>
                <w:szCs w:val="20"/>
                <w:color w:val="auto"/>
              </w:rPr>
            </w:pPr>
            <w:r>
              <w:rPr>
                <w:rFonts w:ascii="Arial" w:cs="Arial" w:eastAsia="Arial" w:hAnsi="Arial"/>
                <w:sz w:val="13"/>
                <w:szCs w:val="13"/>
                <w:color w:val="105EAB"/>
              </w:rPr>
              <w:t xml:space="preserve">►  </w:t>
            </w:r>
            <w:r>
              <w:rPr>
                <w:rFonts w:ascii="Arial" w:cs="Arial" w:eastAsia="Arial" w:hAnsi="Arial"/>
                <w:sz w:val="13"/>
                <w:szCs w:val="13"/>
                <w:color w:val="000000"/>
              </w:rPr>
              <w:t>Feedback provided to each director by the Lead Director, NGC Chair, or Board Chair</w:t>
            </w: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1260" w:type="dxa"/>
            <w:vAlign w:val="bottom"/>
          </w:tcPr>
          <w:p>
            <w:pPr>
              <w:ind w:left="200"/>
              <w:spacing w:after="0" w:line="149" w:lineRule="exact"/>
              <w:rPr>
                <w:sz w:val="20"/>
                <w:szCs w:val="20"/>
                <w:color w:val="auto"/>
              </w:rPr>
            </w:pPr>
            <w:r>
              <w:rPr>
                <w:rFonts w:ascii="Arial" w:cs="Arial" w:eastAsia="Arial" w:hAnsi="Arial"/>
                <w:sz w:val="13"/>
                <w:szCs w:val="13"/>
                <w:color w:val="auto"/>
              </w:rPr>
              <w:t>Committee</w:t>
            </w:r>
          </w:p>
        </w:tc>
        <w:tc>
          <w:tcPr>
            <w:tcW w:w="5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1260" w:type="dxa"/>
            <w:vAlign w:val="bottom"/>
          </w:tcPr>
          <w:p>
            <w:pPr>
              <w:ind w:left="200"/>
              <w:spacing w:after="0" w:line="149" w:lineRule="exact"/>
              <w:rPr>
                <w:sz w:val="20"/>
                <w:szCs w:val="20"/>
                <w:color w:val="auto"/>
              </w:rPr>
            </w:pPr>
            <w:r>
              <w:rPr>
                <w:rFonts w:ascii="Arial" w:cs="Arial" w:eastAsia="Arial" w:hAnsi="Arial"/>
                <w:sz w:val="13"/>
                <w:szCs w:val="13"/>
                <w:color w:val="auto"/>
              </w:rPr>
              <w:t>(“NGC”) Chair,</w:t>
            </w:r>
          </w:p>
        </w:tc>
        <w:tc>
          <w:tcPr>
            <w:tcW w:w="5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420" w:type="dxa"/>
            <w:vAlign w:val="bottom"/>
            <w:tcBorders>
              <w:bottom w:val="single" w:sz="8" w:color="39B6E9"/>
            </w:tcBorders>
          </w:tcPr>
          <w:p>
            <w:pPr>
              <w:spacing w:after="0"/>
              <w:rPr>
                <w:sz w:val="14"/>
                <w:szCs w:val="14"/>
                <w:color w:val="auto"/>
              </w:rPr>
            </w:pPr>
          </w:p>
        </w:tc>
        <w:tc>
          <w:tcPr>
            <w:tcW w:w="1260" w:type="dxa"/>
            <w:vAlign w:val="bottom"/>
            <w:tcBorders>
              <w:bottom w:val="single" w:sz="8" w:color="39B6E9"/>
            </w:tcBorders>
          </w:tcPr>
          <w:p>
            <w:pPr>
              <w:ind w:left="200"/>
              <w:spacing w:after="0"/>
              <w:rPr>
                <w:sz w:val="20"/>
                <w:szCs w:val="20"/>
                <w:color w:val="auto"/>
              </w:rPr>
            </w:pPr>
            <w:r>
              <w:rPr>
                <w:rFonts w:ascii="Arial" w:cs="Arial" w:eastAsia="Arial" w:hAnsi="Arial"/>
                <w:sz w:val="13"/>
                <w:szCs w:val="13"/>
                <w:color w:val="auto"/>
              </w:rPr>
              <w:t>and Board Chair</w:t>
            </w:r>
          </w:p>
        </w:tc>
        <w:tc>
          <w:tcPr>
            <w:tcW w:w="5660" w:type="dxa"/>
            <w:vAlign w:val="bottom"/>
            <w:tcBorders>
              <w:bottom w:val="single" w:sz="8" w:color="39B6E9"/>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420" w:type="dxa"/>
            <w:vAlign w:val="bottom"/>
          </w:tcPr>
          <w:p>
            <w:pPr>
              <w:spacing w:after="0"/>
              <w:rPr>
                <w:sz w:val="20"/>
                <w:szCs w:val="20"/>
                <w:color w:val="auto"/>
              </w:rPr>
            </w:pPr>
            <w:r>
              <w:rPr>
                <w:rFonts w:ascii="Arial" w:cs="Arial" w:eastAsia="Arial" w:hAnsi="Arial"/>
                <w:sz w:val="13"/>
                <w:szCs w:val="13"/>
                <w:b w:val="1"/>
                <w:bCs w:val="1"/>
                <w:color w:val="105EAB"/>
              </w:rPr>
              <w:t>Biennial evaluation</w:t>
            </w:r>
          </w:p>
        </w:tc>
        <w:tc>
          <w:tcPr>
            <w:tcW w:w="1260" w:type="dxa"/>
            <w:vAlign w:val="bottom"/>
          </w:tcPr>
          <w:p>
            <w:pPr>
              <w:ind w:left="200"/>
              <w:spacing w:after="0"/>
              <w:rPr>
                <w:sz w:val="20"/>
                <w:szCs w:val="20"/>
                <w:color w:val="auto"/>
              </w:rPr>
            </w:pPr>
            <w:r>
              <w:rPr>
                <w:rFonts w:ascii="Arial" w:cs="Arial" w:eastAsia="Arial" w:hAnsi="Arial"/>
                <w:sz w:val="13"/>
                <w:szCs w:val="13"/>
                <w:color w:val="auto"/>
              </w:rPr>
              <w:t>Lead Director,</w:t>
            </w:r>
          </w:p>
        </w:tc>
        <w:tc>
          <w:tcPr>
            <w:tcW w:w="5660" w:type="dxa"/>
            <w:vAlign w:val="bottom"/>
          </w:tcPr>
          <w:p>
            <w:pPr>
              <w:ind w:left="80"/>
              <w:spacing w:after="0"/>
              <w:rPr>
                <w:sz w:val="20"/>
                <w:szCs w:val="20"/>
                <w:color w:val="auto"/>
              </w:rPr>
            </w:pPr>
            <w:r>
              <w:rPr>
                <w:rFonts w:ascii="Arial" w:cs="Arial" w:eastAsia="Arial" w:hAnsi="Arial"/>
                <w:sz w:val="13"/>
                <w:szCs w:val="13"/>
                <w:color w:val="105EAB"/>
              </w:rPr>
              <w:t xml:space="preserve">►  </w:t>
            </w:r>
            <w:r>
              <w:rPr>
                <w:rFonts w:ascii="Arial" w:cs="Arial" w:eastAsia="Arial" w:hAnsi="Arial"/>
                <w:sz w:val="13"/>
                <w:szCs w:val="13"/>
                <w:color w:val="000000"/>
              </w:rPr>
              <w:t>Discuss each director’s future plans for continued Board service</w:t>
            </w: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1260" w:type="dxa"/>
            <w:vAlign w:val="bottom"/>
          </w:tcPr>
          <w:p>
            <w:pPr>
              <w:ind w:left="200"/>
              <w:spacing w:after="0" w:line="149" w:lineRule="exact"/>
              <w:rPr>
                <w:sz w:val="20"/>
                <w:szCs w:val="20"/>
                <w:color w:val="auto"/>
              </w:rPr>
            </w:pPr>
            <w:r>
              <w:rPr>
                <w:rFonts w:ascii="Arial" w:cs="Arial" w:eastAsia="Arial" w:hAnsi="Arial"/>
                <w:sz w:val="13"/>
                <w:szCs w:val="13"/>
                <w:color w:val="auto"/>
              </w:rPr>
              <w:t>NGC Chair,</w:t>
            </w:r>
          </w:p>
        </w:tc>
        <w:tc>
          <w:tcPr>
            <w:tcW w:w="5660" w:type="dxa"/>
            <w:vAlign w:val="bottom"/>
            <w:vMerge w:val="restart"/>
          </w:tcPr>
          <w:p>
            <w:pPr>
              <w:ind w:left="80"/>
              <w:spacing w:after="0"/>
              <w:rPr>
                <w:sz w:val="20"/>
                <w:szCs w:val="20"/>
                <w:color w:val="auto"/>
              </w:rPr>
            </w:pPr>
            <w:r>
              <w:rPr>
                <w:rFonts w:ascii="Arial" w:cs="Arial" w:eastAsia="Arial" w:hAnsi="Arial"/>
                <w:sz w:val="13"/>
                <w:szCs w:val="13"/>
                <w:color w:val="105EAB"/>
              </w:rPr>
              <w:t xml:space="preserve">►  </w:t>
            </w:r>
            <w:r>
              <w:rPr>
                <w:rFonts w:ascii="Arial" w:cs="Arial" w:eastAsia="Arial" w:hAnsi="Arial"/>
                <w:sz w:val="13"/>
                <w:szCs w:val="13"/>
                <w:color w:val="000000"/>
              </w:rPr>
              <w:t>Determine whether overall skills align with business strategy</w:t>
            </w:r>
          </w:p>
        </w:tc>
        <w:tc>
          <w:tcPr>
            <w:tcW w:w="0" w:type="dxa"/>
            <w:vAlign w:val="bottom"/>
          </w:tcPr>
          <w:p>
            <w:pPr>
              <w:spacing w:after="0"/>
              <w:rPr>
                <w:sz w:val="1"/>
                <w:szCs w:val="1"/>
                <w:color w:val="auto"/>
              </w:rPr>
            </w:pPr>
          </w:p>
        </w:tc>
      </w:tr>
      <w:tr>
        <w:trPr>
          <w:trHeight w:val="170"/>
        </w:trPr>
        <w:tc>
          <w:tcPr>
            <w:tcW w:w="1420" w:type="dxa"/>
            <w:vAlign w:val="bottom"/>
            <w:tcBorders>
              <w:bottom w:val="single" w:sz="8" w:color="39B6E9"/>
            </w:tcBorders>
          </w:tcPr>
          <w:p>
            <w:pPr>
              <w:spacing w:after="0"/>
              <w:rPr>
                <w:sz w:val="14"/>
                <w:szCs w:val="14"/>
                <w:color w:val="auto"/>
              </w:rPr>
            </w:pPr>
          </w:p>
        </w:tc>
        <w:tc>
          <w:tcPr>
            <w:tcW w:w="1260" w:type="dxa"/>
            <w:vAlign w:val="bottom"/>
            <w:tcBorders>
              <w:bottom w:val="single" w:sz="8" w:color="39B6E9"/>
            </w:tcBorders>
          </w:tcPr>
          <w:p>
            <w:pPr>
              <w:ind w:left="200"/>
              <w:spacing w:after="0"/>
              <w:rPr>
                <w:sz w:val="20"/>
                <w:szCs w:val="20"/>
                <w:color w:val="auto"/>
              </w:rPr>
            </w:pPr>
            <w:r>
              <w:rPr>
                <w:rFonts w:ascii="Arial" w:cs="Arial" w:eastAsia="Arial" w:hAnsi="Arial"/>
                <w:sz w:val="13"/>
                <w:szCs w:val="13"/>
                <w:color w:val="auto"/>
              </w:rPr>
              <w:t>and Board Chair</w:t>
            </w:r>
          </w:p>
        </w:tc>
        <w:tc>
          <w:tcPr>
            <w:tcW w:w="5660" w:type="dxa"/>
            <w:vAlign w:val="bottom"/>
            <w:tcBorders>
              <w:bottom w:val="single" w:sz="8" w:color="39B6E9"/>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420" w:type="dxa"/>
            <w:vAlign w:val="bottom"/>
          </w:tcPr>
          <w:p>
            <w:pPr>
              <w:spacing w:after="0"/>
              <w:rPr>
                <w:sz w:val="20"/>
                <w:szCs w:val="20"/>
                <w:color w:val="auto"/>
              </w:rPr>
            </w:pPr>
            <w:r>
              <w:rPr>
                <w:rFonts w:ascii="Arial" w:cs="Arial" w:eastAsia="Arial" w:hAnsi="Arial"/>
                <w:sz w:val="13"/>
                <w:szCs w:val="13"/>
                <w:b w:val="1"/>
                <w:bCs w:val="1"/>
                <w:color w:val="105EAB"/>
              </w:rPr>
              <w:t>Change in</w:t>
            </w:r>
          </w:p>
        </w:tc>
        <w:tc>
          <w:tcPr>
            <w:tcW w:w="1260" w:type="dxa"/>
            <w:vAlign w:val="bottom"/>
          </w:tcPr>
          <w:p>
            <w:pPr>
              <w:ind w:left="200"/>
              <w:spacing w:after="0"/>
              <w:rPr>
                <w:sz w:val="20"/>
                <w:szCs w:val="20"/>
                <w:color w:val="auto"/>
              </w:rPr>
            </w:pPr>
            <w:r>
              <w:rPr>
                <w:rFonts w:ascii="Arial" w:cs="Arial" w:eastAsia="Arial" w:hAnsi="Arial"/>
                <w:sz w:val="13"/>
                <w:szCs w:val="13"/>
                <w:color w:val="auto"/>
              </w:rPr>
              <w:t>Board</w:t>
            </w:r>
          </w:p>
        </w:tc>
        <w:tc>
          <w:tcPr>
            <w:tcW w:w="5660" w:type="dxa"/>
            <w:vAlign w:val="bottom"/>
          </w:tcPr>
          <w:p>
            <w:pPr>
              <w:ind w:left="80"/>
              <w:spacing w:after="0"/>
              <w:rPr>
                <w:sz w:val="20"/>
                <w:szCs w:val="20"/>
                <w:color w:val="auto"/>
              </w:rPr>
            </w:pPr>
            <w:r>
              <w:rPr>
                <w:rFonts w:ascii="Arial" w:cs="Arial" w:eastAsia="Arial" w:hAnsi="Arial"/>
                <w:sz w:val="13"/>
                <w:szCs w:val="13"/>
                <w:color w:val="105EAB"/>
              </w:rPr>
              <w:t xml:space="preserve">►  </w:t>
            </w:r>
            <w:r>
              <w:rPr>
                <w:rFonts w:ascii="Arial" w:cs="Arial" w:eastAsia="Arial" w:hAnsi="Arial"/>
                <w:sz w:val="13"/>
                <w:szCs w:val="13"/>
                <w:color w:val="000000"/>
              </w:rPr>
              <w:t>Determine appropriateness of director’s continued membership on the Board after a</w:t>
            </w:r>
          </w:p>
        </w:tc>
        <w:tc>
          <w:tcPr>
            <w:tcW w:w="0" w:type="dxa"/>
            <w:vAlign w:val="bottom"/>
          </w:tcPr>
          <w:p>
            <w:pPr>
              <w:spacing w:after="0"/>
              <w:rPr>
                <w:sz w:val="1"/>
                <w:szCs w:val="1"/>
                <w:color w:val="auto"/>
              </w:rPr>
            </w:pPr>
          </w:p>
        </w:tc>
      </w:tr>
      <w:tr>
        <w:trPr>
          <w:trHeight w:val="178"/>
        </w:trPr>
        <w:tc>
          <w:tcPr>
            <w:tcW w:w="1420" w:type="dxa"/>
            <w:vAlign w:val="bottom"/>
          </w:tcPr>
          <w:p>
            <w:pPr>
              <w:spacing w:after="0"/>
              <w:rPr>
                <w:sz w:val="20"/>
                <w:szCs w:val="20"/>
                <w:color w:val="auto"/>
              </w:rPr>
            </w:pPr>
            <w:r>
              <w:rPr>
                <w:rFonts w:ascii="Arial" w:cs="Arial" w:eastAsia="Arial" w:hAnsi="Arial"/>
                <w:sz w:val="13"/>
                <w:szCs w:val="13"/>
                <w:b w:val="1"/>
                <w:bCs w:val="1"/>
                <w:color w:val="105EAB"/>
              </w:rPr>
              <w:t>circumstances</w:t>
            </w:r>
          </w:p>
        </w:tc>
        <w:tc>
          <w:tcPr>
            <w:tcW w:w="1260" w:type="dxa"/>
            <w:vAlign w:val="bottom"/>
          </w:tcPr>
          <w:p>
            <w:pPr>
              <w:spacing w:after="0"/>
              <w:rPr>
                <w:sz w:val="15"/>
                <w:szCs w:val="15"/>
                <w:color w:val="auto"/>
              </w:rPr>
            </w:pPr>
          </w:p>
        </w:tc>
        <w:tc>
          <w:tcPr>
            <w:tcW w:w="5660" w:type="dxa"/>
            <w:vAlign w:val="bottom"/>
          </w:tcPr>
          <w:p>
            <w:pPr>
              <w:ind w:left="360"/>
              <w:spacing w:after="0"/>
              <w:rPr>
                <w:sz w:val="20"/>
                <w:szCs w:val="20"/>
                <w:color w:val="auto"/>
              </w:rPr>
            </w:pPr>
            <w:r>
              <w:rPr>
                <w:rFonts w:ascii="Arial" w:cs="Arial" w:eastAsia="Arial" w:hAnsi="Arial"/>
                <w:sz w:val="13"/>
                <w:szCs w:val="13"/>
                <w:color w:val="auto"/>
              </w:rPr>
              <w:t>change in primary employment</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5660" w:type="dxa"/>
            <w:vAlign w:val="bottom"/>
          </w:tcPr>
          <w:p>
            <w:pPr>
              <w:ind w:left="80"/>
              <w:spacing w:after="0"/>
              <w:rPr>
                <w:sz w:val="20"/>
                <w:szCs w:val="20"/>
                <w:color w:val="auto"/>
              </w:rPr>
            </w:pPr>
            <w:r>
              <w:rPr>
                <w:rFonts w:ascii="Arial" w:cs="Arial" w:eastAsia="Arial" w:hAnsi="Arial"/>
                <w:sz w:val="13"/>
                <w:szCs w:val="13"/>
                <w:color w:val="105EAB"/>
              </w:rPr>
              <w:t xml:space="preserve">►  </w:t>
            </w:r>
            <w:r>
              <w:rPr>
                <w:rFonts w:ascii="Arial" w:cs="Arial" w:eastAsia="Arial" w:hAnsi="Arial"/>
                <w:sz w:val="13"/>
                <w:szCs w:val="13"/>
                <w:color w:val="000000"/>
              </w:rPr>
              <w:t>Review potential conflicts and whether change impacts director’s ability to devote the</w:t>
            </w:r>
          </w:p>
        </w:tc>
        <w:tc>
          <w:tcPr>
            <w:tcW w:w="0" w:type="dxa"/>
            <w:vAlign w:val="bottom"/>
          </w:tcPr>
          <w:p>
            <w:pPr>
              <w:spacing w:after="0"/>
              <w:rPr>
                <w:sz w:val="1"/>
                <w:szCs w:val="1"/>
                <w:color w:val="auto"/>
              </w:rPr>
            </w:pPr>
          </w:p>
        </w:tc>
      </w:tr>
      <w:tr>
        <w:trPr>
          <w:trHeight w:val="183"/>
        </w:trPr>
        <w:tc>
          <w:tcPr>
            <w:tcW w:w="1420" w:type="dxa"/>
            <w:vAlign w:val="bottom"/>
            <w:tcBorders>
              <w:bottom w:val="single" w:sz="8" w:color="105EAB"/>
            </w:tcBorders>
          </w:tcPr>
          <w:p>
            <w:pPr>
              <w:spacing w:after="0"/>
              <w:rPr>
                <w:sz w:val="15"/>
                <w:szCs w:val="15"/>
                <w:color w:val="auto"/>
              </w:rPr>
            </w:pPr>
          </w:p>
        </w:tc>
        <w:tc>
          <w:tcPr>
            <w:tcW w:w="1260" w:type="dxa"/>
            <w:vAlign w:val="bottom"/>
            <w:tcBorders>
              <w:bottom w:val="single" w:sz="8" w:color="105EAB"/>
            </w:tcBorders>
          </w:tcPr>
          <w:p>
            <w:pPr>
              <w:spacing w:after="0"/>
              <w:rPr>
                <w:sz w:val="15"/>
                <w:szCs w:val="15"/>
                <w:color w:val="auto"/>
              </w:rPr>
            </w:pPr>
          </w:p>
        </w:tc>
        <w:tc>
          <w:tcPr>
            <w:tcW w:w="5660" w:type="dxa"/>
            <w:vAlign w:val="bottom"/>
            <w:tcBorders>
              <w:bottom w:val="single" w:sz="8" w:color="105EAB"/>
            </w:tcBorders>
          </w:tcPr>
          <w:p>
            <w:pPr>
              <w:ind w:left="360"/>
              <w:spacing w:after="0"/>
              <w:rPr>
                <w:sz w:val="20"/>
                <w:szCs w:val="20"/>
                <w:color w:val="auto"/>
              </w:rPr>
            </w:pPr>
            <w:r>
              <w:rPr>
                <w:rFonts w:ascii="Arial" w:cs="Arial" w:eastAsia="Arial" w:hAnsi="Arial"/>
                <w:sz w:val="13"/>
                <w:szCs w:val="13"/>
                <w:color w:val="auto"/>
              </w:rPr>
              <w:t>necessary time and effort to Board service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-1438275</wp:posOffset>
            </wp:positionV>
            <wp:extent cx="248285" cy="1438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48285" cy="1438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39B6E9"/>
        </w:rPr>
        <w:t>2018 OUTCOME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-478790</wp:posOffset>
            </wp:positionV>
            <wp:extent cx="1430655" cy="14306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430655" cy="1430655"/>
                    </a:xfrm>
                    <a:prstGeom prst="rect">
                      <a:avLst/>
                    </a:prstGeom>
                    <a:noFill/>
                  </pic:spPr>
                </pic:pic>
              </a:graphicData>
            </a:graphic>
          </wp:anchor>
        </w:drawing>
      </w:r>
    </w:p>
    <w:p>
      <w:pPr>
        <w:ind w:right="180"/>
        <w:spacing w:after="0" w:line="242" w:lineRule="auto"/>
        <w:rPr>
          <w:sz w:val="20"/>
          <w:szCs w:val="20"/>
          <w:color w:val="auto"/>
        </w:rPr>
      </w:pPr>
      <w:r>
        <w:rPr>
          <w:rFonts w:ascii="Arial" w:cs="Arial" w:eastAsia="Arial" w:hAnsi="Arial"/>
          <w:sz w:val="13"/>
          <w:szCs w:val="13"/>
          <w:color w:val="auto"/>
        </w:rPr>
        <w:t>Results of evaluations are used by the nominating and governance committee in connection with the annual nomination process. Specific action plans are discussed with each director.</w:t>
      </w:r>
    </w:p>
    <w:p>
      <w:pPr>
        <w:spacing w:after="0" w:line="765" w:lineRule="exact"/>
        <w:rPr>
          <w:sz w:val="20"/>
          <w:szCs w:val="20"/>
          <w:color w:val="auto"/>
        </w:rPr>
      </w:pPr>
    </w:p>
    <w:p>
      <w:pPr>
        <w:sectPr>
          <w:pgSz w:w="11900" w:h="16838" w:orient="portrait"/>
          <w:cols w:equalWidth="0" w:num="2">
            <w:col w:w="8960" w:space="200"/>
            <w:col w:w="2280"/>
          </w:cols>
          <w:pgMar w:left="240" w:top="121" w:right="219" w:bottom="1440" w:gutter="0" w:footer="0" w:header="0"/>
          <w:type w:val="continuous"/>
        </w:sectPr>
      </w:pPr>
    </w:p>
    <w:p>
      <w:pPr>
        <w:spacing w:after="0"/>
        <w:rPr>
          <w:sz w:val="20"/>
          <w:szCs w:val="20"/>
          <w:color w:val="auto"/>
        </w:rPr>
      </w:pPr>
      <w:r>
        <w:rPr>
          <w:rFonts w:ascii="Arial" w:cs="Arial" w:eastAsia="Arial" w:hAnsi="Arial"/>
          <w:sz w:val="25"/>
          <w:szCs w:val="25"/>
          <w:b w:val="1"/>
          <w:bCs w:val="1"/>
          <w:color w:val="105EAB"/>
        </w:rPr>
        <w:t>Director Onboarding and Continuing Education</w:t>
      </w:r>
    </w:p>
    <w:p>
      <w:pPr>
        <w:spacing w:after="0" w:line="259" w:lineRule="exact"/>
        <w:rPr>
          <w:sz w:val="20"/>
          <w:szCs w:val="20"/>
          <w:color w:val="auto"/>
        </w:rPr>
      </w:pPr>
    </w:p>
    <w:p>
      <w:pPr>
        <w:ind w:right="360"/>
        <w:spacing w:after="0" w:line="237" w:lineRule="auto"/>
        <w:rPr>
          <w:sz w:val="20"/>
          <w:szCs w:val="20"/>
          <w:color w:val="auto"/>
        </w:rPr>
      </w:pPr>
      <w:r>
        <w:rPr>
          <w:rFonts w:ascii="Arial" w:cs="Arial" w:eastAsia="Arial" w:hAnsi="Arial"/>
          <w:sz w:val="18"/>
          <w:szCs w:val="18"/>
          <w:color w:val="auto"/>
        </w:rPr>
        <w:t>All new directors participate in a robust director orientation and onboarding process to ensure a working knowledge of Allstate’s business, strategies, operating performance and culture and a successful integration into boardroom discussions as soon as possible. To assist with their development, all new directors are invited to attend all committee meetings prior to their appointment to a particular committee.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1120" w:type="dxa"/>
            <w:vAlign w:val="bottom"/>
          </w:tcPr>
          <w:p>
            <w:pPr>
              <w:ind w:left="9640"/>
              <w:spacing w:after="0"/>
              <w:rPr>
                <w:sz w:val="20"/>
                <w:szCs w:val="20"/>
                <w:color w:val="auto"/>
              </w:rPr>
            </w:pPr>
            <w:r>
              <w:rPr>
                <w:rFonts w:ascii="Arial" w:cs="Arial" w:eastAsia="Arial" w:hAnsi="Arial"/>
                <w:sz w:val="13"/>
                <w:szCs w:val="13"/>
                <w:color w:val="105EAB"/>
              </w:rPr>
              <w:t>2019 Proxy Statement</w:t>
            </w:r>
          </w:p>
        </w:tc>
        <w:tc>
          <w:tcPr>
            <w:tcW w:w="320" w:type="dxa"/>
            <w:vAlign w:val="bottom"/>
          </w:tcPr>
          <w:p>
            <w:pPr>
              <w:jc w:val="right"/>
              <w:spacing w:after="0"/>
              <w:rPr>
                <w:sz w:val="20"/>
                <w:szCs w:val="20"/>
                <w:color w:val="auto"/>
              </w:rPr>
            </w:pPr>
            <w:r>
              <w:rPr>
                <w:rFonts w:ascii="Arial" w:cs="Arial" w:eastAsia="Arial" w:hAnsi="Arial"/>
                <w:sz w:val="13"/>
                <w:szCs w:val="13"/>
                <w:b w:val="1"/>
                <w:bCs w:val="1"/>
                <w:color w:val="105EAB"/>
              </w:rPr>
              <w:t>17</w:t>
            </w:r>
          </w:p>
        </w:tc>
      </w:tr>
      <w:tr>
        <w:trPr>
          <w:trHeight w:val="213"/>
        </w:trPr>
        <w:tc>
          <w:tcPr>
            <w:tcW w:w="1112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-13970</wp:posOffset>
            </wp:positionV>
            <wp:extent cx="1270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b w:val="1"/>
          <w:bCs w:val="1"/>
          <w:color w:val="105EAB"/>
        </w:rPr>
        <w:t xml:space="preserve">Corporate Governance | </w:t>
      </w:r>
      <w:r>
        <w:rPr>
          <w:rFonts w:ascii="Arial" w:cs="Arial" w:eastAsia="Arial" w:hAnsi="Arial"/>
          <w:sz w:val="13"/>
          <w:szCs w:val="13"/>
          <w:b w:val="1"/>
          <w:bCs w:val="1"/>
          <w:color w:val="000000"/>
        </w:rPr>
        <w:t>Board Effectiveness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As part of their onboarding and during their tenure, directors regularly meet with senior leaders and employees below the senior leadership level.</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These interactions are offered in various forums, including one-on-one meetings and larger group sessions.</w:t>
      </w:r>
    </w:p>
    <w:p>
      <w:pPr>
        <w:spacing w:after="0" w:line="211"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In addition, Allstate encourages and facilitates director participation in continuing education programs, and each director is given the opportunity to become a member of the National Association of Corporate Directors.</w:t>
      </w:r>
    </w:p>
    <w:p>
      <w:pPr>
        <w:spacing w:after="0" w:line="175" w:lineRule="exact"/>
        <w:rPr>
          <w:sz w:val="20"/>
          <w:szCs w:val="20"/>
          <w:color w:val="auto"/>
        </w:rPr>
      </w:pPr>
    </w:p>
    <w:p>
      <w:pPr>
        <w:spacing w:after="0"/>
        <w:rPr>
          <w:sz w:val="20"/>
          <w:szCs w:val="20"/>
          <w:color w:val="auto"/>
        </w:rPr>
      </w:pPr>
      <w:r>
        <w:rPr>
          <w:rFonts w:ascii="Arial" w:cs="Arial" w:eastAsia="Arial" w:hAnsi="Arial"/>
          <w:sz w:val="25"/>
          <w:szCs w:val="25"/>
          <w:b w:val="1"/>
          <w:bCs w:val="1"/>
          <w:color w:val="105EAB"/>
        </w:rPr>
        <w:t>Our Commitment to Effective Governance</w:t>
      </w:r>
    </w:p>
    <w:p>
      <w:pPr>
        <w:spacing w:after="0" w:line="237" w:lineRule="exact"/>
        <w:rPr>
          <w:sz w:val="20"/>
          <w:szCs w:val="20"/>
          <w:color w:val="auto"/>
        </w:rPr>
      </w:pPr>
    </w:p>
    <w:p>
      <w:pPr>
        <w:ind w:right="480"/>
        <w:spacing w:after="0" w:line="249" w:lineRule="auto"/>
        <w:rPr>
          <w:sz w:val="20"/>
          <w:szCs w:val="20"/>
          <w:color w:val="auto"/>
        </w:rPr>
      </w:pPr>
      <w:r>
        <w:rPr>
          <w:rFonts w:ascii="Arial" w:cs="Arial" w:eastAsia="Arial" w:hAnsi="Arial"/>
          <w:sz w:val="18"/>
          <w:szCs w:val="18"/>
          <w:color w:val="auto"/>
        </w:rPr>
        <w:t xml:space="preserve">Allstate has a history of strong corporate governance guided by three primary principles: </w:t>
      </w:r>
      <w:r>
        <w:rPr>
          <w:rFonts w:ascii="Arial" w:cs="Arial" w:eastAsia="Arial" w:hAnsi="Arial"/>
          <w:sz w:val="18"/>
          <w:szCs w:val="18"/>
          <w:b w:val="1"/>
          <w:bCs w:val="1"/>
          <w:color w:val="auto"/>
        </w:rPr>
        <w:t>dialogue, transparency and responsiveness.</w:t>
      </w:r>
      <w:r>
        <w:rPr>
          <w:rFonts w:ascii="Arial" w:cs="Arial" w:eastAsia="Arial" w:hAnsi="Arial"/>
          <w:sz w:val="18"/>
          <w:szCs w:val="18"/>
          <w:color w:val="auto"/>
        </w:rPr>
        <w:t xml:space="preserve"> The Board has enhanced governance policies over time to align with best practices, drive sustained stockholder value and serve the interests of stockholders. Allstate’s key governance practices are included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00" w:type="dxa"/>
            <w:vAlign w:val="bottom"/>
          </w:tcPr>
          <w:p>
            <w:pPr>
              <w:ind w:left="80"/>
              <w:spacing w:after="0"/>
              <w:rPr>
                <w:sz w:val="20"/>
                <w:szCs w:val="20"/>
                <w:color w:val="auto"/>
              </w:rPr>
            </w:pPr>
            <w:r>
              <w:rPr>
                <w:rFonts w:ascii="Arial" w:cs="Arial" w:eastAsia="Arial" w:hAnsi="Arial"/>
                <w:sz w:val="18"/>
                <w:szCs w:val="18"/>
                <w:b w:val="1"/>
                <w:bCs w:val="1"/>
                <w:color w:val="105EAB"/>
              </w:rPr>
              <w:t>Stockholder</w:t>
            </w:r>
          </w:p>
        </w:tc>
        <w:tc>
          <w:tcPr>
            <w:tcW w:w="280" w:type="dxa"/>
            <w:vAlign w:val="bottom"/>
          </w:tcPr>
          <w:p>
            <w:pPr>
              <w:ind w:left="80"/>
              <w:spacing w:after="0"/>
              <w:rPr>
                <w:sz w:val="20"/>
                <w:szCs w:val="20"/>
                <w:color w:val="auto"/>
              </w:rPr>
            </w:pPr>
            <w:r>
              <w:rPr>
                <w:rFonts w:ascii="Arial" w:cs="Arial" w:eastAsia="Arial" w:hAnsi="Arial"/>
                <w:sz w:val="13"/>
                <w:szCs w:val="13"/>
                <w:color w:val="105EAB"/>
              </w:rPr>
              <w:t>►</w:t>
            </w:r>
          </w:p>
        </w:tc>
        <w:tc>
          <w:tcPr>
            <w:tcW w:w="9940" w:type="dxa"/>
            <w:vAlign w:val="bottom"/>
          </w:tcPr>
          <w:p>
            <w:pPr>
              <w:ind w:left="60"/>
              <w:spacing w:after="0"/>
              <w:rPr>
                <w:sz w:val="20"/>
                <w:szCs w:val="20"/>
                <w:color w:val="auto"/>
              </w:rPr>
            </w:pPr>
            <w:r>
              <w:rPr>
                <w:rFonts w:ascii="Arial" w:cs="Arial" w:eastAsia="Arial" w:hAnsi="Arial"/>
                <w:sz w:val="13"/>
                <w:szCs w:val="13"/>
                <w:color w:val="auto"/>
              </w:rPr>
              <w:t>Annual election of directors with a majority vote standard in uncontested elections</w:t>
            </w:r>
          </w:p>
        </w:tc>
      </w:tr>
      <w:tr>
        <w:trPr>
          <w:trHeight w:val="233"/>
        </w:trPr>
        <w:tc>
          <w:tcPr>
            <w:tcW w:w="1200" w:type="dxa"/>
            <w:vAlign w:val="bottom"/>
          </w:tcPr>
          <w:p>
            <w:pPr>
              <w:ind w:left="80"/>
              <w:spacing w:after="0"/>
              <w:rPr>
                <w:sz w:val="20"/>
                <w:szCs w:val="20"/>
                <w:color w:val="auto"/>
              </w:rPr>
            </w:pPr>
            <w:r>
              <w:rPr>
                <w:rFonts w:ascii="Arial" w:cs="Arial" w:eastAsia="Arial" w:hAnsi="Arial"/>
                <w:sz w:val="18"/>
                <w:szCs w:val="18"/>
                <w:b w:val="1"/>
                <w:bCs w:val="1"/>
                <w:color w:val="105EAB"/>
              </w:rPr>
              <w:t>Rights</w:t>
            </w:r>
          </w:p>
        </w:tc>
        <w:tc>
          <w:tcPr>
            <w:tcW w:w="280" w:type="dxa"/>
            <w:vAlign w:val="bottom"/>
          </w:tcPr>
          <w:p>
            <w:pPr>
              <w:ind w:left="80"/>
              <w:spacing w:after="0"/>
              <w:rPr>
                <w:sz w:val="20"/>
                <w:szCs w:val="20"/>
                <w:color w:val="auto"/>
              </w:rPr>
            </w:pPr>
            <w:r>
              <w:rPr>
                <w:rFonts w:ascii="Arial" w:cs="Arial" w:eastAsia="Arial" w:hAnsi="Arial"/>
                <w:sz w:val="13"/>
                <w:szCs w:val="13"/>
                <w:color w:val="105EAB"/>
              </w:rPr>
              <w:t>►</w:t>
            </w:r>
          </w:p>
        </w:tc>
        <w:tc>
          <w:tcPr>
            <w:tcW w:w="9940" w:type="dxa"/>
            <w:vAlign w:val="bottom"/>
          </w:tcPr>
          <w:p>
            <w:pPr>
              <w:ind w:left="60"/>
              <w:spacing w:after="0"/>
              <w:rPr>
                <w:sz w:val="20"/>
                <w:szCs w:val="20"/>
                <w:color w:val="auto"/>
              </w:rPr>
            </w:pPr>
            <w:r>
              <w:rPr>
                <w:rFonts w:ascii="Arial" w:cs="Arial" w:eastAsia="Arial" w:hAnsi="Arial"/>
                <w:sz w:val="13"/>
                <w:szCs w:val="13"/>
                <w:color w:val="auto"/>
              </w:rPr>
              <w:t>Proxy access rights</w:t>
            </w:r>
          </w:p>
        </w:tc>
      </w:tr>
      <w:tr>
        <w:trPr>
          <w:trHeight w:val="190"/>
        </w:trPr>
        <w:tc>
          <w:tcPr>
            <w:tcW w:w="1200" w:type="dxa"/>
            <w:vAlign w:val="bottom"/>
          </w:tcPr>
          <w:p>
            <w:pPr>
              <w:spacing w:after="0"/>
              <w:rPr>
                <w:sz w:val="16"/>
                <w:szCs w:val="16"/>
                <w:color w:val="auto"/>
              </w:rPr>
            </w:pPr>
          </w:p>
        </w:tc>
        <w:tc>
          <w:tcPr>
            <w:tcW w:w="10220" w:type="dxa"/>
            <w:vAlign w:val="bottom"/>
            <w:gridSpan w:val="2"/>
          </w:tcPr>
          <w:p>
            <w:pPr>
              <w:ind w:left="80"/>
              <w:spacing w:after="0"/>
              <w:rPr>
                <w:sz w:val="20"/>
                <w:szCs w:val="20"/>
                <w:color w:val="auto"/>
              </w:rPr>
            </w:pPr>
            <w:r>
              <w:rPr>
                <w:rFonts w:ascii="Arial" w:cs="Arial" w:eastAsia="Arial" w:hAnsi="Arial"/>
                <w:sz w:val="13"/>
                <w:szCs w:val="13"/>
                <w:color w:val="105EAB"/>
              </w:rPr>
              <w:t xml:space="preserve">►  </w:t>
            </w:r>
            <w:r>
              <w:rPr>
                <w:rFonts w:ascii="Arial" w:cs="Arial" w:eastAsia="Arial" w:hAnsi="Arial"/>
                <w:sz w:val="13"/>
                <w:szCs w:val="13"/>
                <w:color w:val="000000"/>
              </w:rPr>
              <w:t>No stockholder rights plan (“poison pill”) and no supermajority voting provisions</w:t>
            </w:r>
          </w:p>
        </w:tc>
      </w:tr>
      <w:tr>
        <w:trPr>
          <w:trHeight w:val="216"/>
        </w:trPr>
        <w:tc>
          <w:tcPr>
            <w:tcW w:w="1200" w:type="dxa"/>
            <w:vAlign w:val="bottom"/>
          </w:tcPr>
          <w:p>
            <w:pPr>
              <w:spacing w:after="0"/>
              <w:rPr>
                <w:sz w:val="18"/>
                <w:szCs w:val="18"/>
                <w:color w:val="auto"/>
              </w:rPr>
            </w:pPr>
          </w:p>
        </w:tc>
        <w:tc>
          <w:tcPr>
            <w:tcW w:w="280" w:type="dxa"/>
            <w:vAlign w:val="bottom"/>
          </w:tcPr>
          <w:p>
            <w:pPr>
              <w:ind w:left="80"/>
              <w:spacing w:after="0"/>
              <w:rPr>
                <w:sz w:val="20"/>
                <w:szCs w:val="20"/>
                <w:color w:val="auto"/>
              </w:rPr>
            </w:pPr>
            <w:r>
              <w:rPr>
                <w:rFonts w:ascii="Arial" w:cs="Arial" w:eastAsia="Arial" w:hAnsi="Arial"/>
                <w:sz w:val="13"/>
                <w:szCs w:val="13"/>
                <w:color w:val="105EAB"/>
              </w:rPr>
              <w:t>►</w:t>
            </w:r>
          </w:p>
        </w:tc>
        <w:tc>
          <w:tcPr>
            <w:tcW w:w="9940" w:type="dxa"/>
            <w:vAlign w:val="bottom"/>
          </w:tcPr>
          <w:p>
            <w:pPr>
              <w:ind w:left="60"/>
              <w:spacing w:after="0"/>
              <w:rPr>
                <w:sz w:val="20"/>
                <w:szCs w:val="20"/>
                <w:color w:val="auto"/>
              </w:rPr>
            </w:pPr>
            <w:r>
              <w:rPr>
                <w:rFonts w:ascii="Arial" w:cs="Arial" w:eastAsia="Arial" w:hAnsi="Arial"/>
                <w:sz w:val="13"/>
                <w:szCs w:val="13"/>
                <w:color w:val="auto"/>
              </w:rPr>
              <w:t>Confidential voting</w:t>
            </w:r>
          </w:p>
        </w:tc>
      </w:tr>
      <w:tr>
        <w:trPr>
          <w:trHeight w:val="216"/>
        </w:trPr>
        <w:tc>
          <w:tcPr>
            <w:tcW w:w="1200" w:type="dxa"/>
            <w:vAlign w:val="bottom"/>
          </w:tcPr>
          <w:p>
            <w:pPr>
              <w:spacing w:after="0"/>
              <w:rPr>
                <w:sz w:val="18"/>
                <w:szCs w:val="18"/>
                <w:color w:val="auto"/>
              </w:rPr>
            </w:pPr>
          </w:p>
        </w:tc>
        <w:tc>
          <w:tcPr>
            <w:tcW w:w="10220" w:type="dxa"/>
            <w:vAlign w:val="bottom"/>
            <w:gridSpan w:val="2"/>
          </w:tcPr>
          <w:p>
            <w:pPr>
              <w:ind w:left="80"/>
              <w:spacing w:after="0"/>
              <w:rPr>
                <w:sz w:val="20"/>
                <w:szCs w:val="20"/>
                <w:color w:val="auto"/>
              </w:rPr>
            </w:pPr>
            <w:r>
              <w:rPr>
                <w:rFonts w:ascii="Arial" w:cs="Arial" w:eastAsia="Arial" w:hAnsi="Arial"/>
                <w:sz w:val="13"/>
                <w:szCs w:val="13"/>
                <w:color w:val="105EAB"/>
              </w:rPr>
              <w:t xml:space="preserve">►  </w:t>
            </w:r>
            <w:r>
              <w:rPr>
                <w:rFonts w:ascii="Arial" w:cs="Arial" w:eastAsia="Arial" w:hAnsi="Arial"/>
                <w:sz w:val="13"/>
                <w:szCs w:val="13"/>
                <w:color w:val="000000"/>
              </w:rPr>
              <w:t>Right to call a special meeting and request action by written consent for stockholders with 10% or more of outstanding shares</w:t>
            </w:r>
          </w:p>
        </w:tc>
      </w:tr>
      <w:tr>
        <w:trPr>
          <w:trHeight w:val="27"/>
        </w:trPr>
        <w:tc>
          <w:tcPr>
            <w:tcW w:w="1200" w:type="dxa"/>
            <w:vAlign w:val="bottom"/>
            <w:tcBorders>
              <w:bottom w:val="single" w:sz="8" w:color="39B6E9"/>
            </w:tcBorders>
          </w:tcPr>
          <w:p>
            <w:pPr>
              <w:spacing w:after="0"/>
              <w:rPr>
                <w:sz w:val="2"/>
                <w:szCs w:val="2"/>
                <w:color w:val="auto"/>
              </w:rPr>
            </w:pPr>
          </w:p>
        </w:tc>
        <w:tc>
          <w:tcPr>
            <w:tcW w:w="280" w:type="dxa"/>
            <w:vAlign w:val="bottom"/>
            <w:tcBorders>
              <w:bottom w:val="single" w:sz="8" w:color="39B6E9"/>
            </w:tcBorders>
          </w:tcPr>
          <w:p>
            <w:pPr>
              <w:spacing w:after="0"/>
              <w:rPr>
                <w:sz w:val="2"/>
                <w:szCs w:val="2"/>
                <w:color w:val="auto"/>
              </w:rPr>
            </w:pPr>
          </w:p>
        </w:tc>
        <w:tc>
          <w:tcPr>
            <w:tcW w:w="9940" w:type="dxa"/>
            <w:vAlign w:val="bottom"/>
            <w:tcBorders>
              <w:bottom w:val="single" w:sz="8" w:color="39B6E9"/>
            </w:tcBorders>
          </w:tcPr>
          <w:p>
            <w:pPr>
              <w:spacing w:after="0"/>
              <w:rPr>
                <w:sz w:val="2"/>
                <w:szCs w:val="2"/>
                <w:color w:val="auto"/>
              </w:rPr>
            </w:pPr>
          </w:p>
        </w:tc>
      </w:tr>
      <w:tr>
        <w:trPr>
          <w:trHeight w:val="204"/>
        </w:trPr>
        <w:tc>
          <w:tcPr>
            <w:tcW w:w="1200" w:type="dxa"/>
            <w:vAlign w:val="bottom"/>
          </w:tcPr>
          <w:p>
            <w:pPr>
              <w:ind w:left="80"/>
              <w:spacing w:after="0" w:line="204" w:lineRule="exact"/>
              <w:rPr>
                <w:sz w:val="20"/>
                <w:szCs w:val="20"/>
                <w:color w:val="auto"/>
              </w:rPr>
            </w:pPr>
            <w:r>
              <w:rPr>
                <w:rFonts w:ascii="Arial" w:cs="Arial" w:eastAsia="Arial" w:hAnsi="Arial"/>
                <w:sz w:val="18"/>
                <w:szCs w:val="18"/>
                <w:b w:val="1"/>
                <w:bCs w:val="1"/>
                <w:color w:val="105EAB"/>
              </w:rPr>
              <w:t>Independent</w:t>
            </w:r>
          </w:p>
        </w:tc>
        <w:tc>
          <w:tcPr>
            <w:tcW w:w="280" w:type="dxa"/>
            <w:vAlign w:val="bottom"/>
          </w:tcPr>
          <w:p>
            <w:pPr>
              <w:ind w:left="80"/>
              <w:spacing w:after="0"/>
              <w:rPr>
                <w:sz w:val="20"/>
                <w:szCs w:val="20"/>
                <w:color w:val="auto"/>
              </w:rPr>
            </w:pPr>
            <w:r>
              <w:rPr>
                <w:rFonts w:ascii="Arial" w:cs="Arial" w:eastAsia="Arial" w:hAnsi="Arial"/>
                <w:sz w:val="13"/>
                <w:szCs w:val="13"/>
                <w:color w:val="105EAB"/>
              </w:rPr>
              <w:t>►</w:t>
            </w:r>
          </w:p>
        </w:tc>
        <w:tc>
          <w:tcPr>
            <w:tcW w:w="9940" w:type="dxa"/>
            <w:vAlign w:val="bottom"/>
          </w:tcPr>
          <w:p>
            <w:pPr>
              <w:ind w:left="60"/>
              <w:spacing w:after="0"/>
              <w:rPr>
                <w:sz w:val="20"/>
                <w:szCs w:val="20"/>
                <w:color w:val="auto"/>
              </w:rPr>
            </w:pPr>
            <w:r>
              <w:rPr>
                <w:rFonts w:ascii="Arial" w:cs="Arial" w:eastAsia="Arial" w:hAnsi="Arial"/>
                <w:sz w:val="13"/>
                <w:szCs w:val="13"/>
                <w:color w:val="auto"/>
              </w:rPr>
              <w:t>Strong independent lead director and committee chair roles with clearly articulated responsibilities</w:t>
            </w:r>
          </w:p>
        </w:tc>
      </w:tr>
      <w:tr>
        <w:trPr>
          <w:trHeight w:val="233"/>
        </w:trPr>
        <w:tc>
          <w:tcPr>
            <w:tcW w:w="1200" w:type="dxa"/>
            <w:vAlign w:val="bottom"/>
          </w:tcPr>
          <w:p>
            <w:pPr>
              <w:ind w:left="80"/>
              <w:spacing w:after="0"/>
              <w:rPr>
                <w:sz w:val="20"/>
                <w:szCs w:val="20"/>
                <w:color w:val="auto"/>
              </w:rPr>
            </w:pPr>
            <w:r>
              <w:rPr>
                <w:rFonts w:ascii="Arial" w:cs="Arial" w:eastAsia="Arial" w:hAnsi="Arial"/>
                <w:sz w:val="18"/>
                <w:szCs w:val="18"/>
                <w:b w:val="1"/>
                <w:bCs w:val="1"/>
                <w:color w:val="105EAB"/>
              </w:rPr>
              <w:t>Oversight</w:t>
            </w:r>
          </w:p>
        </w:tc>
        <w:tc>
          <w:tcPr>
            <w:tcW w:w="280" w:type="dxa"/>
            <w:vAlign w:val="bottom"/>
          </w:tcPr>
          <w:p>
            <w:pPr>
              <w:ind w:left="80"/>
              <w:spacing w:after="0"/>
              <w:rPr>
                <w:sz w:val="20"/>
                <w:szCs w:val="20"/>
                <w:color w:val="auto"/>
              </w:rPr>
            </w:pPr>
            <w:r>
              <w:rPr>
                <w:rFonts w:ascii="Arial" w:cs="Arial" w:eastAsia="Arial" w:hAnsi="Arial"/>
                <w:sz w:val="13"/>
                <w:szCs w:val="13"/>
                <w:color w:val="105EAB"/>
              </w:rPr>
              <w:t>►</w:t>
            </w:r>
          </w:p>
        </w:tc>
        <w:tc>
          <w:tcPr>
            <w:tcW w:w="9940" w:type="dxa"/>
            <w:vAlign w:val="bottom"/>
          </w:tcPr>
          <w:p>
            <w:pPr>
              <w:ind w:left="60"/>
              <w:spacing w:after="0"/>
              <w:rPr>
                <w:sz w:val="20"/>
                <w:szCs w:val="20"/>
                <w:color w:val="auto"/>
              </w:rPr>
            </w:pPr>
            <w:r>
              <w:rPr>
                <w:rFonts w:ascii="Arial" w:cs="Arial" w:eastAsia="Arial" w:hAnsi="Arial"/>
                <w:sz w:val="13"/>
                <w:szCs w:val="13"/>
                <w:color w:val="auto"/>
              </w:rPr>
              <w:t>Independent Board committees</w:t>
            </w:r>
          </w:p>
        </w:tc>
      </w:tr>
      <w:tr>
        <w:trPr>
          <w:trHeight w:val="190"/>
        </w:trPr>
        <w:tc>
          <w:tcPr>
            <w:tcW w:w="1200" w:type="dxa"/>
            <w:vAlign w:val="bottom"/>
          </w:tcPr>
          <w:p>
            <w:pPr>
              <w:spacing w:after="0"/>
              <w:rPr>
                <w:sz w:val="16"/>
                <w:szCs w:val="16"/>
                <w:color w:val="auto"/>
              </w:rPr>
            </w:pPr>
          </w:p>
        </w:tc>
        <w:tc>
          <w:tcPr>
            <w:tcW w:w="10220" w:type="dxa"/>
            <w:vAlign w:val="bottom"/>
            <w:gridSpan w:val="2"/>
          </w:tcPr>
          <w:p>
            <w:pPr>
              <w:ind w:left="80"/>
              <w:spacing w:after="0"/>
              <w:rPr>
                <w:sz w:val="20"/>
                <w:szCs w:val="20"/>
                <w:color w:val="auto"/>
              </w:rPr>
            </w:pPr>
            <w:r>
              <w:rPr>
                <w:rFonts w:ascii="Arial" w:cs="Arial" w:eastAsia="Arial" w:hAnsi="Arial"/>
                <w:sz w:val="13"/>
                <w:szCs w:val="13"/>
                <w:color w:val="105EAB"/>
              </w:rPr>
              <w:t xml:space="preserve">►  </w:t>
            </w:r>
            <w:r>
              <w:rPr>
                <w:rFonts w:ascii="Arial" w:cs="Arial" w:eastAsia="Arial" w:hAnsi="Arial"/>
                <w:sz w:val="13"/>
                <w:szCs w:val="13"/>
                <w:color w:val="000000"/>
              </w:rPr>
              <w:t>Nine out of ten directors are independent</w:t>
            </w:r>
          </w:p>
        </w:tc>
      </w:tr>
      <w:tr>
        <w:trPr>
          <w:trHeight w:val="216"/>
        </w:trPr>
        <w:tc>
          <w:tcPr>
            <w:tcW w:w="1200" w:type="dxa"/>
            <w:vAlign w:val="bottom"/>
          </w:tcPr>
          <w:p>
            <w:pPr>
              <w:spacing w:after="0"/>
              <w:rPr>
                <w:sz w:val="18"/>
                <w:szCs w:val="18"/>
                <w:color w:val="auto"/>
              </w:rPr>
            </w:pPr>
          </w:p>
        </w:tc>
        <w:tc>
          <w:tcPr>
            <w:tcW w:w="10220" w:type="dxa"/>
            <w:vAlign w:val="bottom"/>
            <w:gridSpan w:val="2"/>
          </w:tcPr>
          <w:p>
            <w:pPr>
              <w:ind w:left="80"/>
              <w:spacing w:after="0"/>
              <w:rPr>
                <w:sz w:val="20"/>
                <w:szCs w:val="20"/>
                <w:color w:val="auto"/>
              </w:rPr>
            </w:pPr>
            <w:r>
              <w:rPr>
                <w:rFonts w:ascii="Arial" w:cs="Arial" w:eastAsia="Arial" w:hAnsi="Arial"/>
                <w:sz w:val="13"/>
                <w:szCs w:val="13"/>
                <w:color w:val="105EAB"/>
              </w:rPr>
              <w:t xml:space="preserve">►  </w:t>
            </w:r>
            <w:r>
              <w:rPr>
                <w:rFonts w:ascii="Arial" w:cs="Arial" w:eastAsia="Arial" w:hAnsi="Arial"/>
                <w:sz w:val="13"/>
                <w:szCs w:val="13"/>
                <w:color w:val="000000"/>
              </w:rPr>
              <w:t>Executive sessions at every in-person Board and committee meeting without management present</w:t>
            </w:r>
          </w:p>
        </w:tc>
      </w:tr>
      <w:tr>
        <w:trPr>
          <w:trHeight w:val="216"/>
        </w:trPr>
        <w:tc>
          <w:tcPr>
            <w:tcW w:w="1200" w:type="dxa"/>
            <w:vAlign w:val="bottom"/>
          </w:tcPr>
          <w:p>
            <w:pPr>
              <w:spacing w:after="0"/>
              <w:rPr>
                <w:sz w:val="18"/>
                <w:szCs w:val="18"/>
                <w:color w:val="auto"/>
              </w:rPr>
            </w:pPr>
          </w:p>
        </w:tc>
        <w:tc>
          <w:tcPr>
            <w:tcW w:w="10220" w:type="dxa"/>
            <w:vAlign w:val="bottom"/>
            <w:gridSpan w:val="2"/>
          </w:tcPr>
          <w:p>
            <w:pPr>
              <w:ind w:left="80"/>
              <w:spacing w:after="0"/>
              <w:rPr>
                <w:sz w:val="20"/>
                <w:szCs w:val="20"/>
                <w:color w:val="auto"/>
              </w:rPr>
            </w:pPr>
            <w:r>
              <w:rPr>
                <w:rFonts w:ascii="Arial" w:cs="Arial" w:eastAsia="Arial" w:hAnsi="Arial"/>
                <w:sz w:val="13"/>
                <w:szCs w:val="13"/>
                <w:color w:val="105EAB"/>
              </w:rPr>
              <w:t xml:space="preserve">►  </w:t>
            </w:r>
            <w:r>
              <w:rPr>
                <w:rFonts w:ascii="Arial" w:cs="Arial" w:eastAsia="Arial" w:hAnsi="Arial"/>
                <w:sz w:val="13"/>
                <w:szCs w:val="13"/>
                <w:color w:val="000000"/>
              </w:rPr>
              <w:t>Independent reviews by the Board, audit, and risk and return committees of Allstate’s strategy, business, and the related key risks and mitigation activities</w:t>
            </w:r>
          </w:p>
        </w:tc>
      </w:tr>
      <w:tr>
        <w:trPr>
          <w:trHeight w:val="256"/>
        </w:trPr>
        <w:tc>
          <w:tcPr>
            <w:tcW w:w="1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940" w:type="dxa"/>
            <w:vAlign w:val="bottom"/>
          </w:tcPr>
          <w:p>
            <w:pPr>
              <w:ind w:left="440"/>
              <w:spacing w:after="0"/>
              <w:rPr>
                <w:sz w:val="20"/>
                <w:szCs w:val="20"/>
                <w:color w:val="auto"/>
              </w:rPr>
            </w:pPr>
            <w:r>
              <w:rPr>
                <w:rFonts w:ascii="Arial" w:cs="Arial" w:eastAsia="Arial" w:hAnsi="Arial"/>
                <w:sz w:val="13"/>
                <w:szCs w:val="13"/>
                <w:color w:val="auto"/>
              </w:rPr>
              <w:t xml:space="preserve">See </w:t>
            </w:r>
            <w:r>
              <w:rPr>
                <w:rFonts w:ascii="Arial" w:cs="Arial" w:eastAsia="Arial" w:hAnsi="Arial"/>
                <w:sz w:val="13"/>
                <w:szCs w:val="13"/>
                <w:b w:val="1"/>
                <w:bCs w:val="1"/>
                <w:color w:val="39B6E9"/>
              </w:rPr>
              <w:t>page 20</w:t>
            </w:r>
            <w:r>
              <w:rPr>
                <w:rFonts w:ascii="Arial" w:cs="Arial" w:eastAsia="Arial" w:hAnsi="Arial"/>
                <w:sz w:val="13"/>
                <w:szCs w:val="13"/>
                <w:color w:val="auto"/>
              </w:rPr>
              <w:t xml:space="preserve"> for information related to risk oversight of political contributions, cybersecurity, and refinements to Allstate’s risk and return framework in 2018.</w:t>
            </w:r>
          </w:p>
        </w:tc>
      </w:tr>
      <w:tr>
        <w:trPr>
          <w:trHeight w:val="256"/>
        </w:trPr>
        <w:tc>
          <w:tcPr>
            <w:tcW w:w="1200" w:type="dxa"/>
            <w:vAlign w:val="bottom"/>
          </w:tcPr>
          <w:p>
            <w:pPr>
              <w:spacing w:after="0"/>
              <w:rPr>
                <w:sz w:val="22"/>
                <w:szCs w:val="22"/>
                <w:color w:val="auto"/>
              </w:rPr>
            </w:pPr>
          </w:p>
        </w:tc>
        <w:tc>
          <w:tcPr>
            <w:tcW w:w="10220" w:type="dxa"/>
            <w:vAlign w:val="bottom"/>
            <w:gridSpan w:val="2"/>
          </w:tcPr>
          <w:p>
            <w:pPr>
              <w:ind w:left="80"/>
              <w:spacing w:after="0"/>
              <w:rPr>
                <w:sz w:val="20"/>
                <w:szCs w:val="20"/>
                <w:color w:val="auto"/>
              </w:rPr>
            </w:pPr>
            <w:r>
              <w:rPr>
                <w:rFonts w:ascii="Arial" w:cs="Arial" w:eastAsia="Arial" w:hAnsi="Arial"/>
                <w:sz w:val="13"/>
                <w:szCs w:val="13"/>
                <w:color w:val="105EAB"/>
              </w:rPr>
              <w:t xml:space="preserve">►  </w:t>
            </w:r>
            <w:r>
              <w:rPr>
                <w:rFonts w:ascii="Arial" w:cs="Arial" w:eastAsia="Arial" w:hAnsi="Arial"/>
                <w:sz w:val="13"/>
                <w:szCs w:val="13"/>
                <w:color w:val="000000"/>
              </w:rPr>
              <w:t>Use of outside experts such as independent auditors, compensation consultants, governance specialists, cybersecurity experts, board search firm representatives,</w:t>
            </w:r>
          </w:p>
        </w:tc>
      </w:tr>
      <w:tr>
        <w:trPr>
          <w:trHeight w:val="170"/>
        </w:trPr>
        <w:tc>
          <w:tcPr>
            <w:tcW w:w="1200" w:type="dxa"/>
            <w:vAlign w:val="bottom"/>
            <w:tcBorders>
              <w:bottom w:val="single" w:sz="8" w:color="39B6E9"/>
            </w:tcBorders>
          </w:tcPr>
          <w:p>
            <w:pPr>
              <w:spacing w:after="0"/>
              <w:rPr>
                <w:sz w:val="14"/>
                <w:szCs w:val="14"/>
                <w:color w:val="auto"/>
              </w:rPr>
            </w:pPr>
          </w:p>
        </w:tc>
        <w:tc>
          <w:tcPr>
            <w:tcW w:w="280" w:type="dxa"/>
            <w:vAlign w:val="bottom"/>
            <w:tcBorders>
              <w:bottom w:val="single" w:sz="8" w:color="39B6E9"/>
            </w:tcBorders>
          </w:tcPr>
          <w:p>
            <w:pPr>
              <w:spacing w:after="0"/>
              <w:rPr>
                <w:sz w:val="14"/>
                <w:szCs w:val="14"/>
                <w:color w:val="auto"/>
              </w:rPr>
            </w:pPr>
          </w:p>
        </w:tc>
        <w:tc>
          <w:tcPr>
            <w:tcW w:w="9940" w:type="dxa"/>
            <w:vAlign w:val="bottom"/>
            <w:tcBorders>
              <w:bottom w:val="single" w:sz="8" w:color="39B6E9"/>
            </w:tcBorders>
          </w:tcPr>
          <w:p>
            <w:pPr>
              <w:ind w:left="60"/>
              <w:spacing w:after="0"/>
              <w:rPr>
                <w:sz w:val="20"/>
                <w:szCs w:val="20"/>
                <w:color w:val="auto"/>
              </w:rPr>
            </w:pPr>
            <w:r>
              <w:rPr>
                <w:rFonts w:ascii="Arial" w:cs="Arial" w:eastAsia="Arial" w:hAnsi="Arial"/>
                <w:sz w:val="13"/>
                <w:szCs w:val="13"/>
                <w:color w:val="auto"/>
              </w:rPr>
              <w:t>and financial advisors</w:t>
            </w:r>
          </w:p>
        </w:tc>
      </w:tr>
      <w:tr>
        <w:trPr>
          <w:trHeight w:val="210"/>
        </w:trPr>
        <w:tc>
          <w:tcPr>
            <w:tcW w:w="1200" w:type="dxa"/>
            <w:vAlign w:val="bottom"/>
          </w:tcPr>
          <w:p>
            <w:pPr>
              <w:ind w:left="80"/>
              <w:spacing w:after="0"/>
              <w:rPr>
                <w:sz w:val="20"/>
                <w:szCs w:val="20"/>
                <w:color w:val="auto"/>
              </w:rPr>
            </w:pPr>
            <w:r>
              <w:rPr>
                <w:rFonts w:ascii="Arial" w:cs="Arial" w:eastAsia="Arial" w:hAnsi="Arial"/>
                <w:sz w:val="18"/>
                <w:szCs w:val="18"/>
                <w:b w:val="1"/>
                <w:bCs w:val="1"/>
                <w:color w:val="105EAB"/>
              </w:rPr>
              <w:t>Good</w:t>
            </w:r>
          </w:p>
        </w:tc>
        <w:tc>
          <w:tcPr>
            <w:tcW w:w="280" w:type="dxa"/>
            <w:vAlign w:val="bottom"/>
          </w:tcPr>
          <w:p>
            <w:pPr>
              <w:ind w:left="80"/>
              <w:spacing w:after="0"/>
              <w:rPr>
                <w:sz w:val="20"/>
                <w:szCs w:val="20"/>
                <w:color w:val="auto"/>
              </w:rPr>
            </w:pPr>
            <w:r>
              <w:rPr>
                <w:rFonts w:ascii="Arial" w:cs="Arial" w:eastAsia="Arial" w:hAnsi="Arial"/>
                <w:sz w:val="13"/>
                <w:szCs w:val="13"/>
                <w:color w:val="105EAB"/>
              </w:rPr>
              <w:t>►</w:t>
            </w:r>
          </w:p>
        </w:tc>
        <w:tc>
          <w:tcPr>
            <w:tcW w:w="9940" w:type="dxa"/>
            <w:vAlign w:val="bottom"/>
          </w:tcPr>
          <w:p>
            <w:pPr>
              <w:ind w:left="60"/>
              <w:spacing w:after="0"/>
              <w:rPr>
                <w:sz w:val="20"/>
                <w:szCs w:val="20"/>
                <w:color w:val="auto"/>
              </w:rPr>
            </w:pPr>
            <w:r>
              <w:rPr>
                <w:rFonts w:ascii="Arial" w:cs="Arial" w:eastAsia="Arial" w:hAnsi="Arial"/>
                <w:sz w:val="13"/>
                <w:szCs w:val="13"/>
                <w:color w:val="auto"/>
              </w:rPr>
              <w:t>Extensive Board dialogue with formal processes for stockholder engagement and frequent cross-committee communications</w:t>
            </w:r>
          </w:p>
        </w:tc>
      </w:tr>
      <w:tr>
        <w:trPr>
          <w:trHeight w:val="233"/>
        </w:trPr>
        <w:tc>
          <w:tcPr>
            <w:tcW w:w="1200" w:type="dxa"/>
            <w:vAlign w:val="bottom"/>
          </w:tcPr>
          <w:p>
            <w:pPr>
              <w:ind w:left="80"/>
              <w:spacing w:after="0"/>
              <w:rPr>
                <w:sz w:val="20"/>
                <w:szCs w:val="20"/>
                <w:color w:val="auto"/>
              </w:rPr>
            </w:pPr>
            <w:r>
              <w:rPr>
                <w:rFonts w:ascii="Arial" w:cs="Arial" w:eastAsia="Arial" w:hAnsi="Arial"/>
                <w:sz w:val="18"/>
                <w:szCs w:val="18"/>
                <w:b w:val="1"/>
                <w:bCs w:val="1"/>
                <w:color w:val="105EAB"/>
              </w:rPr>
              <w:t>Governance</w:t>
            </w:r>
          </w:p>
        </w:tc>
        <w:tc>
          <w:tcPr>
            <w:tcW w:w="280" w:type="dxa"/>
            <w:vAlign w:val="bottom"/>
          </w:tcPr>
          <w:p>
            <w:pPr>
              <w:ind w:left="80"/>
              <w:spacing w:after="0"/>
              <w:rPr>
                <w:sz w:val="20"/>
                <w:szCs w:val="20"/>
                <w:color w:val="auto"/>
              </w:rPr>
            </w:pPr>
            <w:r>
              <w:rPr>
                <w:rFonts w:ascii="Arial" w:cs="Arial" w:eastAsia="Arial" w:hAnsi="Arial"/>
                <w:sz w:val="13"/>
                <w:szCs w:val="13"/>
                <w:color w:val="105EAB"/>
              </w:rPr>
              <w:t>►</w:t>
            </w:r>
          </w:p>
        </w:tc>
        <w:tc>
          <w:tcPr>
            <w:tcW w:w="9940" w:type="dxa"/>
            <w:vAlign w:val="bottom"/>
          </w:tcPr>
          <w:p>
            <w:pPr>
              <w:ind w:left="60"/>
              <w:spacing w:after="0"/>
              <w:rPr>
                <w:sz w:val="20"/>
                <w:szCs w:val="20"/>
                <w:color w:val="auto"/>
              </w:rPr>
            </w:pPr>
            <w:r>
              <w:rPr>
                <w:rFonts w:ascii="Arial" w:cs="Arial" w:eastAsia="Arial" w:hAnsi="Arial"/>
                <w:sz w:val="13"/>
                <w:szCs w:val="13"/>
                <w:color w:val="auto"/>
              </w:rPr>
              <w:t>Annual letter to stockholders from the independent directors on Board accomplishments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981710</wp:posOffset>
            </wp:positionH>
            <wp:positionV relativeFrom="paragraph">
              <wp:posOffset>-700405</wp:posOffset>
            </wp:positionV>
            <wp:extent cx="154305" cy="1543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54305" cy="154305"/>
                    </a:xfrm>
                    <a:prstGeom prst="rect">
                      <a:avLst/>
                    </a:prstGeom>
                    <a:noFill/>
                  </pic:spPr>
                </pic:pic>
              </a:graphicData>
            </a:graphic>
          </wp:anchor>
        </w:drawing>
      </w:r>
    </w:p>
    <w:p>
      <w:pPr>
        <w:spacing w:after="0" w:line="8" w:lineRule="exact"/>
        <w:rPr>
          <w:sz w:val="20"/>
          <w:szCs w:val="20"/>
          <w:color w:val="auto"/>
        </w:rPr>
      </w:pPr>
    </w:p>
    <w:p>
      <w:pPr>
        <w:ind w:left="1280"/>
        <w:spacing w:after="0"/>
        <w:tabs>
          <w:tab w:leader="none" w:pos="1520" w:val="left"/>
        </w:tabs>
        <w:rPr>
          <w:sz w:val="20"/>
          <w:szCs w:val="20"/>
          <w:color w:val="auto"/>
        </w:rPr>
      </w:pPr>
      <w:r>
        <w:rPr>
          <w:rFonts w:ascii="Arial" w:cs="Arial" w:eastAsia="Arial" w:hAnsi="Arial"/>
          <w:sz w:val="13"/>
          <w:szCs w:val="13"/>
          <w:color w:val="105EAB"/>
        </w:rPr>
        <w:t>►</w:t>
      </w:r>
      <w:r>
        <w:rPr>
          <w:rFonts w:ascii="Arial" w:cs="Arial" w:eastAsia="Arial" w:hAnsi="Arial"/>
          <w:sz w:val="13"/>
          <w:szCs w:val="13"/>
          <w:color w:val="auto"/>
        </w:rPr>
        <w:tab/>
        <w:t>Requests for stockholder engagement with holders of at least 1/3 of outstanding shares each year</w:t>
      </w:r>
    </w:p>
    <w:p>
      <w:pPr>
        <w:spacing w:after="0" w:line="66" w:lineRule="exact"/>
        <w:rPr>
          <w:sz w:val="20"/>
          <w:szCs w:val="20"/>
          <w:color w:val="auto"/>
        </w:rPr>
      </w:pPr>
    </w:p>
    <w:p>
      <w:pPr>
        <w:ind w:left="1540" w:right="280" w:hanging="259"/>
        <w:spacing w:after="0" w:line="258" w:lineRule="auto"/>
        <w:tabs>
          <w:tab w:leader="none" w:pos="1520" w:val="left"/>
        </w:tabs>
        <w:rPr>
          <w:sz w:val="20"/>
          <w:szCs w:val="20"/>
          <w:color w:val="auto"/>
        </w:rPr>
      </w:pPr>
      <w:r>
        <w:rPr>
          <w:rFonts w:ascii="Arial" w:cs="Arial" w:eastAsia="Arial" w:hAnsi="Arial"/>
          <w:sz w:val="13"/>
          <w:szCs w:val="13"/>
          <w:color w:val="105EAB"/>
        </w:rPr>
        <w:t>►</w:t>
      </w:r>
      <w:r>
        <w:rPr>
          <w:rFonts w:ascii="Arial" w:cs="Arial" w:eastAsia="Arial" w:hAnsi="Arial"/>
          <w:sz w:val="13"/>
          <w:szCs w:val="13"/>
          <w:color w:val="auto"/>
        </w:rPr>
        <w:tab/>
        <w:t>Robust Board and committee self-evaluation process, including at the end of each in-person meeting and annual reviews for the entire Board and each individual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19050</wp:posOffset>
            </wp:positionV>
            <wp:extent cx="316865" cy="1625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16865" cy="162560"/>
                    </a:xfrm>
                    <a:prstGeom prst="rect">
                      <a:avLst/>
                    </a:prstGeom>
                    <a:noFill/>
                  </pic:spPr>
                </pic:pic>
              </a:graphicData>
            </a:graphic>
          </wp:anchor>
        </w:drawing>
        <w:drawing>
          <wp:anchor simplePos="0" relativeHeight="251657728" behindDoc="1" locked="0" layoutInCell="0" allowOverlap="1">
            <wp:simplePos x="0" y="0"/>
            <wp:positionH relativeFrom="column">
              <wp:posOffset>981710</wp:posOffset>
            </wp:positionH>
            <wp:positionV relativeFrom="paragraph">
              <wp:posOffset>19050</wp:posOffset>
            </wp:positionV>
            <wp:extent cx="154305" cy="1543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54305" cy="154305"/>
                    </a:xfrm>
                    <a:prstGeom prst="rect">
                      <a:avLst/>
                    </a:prstGeom>
                    <a:noFill/>
                  </pic:spPr>
                </pic:pic>
              </a:graphicData>
            </a:graphic>
          </wp:anchor>
        </w:drawing>
      </w:r>
    </w:p>
    <w:p>
      <w:pPr>
        <w:spacing w:after="0" w:line="47" w:lineRule="exact"/>
        <w:rPr>
          <w:sz w:val="20"/>
          <w:szCs w:val="20"/>
          <w:color w:val="auto"/>
        </w:rPr>
      </w:pPr>
    </w:p>
    <w:p>
      <w:pPr>
        <w:ind w:left="1920"/>
        <w:spacing w:after="0"/>
        <w:rPr>
          <w:sz w:val="20"/>
          <w:szCs w:val="20"/>
          <w:color w:val="auto"/>
        </w:rPr>
      </w:pPr>
      <w:r>
        <w:rPr>
          <w:rFonts w:ascii="Arial" w:cs="Arial" w:eastAsia="Arial" w:hAnsi="Arial"/>
          <w:sz w:val="13"/>
          <w:szCs w:val="13"/>
          <w:color w:val="auto"/>
        </w:rPr>
        <w:t xml:space="preserve">See </w:t>
      </w:r>
      <w:r>
        <w:rPr>
          <w:rFonts w:ascii="Arial" w:cs="Arial" w:eastAsia="Arial" w:hAnsi="Arial"/>
          <w:sz w:val="13"/>
          <w:szCs w:val="13"/>
          <w:b w:val="1"/>
          <w:bCs w:val="1"/>
          <w:color w:val="39B6E9"/>
        </w:rPr>
        <w:t>page 17</w:t>
      </w:r>
      <w:r>
        <w:rPr>
          <w:rFonts w:ascii="Arial" w:cs="Arial" w:eastAsia="Arial" w:hAnsi="Arial"/>
          <w:sz w:val="13"/>
          <w:szCs w:val="13"/>
          <w:color w:val="auto"/>
        </w:rPr>
        <w:t xml:space="preserve"> for information about the independent outside consultant that was engaged to conduct the annual Board evaluation in 2018</w:t>
      </w:r>
    </w:p>
    <w:p>
      <w:pPr>
        <w:spacing w:after="0" w:line="136" w:lineRule="exact"/>
        <w:rPr>
          <w:sz w:val="20"/>
          <w:szCs w:val="20"/>
          <w:color w:val="auto"/>
        </w:rPr>
      </w:pPr>
    </w:p>
    <w:p>
      <w:pPr>
        <w:ind w:left="1540" w:right="160" w:hanging="259"/>
        <w:spacing w:after="0" w:line="258" w:lineRule="auto"/>
        <w:tabs>
          <w:tab w:leader="none" w:pos="1520" w:val="left"/>
        </w:tabs>
        <w:rPr>
          <w:sz w:val="20"/>
          <w:szCs w:val="20"/>
          <w:color w:val="auto"/>
        </w:rPr>
      </w:pPr>
      <w:r>
        <w:rPr>
          <w:rFonts w:ascii="Arial" w:cs="Arial" w:eastAsia="Arial" w:hAnsi="Arial"/>
          <w:sz w:val="13"/>
          <w:szCs w:val="13"/>
          <w:color w:val="105EAB"/>
        </w:rPr>
        <w:t>►</w:t>
      </w:r>
      <w:r>
        <w:rPr>
          <w:rFonts w:ascii="Arial" w:cs="Arial" w:eastAsia="Arial" w:hAnsi="Arial"/>
          <w:sz w:val="13"/>
          <w:szCs w:val="13"/>
          <w:color w:val="auto"/>
        </w:rPr>
        <w:tab/>
        <w:t>Comprehensive Sustainability Report with information on public policy (including political contributions), climate change, information security, environmental, social, and governance performance and management, and inclusive diversity</w:t>
      </w:r>
    </w:p>
    <w:p>
      <w:pPr>
        <w:spacing w:after="0" w:line="43" w:lineRule="exact"/>
        <w:rPr>
          <w:sz w:val="20"/>
          <w:szCs w:val="20"/>
          <w:color w:val="auto"/>
        </w:rPr>
      </w:pPr>
    </w:p>
    <w:p>
      <w:pPr>
        <w:ind w:left="1280"/>
        <w:spacing w:after="0"/>
        <w:tabs>
          <w:tab w:leader="none" w:pos="1520" w:val="left"/>
        </w:tabs>
        <w:rPr>
          <w:sz w:val="20"/>
          <w:szCs w:val="20"/>
          <w:color w:val="auto"/>
        </w:rPr>
      </w:pPr>
      <w:r>
        <w:rPr>
          <w:rFonts w:ascii="Arial" w:cs="Arial" w:eastAsia="Arial" w:hAnsi="Arial"/>
          <w:sz w:val="13"/>
          <w:szCs w:val="13"/>
          <w:color w:val="105EAB"/>
        </w:rPr>
        <w:t>►</w:t>
      </w:r>
      <w:r>
        <w:rPr>
          <w:rFonts w:ascii="Arial" w:cs="Arial" w:eastAsia="Arial" w:hAnsi="Arial"/>
          <w:sz w:val="13"/>
          <w:szCs w:val="13"/>
          <w:color w:val="auto"/>
        </w:rPr>
        <w:tab/>
        <w:t>Robust Global Code of Business Conduct and ethics training for all directors</w:t>
      </w:r>
    </w:p>
    <w:p>
      <w:pPr>
        <w:spacing w:after="0" w:line="80" w:lineRule="exact"/>
        <w:rPr>
          <w:sz w:val="20"/>
          <w:szCs w:val="20"/>
          <w:color w:val="auto"/>
        </w:rPr>
      </w:pPr>
    </w:p>
    <w:p>
      <w:pPr>
        <w:ind w:left="1280"/>
        <w:spacing w:after="0"/>
        <w:tabs>
          <w:tab w:leader="none" w:pos="1520" w:val="left"/>
        </w:tabs>
        <w:rPr>
          <w:sz w:val="20"/>
          <w:szCs w:val="20"/>
          <w:color w:val="auto"/>
        </w:rPr>
      </w:pPr>
      <w:r>
        <w:rPr>
          <w:rFonts w:ascii="Arial" w:cs="Arial" w:eastAsia="Arial" w:hAnsi="Arial"/>
          <w:sz w:val="13"/>
          <w:szCs w:val="13"/>
          <w:color w:val="105EAB"/>
        </w:rPr>
        <w:t>►</w:t>
      </w:r>
      <w:r>
        <w:rPr>
          <w:rFonts w:ascii="Arial" w:cs="Arial" w:eastAsia="Arial" w:hAnsi="Arial"/>
          <w:sz w:val="13"/>
          <w:szCs w:val="13"/>
          <w:color w:val="auto"/>
        </w:rPr>
        <w:tab/>
        <w:t>Effective director education program</w:t>
      </w:r>
    </w:p>
    <w:p>
      <w:pPr>
        <w:spacing w:after="0" w:line="66" w:lineRule="exact"/>
        <w:rPr>
          <w:sz w:val="20"/>
          <w:szCs w:val="20"/>
          <w:color w:val="auto"/>
        </w:rPr>
      </w:pPr>
    </w:p>
    <w:p>
      <w:pPr>
        <w:ind w:left="1280"/>
        <w:spacing w:after="0"/>
        <w:tabs>
          <w:tab w:leader="none" w:pos="1520" w:val="left"/>
        </w:tabs>
        <w:rPr>
          <w:sz w:val="20"/>
          <w:szCs w:val="20"/>
          <w:color w:val="auto"/>
        </w:rPr>
      </w:pPr>
      <w:r>
        <w:rPr>
          <w:rFonts w:ascii="Arial" w:cs="Arial" w:eastAsia="Arial" w:hAnsi="Arial"/>
          <w:sz w:val="13"/>
          <w:szCs w:val="13"/>
          <w:color w:val="105EAB"/>
        </w:rPr>
        <w:t>►</w:t>
      </w:r>
      <w:r>
        <w:rPr>
          <w:rFonts w:ascii="Arial" w:cs="Arial" w:eastAsia="Arial" w:hAnsi="Arial"/>
          <w:sz w:val="13"/>
          <w:szCs w:val="13"/>
          <w:color w:val="auto"/>
        </w:rPr>
        <w:tab/>
        <w:t>Strong equity ownership requirements for executives and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39B6E9"/>
        </w:rPr>
        <w:t>INVESTOR STEWARDSHIP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92519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925195"/>
                    </a:xfrm>
                    <a:prstGeom prst="rect">
                      <a:avLst/>
                    </a:prstGeom>
                    <a:noFill/>
                  </pic:spPr>
                </pic:pic>
              </a:graphicData>
            </a:graphic>
          </wp:anchor>
        </w:drawing>
      </w:r>
    </w:p>
    <w:p>
      <w:pPr>
        <w:spacing w:after="0" w:line="146" w:lineRule="exact"/>
        <w:rPr>
          <w:sz w:val="20"/>
          <w:szCs w:val="20"/>
          <w:color w:val="auto"/>
        </w:rPr>
      </w:pPr>
    </w:p>
    <w:p>
      <w:pPr>
        <w:ind w:right="280"/>
        <w:spacing w:after="0" w:line="236" w:lineRule="auto"/>
        <w:rPr>
          <w:sz w:val="20"/>
          <w:szCs w:val="20"/>
          <w:color w:val="auto"/>
        </w:rPr>
      </w:pPr>
      <w:r>
        <w:rPr>
          <w:rFonts w:ascii="Arial" w:cs="Arial" w:eastAsia="Arial" w:hAnsi="Arial"/>
          <w:sz w:val="18"/>
          <w:szCs w:val="18"/>
          <w:color w:val="105EAB"/>
        </w:rPr>
        <w:t>Allstate believes that strong and effective governance practices are critical to long-term value creation. To achieve that goal, Allstate follows the six corporate governance principles set out by the Investor Stewardship Group for U.S.-listed companies. These principles are: (1) boards are accountable to shareholders; (2) shareholders should be entitled to voting rights in proportion to their economic interest; (3) boards should be responsive to shareholders and be proactive in order to understand their perspectives; (4) boards should have a strong, independent leadership structure; (5) boards should adopt structures and practices that enhance their effectiveness; and (6) boards should develop management incentive structures that are aligned with the long-term strategy of the company.</w:t>
      </w:r>
    </w:p>
    <w:p>
      <w:pPr>
        <w:spacing w:after="0" w:line="326" w:lineRule="exact"/>
        <w:rPr>
          <w:sz w:val="20"/>
          <w:szCs w:val="20"/>
          <w:color w:val="auto"/>
        </w:rPr>
      </w:pPr>
    </w:p>
    <w:p>
      <w:pPr>
        <w:ind w:left="460" w:hanging="452"/>
        <w:spacing w:after="0"/>
        <w:tabs>
          <w:tab w:leader="none" w:pos="460" w:val="left"/>
        </w:tabs>
        <w:numPr>
          <w:ilvl w:val="0"/>
          <w:numId w:val="106"/>
        </w:numPr>
        <w:rPr>
          <w:rFonts w:ascii="Arial" w:cs="Arial" w:eastAsia="Arial" w:hAnsi="Arial"/>
          <w:sz w:val="13"/>
          <w:szCs w:val="13"/>
          <w:b w:val="1"/>
          <w:bCs w:val="1"/>
          <w:color w:val="105EAB"/>
        </w:rPr>
      </w:pPr>
      <w:r>
        <w:rPr>
          <w:rFonts w:ascii="Arial" w:cs="Arial" w:eastAsia="Arial" w:hAnsi="Arial"/>
          <w:sz w:val="13"/>
          <w:szCs w:val="13"/>
          <w:color w:val="105EAB"/>
        </w:rPr>
        <w:t>www.allstateproxy.com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134620</wp:posOffset>
            </wp:positionV>
            <wp:extent cx="7268210" cy="209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jc w:val="right"/>
        <w:ind w:right="20"/>
        <w:spacing w:after="0"/>
        <w:rPr>
          <w:sz w:val="20"/>
          <w:szCs w:val="20"/>
          <w:color w:val="auto"/>
        </w:rPr>
      </w:pPr>
      <w:r>
        <w:rPr>
          <w:rFonts w:ascii="Arial" w:cs="Arial" w:eastAsia="Arial" w:hAnsi="Arial"/>
          <w:sz w:val="13"/>
          <w:szCs w:val="13"/>
          <w:b w:val="1"/>
          <w:bCs w:val="1"/>
          <w:color w:val="auto"/>
        </w:rPr>
        <w:t xml:space="preserve">The Board’s Risk Oversight Responsibilities </w:t>
      </w:r>
      <w:r>
        <w:rPr>
          <w:rFonts w:ascii="Arial" w:cs="Arial" w:eastAsia="Arial" w:hAnsi="Arial"/>
          <w:sz w:val="13"/>
          <w:szCs w:val="13"/>
          <w:b w:val="1"/>
          <w:bCs w:val="1"/>
          <w:color w:val="105EAB"/>
        </w:rPr>
        <w:t>| Corporate Governance</w:t>
      </w:r>
    </w:p>
    <w:p>
      <w:pPr>
        <w:spacing w:after="0" w:line="200" w:lineRule="exact"/>
        <w:rPr>
          <w:sz w:val="20"/>
          <w:szCs w:val="20"/>
          <w:color w:val="auto"/>
        </w:rPr>
      </w:pPr>
    </w:p>
    <w:p>
      <w:pPr>
        <w:spacing w:after="0"/>
        <w:rPr>
          <w:sz w:val="20"/>
          <w:szCs w:val="20"/>
          <w:color w:val="auto"/>
        </w:rPr>
      </w:pPr>
      <w:r>
        <w:rPr>
          <w:rFonts w:ascii="Arial" w:cs="Arial" w:eastAsia="Arial" w:hAnsi="Arial"/>
          <w:sz w:val="31"/>
          <w:szCs w:val="31"/>
          <w:b w:val="1"/>
          <w:bCs w:val="1"/>
          <w:color w:val="959595"/>
        </w:rPr>
        <w:t>The Board’s Risk Oversight Responsibilities</w:t>
      </w:r>
    </w:p>
    <w:p>
      <w:pPr>
        <w:spacing w:after="0" w:line="258"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The Board oversees Enterprise Risk and Return Management (“ERRM”), including management’s design and implementation of ERRM practices. The chief risk officer’s assessment of Allstate’s overall risk position and alignment with risk and return principles is reviewed at least twice a year. Significant risks, including those affected by climate change, financial markets, and cybersecurity threats, are regularly identified, measured, managed, and reported. Risk and return perspectives are shared with the Board across five risk types: insurance, investment, financial, operational, and strategic. The key risk areas overseen by each Board committee are included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246620" cy="3943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394335"/>
                    </a:xfrm>
                    <a:prstGeom prst="rect">
                      <a:avLst/>
                    </a:prstGeom>
                    <a:noFill/>
                  </pic:spPr>
                </pic:pic>
              </a:graphicData>
            </a:graphic>
          </wp:anchor>
        </w:drawing>
      </w:r>
    </w:p>
    <w:p>
      <w:pPr>
        <w:spacing w:after="0" w:line="24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FFFFFF"/>
        </w:rPr>
        <w:t>Board Of Directors</w:t>
      </w:r>
    </w:p>
    <w:p>
      <w:pPr>
        <w:spacing w:after="0" w:line="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FFFFFF"/>
        </w:rPr>
        <w:t>Formal Review at Least Twice a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208915</wp:posOffset>
            </wp:positionV>
            <wp:extent cx="6904355" cy="34264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904355" cy="342646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p>
      <w:pPr>
        <w:spacing w:after="0" w:line="200" w:lineRule="exact"/>
        <w:rPr>
          <w:sz w:val="20"/>
          <w:szCs w:val="20"/>
          <w:color w:val="auto"/>
        </w:rPr>
      </w:pPr>
    </w:p>
    <w:p>
      <w:pPr>
        <w:spacing w:after="0" w:line="259"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105EAB"/>
        </w:rPr>
        <w:t>Risk and Return Committee</w:t>
      </w:r>
    </w:p>
    <w:p>
      <w:pPr>
        <w:spacing w:after="0" w:line="58" w:lineRule="exact"/>
        <w:rPr>
          <w:sz w:val="20"/>
          <w:szCs w:val="20"/>
          <w:color w:val="auto"/>
        </w:rPr>
      </w:pPr>
    </w:p>
    <w:p>
      <w:pPr>
        <w:ind w:left="140"/>
        <w:spacing w:after="0"/>
        <w:rPr>
          <w:sz w:val="20"/>
          <w:szCs w:val="20"/>
          <w:color w:val="auto"/>
        </w:rPr>
      </w:pPr>
      <w:r>
        <w:rPr>
          <w:rFonts w:ascii="Arial" w:cs="Arial" w:eastAsia="Arial" w:hAnsi="Arial"/>
          <w:sz w:val="18"/>
          <w:szCs w:val="18"/>
          <w:color w:val="105EAB"/>
        </w:rPr>
        <w:t>Reviews Risk At Least Five Times Annually</w:t>
      </w:r>
    </w:p>
    <w:p>
      <w:pPr>
        <w:spacing w:after="0" w:line="130" w:lineRule="exact"/>
        <w:rPr>
          <w:sz w:val="20"/>
          <w:szCs w:val="20"/>
          <w:color w:val="auto"/>
        </w:rPr>
      </w:pPr>
    </w:p>
    <w:p>
      <w:pPr>
        <w:ind w:left="460" w:right="280" w:hanging="326"/>
        <w:spacing w:after="0" w:line="254" w:lineRule="auto"/>
        <w:tabs>
          <w:tab w:leader="none" w:pos="440" w:val="left"/>
        </w:tabs>
        <w:numPr>
          <w:ilvl w:val="0"/>
          <w:numId w:val="107"/>
        </w:numPr>
        <w:rPr>
          <w:rFonts w:ascii="Arial" w:cs="Arial" w:eastAsia="Arial" w:hAnsi="Arial"/>
          <w:sz w:val="17"/>
          <w:szCs w:val="17"/>
          <w:color w:val="105EAB"/>
        </w:rPr>
      </w:pPr>
      <w:r>
        <w:rPr>
          <w:rFonts w:ascii="Arial" w:cs="Arial" w:eastAsia="Arial" w:hAnsi="Arial"/>
          <w:sz w:val="18"/>
          <w:szCs w:val="18"/>
          <w:color w:val="auto"/>
        </w:rPr>
        <w:t>Oversees the effectiveness of Allstate’s ERRM framework, governance structure and decision making</w:t>
      </w:r>
    </w:p>
    <w:p>
      <w:pPr>
        <w:spacing w:after="0" w:line="87" w:lineRule="exact"/>
        <w:rPr>
          <w:rFonts w:ascii="Arial" w:cs="Arial" w:eastAsia="Arial" w:hAnsi="Arial"/>
          <w:sz w:val="17"/>
          <w:szCs w:val="17"/>
          <w:color w:val="105EAB"/>
        </w:rPr>
      </w:pPr>
    </w:p>
    <w:p>
      <w:pPr>
        <w:ind w:left="780" w:right="480" w:hanging="323"/>
        <w:spacing w:after="0" w:line="290" w:lineRule="auto"/>
        <w:tabs>
          <w:tab w:leader="none" w:pos="760" w:val="left"/>
        </w:tabs>
        <w:numPr>
          <w:ilvl w:val="1"/>
          <w:numId w:val="107"/>
        </w:numPr>
        <w:rPr>
          <w:rFonts w:ascii="Arial" w:cs="Arial" w:eastAsia="Arial" w:hAnsi="Arial"/>
          <w:sz w:val="16"/>
          <w:szCs w:val="16"/>
          <w:color w:val="105EAB"/>
        </w:rPr>
      </w:pPr>
      <w:r>
        <w:rPr>
          <w:rFonts w:ascii="Arial" w:cs="Arial" w:eastAsia="Arial" w:hAnsi="Arial"/>
          <w:sz w:val="16"/>
          <w:szCs w:val="16"/>
          <w:color w:val="auto"/>
        </w:rPr>
        <w:t>Reported through a quarterly risk dashboard that identifies key risks, measurement of the current risk profile, and alignment with risk and return principles</w:t>
      </w:r>
    </w:p>
    <w:p>
      <w:pPr>
        <w:spacing w:after="0" w:line="61" w:lineRule="exact"/>
        <w:rPr>
          <w:rFonts w:ascii="Arial" w:cs="Arial" w:eastAsia="Arial" w:hAnsi="Arial"/>
          <w:sz w:val="16"/>
          <w:szCs w:val="16"/>
          <w:color w:val="105EAB"/>
        </w:rPr>
      </w:pPr>
    </w:p>
    <w:p>
      <w:pPr>
        <w:ind w:left="780" w:right="80" w:hanging="323"/>
        <w:spacing w:after="0" w:line="254" w:lineRule="auto"/>
        <w:tabs>
          <w:tab w:leader="none" w:pos="760" w:val="left"/>
        </w:tabs>
        <w:numPr>
          <w:ilvl w:val="1"/>
          <w:numId w:val="107"/>
        </w:numPr>
        <w:rPr>
          <w:rFonts w:ascii="Arial" w:cs="Arial" w:eastAsia="Arial" w:hAnsi="Arial"/>
          <w:sz w:val="17"/>
          <w:szCs w:val="17"/>
          <w:color w:val="105EAB"/>
        </w:rPr>
      </w:pPr>
      <w:r>
        <w:rPr>
          <w:rFonts w:ascii="Arial" w:cs="Arial" w:eastAsia="Arial" w:hAnsi="Arial"/>
          <w:sz w:val="18"/>
          <w:szCs w:val="18"/>
          <w:color w:val="auto"/>
        </w:rPr>
        <w:t>Includes a review of the chief risk officer’s assessment of strategic and operating plans</w:t>
      </w:r>
    </w:p>
    <w:p>
      <w:pPr>
        <w:spacing w:after="0" w:line="87" w:lineRule="exact"/>
        <w:rPr>
          <w:rFonts w:ascii="Arial" w:cs="Arial" w:eastAsia="Arial" w:hAnsi="Arial"/>
          <w:sz w:val="17"/>
          <w:szCs w:val="17"/>
          <w:color w:val="105EAB"/>
        </w:rPr>
      </w:pPr>
    </w:p>
    <w:p>
      <w:pPr>
        <w:ind w:left="780" w:right="220" w:hanging="323"/>
        <w:spacing w:after="0" w:line="254" w:lineRule="auto"/>
        <w:tabs>
          <w:tab w:leader="none" w:pos="760" w:val="left"/>
        </w:tabs>
        <w:numPr>
          <w:ilvl w:val="1"/>
          <w:numId w:val="107"/>
        </w:numPr>
        <w:rPr>
          <w:rFonts w:ascii="Arial" w:cs="Arial" w:eastAsia="Arial" w:hAnsi="Arial"/>
          <w:sz w:val="17"/>
          <w:szCs w:val="17"/>
          <w:color w:val="105EAB"/>
        </w:rPr>
      </w:pPr>
      <w:r>
        <w:rPr>
          <w:rFonts w:ascii="Arial" w:cs="Arial" w:eastAsia="Arial" w:hAnsi="Arial"/>
          <w:sz w:val="18"/>
          <w:szCs w:val="18"/>
          <w:color w:val="auto"/>
        </w:rPr>
        <w:t>Reviews extremely low frequency scenarios (“ELFs”) at least annually</w:t>
      </w:r>
    </w:p>
    <w:p>
      <w:pPr>
        <w:spacing w:after="0" w:line="87" w:lineRule="exact"/>
        <w:rPr>
          <w:rFonts w:ascii="Arial" w:cs="Arial" w:eastAsia="Arial" w:hAnsi="Arial"/>
          <w:sz w:val="17"/>
          <w:szCs w:val="17"/>
          <w:color w:val="105EAB"/>
        </w:rPr>
      </w:pPr>
    </w:p>
    <w:p>
      <w:pPr>
        <w:ind w:left="460" w:right="420" w:hanging="326"/>
        <w:spacing w:after="0" w:line="254" w:lineRule="auto"/>
        <w:tabs>
          <w:tab w:leader="none" w:pos="440" w:val="left"/>
        </w:tabs>
        <w:numPr>
          <w:ilvl w:val="0"/>
          <w:numId w:val="107"/>
        </w:numPr>
        <w:rPr>
          <w:rFonts w:ascii="Arial" w:cs="Arial" w:eastAsia="Arial" w:hAnsi="Arial"/>
          <w:sz w:val="17"/>
          <w:szCs w:val="17"/>
          <w:color w:val="105EAB"/>
        </w:rPr>
      </w:pPr>
      <w:r>
        <w:rPr>
          <w:rFonts w:ascii="Arial" w:cs="Arial" w:eastAsia="Arial" w:hAnsi="Arial"/>
          <w:sz w:val="18"/>
          <w:szCs w:val="18"/>
          <w:color w:val="auto"/>
        </w:rPr>
        <w:t>Reviews regulatory Own Risk and Solvency Assessment (“ORSA”) report</w:t>
      </w:r>
    </w:p>
    <w:p>
      <w:pPr>
        <w:spacing w:after="0" w:line="87" w:lineRule="exact"/>
        <w:rPr>
          <w:rFonts w:ascii="Arial" w:cs="Arial" w:eastAsia="Arial" w:hAnsi="Arial"/>
          <w:sz w:val="17"/>
          <w:szCs w:val="17"/>
          <w:color w:val="105EAB"/>
        </w:rPr>
      </w:pPr>
    </w:p>
    <w:p>
      <w:pPr>
        <w:ind w:left="460" w:right="280" w:hanging="326"/>
        <w:spacing w:after="0" w:line="316" w:lineRule="auto"/>
        <w:tabs>
          <w:tab w:leader="none" w:pos="440" w:val="left"/>
        </w:tabs>
        <w:numPr>
          <w:ilvl w:val="0"/>
          <w:numId w:val="107"/>
        </w:numPr>
        <w:rPr>
          <w:rFonts w:ascii="Arial" w:cs="Arial" w:eastAsia="Arial" w:hAnsi="Arial"/>
          <w:sz w:val="16"/>
          <w:szCs w:val="16"/>
          <w:color w:val="105EAB"/>
        </w:rPr>
      </w:pPr>
      <w:r>
        <w:rPr>
          <w:rFonts w:ascii="Arial" w:cs="Arial" w:eastAsia="Arial" w:hAnsi="Arial"/>
          <w:sz w:val="16"/>
          <w:szCs w:val="16"/>
          <w:color w:val="auto"/>
        </w:rPr>
        <w:t>Reviews Risk Factors included in our Form 10-K, including risks related to climate change and severe weather</w:t>
      </w:r>
    </w:p>
    <w:p>
      <w:pPr>
        <w:spacing w:after="0" w:line="41" w:lineRule="exact"/>
        <w:rPr>
          <w:rFonts w:ascii="Arial" w:cs="Arial" w:eastAsia="Arial" w:hAnsi="Arial"/>
          <w:sz w:val="16"/>
          <w:szCs w:val="16"/>
          <w:color w:val="105EAB"/>
        </w:rPr>
      </w:pPr>
    </w:p>
    <w:p>
      <w:pPr>
        <w:ind w:left="460" w:right="460" w:hanging="326"/>
        <w:spacing w:after="0" w:line="316" w:lineRule="auto"/>
        <w:tabs>
          <w:tab w:leader="none" w:pos="440" w:val="left"/>
        </w:tabs>
        <w:numPr>
          <w:ilvl w:val="0"/>
          <w:numId w:val="107"/>
        </w:numPr>
        <w:rPr>
          <w:rFonts w:ascii="Arial" w:cs="Arial" w:eastAsia="Arial" w:hAnsi="Arial"/>
          <w:sz w:val="16"/>
          <w:szCs w:val="16"/>
          <w:color w:val="105EAB"/>
        </w:rPr>
      </w:pPr>
      <w:r>
        <w:rPr>
          <w:rFonts w:ascii="Arial" w:cs="Arial" w:eastAsia="Arial" w:hAnsi="Arial"/>
          <w:sz w:val="16"/>
          <w:szCs w:val="16"/>
          <w:color w:val="auto"/>
        </w:rPr>
        <w:t>The audit committee chair is a risk and return committee member to enhance cross-committee communication</w:t>
      </w:r>
    </w:p>
    <w:p>
      <w:pPr>
        <w:spacing w:after="0" w:line="41" w:lineRule="exact"/>
        <w:rPr>
          <w:rFonts w:ascii="Arial" w:cs="Arial" w:eastAsia="Arial" w:hAnsi="Arial"/>
          <w:sz w:val="16"/>
          <w:szCs w:val="16"/>
          <w:color w:val="105EAB"/>
        </w:rPr>
      </w:pPr>
    </w:p>
    <w:p>
      <w:pPr>
        <w:ind w:left="460" w:right="380" w:hanging="326"/>
        <w:spacing w:after="0" w:line="254" w:lineRule="auto"/>
        <w:tabs>
          <w:tab w:leader="none" w:pos="440" w:val="left"/>
        </w:tabs>
        <w:numPr>
          <w:ilvl w:val="0"/>
          <w:numId w:val="107"/>
        </w:numPr>
        <w:rPr>
          <w:rFonts w:ascii="Arial" w:cs="Arial" w:eastAsia="Arial" w:hAnsi="Arial"/>
          <w:sz w:val="17"/>
          <w:szCs w:val="17"/>
          <w:color w:val="105EAB"/>
        </w:rPr>
      </w:pPr>
      <w:r>
        <w:rPr>
          <w:rFonts w:ascii="Arial" w:cs="Arial" w:eastAsia="Arial" w:hAnsi="Arial"/>
          <w:sz w:val="18"/>
          <w:szCs w:val="18"/>
          <w:color w:val="auto"/>
        </w:rPr>
        <w:t>The chief risk officer attends all meetings and has regular executive sessions with the committee</w:t>
      </w:r>
    </w:p>
    <w:p>
      <w:pPr>
        <w:spacing w:after="0" w:line="87" w:lineRule="exact"/>
        <w:rPr>
          <w:rFonts w:ascii="Arial" w:cs="Arial" w:eastAsia="Arial" w:hAnsi="Arial"/>
          <w:sz w:val="17"/>
          <w:szCs w:val="17"/>
          <w:color w:val="105EAB"/>
        </w:rPr>
      </w:pPr>
    </w:p>
    <w:p>
      <w:pPr>
        <w:ind w:left="440" w:hanging="297"/>
        <w:spacing w:after="0"/>
        <w:tabs>
          <w:tab w:leader="none" w:pos="440" w:val="left"/>
        </w:tabs>
        <w:numPr>
          <w:ilvl w:val="0"/>
          <w:numId w:val="107"/>
        </w:numPr>
        <w:rPr>
          <w:rFonts w:ascii="Arial" w:cs="Arial" w:eastAsia="Arial" w:hAnsi="Arial"/>
          <w:sz w:val="17"/>
          <w:szCs w:val="17"/>
          <w:color w:val="105EAB"/>
        </w:rPr>
      </w:pPr>
      <w:r>
        <w:rPr>
          <w:rFonts w:ascii="Arial" w:cs="Arial" w:eastAsia="Arial" w:hAnsi="Arial"/>
          <w:sz w:val="18"/>
          <w:szCs w:val="18"/>
          <w:color w:val="auto"/>
        </w:rPr>
        <w:t>The chief audit executive attends all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3417570" cy="155067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417570" cy="1550670"/>
                    </a:xfrm>
                    <a:prstGeom prst="rect">
                      <a:avLst/>
                    </a:prstGeom>
                    <a:noFill/>
                  </pic:spPr>
                </pic:pic>
              </a:graphicData>
            </a:graphic>
          </wp:anchor>
        </w:drawing>
      </w:r>
    </w:p>
    <w:p>
      <w:pPr>
        <w:spacing w:after="0" w:line="264" w:lineRule="exact"/>
        <w:rPr>
          <w:sz w:val="20"/>
          <w:szCs w:val="20"/>
          <w:color w:val="auto"/>
        </w:rPr>
      </w:pPr>
    </w:p>
    <w:p>
      <w:pPr>
        <w:ind w:left="140" w:right="1560"/>
        <w:spacing w:after="0" w:line="380" w:lineRule="auto"/>
        <w:rPr>
          <w:sz w:val="20"/>
          <w:szCs w:val="20"/>
          <w:color w:val="auto"/>
        </w:rPr>
      </w:pPr>
      <w:r>
        <w:rPr>
          <w:rFonts w:ascii="Arial" w:cs="Arial" w:eastAsia="Arial" w:hAnsi="Arial"/>
          <w:sz w:val="16"/>
          <w:szCs w:val="16"/>
          <w:b w:val="1"/>
          <w:bCs w:val="1"/>
          <w:color w:val="105EAB"/>
        </w:rPr>
        <w:t xml:space="preserve">Compensation and Succession Committee </w:t>
      </w:r>
      <w:r>
        <w:rPr>
          <w:rFonts w:ascii="Arial" w:cs="Arial" w:eastAsia="Arial" w:hAnsi="Arial"/>
          <w:sz w:val="16"/>
          <w:szCs w:val="16"/>
          <w:color w:val="105EAB"/>
        </w:rPr>
        <w:t>Reviews Risk At Least Once Annually</w:t>
      </w:r>
    </w:p>
    <w:p>
      <w:pPr>
        <w:spacing w:after="0" w:line="19" w:lineRule="exact"/>
        <w:rPr>
          <w:sz w:val="20"/>
          <w:szCs w:val="20"/>
          <w:color w:val="auto"/>
        </w:rPr>
      </w:pPr>
    </w:p>
    <w:p>
      <w:pPr>
        <w:ind w:left="460" w:hanging="326"/>
        <w:spacing w:after="0" w:line="316" w:lineRule="auto"/>
        <w:tabs>
          <w:tab w:leader="none" w:pos="440" w:val="left"/>
        </w:tabs>
        <w:numPr>
          <w:ilvl w:val="0"/>
          <w:numId w:val="108"/>
        </w:numPr>
        <w:rPr>
          <w:rFonts w:ascii="Arial" w:cs="Arial" w:eastAsia="Arial" w:hAnsi="Arial"/>
          <w:sz w:val="16"/>
          <w:szCs w:val="16"/>
          <w:color w:val="105EAB"/>
        </w:rPr>
      </w:pPr>
      <w:r>
        <w:rPr>
          <w:rFonts w:ascii="Arial" w:cs="Arial" w:eastAsia="Arial" w:hAnsi="Arial"/>
          <w:sz w:val="16"/>
          <w:szCs w:val="16"/>
          <w:color w:val="auto"/>
        </w:rPr>
        <w:t>Oversees executive compensation programs (including the design, performance measures and ranges in incentive plans)</w:t>
      </w:r>
    </w:p>
    <w:p>
      <w:pPr>
        <w:spacing w:after="0" w:line="41" w:lineRule="exact"/>
        <w:rPr>
          <w:rFonts w:ascii="Arial" w:cs="Arial" w:eastAsia="Arial" w:hAnsi="Arial"/>
          <w:sz w:val="16"/>
          <w:szCs w:val="16"/>
          <w:color w:val="105EAB"/>
        </w:rPr>
      </w:pPr>
    </w:p>
    <w:p>
      <w:pPr>
        <w:ind w:left="780" w:right="80" w:hanging="323"/>
        <w:spacing w:after="0" w:line="254" w:lineRule="auto"/>
        <w:tabs>
          <w:tab w:leader="none" w:pos="760" w:val="left"/>
        </w:tabs>
        <w:numPr>
          <w:ilvl w:val="1"/>
          <w:numId w:val="108"/>
        </w:numPr>
        <w:rPr>
          <w:rFonts w:ascii="Arial" w:cs="Arial" w:eastAsia="Arial" w:hAnsi="Arial"/>
          <w:sz w:val="17"/>
          <w:szCs w:val="17"/>
          <w:color w:val="105EAB"/>
        </w:rPr>
      </w:pPr>
      <w:r>
        <w:rPr>
          <w:rFonts w:ascii="Arial" w:cs="Arial" w:eastAsia="Arial" w:hAnsi="Arial"/>
          <w:sz w:val="18"/>
          <w:szCs w:val="18"/>
          <w:color w:val="auto"/>
        </w:rPr>
        <w:t>Includes a review of the chief risk officer’s assessment of incentive compensation programs</w:t>
      </w:r>
    </w:p>
    <w:p>
      <w:pPr>
        <w:spacing w:after="0" w:line="87" w:lineRule="exact"/>
        <w:rPr>
          <w:rFonts w:ascii="Arial" w:cs="Arial" w:eastAsia="Arial" w:hAnsi="Arial"/>
          <w:sz w:val="17"/>
          <w:szCs w:val="17"/>
          <w:color w:val="105EAB"/>
        </w:rPr>
      </w:pPr>
    </w:p>
    <w:p>
      <w:pPr>
        <w:ind w:left="460" w:right="220" w:hanging="326"/>
        <w:spacing w:after="0" w:line="244" w:lineRule="auto"/>
        <w:tabs>
          <w:tab w:leader="none" w:pos="440" w:val="left"/>
        </w:tabs>
        <w:numPr>
          <w:ilvl w:val="0"/>
          <w:numId w:val="108"/>
        </w:numPr>
        <w:rPr>
          <w:rFonts w:ascii="Arial" w:cs="Arial" w:eastAsia="Arial" w:hAnsi="Arial"/>
          <w:sz w:val="17"/>
          <w:szCs w:val="17"/>
          <w:color w:val="105EAB"/>
        </w:rPr>
      </w:pPr>
      <w:r>
        <w:rPr>
          <w:rFonts w:ascii="Arial" w:cs="Arial" w:eastAsia="Arial" w:hAnsi="Arial"/>
          <w:sz w:val="18"/>
          <w:szCs w:val="18"/>
          <w:color w:val="auto"/>
        </w:rPr>
        <w:t>Oversees talent development and senior executive succession planning to ensure they appropriately align with Allstate’s risk and return principles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105EAB"/>
        </w:rPr>
        <w:t>Audit Committee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105EAB"/>
        </w:rPr>
        <w:t>Reviews Risk At Least Four Times Annually</w:t>
      </w:r>
    </w:p>
    <w:p>
      <w:pPr>
        <w:spacing w:after="0" w:line="130" w:lineRule="exact"/>
        <w:rPr>
          <w:sz w:val="20"/>
          <w:szCs w:val="20"/>
          <w:color w:val="auto"/>
        </w:rPr>
      </w:pPr>
    </w:p>
    <w:p>
      <w:pPr>
        <w:ind w:left="320" w:right="880" w:hanging="316"/>
        <w:spacing w:after="0" w:line="254" w:lineRule="auto"/>
        <w:tabs>
          <w:tab w:leader="none" w:pos="300" w:val="left"/>
        </w:tabs>
        <w:numPr>
          <w:ilvl w:val="0"/>
          <w:numId w:val="109"/>
        </w:numPr>
        <w:rPr>
          <w:rFonts w:ascii="Arial" w:cs="Arial" w:eastAsia="Arial" w:hAnsi="Arial"/>
          <w:sz w:val="17"/>
          <w:szCs w:val="17"/>
          <w:color w:val="105EAB"/>
        </w:rPr>
      </w:pPr>
      <w:r>
        <w:rPr>
          <w:rFonts w:ascii="Arial" w:cs="Arial" w:eastAsia="Arial" w:hAnsi="Arial"/>
          <w:sz w:val="18"/>
          <w:szCs w:val="18"/>
          <w:color w:val="auto"/>
        </w:rPr>
        <w:t>Oversees Allstate’s internal controls related to key risks and the major financial risk exposures</w:t>
      </w:r>
    </w:p>
    <w:p>
      <w:pPr>
        <w:spacing w:after="0" w:line="87" w:lineRule="exact"/>
        <w:rPr>
          <w:rFonts w:ascii="Arial" w:cs="Arial" w:eastAsia="Arial" w:hAnsi="Arial"/>
          <w:sz w:val="17"/>
          <w:szCs w:val="17"/>
          <w:color w:val="105EAB"/>
        </w:rPr>
      </w:pPr>
    </w:p>
    <w:p>
      <w:pPr>
        <w:ind w:left="640" w:hanging="312"/>
        <w:spacing w:after="0"/>
        <w:tabs>
          <w:tab w:leader="none" w:pos="640" w:val="left"/>
        </w:tabs>
        <w:numPr>
          <w:ilvl w:val="1"/>
          <w:numId w:val="109"/>
        </w:numPr>
        <w:rPr>
          <w:rFonts w:ascii="Arial" w:cs="Arial" w:eastAsia="Arial" w:hAnsi="Arial"/>
          <w:sz w:val="17"/>
          <w:szCs w:val="17"/>
          <w:color w:val="105EAB"/>
        </w:rPr>
      </w:pPr>
      <w:r>
        <w:rPr>
          <w:rFonts w:ascii="Arial" w:cs="Arial" w:eastAsia="Arial" w:hAnsi="Arial"/>
          <w:sz w:val="18"/>
          <w:szCs w:val="18"/>
          <w:color w:val="auto"/>
        </w:rPr>
        <w:t>Reported through a semi-annual risk control dashboard</w:t>
      </w:r>
    </w:p>
    <w:p>
      <w:pPr>
        <w:spacing w:after="0" w:line="116" w:lineRule="exact"/>
        <w:rPr>
          <w:rFonts w:ascii="Arial" w:cs="Arial" w:eastAsia="Arial" w:hAnsi="Arial"/>
          <w:sz w:val="17"/>
          <w:szCs w:val="17"/>
          <w:color w:val="105EAB"/>
        </w:rPr>
      </w:pPr>
    </w:p>
    <w:p>
      <w:pPr>
        <w:ind w:left="320" w:right="1400" w:hanging="316"/>
        <w:spacing w:after="0" w:line="244" w:lineRule="auto"/>
        <w:tabs>
          <w:tab w:leader="none" w:pos="300" w:val="left"/>
        </w:tabs>
        <w:numPr>
          <w:ilvl w:val="0"/>
          <w:numId w:val="109"/>
        </w:numPr>
        <w:rPr>
          <w:rFonts w:ascii="Arial" w:cs="Arial" w:eastAsia="Arial" w:hAnsi="Arial"/>
          <w:sz w:val="17"/>
          <w:szCs w:val="17"/>
          <w:color w:val="105EAB"/>
        </w:rPr>
      </w:pPr>
      <w:r>
        <w:rPr>
          <w:rFonts w:ascii="Arial" w:cs="Arial" w:eastAsia="Arial" w:hAnsi="Arial"/>
          <w:sz w:val="18"/>
          <w:szCs w:val="18"/>
          <w:color w:val="auto"/>
        </w:rPr>
        <w:t>Conducts quarterly reviews to oversee the efficacy of cybersecurity risk initiatives and related policies and procedures</w:t>
      </w:r>
    </w:p>
    <w:p>
      <w:pPr>
        <w:spacing w:after="0" w:line="97" w:lineRule="exact"/>
        <w:rPr>
          <w:rFonts w:ascii="Arial" w:cs="Arial" w:eastAsia="Arial" w:hAnsi="Arial"/>
          <w:sz w:val="17"/>
          <w:szCs w:val="17"/>
          <w:color w:val="105EAB"/>
        </w:rPr>
      </w:pPr>
    </w:p>
    <w:p>
      <w:pPr>
        <w:ind w:left="660" w:right="860" w:hanging="332"/>
        <w:spacing w:after="0" w:line="254" w:lineRule="auto"/>
        <w:tabs>
          <w:tab w:leader="none" w:pos="640" w:val="left"/>
        </w:tabs>
        <w:numPr>
          <w:ilvl w:val="1"/>
          <w:numId w:val="109"/>
        </w:numPr>
        <w:rPr>
          <w:rFonts w:ascii="Arial" w:cs="Arial" w:eastAsia="Arial" w:hAnsi="Arial"/>
          <w:sz w:val="17"/>
          <w:szCs w:val="17"/>
          <w:color w:val="105EAB"/>
        </w:rPr>
      </w:pPr>
      <w:r>
        <w:rPr>
          <w:rFonts w:ascii="Arial" w:cs="Arial" w:eastAsia="Arial" w:hAnsi="Arial"/>
          <w:sz w:val="18"/>
          <w:szCs w:val="18"/>
          <w:color w:val="auto"/>
        </w:rPr>
        <w:t>Receives regular reports from the chief risk officer, chief information security officer, and outside experts</w:t>
      </w:r>
    </w:p>
    <w:p>
      <w:pPr>
        <w:spacing w:after="0" w:line="87" w:lineRule="exact"/>
        <w:rPr>
          <w:rFonts w:ascii="Arial" w:cs="Arial" w:eastAsia="Arial" w:hAnsi="Arial"/>
          <w:sz w:val="17"/>
          <w:szCs w:val="17"/>
          <w:color w:val="105EAB"/>
        </w:rPr>
      </w:pPr>
    </w:p>
    <w:p>
      <w:pPr>
        <w:ind w:left="640" w:hanging="312"/>
        <w:spacing w:after="0"/>
        <w:tabs>
          <w:tab w:leader="none" w:pos="640" w:val="left"/>
        </w:tabs>
        <w:numPr>
          <w:ilvl w:val="1"/>
          <w:numId w:val="109"/>
        </w:numPr>
        <w:rPr>
          <w:rFonts w:ascii="Arial" w:cs="Arial" w:eastAsia="Arial" w:hAnsi="Arial"/>
          <w:sz w:val="16"/>
          <w:szCs w:val="16"/>
          <w:color w:val="105EAB"/>
        </w:rPr>
      </w:pPr>
      <w:r>
        <w:rPr>
          <w:rFonts w:ascii="Arial" w:cs="Arial" w:eastAsia="Arial" w:hAnsi="Arial"/>
          <w:sz w:val="16"/>
          <w:szCs w:val="16"/>
          <w:color w:val="auto"/>
        </w:rPr>
        <w:t>Engages an external, independent cybersecurity advisor</w:t>
      </w:r>
    </w:p>
    <w:p>
      <w:pPr>
        <w:spacing w:after="0" w:line="139" w:lineRule="exact"/>
        <w:rPr>
          <w:rFonts w:ascii="Arial" w:cs="Arial" w:eastAsia="Arial" w:hAnsi="Arial"/>
          <w:sz w:val="16"/>
          <w:szCs w:val="16"/>
          <w:color w:val="105EAB"/>
        </w:rPr>
      </w:pPr>
    </w:p>
    <w:p>
      <w:pPr>
        <w:ind w:left="300" w:hanging="296"/>
        <w:spacing w:after="0"/>
        <w:tabs>
          <w:tab w:leader="none" w:pos="300" w:val="left"/>
        </w:tabs>
        <w:numPr>
          <w:ilvl w:val="0"/>
          <w:numId w:val="109"/>
        </w:numPr>
        <w:rPr>
          <w:rFonts w:ascii="Arial" w:cs="Arial" w:eastAsia="Arial" w:hAnsi="Arial"/>
          <w:sz w:val="17"/>
          <w:szCs w:val="17"/>
          <w:color w:val="105EAB"/>
        </w:rPr>
      </w:pPr>
      <w:r>
        <w:rPr>
          <w:rFonts w:ascii="Arial" w:cs="Arial" w:eastAsia="Arial" w:hAnsi="Arial"/>
          <w:sz w:val="18"/>
          <w:szCs w:val="18"/>
          <w:color w:val="auto"/>
        </w:rPr>
        <w:t>Reviews Risk Factors included in our Form 10-K</w:t>
      </w:r>
    </w:p>
    <w:p>
      <w:pPr>
        <w:spacing w:after="0" w:line="116" w:lineRule="exact"/>
        <w:rPr>
          <w:rFonts w:ascii="Arial" w:cs="Arial" w:eastAsia="Arial" w:hAnsi="Arial"/>
          <w:sz w:val="17"/>
          <w:szCs w:val="17"/>
          <w:color w:val="105EAB"/>
        </w:rPr>
      </w:pPr>
    </w:p>
    <w:p>
      <w:pPr>
        <w:ind w:left="320" w:right="1040" w:hanging="316"/>
        <w:spacing w:after="0" w:line="316" w:lineRule="auto"/>
        <w:tabs>
          <w:tab w:leader="none" w:pos="300" w:val="left"/>
        </w:tabs>
        <w:numPr>
          <w:ilvl w:val="0"/>
          <w:numId w:val="109"/>
        </w:numPr>
        <w:rPr>
          <w:rFonts w:ascii="Arial" w:cs="Arial" w:eastAsia="Arial" w:hAnsi="Arial"/>
          <w:sz w:val="16"/>
          <w:szCs w:val="16"/>
          <w:color w:val="105EAB"/>
        </w:rPr>
      </w:pPr>
      <w:r>
        <w:rPr>
          <w:rFonts w:ascii="Arial" w:cs="Arial" w:eastAsia="Arial" w:hAnsi="Arial"/>
          <w:sz w:val="16"/>
          <w:szCs w:val="16"/>
          <w:color w:val="auto"/>
        </w:rPr>
        <w:t>The risk and return committee chair is an audit committee member to enhance cross-committee communication</w:t>
      </w:r>
    </w:p>
    <w:p>
      <w:pPr>
        <w:spacing w:after="0" w:line="41" w:lineRule="exact"/>
        <w:rPr>
          <w:rFonts w:ascii="Arial" w:cs="Arial" w:eastAsia="Arial" w:hAnsi="Arial"/>
          <w:sz w:val="16"/>
          <w:szCs w:val="16"/>
          <w:color w:val="105EAB"/>
        </w:rPr>
      </w:pPr>
    </w:p>
    <w:p>
      <w:pPr>
        <w:ind w:left="320" w:right="700" w:hanging="316"/>
        <w:spacing w:after="0" w:line="254" w:lineRule="auto"/>
        <w:tabs>
          <w:tab w:leader="none" w:pos="300" w:val="left"/>
        </w:tabs>
        <w:numPr>
          <w:ilvl w:val="0"/>
          <w:numId w:val="109"/>
        </w:numPr>
        <w:rPr>
          <w:rFonts w:ascii="Arial" w:cs="Arial" w:eastAsia="Arial" w:hAnsi="Arial"/>
          <w:sz w:val="17"/>
          <w:szCs w:val="17"/>
          <w:color w:val="105EAB"/>
        </w:rPr>
      </w:pPr>
      <w:r>
        <w:rPr>
          <w:rFonts w:ascii="Arial" w:cs="Arial" w:eastAsia="Arial" w:hAnsi="Arial"/>
          <w:sz w:val="18"/>
          <w:szCs w:val="18"/>
          <w:color w:val="auto"/>
        </w:rPr>
        <w:t>The chief audit executive attends all meetings and has regular executive sessions with the committee</w:t>
      </w:r>
    </w:p>
    <w:p>
      <w:pPr>
        <w:spacing w:after="0" w:line="87" w:lineRule="exact"/>
        <w:rPr>
          <w:rFonts w:ascii="Arial" w:cs="Arial" w:eastAsia="Arial" w:hAnsi="Arial"/>
          <w:sz w:val="17"/>
          <w:szCs w:val="17"/>
          <w:color w:val="105EAB"/>
        </w:rPr>
      </w:pPr>
    </w:p>
    <w:p>
      <w:pPr>
        <w:ind w:left="320" w:hanging="307"/>
        <w:spacing w:after="0"/>
        <w:tabs>
          <w:tab w:leader="none" w:pos="320" w:val="left"/>
        </w:tabs>
        <w:numPr>
          <w:ilvl w:val="0"/>
          <w:numId w:val="109"/>
        </w:numPr>
        <w:rPr>
          <w:rFonts w:ascii="Arial" w:cs="Arial" w:eastAsia="Arial" w:hAnsi="Arial"/>
          <w:sz w:val="17"/>
          <w:szCs w:val="17"/>
          <w:color w:val="105EAB"/>
        </w:rPr>
      </w:pPr>
      <w:r>
        <w:rPr>
          <w:rFonts w:ascii="Arial" w:cs="Arial" w:eastAsia="Arial" w:hAnsi="Arial"/>
          <w:sz w:val="18"/>
          <w:szCs w:val="18"/>
          <w:color w:val="auto"/>
        </w:rPr>
        <w:t>The chief risk officer attends all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wp:posOffset>
            </wp:positionH>
            <wp:positionV relativeFrom="paragraph">
              <wp:posOffset>483235</wp:posOffset>
            </wp:positionV>
            <wp:extent cx="3417570" cy="155067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417570" cy="1550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480"/>
        <w:spacing w:after="0" w:line="311" w:lineRule="auto"/>
        <w:rPr>
          <w:sz w:val="20"/>
          <w:szCs w:val="20"/>
          <w:color w:val="auto"/>
        </w:rPr>
      </w:pPr>
      <w:r>
        <w:rPr>
          <w:rFonts w:ascii="Arial" w:cs="Arial" w:eastAsia="Arial" w:hAnsi="Arial"/>
          <w:sz w:val="18"/>
          <w:szCs w:val="18"/>
          <w:b w:val="1"/>
          <w:bCs w:val="1"/>
          <w:color w:val="105EAB"/>
        </w:rPr>
        <w:t xml:space="preserve">Nominating and Governance Committee </w:t>
      </w:r>
      <w:r>
        <w:rPr>
          <w:rFonts w:ascii="Arial" w:cs="Arial" w:eastAsia="Arial" w:hAnsi="Arial"/>
          <w:sz w:val="18"/>
          <w:szCs w:val="18"/>
          <w:color w:val="105EAB"/>
        </w:rPr>
        <w:t>Reviews Risk As Needed</w:t>
      </w:r>
    </w:p>
    <w:p>
      <w:pPr>
        <w:spacing w:after="0" w:line="66" w:lineRule="exact"/>
        <w:rPr>
          <w:sz w:val="20"/>
          <w:szCs w:val="20"/>
          <w:color w:val="auto"/>
        </w:rPr>
      </w:pPr>
    </w:p>
    <w:p>
      <w:pPr>
        <w:ind w:left="320" w:right="720" w:hanging="316"/>
        <w:spacing w:after="0" w:line="244" w:lineRule="auto"/>
        <w:tabs>
          <w:tab w:leader="none" w:pos="300" w:val="left"/>
        </w:tabs>
        <w:numPr>
          <w:ilvl w:val="0"/>
          <w:numId w:val="110"/>
        </w:numPr>
        <w:rPr>
          <w:rFonts w:ascii="Arial" w:cs="Arial" w:eastAsia="Arial" w:hAnsi="Arial"/>
          <w:sz w:val="17"/>
          <w:szCs w:val="17"/>
          <w:color w:val="105EAB"/>
        </w:rPr>
      </w:pPr>
      <w:r>
        <w:rPr>
          <w:rFonts w:ascii="Arial" w:cs="Arial" w:eastAsia="Arial" w:hAnsi="Arial"/>
          <w:sz w:val="18"/>
          <w:szCs w:val="18"/>
          <w:color w:val="auto"/>
        </w:rPr>
        <w:t>Oversees director elections and corporate governance practices to ensure they appropriately align with Allstate’s risk and return principles</w:t>
      </w:r>
    </w:p>
    <w:p>
      <w:pPr>
        <w:spacing w:after="0" w:line="97" w:lineRule="exact"/>
        <w:rPr>
          <w:rFonts w:ascii="Arial" w:cs="Arial" w:eastAsia="Arial" w:hAnsi="Arial"/>
          <w:sz w:val="17"/>
          <w:szCs w:val="17"/>
          <w:color w:val="105EAB"/>
        </w:rPr>
      </w:pPr>
    </w:p>
    <w:p>
      <w:pPr>
        <w:ind w:left="320" w:right="760" w:hanging="316"/>
        <w:spacing w:after="0" w:line="254" w:lineRule="auto"/>
        <w:tabs>
          <w:tab w:leader="none" w:pos="300" w:val="left"/>
        </w:tabs>
        <w:numPr>
          <w:ilvl w:val="0"/>
          <w:numId w:val="110"/>
        </w:numPr>
        <w:rPr>
          <w:rFonts w:ascii="Arial" w:cs="Arial" w:eastAsia="Arial" w:hAnsi="Arial"/>
          <w:sz w:val="17"/>
          <w:szCs w:val="17"/>
          <w:color w:val="105EAB"/>
        </w:rPr>
      </w:pPr>
      <w:r>
        <w:rPr>
          <w:rFonts w:ascii="Arial" w:cs="Arial" w:eastAsia="Arial" w:hAnsi="Arial"/>
          <w:sz w:val="18"/>
          <w:szCs w:val="18"/>
          <w:color w:val="auto"/>
        </w:rPr>
        <w:t>Oversees the Company’s political contributions and activities, as well as its sustainability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-742315</wp:posOffset>
            </wp:positionV>
            <wp:extent cx="308610" cy="1625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08610" cy="162560"/>
                    </a:xfrm>
                    <a:prstGeom prst="rect">
                      <a:avLst/>
                    </a:prstGeom>
                    <a:noFill/>
                  </pic:spPr>
                </pic:pic>
              </a:graphicData>
            </a:graphic>
          </wp:anchor>
        </w:drawing>
      </w:r>
    </w:p>
    <w:p>
      <w:pPr>
        <w:spacing w:after="0" w:line="716" w:lineRule="exact"/>
        <w:rPr>
          <w:sz w:val="20"/>
          <w:szCs w:val="20"/>
          <w:color w:val="auto"/>
        </w:rPr>
      </w:pPr>
    </w:p>
    <w:p>
      <w:pPr>
        <w:sectPr>
          <w:pgSz w:w="11900" w:h="16838" w:orient="portrait"/>
          <w:cols w:equalWidth="0" w:num="2">
            <w:col w:w="5260" w:space="360"/>
            <w:col w:w="5820"/>
          </w:cols>
          <w:pgMar w:left="240" w:top="121" w:right="219" w:bottom="1440" w:gutter="0" w:footer="0" w:header="0"/>
          <w:type w:val="continuous"/>
        </w:sectPr>
      </w:pP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1120" w:type="dxa"/>
            <w:vAlign w:val="bottom"/>
          </w:tcPr>
          <w:p>
            <w:pPr>
              <w:ind w:left="9640"/>
              <w:spacing w:after="0"/>
              <w:rPr>
                <w:sz w:val="20"/>
                <w:szCs w:val="20"/>
                <w:color w:val="auto"/>
              </w:rPr>
            </w:pPr>
            <w:r>
              <w:rPr>
                <w:rFonts w:ascii="Arial" w:cs="Arial" w:eastAsia="Arial" w:hAnsi="Arial"/>
                <w:sz w:val="13"/>
                <w:szCs w:val="13"/>
                <w:color w:val="105EAB"/>
              </w:rPr>
              <w:t>2019 Proxy Statement</w:t>
            </w:r>
          </w:p>
        </w:tc>
        <w:tc>
          <w:tcPr>
            <w:tcW w:w="320" w:type="dxa"/>
            <w:vAlign w:val="bottom"/>
          </w:tcPr>
          <w:p>
            <w:pPr>
              <w:jc w:val="right"/>
              <w:spacing w:after="0"/>
              <w:rPr>
                <w:sz w:val="20"/>
                <w:szCs w:val="20"/>
                <w:color w:val="auto"/>
              </w:rPr>
            </w:pPr>
            <w:r>
              <w:rPr>
                <w:rFonts w:ascii="Arial" w:cs="Arial" w:eastAsia="Arial" w:hAnsi="Arial"/>
                <w:sz w:val="13"/>
                <w:szCs w:val="13"/>
                <w:b w:val="1"/>
                <w:bCs w:val="1"/>
                <w:color w:val="105EAB"/>
              </w:rPr>
              <w:t>19</w:t>
            </w:r>
          </w:p>
        </w:tc>
      </w:tr>
      <w:tr>
        <w:trPr>
          <w:trHeight w:val="213"/>
        </w:trPr>
        <w:tc>
          <w:tcPr>
            <w:tcW w:w="1112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-13970</wp:posOffset>
            </wp:positionV>
            <wp:extent cx="1270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b w:val="1"/>
          <w:bCs w:val="1"/>
          <w:color w:val="105EAB"/>
        </w:rPr>
        <w:t xml:space="preserve">Corporate Governance | </w:t>
      </w:r>
      <w:r>
        <w:rPr>
          <w:rFonts w:ascii="Arial" w:cs="Arial" w:eastAsia="Arial" w:hAnsi="Arial"/>
          <w:sz w:val="13"/>
          <w:szCs w:val="13"/>
          <w:b w:val="1"/>
          <w:bCs w:val="1"/>
          <w:color w:val="000000"/>
        </w:rPr>
        <w:t>The Board’s Risk Oversight Responsibilities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105EAB"/>
        </w:rPr>
        <w:t>CURRENT DEVELOPMENTS IN THE BOARD’S RISK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188595" cy="2482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88595" cy="248285"/>
                    </a:xfrm>
                    <a:prstGeom prst="rect">
                      <a:avLst/>
                    </a:prstGeom>
                    <a:noFill/>
                  </pic:spPr>
                </pic:pic>
              </a:graphicData>
            </a:graphic>
          </wp:anchor>
        </w:drawing>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3"/>
          <w:szCs w:val="13"/>
          <w:b w:val="1"/>
          <w:bCs w:val="1"/>
          <w:color w:val="105EAB"/>
        </w:rPr>
        <w:t>Political Contributions and Activity</w:t>
      </w:r>
    </w:p>
    <w:p>
      <w:pPr>
        <w:spacing w:after="0" w:line="208"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In addition to a thorough annual review by the Board, the nominating and governance committee now reviews political contributions twice a year. The chief risk officer conducted a risk and return assessment of Allstate’s involvement in political activities to ensure proper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351218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51218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70485</wp:posOffset>
            </wp:positionV>
            <wp:extent cx="291465" cy="28257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91465" cy="282575"/>
                    </a:xfrm>
                    <a:prstGeom prst="rect">
                      <a:avLst/>
                    </a:prstGeom>
                    <a:noFill/>
                  </pic:spPr>
                </pic:pic>
              </a:graphicData>
            </a:graphic>
          </wp:anchor>
        </w:drawing>
      </w:r>
    </w:p>
    <w:p>
      <w:pPr>
        <w:spacing w:after="0" w:line="237" w:lineRule="exact"/>
        <w:rPr>
          <w:sz w:val="20"/>
          <w:szCs w:val="20"/>
          <w:color w:val="auto"/>
        </w:rPr>
      </w:pPr>
    </w:p>
    <w:p>
      <w:pPr>
        <w:ind w:left="520"/>
        <w:spacing w:after="0"/>
        <w:rPr>
          <w:sz w:val="20"/>
          <w:szCs w:val="20"/>
          <w:color w:val="auto"/>
        </w:rPr>
      </w:pPr>
      <w:r>
        <w:rPr>
          <w:rFonts w:ascii="Arial" w:cs="Arial" w:eastAsia="Arial" w:hAnsi="Arial"/>
          <w:sz w:val="13"/>
          <w:szCs w:val="13"/>
          <w:b w:val="1"/>
          <w:bCs w:val="1"/>
          <w:color w:val="105EAB"/>
        </w:rPr>
        <w:t>Refined Economic Capital Model</w:t>
      </w:r>
    </w:p>
    <w:p>
      <w:pPr>
        <w:spacing w:after="0" w:line="221" w:lineRule="exact"/>
        <w:rPr>
          <w:sz w:val="20"/>
          <w:szCs w:val="20"/>
          <w:color w:val="auto"/>
        </w:rPr>
      </w:pPr>
    </w:p>
    <w:p>
      <w:pPr>
        <w:ind w:right="140"/>
        <w:spacing w:after="0" w:line="270" w:lineRule="auto"/>
        <w:rPr>
          <w:sz w:val="20"/>
          <w:szCs w:val="20"/>
          <w:color w:val="auto"/>
        </w:rPr>
      </w:pPr>
      <w:r>
        <w:rPr>
          <w:rFonts w:ascii="Arial" w:cs="Arial" w:eastAsia="Arial" w:hAnsi="Arial"/>
          <w:sz w:val="16"/>
          <w:szCs w:val="16"/>
          <w:color w:val="auto"/>
        </w:rPr>
        <w:t>The risk and return committee oversaw the refinement of Allstate’s economic capital framework, which is used to make strategic decisions, set operational priorities and measure performance. The refinements were in response to recommendations made during an independent external review of the framework conducted by leading experts in economics and regulation.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sz w:val="1"/>
          <w:szCs w:val="1"/>
          <w:color w:val="auto"/>
        </w:rPr>
        <w:drawing>
          <wp:inline distT="0" distB="0" distL="0" distR="0">
            <wp:extent cx="240030" cy="231140"/>
            <wp:effectExtent l="0" t="0" r="0"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40030" cy="231140"/>
                    </a:xfrm>
                    <a:prstGeom prst="rect">
                      <a:avLst/>
                    </a:prstGeom>
                    <a:noFill/>
                    <a:ln>
                      <a:noFill/>
                    </a:ln>
                  </pic:spPr>
                </pic:pic>
              </a:graphicData>
            </a:graphic>
          </wp:inline>
        </w:drawing>
      </w:r>
      <w:r>
        <w:rPr>
          <w:rFonts w:ascii="Arial" w:cs="Arial" w:eastAsia="Arial" w:hAnsi="Arial"/>
          <w:sz w:val="13"/>
          <w:szCs w:val="13"/>
          <w:b w:val="1"/>
          <w:bCs w:val="1"/>
          <w:color w:val="105EAB"/>
        </w:rPr>
        <w:t xml:space="preserve"> Cybersecurity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-281940</wp:posOffset>
            </wp:positionV>
            <wp:extent cx="8255" cy="20815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255" cy="2081530"/>
                    </a:xfrm>
                    <a:prstGeom prst="rect">
                      <a:avLst/>
                    </a:prstGeom>
                    <a:noFill/>
                  </pic:spPr>
                </pic:pic>
              </a:graphicData>
            </a:graphic>
          </wp:anchor>
        </w:drawing>
      </w:r>
    </w:p>
    <w:p>
      <w:pPr>
        <w:spacing w:after="0" w:line="64"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An independent cybersecurity advisor was retained for a third year to provide an objective assessment of Allstate’s capabilities in this rapidly developing area.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165100</wp:posOffset>
            </wp:positionV>
            <wp:extent cx="344360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44360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250825</wp:posOffset>
            </wp:positionV>
            <wp:extent cx="196850" cy="21399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96850" cy="21399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ind w:left="420"/>
        <w:spacing w:after="0"/>
        <w:rPr>
          <w:sz w:val="20"/>
          <w:szCs w:val="20"/>
          <w:color w:val="auto"/>
        </w:rPr>
      </w:pPr>
      <w:r>
        <w:rPr>
          <w:rFonts w:ascii="Arial" w:cs="Arial" w:eastAsia="Arial" w:hAnsi="Arial"/>
          <w:sz w:val="13"/>
          <w:szCs w:val="13"/>
          <w:b w:val="1"/>
          <w:bCs w:val="1"/>
          <w:color w:val="105EAB"/>
        </w:rPr>
        <w:t>Advancement of Risk Framework</w:t>
      </w:r>
    </w:p>
    <w:p>
      <w:pPr>
        <w:spacing w:after="0" w:line="221"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The maturity of Allstate’s operational risk and return management framework was advanced with the formalization of additional policies, the formation of an operational risk council, and investments in additional employee and technology resources. The enhancements improved operational risk assessment capabilities as well as awareness and accountability throughout the enterprise.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130810</wp:posOffset>
            </wp:positionV>
            <wp:extent cx="724662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pacing w:after="0" w:line="220" w:lineRule="exact"/>
        <w:rPr>
          <w:sz w:val="20"/>
          <w:szCs w:val="20"/>
          <w:color w:val="auto"/>
        </w:rPr>
      </w:pPr>
    </w:p>
    <w:p>
      <w:pPr>
        <w:sectPr>
          <w:pgSz w:w="11900" w:h="16838" w:orient="portrait"/>
          <w:cols w:equalWidth="0" w:num="2">
            <w:col w:w="5400" w:space="600"/>
            <w:col w:w="5420"/>
          </w:cols>
          <w:pgMar w:left="240" w:top="121" w:right="239" w:bottom="1440" w:gutter="0" w:footer="0" w:header="0"/>
        </w:sectPr>
      </w:pPr>
    </w:p>
    <w:p>
      <w:pPr>
        <w:spacing w:after="0" w:line="211" w:lineRule="exact"/>
        <w:rPr>
          <w:sz w:val="20"/>
          <w:szCs w:val="20"/>
          <w:color w:val="auto"/>
        </w:rPr>
      </w:pPr>
    </w:p>
    <w:p>
      <w:pPr>
        <w:spacing w:after="0"/>
        <w:rPr>
          <w:sz w:val="20"/>
          <w:szCs w:val="20"/>
          <w:color w:val="auto"/>
        </w:rPr>
      </w:pPr>
      <w:r>
        <w:rPr>
          <w:sz w:val="1"/>
          <w:szCs w:val="1"/>
          <w:color w:val="auto"/>
        </w:rPr>
        <w:drawing>
          <wp:inline distT="0" distB="0" distL="0" distR="0">
            <wp:extent cx="308610" cy="162560"/>
            <wp:effectExtent l="0" t="0" r="0" b="0"/>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08610" cy="162560"/>
                    </a:xfrm>
                    <a:prstGeom prst="rect">
                      <a:avLst/>
                    </a:prstGeom>
                    <a:noFill/>
                    <a:ln>
                      <a:noFill/>
                    </a:ln>
                  </pic:spPr>
                </pic:pic>
              </a:graphicData>
            </a:graphic>
          </wp:inline>
        </w:drawing>
      </w:r>
      <w:r>
        <w:rPr>
          <w:rFonts w:ascii="Arial" w:cs="Arial" w:eastAsia="Arial" w:hAnsi="Arial"/>
          <w:sz w:val="25"/>
          <w:szCs w:val="25"/>
          <w:b w:val="1"/>
          <w:bCs w:val="1"/>
          <w:color w:val="105EAB"/>
        </w:rPr>
        <w:t xml:space="preserve"> Risk Management and Participation in the Political Process</w:t>
      </w:r>
    </w:p>
    <w:p>
      <w:pPr>
        <w:spacing w:after="0" w:line="237" w:lineRule="exact"/>
        <w:rPr>
          <w:sz w:val="20"/>
          <w:szCs w:val="20"/>
          <w:color w:val="auto"/>
        </w:rPr>
      </w:pPr>
    </w:p>
    <w:p>
      <w:pPr>
        <w:ind w:right="500"/>
        <w:spacing w:after="0" w:line="237" w:lineRule="auto"/>
        <w:rPr>
          <w:sz w:val="20"/>
          <w:szCs w:val="20"/>
          <w:color w:val="auto"/>
        </w:rPr>
      </w:pPr>
      <w:r>
        <w:rPr>
          <w:rFonts w:ascii="Arial" w:cs="Arial" w:eastAsia="Arial" w:hAnsi="Arial"/>
          <w:sz w:val="18"/>
          <w:szCs w:val="18"/>
          <w:color w:val="auto"/>
        </w:rPr>
        <w:t>Allstate engages in public policy advocacy at the state and federal levels to foster market innovation, fight for consumers, promote safety and security, ensure a healthy regulatory system, promote fiscal responsibility, and advocate for small businesses. During 2018, in response to stockholder feedback, Allstate enhanced oversight of its public policy program by:</w:t>
      </w:r>
    </w:p>
    <w:p>
      <w:pPr>
        <w:spacing w:after="0" w:line="206" w:lineRule="exact"/>
        <w:rPr>
          <w:sz w:val="20"/>
          <w:szCs w:val="20"/>
          <w:color w:val="auto"/>
        </w:rPr>
      </w:pPr>
    </w:p>
    <w:p>
      <w:pPr>
        <w:ind w:left="340" w:right="280" w:hanging="332"/>
        <w:spacing w:after="0" w:line="245" w:lineRule="auto"/>
        <w:tabs>
          <w:tab w:leader="none" w:pos="340" w:val="left"/>
        </w:tabs>
        <w:numPr>
          <w:ilvl w:val="0"/>
          <w:numId w:val="111"/>
        </w:numPr>
        <w:rPr>
          <w:rFonts w:ascii="Arial" w:cs="Arial" w:eastAsia="Arial" w:hAnsi="Arial"/>
          <w:sz w:val="17"/>
          <w:szCs w:val="17"/>
          <w:color w:val="105EAB"/>
        </w:rPr>
      </w:pPr>
      <w:r>
        <w:rPr>
          <w:rFonts w:ascii="Arial" w:cs="Arial" w:eastAsia="Arial" w:hAnsi="Arial"/>
          <w:sz w:val="18"/>
          <w:szCs w:val="18"/>
          <w:color w:val="auto"/>
        </w:rPr>
        <w:t>Instituting a semi-annual review of Allstate’s public policy activity by the nominating and governance committee, in addition to the annual review by the Board.</w:t>
      </w:r>
    </w:p>
    <w:p>
      <w:pPr>
        <w:spacing w:after="0" w:line="90" w:lineRule="exact"/>
        <w:rPr>
          <w:rFonts w:ascii="Arial" w:cs="Arial" w:eastAsia="Arial" w:hAnsi="Arial"/>
          <w:sz w:val="17"/>
          <w:szCs w:val="17"/>
          <w:color w:val="105EAB"/>
        </w:rPr>
      </w:pPr>
    </w:p>
    <w:p>
      <w:pPr>
        <w:ind w:left="340" w:hanging="332"/>
        <w:spacing w:after="0"/>
        <w:tabs>
          <w:tab w:leader="none" w:pos="340" w:val="left"/>
        </w:tabs>
        <w:numPr>
          <w:ilvl w:val="0"/>
          <w:numId w:val="111"/>
        </w:numPr>
        <w:rPr>
          <w:rFonts w:ascii="Arial" w:cs="Arial" w:eastAsia="Arial" w:hAnsi="Arial"/>
          <w:sz w:val="17"/>
          <w:szCs w:val="17"/>
          <w:color w:val="105EAB"/>
        </w:rPr>
      </w:pPr>
      <w:r>
        <w:rPr>
          <w:rFonts w:ascii="Arial" w:cs="Arial" w:eastAsia="Arial" w:hAnsi="Arial"/>
          <w:sz w:val="18"/>
          <w:szCs w:val="18"/>
          <w:color w:val="auto"/>
        </w:rPr>
        <w:t>Expanding the disclosure in Allstate’s Sustainability Report to include the top legislative and regulatory issues addressed by Allstate.</w:t>
      </w:r>
    </w:p>
    <w:p>
      <w:pPr>
        <w:spacing w:after="0" w:line="103" w:lineRule="exact"/>
        <w:rPr>
          <w:rFonts w:ascii="Arial" w:cs="Arial" w:eastAsia="Arial" w:hAnsi="Arial"/>
          <w:sz w:val="17"/>
          <w:szCs w:val="17"/>
          <w:color w:val="105EAB"/>
        </w:rPr>
      </w:pPr>
    </w:p>
    <w:p>
      <w:pPr>
        <w:ind w:left="340" w:right="280" w:hanging="332"/>
        <w:spacing w:after="0" w:line="245" w:lineRule="auto"/>
        <w:tabs>
          <w:tab w:leader="none" w:pos="340" w:val="left"/>
        </w:tabs>
        <w:numPr>
          <w:ilvl w:val="0"/>
          <w:numId w:val="111"/>
        </w:numPr>
        <w:rPr>
          <w:rFonts w:ascii="Arial" w:cs="Arial" w:eastAsia="Arial" w:hAnsi="Arial"/>
          <w:sz w:val="17"/>
          <w:szCs w:val="17"/>
          <w:color w:val="105EAB"/>
        </w:rPr>
      </w:pPr>
      <w:r>
        <w:rPr>
          <w:rFonts w:ascii="Arial" w:cs="Arial" w:eastAsia="Arial" w:hAnsi="Arial"/>
          <w:sz w:val="18"/>
          <w:szCs w:val="18"/>
          <w:color w:val="auto"/>
        </w:rPr>
        <w:t xml:space="preserve">The chief risk officer conducting an annual risk and return assessment of Allstate’s political activities to ensure appropriate oversight and management of Allstate’s political activities. </w:t>
      </w:r>
      <w:r>
        <w:rPr>
          <w:rFonts w:ascii="Arial" w:cs="Arial" w:eastAsia="Arial" w:hAnsi="Arial"/>
          <w:sz w:val="18"/>
          <w:szCs w:val="18"/>
          <w:b w:val="1"/>
          <w:bCs w:val="1"/>
          <w:color w:val="auto"/>
        </w:rPr>
        <w:t>We believe this risk and return assessment is an industry leading practice.</w:t>
      </w:r>
    </w:p>
    <w:p>
      <w:pPr>
        <w:spacing w:after="0" w:line="202"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 xml:space="preserve">The assessment was based on an independent, external framework published by Transparency International UK (a global anti-corruption agency) on the </w:t>
      </w:r>
      <w:r>
        <w:rPr>
          <w:rFonts w:ascii="Arial" w:cs="Arial" w:eastAsia="Arial" w:hAnsi="Arial"/>
          <w:sz w:val="16"/>
          <w:szCs w:val="16"/>
          <w:i w:val="1"/>
          <w:iCs w:val="1"/>
          <w:color w:val="auto"/>
        </w:rPr>
        <w:t>Principles and Guidance for Responsible Corporate Political Engagement</w:t>
      </w:r>
      <w:r>
        <w:rPr>
          <w:rFonts w:ascii="Arial" w:cs="Arial" w:eastAsia="Arial" w:hAnsi="Arial"/>
          <w:sz w:val="16"/>
          <w:szCs w:val="16"/>
          <w:color w:val="auto"/>
        </w:rPr>
        <w:t xml:space="preserve"> but was expanded to address Allstate’s specific activities and risk profile. </w:t>
      </w:r>
      <w:r>
        <w:rPr>
          <w:rFonts w:ascii="Arial" w:cs="Arial" w:eastAsia="Arial" w:hAnsi="Arial"/>
          <w:sz w:val="16"/>
          <w:szCs w:val="16"/>
          <w:b w:val="1"/>
          <w:bCs w:val="1"/>
          <w:color w:val="auto"/>
        </w:rPr>
        <w:t>The chief risk officer concluded that Allstate’s control framework appropriately manages the risks in Allstate’s political activities</w:t>
      </w:r>
      <w:r>
        <w:rPr>
          <w:rFonts w:ascii="Arial" w:cs="Arial" w:eastAsia="Arial" w:hAnsi="Arial"/>
          <w:sz w:val="16"/>
          <w:szCs w:val="16"/>
          <w:color w:val="auto"/>
        </w:rPr>
        <w:t xml:space="preserve"> </w:t>
      </w:r>
      <w:r>
        <w:rPr>
          <w:rFonts w:ascii="Arial" w:cs="Arial" w:eastAsia="Arial" w:hAnsi="Arial"/>
          <w:sz w:val="16"/>
          <w:szCs w:val="16"/>
          <w:b w:val="1"/>
          <w:bCs w:val="1"/>
          <w:color w:val="auto"/>
        </w:rPr>
        <w:t>and that sufficient governance and oversight exist to ensure activities are aligned with Allstate’s risk and return principles. The chief risk officer evaluated the risks of Allstate’s activities and concluded the individual initiatives were fully assessed, prudent, and necessary. In addition, the assessment noted that failure to engage in the political process could result in unfavorable policies and legislation and adverse business outcomes and could negatively impact Allstate’s strategic position and business model.</w:t>
      </w:r>
    </w:p>
    <w:p>
      <w:pPr>
        <w:spacing w:after="0" w:line="185" w:lineRule="exact"/>
        <w:rPr>
          <w:sz w:val="20"/>
          <w:szCs w:val="20"/>
          <w:color w:val="auto"/>
        </w:rPr>
      </w:pPr>
    </w:p>
    <w:p>
      <w:pPr>
        <w:ind w:left="460" w:hanging="452"/>
        <w:spacing w:after="0"/>
        <w:tabs>
          <w:tab w:leader="none" w:pos="460" w:val="left"/>
        </w:tabs>
        <w:numPr>
          <w:ilvl w:val="0"/>
          <w:numId w:val="112"/>
        </w:numPr>
        <w:rPr>
          <w:rFonts w:ascii="Arial" w:cs="Arial" w:eastAsia="Arial" w:hAnsi="Arial"/>
          <w:sz w:val="13"/>
          <w:szCs w:val="13"/>
          <w:b w:val="1"/>
          <w:bCs w:val="1"/>
          <w:color w:val="105EAB"/>
        </w:rPr>
      </w:pPr>
      <w:r>
        <w:rPr>
          <w:rFonts w:ascii="Arial" w:cs="Arial" w:eastAsia="Arial" w:hAnsi="Arial"/>
          <w:sz w:val="13"/>
          <w:szCs w:val="13"/>
          <w:color w:val="105EAB"/>
        </w:rPr>
        <w:t>www.allstateproxy.com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134620</wp:posOffset>
            </wp:positionV>
            <wp:extent cx="7268210" cy="209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jc w:val="right"/>
        <w:ind w:right="20"/>
        <w:spacing w:after="0"/>
        <w:rPr>
          <w:sz w:val="20"/>
          <w:szCs w:val="20"/>
          <w:color w:val="auto"/>
        </w:rPr>
      </w:pPr>
      <w:r>
        <w:rPr>
          <w:rFonts w:ascii="Arial" w:cs="Arial" w:eastAsia="Arial" w:hAnsi="Arial"/>
          <w:sz w:val="13"/>
          <w:szCs w:val="13"/>
          <w:b w:val="1"/>
          <w:bCs w:val="1"/>
          <w:color w:val="auto"/>
        </w:rPr>
        <w:t xml:space="preserve">The Board’s Risk Oversight Responsibilities </w:t>
      </w:r>
      <w:r>
        <w:rPr>
          <w:rFonts w:ascii="Arial" w:cs="Arial" w:eastAsia="Arial" w:hAnsi="Arial"/>
          <w:sz w:val="13"/>
          <w:szCs w:val="13"/>
          <w:b w:val="1"/>
          <w:bCs w:val="1"/>
          <w:color w:val="105FAB"/>
        </w:rPr>
        <w:t>| Corporate Governance</w:t>
      </w:r>
    </w:p>
    <w:p>
      <w:pPr>
        <w:spacing w:after="0" w:line="201" w:lineRule="exact"/>
        <w:rPr>
          <w:sz w:val="20"/>
          <w:szCs w:val="20"/>
          <w:color w:val="auto"/>
        </w:rPr>
      </w:pPr>
    </w:p>
    <w:p>
      <w:pPr>
        <w:spacing w:after="0"/>
        <w:rPr>
          <w:sz w:val="20"/>
          <w:szCs w:val="20"/>
          <w:color w:val="auto"/>
        </w:rPr>
      </w:pPr>
      <w:r>
        <w:rPr>
          <w:rFonts w:ascii="Arial" w:cs="Arial" w:eastAsia="Arial" w:hAnsi="Arial"/>
          <w:sz w:val="25"/>
          <w:szCs w:val="25"/>
          <w:b w:val="1"/>
          <w:bCs w:val="1"/>
          <w:color w:val="105FAB"/>
        </w:rPr>
        <w:t>Risk Management and Compensation</w:t>
      </w:r>
    </w:p>
    <w:p>
      <w:pPr>
        <w:spacing w:after="0" w:line="259"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 xml:space="preserve">Compensation policies and practices are structured to provide incentives for employees to successfully execute the Company’s strategies and achieve annual operating goals while meeting all risk and return principles. The plans are also structured to ensure management does not take unnecessary or excessive risk. </w:t>
      </w:r>
      <w:r>
        <w:rPr>
          <w:rFonts w:ascii="Arial" w:cs="Arial" w:eastAsia="Arial" w:hAnsi="Arial"/>
          <w:sz w:val="18"/>
          <w:szCs w:val="18"/>
          <w:b w:val="1"/>
          <w:bCs w:val="1"/>
          <w:color w:val="auto"/>
        </w:rPr>
        <w:t>Analysis provided by an external consultant, the chief risk officer, and review by the compensation and</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succession committee concluded the plans achieve these objectives. Based on this analysis, Allstate’s compensation policies ensure appropriate levels of risk-taking, while avoiding unnecessary risks that could have a material adverse effect on Allstate. </w:t>
      </w:r>
      <w:r>
        <w:rPr>
          <w:rFonts w:ascii="Arial" w:cs="Arial" w:eastAsia="Arial" w:hAnsi="Arial"/>
          <w:sz w:val="18"/>
          <w:szCs w:val="18"/>
          <w:color w:val="auto"/>
        </w:rPr>
        <w:t>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plans provide a balanced and appropriate mix of cash and equity through annual and long-term incentives that align with short- and long-term business goals. No one, regardless of eligibility, is guaranteed an award under the annual cash incentive program. Multiple performance measures are utilized that correlate with long-term stockholder value creation and diversify the risk associated with any single performance indicator. In addition, the annual incentive program contains a funding adjustment for senior executives in the event of a net loss, which reduces the corporate pool funding for those officers by 50% of actual performance. Likewise, for the performance stock award program, the committee requires positive net income for executives to earn awards above target. Equity awards to executive officers after 2009 and annual cash incentive awards beginning in 2010 are subject to clawback in the event of certain financial restatements. Executives are also subject to rigorous stock ownership requirements.</w:t>
      </w:r>
    </w:p>
    <w:p>
      <w:pPr>
        <w:spacing w:after="0" w:line="178" w:lineRule="exact"/>
        <w:rPr>
          <w:sz w:val="20"/>
          <w:szCs w:val="20"/>
          <w:color w:val="auto"/>
        </w:rPr>
      </w:pPr>
    </w:p>
    <w:p>
      <w:pPr>
        <w:spacing w:after="0"/>
        <w:rPr>
          <w:sz w:val="20"/>
          <w:szCs w:val="20"/>
          <w:color w:val="auto"/>
        </w:rPr>
      </w:pPr>
      <w:r>
        <w:rPr>
          <w:rFonts w:ascii="Arial" w:cs="Arial" w:eastAsia="Arial" w:hAnsi="Arial"/>
          <w:sz w:val="25"/>
          <w:szCs w:val="25"/>
          <w:b w:val="1"/>
          <w:bCs w:val="1"/>
          <w:color w:val="105FAB"/>
        </w:rPr>
        <w:t>Board Role in Setting Compensation</w:t>
      </w:r>
    </w:p>
    <w:p>
      <w:pPr>
        <w:spacing w:after="0" w:line="259"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The compensation and succession committee makes recommendations to the Board on compensation for the CEO and executive officers and the structure of plans used for executive officers. The compensation and succession committee reviews the executive compensation program throughout the year with the assistance of an independent compensation consultant, Compensation Advisory Partners (“CAP”). CAP benchmarks Allstate’s plans and compensation payments to the market and evaluates changes to the executive compensation program. The compensation consultant also assesses Allstate’s executive compensation design, peer group selection, relative pay for performance, and total direct compensation for individual senior executive positions. Representatives of the compensation consultant participated in six out of seven compensation and succession committee meetings in 2018. The compensation and succession committee annually evaluates the compensation consultant’s performance and independence.</w:t>
      </w:r>
    </w:p>
    <w:p>
      <w:pPr>
        <w:spacing w:after="0" w:line="213"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The compensation and succession committee grants all equity awards to individuals designated as executive officers for purposes of Section 16 of the Securities Exchange Act of 1934 or covered employees as defined in Internal Revenue Code Section 162(m). The compensation and succession committee has authority to grant equity awards to eligible employees in accordance with the terms of our 2013 Equity Incentive Plan. The Board has delegated limited authority to the CEO to grant equity awards to non-executive officers. All awards granted between compensation and succession committee meetings are reported at the next meeting.</w:t>
      </w:r>
    </w:p>
    <w:p>
      <w:pPr>
        <w:spacing w:after="0" w:line="210" w:lineRule="exact"/>
        <w:rPr>
          <w:sz w:val="20"/>
          <w:szCs w:val="20"/>
          <w:color w:val="auto"/>
        </w:rPr>
      </w:pPr>
    </w:p>
    <w:p>
      <w:pPr>
        <w:ind w:right="420"/>
        <w:spacing w:after="0" w:line="239" w:lineRule="auto"/>
        <w:rPr>
          <w:sz w:val="20"/>
          <w:szCs w:val="20"/>
          <w:color w:val="auto"/>
        </w:rPr>
      </w:pPr>
      <w:r>
        <w:rPr>
          <w:rFonts w:ascii="Arial" w:cs="Arial" w:eastAsia="Arial" w:hAnsi="Arial"/>
          <w:sz w:val="18"/>
          <w:szCs w:val="18"/>
          <w:color w:val="auto"/>
        </w:rPr>
        <w:t>The compensation consultant also provides the nominating and governance committee with competitive information on director compensation, including updates on practices and emerging trends.</w:t>
      </w:r>
    </w:p>
    <w:p>
      <w:pPr>
        <w:spacing w:after="0" w:line="175" w:lineRule="exact"/>
        <w:rPr>
          <w:sz w:val="20"/>
          <w:szCs w:val="20"/>
          <w:color w:val="auto"/>
        </w:rPr>
      </w:pPr>
    </w:p>
    <w:p>
      <w:pPr>
        <w:spacing w:after="0"/>
        <w:rPr>
          <w:sz w:val="20"/>
          <w:szCs w:val="20"/>
          <w:color w:val="auto"/>
        </w:rPr>
      </w:pPr>
      <w:r>
        <w:rPr>
          <w:rFonts w:ascii="Arial" w:cs="Arial" w:eastAsia="Arial" w:hAnsi="Arial"/>
          <w:sz w:val="25"/>
          <w:szCs w:val="25"/>
          <w:b w:val="1"/>
          <w:bCs w:val="1"/>
          <w:color w:val="105FAB"/>
        </w:rPr>
        <w:t>Board Role in Human Capital Management and Management Succession</w:t>
      </w:r>
    </w:p>
    <w:p>
      <w:pPr>
        <w:spacing w:after="0" w:line="259"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Allstate’s Shared Purpose is based on the premise that all employees must exercise leadership. Allstate manages talent by providing employees with training, mentoring and career development; promoting from within; emphasizing inclusive diversity; attracting new employees; and monitoring engagement through annual employee surveys. Allstate takes a thorough approach to ensure employees are treated equitably regarding their compensation. A pay analysis compares the base salary between men and women, and non-minorities and minorities, who are in similar jobs and geographic areas. If pay discrepancies are identified, adjustments are made.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1120" w:type="dxa"/>
            <w:vAlign w:val="bottom"/>
          </w:tcPr>
          <w:p>
            <w:pPr>
              <w:ind w:left="9640"/>
              <w:spacing w:after="0"/>
              <w:rPr>
                <w:sz w:val="20"/>
                <w:szCs w:val="20"/>
                <w:color w:val="auto"/>
              </w:rPr>
            </w:pPr>
            <w:r>
              <w:rPr>
                <w:rFonts w:ascii="Arial" w:cs="Arial" w:eastAsia="Arial" w:hAnsi="Arial"/>
                <w:sz w:val="13"/>
                <w:szCs w:val="13"/>
                <w:color w:val="105EAB"/>
              </w:rPr>
              <w:t>2019 Proxy Statement</w:t>
            </w:r>
          </w:p>
        </w:tc>
        <w:tc>
          <w:tcPr>
            <w:tcW w:w="320" w:type="dxa"/>
            <w:vAlign w:val="bottom"/>
          </w:tcPr>
          <w:p>
            <w:pPr>
              <w:jc w:val="right"/>
              <w:spacing w:after="0"/>
              <w:rPr>
                <w:sz w:val="20"/>
                <w:szCs w:val="20"/>
                <w:color w:val="auto"/>
              </w:rPr>
            </w:pPr>
            <w:r>
              <w:rPr>
                <w:rFonts w:ascii="Arial" w:cs="Arial" w:eastAsia="Arial" w:hAnsi="Arial"/>
                <w:sz w:val="13"/>
                <w:szCs w:val="13"/>
                <w:b w:val="1"/>
                <w:bCs w:val="1"/>
                <w:color w:val="105EAB"/>
              </w:rPr>
              <w:t>21</w:t>
            </w:r>
          </w:p>
        </w:tc>
      </w:tr>
      <w:tr>
        <w:trPr>
          <w:trHeight w:val="213"/>
        </w:trPr>
        <w:tc>
          <w:tcPr>
            <w:tcW w:w="1112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-13970</wp:posOffset>
            </wp:positionV>
            <wp:extent cx="1270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b w:val="1"/>
          <w:bCs w:val="1"/>
          <w:color w:val="105FAB"/>
        </w:rPr>
        <w:t xml:space="preserve">Corporate Governance | </w:t>
      </w:r>
      <w:r>
        <w:rPr>
          <w:rFonts w:ascii="Arial" w:cs="Arial" w:eastAsia="Arial" w:hAnsi="Arial"/>
          <w:sz w:val="13"/>
          <w:szCs w:val="13"/>
          <w:b w:val="1"/>
          <w:bCs w:val="1"/>
          <w:color w:val="000000"/>
        </w:rPr>
        <w:t>The Board’s Risk Oversight Responsibilities</w:t>
      </w:r>
    </w:p>
    <w:p>
      <w:pPr>
        <w:spacing w:after="0" w:line="235"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The Board reviews these human capital management practices, including the pay fairness analyses, annually since they are vital to Allstate’s continued success.</w:t>
      </w:r>
    </w:p>
    <w:p>
      <w:pPr>
        <w:spacing w:after="0" w:line="20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Board’s involvement in leadership development and succession planning is systematic and ongoing. Management succession is discussed four times annually in compensation and succession committee meetings, Board meetings, and executive sessions. Discussions cover the CEO and other senior executive roles. The Board also has regular and direct exposure to senior leadership and high-potential officers through informal meetings held throughout the year.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105FAB"/>
        </w:rPr>
        <w:t>BOARD REVIEW OF SUCCESSION PLANNING AND TALENT DEVELOPMENT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1016000</wp:posOffset>
            </wp:positionH>
            <wp:positionV relativeFrom="paragraph">
              <wp:posOffset>146050</wp:posOffset>
            </wp:positionV>
            <wp:extent cx="5225415" cy="342646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225415" cy="3426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tabs>
          <w:tab w:leader="none" w:pos="440" w:val="left"/>
        </w:tabs>
        <w:rPr>
          <w:sz w:val="20"/>
          <w:szCs w:val="20"/>
          <w:color w:val="auto"/>
        </w:rPr>
      </w:pPr>
      <w:r>
        <w:rPr>
          <w:rFonts w:ascii="Arial" w:cs="Arial" w:eastAsia="Arial" w:hAnsi="Arial"/>
          <w:sz w:val="13"/>
          <w:szCs w:val="13"/>
          <w:color w:val="105EAB"/>
        </w:rPr>
        <w:t>22</w:t>
      </w:r>
      <w:r>
        <w:rPr>
          <w:sz w:val="20"/>
          <w:szCs w:val="20"/>
          <w:color w:val="auto"/>
        </w:rPr>
        <w:tab/>
      </w:r>
      <w:r>
        <w:rPr>
          <w:rFonts w:ascii="Arial" w:cs="Arial" w:eastAsia="Arial" w:hAnsi="Arial"/>
          <w:sz w:val="13"/>
          <w:szCs w:val="13"/>
          <w:color w:val="105EAB"/>
        </w:rPr>
        <w:t>www.allstateproxy.com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134620</wp:posOffset>
            </wp:positionV>
            <wp:extent cx="7268210" cy="209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240"/>
          </w:cols>
          <w:pgMar w:left="240" w:top="121" w:right="4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jc w:val="right"/>
        <w:ind w:right="20"/>
        <w:spacing w:after="0"/>
        <w:rPr>
          <w:sz w:val="20"/>
          <w:szCs w:val="20"/>
          <w:color w:val="auto"/>
        </w:rPr>
      </w:pPr>
      <w:r>
        <w:rPr>
          <w:rFonts w:ascii="Arial" w:cs="Arial" w:eastAsia="Arial" w:hAnsi="Arial"/>
          <w:sz w:val="13"/>
          <w:szCs w:val="13"/>
          <w:b w:val="1"/>
          <w:bCs w:val="1"/>
          <w:color w:val="auto"/>
        </w:rPr>
        <w:t xml:space="preserve">The Board’s Risk Oversight Responsibilities </w:t>
      </w:r>
      <w:r>
        <w:rPr>
          <w:rFonts w:ascii="Arial" w:cs="Arial" w:eastAsia="Arial" w:hAnsi="Arial"/>
          <w:sz w:val="13"/>
          <w:szCs w:val="13"/>
          <w:b w:val="1"/>
          <w:bCs w:val="1"/>
          <w:color w:val="105FAB"/>
        </w:rPr>
        <w:t>| Corporate Governance</w:t>
      </w:r>
    </w:p>
    <w:p>
      <w:pPr>
        <w:spacing w:after="0" w:line="201" w:lineRule="exact"/>
        <w:rPr>
          <w:sz w:val="20"/>
          <w:szCs w:val="20"/>
          <w:color w:val="auto"/>
        </w:rPr>
      </w:pPr>
    </w:p>
    <w:p>
      <w:pPr>
        <w:spacing w:after="0"/>
        <w:rPr>
          <w:sz w:val="20"/>
          <w:szCs w:val="20"/>
          <w:color w:val="auto"/>
        </w:rPr>
      </w:pPr>
      <w:r>
        <w:rPr>
          <w:rFonts w:ascii="Arial" w:cs="Arial" w:eastAsia="Arial" w:hAnsi="Arial"/>
          <w:sz w:val="25"/>
          <w:szCs w:val="25"/>
          <w:b w:val="1"/>
          <w:bCs w:val="1"/>
          <w:color w:val="105FAB"/>
        </w:rPr>
        <w:t>Corporate Sustainability</w:t>
      </w:r>
    </w:p>
    <w:p>
      <w:pPr>
        <w:spacing w:after="0" w:line="259"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The Board believes sustainability benefits Allstate’s stakeholders and drives long-term value creation. Allstate and The Allstate Foundation created positive societal change through several initiatives in 2018,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266827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266827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p>
      <w:pPr>
        <w:spacing w:after="0" w:line="227" w:lineRule="exact"/>
        <w:rPr>
          <w:sz w:val="20"/>
          <w:szCs w:val="20"/>
          <w:color w:val="auto"/>
        </w:rPr>
      </w:pPr>
    </w:p>
    <w:p>
      <w:pPr>
        <w:ind w:left="400"/>
        <w:spacing w:after="0"/>
        <w:rPr>
          <w:sz w:val="20"/>
          <w:szCs w:val="20"/>
          <w:color w:val="auto"/>
        </w:rPr>
      </w:pPr>
      <w:r>
        <w:rPr>
          <w:rFonts w:ascii="Arial" w:cs="Arial" w:eastAsia="Arial" w:hAnsi="Arial"/>
          <w:sz w:val="22"/>
          <w:szCs w:val="22"/>
          <w:b w:val="1"/>
          <w:bCs w:val="1"/>
          <w:color w:val="39B7E9"/>
        </w:rPr>
        <w:t>Privacy and Information Security</w:t>
      </w:r>
    </w:p>
    <w:p>
      <w:pPr>
        <w:spacing w:after="0" w:line="76" w:lineRule="exact"/>
        <w:rPr>
          <w:sz w:val="20"/>
          <w:szCs w:val="20"/>
          <w:color w:val="auto"/>
        </w:rPr>
      </w:pPr>
    </w:p>
    <w:p>
      <w:pPr>
        <w:ind w:left="280" w:right="400" w:hanging="272"/>
        <w:spacing w:after="0" w:line="258" w:lineRule="auto"/>
        <w:tabs>
          <w:tab w:leader="none" w:pos="278" w:val="left"/>
        </w:tabs>
        <w:numPr>
          <w:ilvl w:val="0"/>
          <w:numId w:val="113"/>
        </w:numPr>
        <w:rPr>
          <w:rFonts w:ascii="Arial" w:cs="Arial" w:eastAsia="Arial" w:hAnsi="Arial"/>
          <w:sz w:val="13"/>
          <w:szCs w:val="13"/>
          <w:color w:val="105EAB"/>
        </w:rPr>
      </w:pPr>
      <w:r>
        <w:rPr>
          <w:rFonts w:ascii="Arial" w:cs="Arial" w:eastAsia="Arial" w:hAnsi="Arial"/>
          <w:sz w:val="13"/>
          <w:szCs w:val="13"/>
          <w:color w:val="auto"/>
        </w:rPr>
        <w:t>Launched an internal campaign to raise awareness about the importance of protecting personal information within Allstate</w:t>
      </w:r>
    </w:p>
    <w:p>
      <w:pPr>
        <w:spacing w:after="0" w:line="83" w:lineRule="exact"/>
        <w:rPr>
          <w:rFonts w:ascii="Arial" w:cs="Arial" w:eastAsia="Arial" w:hAnsi="Arial"/>
          <w:sz w:val="13"/>
          <w:szCs w:val="13"/>
          <w:color w:val="105EAB"/>
        </w:rPr>
      </w:pPr>
    </w:p>
    <w:p>
      <w:pPr>
        <w:ind w:left="280" w:right="60" w:hanging="272"/>
        <w:spacing w:after="0" w:line="258" w:lineRule="auto"/>
        <w:tabs>
          <w:tab w:leader="none" w:pos="278" w:val="left"/>
        </w:tabs>
        <w:numPr>
          <w:ilvl w:val="0"/>
          <w:numId w:val="113"/>
        </w:numPr>
        <w:rPr>
          <w:rFonts w:ascii="Arial" w:cs="Arial" w:eastAsia="Arial" w:hAnsi="Arial"/>
          <w:sz w:val="13"/>
          <w:szCs w:val="13"/>
          <w:color w:val="105EAB"/>
        </w:rPr>
      </w:pPr>
      <w:r>
        <w:rPr>
          <w:rFonts w:ascii="Arial" w:cs="Arial" w:eastAsia="Arial" w:hAnsi="Arial"/>
          <w:sz w:val="13"/>
          <w:szCs w:val="13"/>
          <w:color w:val="auto"/>
        </w:rPr>
        <w:t>Offered reskilling opportunities to build an internal pipeline of cybersecurity talent, with the first group of employees graduating from the program in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sz w:val="1"/>
          <w:szCs w:val="1"/>
          <w:color w:val="auto"/>
        </w:rPr>
        <w:drawing>
          <wp:inline distT="0" distB="0" distL="0" distR="0">
            <wp:extent cx="188595" cy="188595"/>
            <wp:effectExtent l="0" t="0" r="0"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88595" cy="188595"/>
                    </a:xfrm>
                    <a:prstGeom prst="rect">
                      <a:avLst/>
                    </a:prstGeom>
                    <a:noFill/>
                    <a:ln>
                      <a:noFill/>
                    </a:ln>
                  </pic:spPr>
                </pic:pic>
              </a:graphicData>
            </a:graphic>
          </wp:inline>
        </w:drawing>
      </w:r>
      <w:r>
        <w:rPr>
          <w:rFonts w:ascii="Arial" w:cs="Arial" w:eastAsia="Arial" w:hAnsi="Arial"/>
          <w:sz w:val="22"/>
          <w:szCs w:val="22"/>
          <w:b w:val="1"/>
          <w:bCs w:val="1"/>
          <w:color w:val="39B7E9"/>
        </w:rPr>
        <w:t xml:space="preserve"> Risk and Climate</w:t>
      </w:r>
    </w:p>
    <w:p>
      <w:pPr>
        <w:spacing w:after="0" w:line="26" w:lineRule="exact"/>
        <w:rPr>
          <w:sz w:val="20"/>
          <w:szCs w:val="20"/>
          <w:color w:val="auto"/>
        </w:rPr>
      </w:pPr>
    </w:p>
    <w:p>
      <w:pPr>
        <w:ind w:left="280" w:hanging="272"/>
        <w:spacing w:after="0" w:line="217" w:lineRule="auto"/>
        <w:tabs>
          <w:tab w:leader="none" w:pos="278" w:val="left"/>
        </w:tabs>
        <w:numPr>
          <w:ilvl w:val="0"/>
          <w:numId w:val="114"/>
        </w:numPr>
        <w:rPr>
          <w:rFonts w:ascii="Arial" w:cs="Arial" w:eastAsia="Arial" w:hAnsi="Arial"/>
          <w:sz w:val="13"/>
          <w:szCs w:val="13"/>
          <w:color w:val="105EAB"/>
        </w:rPr>
      </w:pPr>
      <w:r>
        <w:rPr>
          <w:rFonts w:ascii="Arial" w:cs="Arial" w:eastAsia="Arial" w:hAnsi="Arial"/>
          <w:sz w:val="13"/>
          <w:szCs w:val="13"/>
          <w:color w:val="auto"/>
        </w:rPr>
        <w:t>Continued to strengthen Allstate’s catastrophe response and risk management programs through technology such as drone usage, QuickFoto Claim</w:t>
      </w:r>
      <w:r>
        <w:rPr>
          <w:rFonts w:ascii="Arial" w:cs="Arial" w:eastAsia="Arial" w:hAnsi="Arial"/>
          <w:sz w:val="22"/>
          <w:szCs w:val="22"/>
          <w:color w:val="auto"/>
          <w:vertAlign w:val="superscript"/>
        </w:rPr>
        <w:t>®</w:t>
      </w:r>
      <w:r>
        <w:rPr>
          <w:rFonts w:ascii="Arial" w:cs="Arial" w:eastAsia="Arial" w:hAnsi="Arial"/>
          <w:sz w:val="13"/>
          <w:szCs w:val="13"/>
          <w:color w:val="auto"/>
        </w:rPr>
        <w:t xml:space="preserve"> and Mobile Claims Centers</w:t>
      </w:r>
    </w:p>
    <w:p>
      <w:pPr>
        <w:spacing w:after="0" w:line="94" w:lineRule="exact"/>
        <w:rPr>
          <w:rFonts w:ascii="Arial" w:cs="Arial" w:eastAsia="Arial" w:hAnsi="Arial"/>
          <w:sz w:val="13"/>
          <w:szCs w:val="13"/>
          <w:color w:val="105EAB"/>
        </w:rPr>
      </w:pPr>
    </w:p>
    <w:p>
      <w:pPr>
        <w:ind w:left="280" w:right="200" w:hanging="272"/>
        <w:spacing w:after="0" w:line="258" w:lineRule="auto"/>
        <w:tabs>
          <w:tab w:leader="none" w:pos="278" w:val="left"/>
        </w:tabs>
        <w:numPr>
          <w:ilvl w:val="0"/>
          <w:numId w:val="114"/>
        </w:numPr>
        <w:rPr>
          <w:rFonts w:ascii="Arial" w:cs="Arial" w:eastAsia="Arial" w:hAnsi="Arial"/>
          <w:sz w:val="13"/>
          <w:szCs w:val="13"/>
          <w:color w:val="105EAB"/>
        </w:rPr>
      </w:pPr>
      <w:r>
        <w:rPr>
          <w:rFonts w:ascii="Arial" w:cs="Arial" w:eastAsia="Arial" w:hAnsi="Arial"/>
          <w:sz w:val="13"/>
          <w:szCs w:val="13"/>
          <w:color w:val="auto"/>
        </w:rPr>
        <w:t>Utilize reinsurance to minimize the economic impact on shareholders of severe weather</w:t>
      </w:r>
    </w:p>
    <w:p>
      <w:pPr>
        <w:spacing w:after="0" w:line="83" w:lineRule="exact"/>
        <w:rPr>
          <w:rFonts w:ascii="Arial" w:cs="Arial" w:eastAsia="Arial" w:hAnsi="Arial"/>
          <w:sz w:val="13"/>
          <w:szCs w:val="13"/>
          <w:color w:val="105EAB"/>
        </w:rPr>
      </w:pPr>
    </w:p>
    <w:p>
      <w:pPr>
        <w:ind w:left="280" w:right="240" w:hanging="272"/>
        <w:spacing w:after="0" w:line="258" w:lineRule="auto"/>
        <w:tabs>
          <w:tab w:leader="none" w:pos="278" w:val="left"/>
        </w:tabs>
        <w:numPr>
          <w:ilvl w:val="0"/>
          <w:numId w:val="114"/>
        </w:numPr>
        <w:rPr>
          <w:rFonts w:ascii="Arial" w:cs="Arial" w:eastAsia="Arial" w:hAnsi="Arial"/>
          <w:sz w:val="13"/>
          <w:szCs w:val="13"/>
          <w:color w:val="105EAB"/>
        </w:rPr>
      </w:pPr>
      <w:r>
        <w:rPr>
          <w:rFonts w:ascii="Arial" w:cs="Arial" w:eastAsia="Arial" w:hAnsi="Arial"/>
          <w:sz w:val="13"/>
          <w:szCs w:val="13"/>
          <w:color w:val="auto"/>
        </w:rPr>
        <w:t>Assisted customers in mitigating their carbon footprint through energy-efficient endorsements</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ind w:left="366"/>
        <w:spacing w:after="0"/>
        <w:rPr>
          <w:sz w:val="20"/>
          <w:szCs w:val="20"/>
          <w:color w:val="auto"/>
        </w:rPr>
      </w:pPr>
      <w:r>
        <w:rPr>
          <w:rFonts w:ascii="Arial" w:cs="Arial" w:eastAsia="Arial" w:hAnsi="Arial"/>
          <w:sz w:val="22"/>
          <w:szCs w:val="22"/>
          <w:b w:val="1"/>
          <w:bCs w:val="1"/>
          <w:color w:val="39B7E9"/>
        </w:rPr>
        <w:t>Community</w:t>
      </w:r>
    </w:p>
    <w:p>
      <w:pPr>
        <w:spacing w:after="0" w:line="76" w:lineRule="exact"/>
        <w:rPr>
          <w:sz w:val="20"/>
          <w:szCs w:val="20"/>
          <w:color w:val="auto"/>
        </w:rPr>
      </w:pPr>
    </w:p>
    <w:p>
      <w:pPr>
        <w:ind w:left="266" w:right="600" w:hanging="266"/>
        <w:spacing w:after="0" w:line="258" w:lineRule="auto"/>
        <w:tabs>
          <w:tab w:leader="none" w:pos="265" w:val="left"/>
        </w:tabs>
        <w:numPr>
          <w:ilvl w:val="0"/>
          <w:numId w:val="115"/>
        </w:numPr>
        <w:rPr>
          <w:rFonts w:ascii="Arial" w:cs="Arial" w:eastAsia="Arial" w:hAnsi="Arial"/>
          <w:sz w:val="13"/>
          <w:szCs w:val="13"/>
          <w:color w:val="105EAB"/>
        </w:rPr>
      </w:pPr>
      <w:r>
        <w:rPr>
          <w:rFonts w:ascii="Arial" w:cs="Arial" w:eastAsia="Arial" w:hAnsi="Arial"/>
          <w:sz w:val="13"/>
          <w:szCs w:val="13"/>
          <w:color w:val="auto"/>
        </w:rPr>
        <w:t>Gave nearly $47 million in charitable contributions throughout the nation, including contributions from employees and agents</w:t>
      </w:r>
    </w:p>
    <w:p>
      <w:pPr>
        <w:spacing w:after="0" w:line="83" w:lineRule="exact"/>
        <w:rPr>
          <w:rFonts w:ascii="Arial" w:cs="Arial" w:eastAsia="Arial" w:hAnsi="Arial"/>
          <w:sz w:val="13"/>
          <w:szCs w:val="13"/>
          <w:color w:val="105EAB"/>
        </w:rPr>
      </w:pPr>
    </w:p>
    <w:p>
      <w:pPr>
        <w:ind w:left="266" w:right="420" w:hanging="266"/>
        <w:spacing w:after="0" w:line="258" w:lineRule="auto"/>
        <w:tabs>
          <w:tab w:leader="none" w:pos="265" w:val="left"/>
        </w:tabs>
        <w:numPr>
          <w:ilvl w:val="0"/>
          <w:numId w:val="115"/>
        </w:numPr>
        <w:rPr>
          <w:rFonts w:ascii="Arial" w:cs="Arial" w:eastAsia="Arial" w:hAnsi="Arial"/>
          <w:sz w:val="13"/>
          <w:szCs w:val="13"/>
          <w:color w:val="105EAB"/>
        </w:rPr>
      </w:pPr>
      <w:r>
        <w:rPr>
          <w:rFonts w:ascii="Arial" w:cs="Arial" w:eastAsia="Arial" w:hAnsi="Arial"/>
          <w:sz w:val="13"/>
          <w:szCs w:val="13"/>
          <w:color w:val="auto"/>
        </w:rPr>
        <w:t>Helped over 6 million youth participate in service-based learning through The Allstate Foundation’s Good Starts Young program</w:t>
      </w:r>
    </w:p>
    <w:p>
      <w:pPr>
        <w:spacing w:after="0" w:line="83" w:lineRule="exact"/>
        <w:rPr>
          <w:rFonts w:ascii="Arial" w:cs="Arial" w:eastAsia="Arial" w:hAnsi="Arial"/>
          <w:sz w:val="13"/>
          <w:szCs w:val="13"/>
          <w:color w:val="105EAB"/>
        </w:rPr>
      </w:pPr>
    </w:p>
    <w:p>
      <w:pPr>
        <w:ind w:left="266" w:right="60" w:hanging="266"/>
        <w:spacing w:after="0" w:line="248" w:lineRule="auto"/>
        <w:tabs>
          <w:tab w:leader="none" w:pos="265" w:val="left"/>
        </w:tabs>
        <w:numPr>
          <w:ilvl w:val="0"/>
          <w:numId w:val="115"/>
        </w:numPr>
        <w:rPr>
          <w:rFonts w:ascii="Arial" w:cs="Arial" w:eastAsia="Arial" w:hAnsi="Arial"/>
          <w:sz w:val="13"/>
          <w:szCs w:val="13"/>
          <w:color w:val="105EAB"/>
        </w:rPr>
      </w:pPr>
      <w:r>
        <w:rPr>
          <w:rFonts w:ascii="Arial" w:cs="Arial" w:eastAsia="Arial" w:hAnsi="Arial"/>
          <w:sz w:val="13"/>
          <w:szCs w:val="13"/>
          <w:color w:val="auto"/>
        </w:rPr>
        <w:t>Since 2005, served over 1.7 million domestic violence survivors through The Allstate Foundation’s Purple Purse program, focused on ending domestic violence through financial empowerment</w:t>
      </w:r>
    </w:p>
    <w:p>
      <w:pPr>
        <w:spacing w:after="0" w:line="200" w:lineRule="exact"/>
        <w:rPr>
          <w:sz w:val="20"/>
          <w:szCs w:val="20"/>
          <w:color w:val="auto"/>
        </w:rPr>
      </w:pPr>
    </w:p>
    <w:p>
      <w:pPr>
        <w:spacing w:after="0" w:line="263" w:lineRule="exact"/>
        <w:rPr>
          <w:sz w:val="20"/>
          <w:szCs w:val="20"/>
          <w:color w:val="auto"/>
        </w:rPr>
      </w:pPr>
    </w:p>
    <w:p>
      <w:pPr>
        <w:ind w:left="366"/>
        <w:spacing w:after="0"/>
        <w:rPr>
          <w:sz w:val="20"/>
          <w:szCs w:val="20"/>
          <w:color w:val="auto"/>
        </w:rPr>
      </w:pPr>
      <w:r>
        <w:rPr>
          <w:rFonts w:ascii="Arial" w:cs="Arial" w:eastAsia="Arial" w:hAnsi="Arial"/>
          <w:sz w:val="22"/>
          <w:szCs w:val="22"/>
          <w:b w:val="1"/>
          <w:bCs w:val="1"/>
          <w:color w:val="39B7E9"/>
        </w:rPr>
        <w:t>Workforce and Inclusive Diversity</w:t>
      </w:r>
    </w:p>
    <w:p>
      <w:pPr>
        <w:spacing w:after="0" w:line="76" w:lineRule="exact"/>
        <w:rPr>
          <w:sz w:val="20"/>
          <w:szCs w:val="20"/>
          <w:color w:val="auto"/>
        </w:rPr>
      </w:pPr>
    </w:p>
    <w:p>
      <w:pPr>
        <w:ind w:left="266" w:right="40" w:hanging="266"/>
        <w:spacing w:after="0" w:line="258" w:lineRule="auto"/>
        <w:tabs>
          <w:tab w:leader="none" w:pos="265" w:val="left"/>
        </w:tabs>
        <w:numPr>
          <w:ilvl w:val="0"/>
          <w:numId w:val="116"/>
        </w:numPr>
        <w:rPr>
          <w:rFonts w:ascii="Arial" w:cs="Arial" w:eastAsia="Arial" w:hAnsi="Arial"/>
          <w:sz w:val="13"/>
          <w:szCs w:val="13"/>
          <w:color w:val="105EAB"/>
        </w:rPr>
      </w:pPr>
      <w:r>
        <w:rPr>
          <w:rFonts w:ascii="Arial" w:cs="Arial" w:eastAsia="Arial" w:hAnsi="Arial"/>
          <w:sz w:val="13"/>
          <w:szCs w:val="13"/>
          <w:color w:val="auto"/>
        </w:rPr>
        <w:t>Invested in training opportunities, with employees completing 444,302 courses and 465,804 hours of learning</w:t>
      </w:r>
    </w:p>
    <w:p>
      <w:pPr>
        <w:spacing w:after="0" w:line="83" w:lineRule="exact"/>
        <w:rPr>
          <w:rFonts w:ascii="Arial" w:cs="Arial" w:eastAsia="Arial" w:hAnsi="Arial"/>
          <w:sz w:val="13"/>
          <w:szCs w:val="13"/>
          <w:color w:val="105EAB"/>
        </w:rPr>
      </w:pPr>
    </w:p>
    <w:p>
      <w:pPr>
        <w:ind w:left="266" w:hanging="266"/>
        <w:spacing w:after="0"/>
        <w:tabs>
          <w:tab w:leader="none" w:pos="266" w:val="left"/>
        </w:tabs>
        <w:numPr>
          <w:ilvl w:val="0"/>
          <w:numId w:val="116"/>
        </w:numPr>
        <w:rPr>
          <w:rFonts w:ascii="Arial" w:cs="Arial" w:eastAsia="Arial" w:hAnsi="Arial"/>
          <w:sz w:val="13"/>
          <w:szCs w:val="13"/>
          <w:color w:val="105EAB"/>
        </w:rPr>
      </w:pPr>
      <w:r>
        <w:rPr>
          <w:rFonts w:ascii="Arial" w:cs="Arial" w:eastAsia="Arial" w:hAnsi="Arial"/>
          <w:sz w:val="13"/>
          <w:szCs w:val="13"/>
          <w:color w:val="auto"/>
        </w:rPr>
        <w:t>Worked to ensure the diversity of the workforce, resulting in 69.4% diverse employees</w:t>
      </w:r>
    </w:p>
    <w:p>
      <w:pPr>
        <w:spacing w:after="0" w:line="106" w:lineRule="exact"/>
        <w:rPr>
          <w:rFonts w:ascii="Arial" w:cs="Arial" w:eastAsia="Arial" w:hAnsi="Arial"/>
          <w:sz w:val="13"/>
          <w:szCs w:val="13"/>
          <w:color w:val="105EAB"/>
        </w:rPr>
      </w:pPr>
    </w:p>
    <w:p>
      <w:pPr>
        <w:ind w:left="266" w:right="460" w:hanging="266"/>
        <w:spacing w:after="0" w:line="258" w:lineRule="auto"/>
        <w:tabs>
          <w:tab w:leader="none" w:pos="265" w:val="left"/>
        </w:tabs>
        <w:numPr>
          <w:ilvl w:val="0"/>
          <w:numId w:val="116"/>
        </w:numPr>
        <w:rPr>
          <w:rFonts w:ascii="Arial" w:cs="Arial" w:eastAsia="Arial" w:hAnsi="Arial"/>
          <w:sz w:val="13"/>
          <w:szCs w:val="13"/>
          <w:color w:val="105EAB"/>
        </w:rPr>
      </w:pPr>
      <w:r>
        <w:rPr>
          <w:rFonts w:ascii="Arial" w:cs="Arial" w:eastAsia="Arial" w:hAnsi="Arial"/>
          <w:sz w:val="13"/>
          <w:szCs w:val="13"/>
          <w:color w:val="auto"/>
        </w:rPr>
        <w:t>Retained 86.7% of our employee population (a useful barometer for the health of the workforce culture)</w:t>
      </w:r>
    </w:p>
    <w:p>
      <w:pPr>
        <w:spacing w:after="0" w:line="83" w:lineRule="exact"/>
        <w:rPr>
          <w:rFonts w:ascii="Arial" w:cs="Arial" w:eastAsia="Arial" w:hAnsi="Arial"/>
          <w:sz w:val="13"/>
          <w:szCs w:val="13"/>
          <w:color w:val="105EAB"/>
        </w:rPr>
      </w:pPr>
    </w:p>
    <w:p>
      <w:pPr>
        <w:ind w:left="266" w:right="100" w:hanging="266"/>
        <w:spacing w:after="0" w:line="248" w:lineRule="auto"/>
        <w:tabs>
          <w:tab w:leader="none" w:pos="265" w:val="left"/>
        </w:tabs>
        <w:numPr>
          <w:ilvl w:val="0"/>
          <w:numId w:val="116"/>
        </w:numPr>
        <w:rPr>
          <w:rFonts w:ascii="Arial" w:cs="Arial" w:eastAsia="Arial" w:hAnsi="Arial"/>
          <w:sz w:val="13"/>
          <w:szCs w:val="13"/>
          <w:color w:val="105EAB"/>
        </w:rPr>
      </w:pPr>
      <w:r>
        <w:rPr>
          <w:rFonts w:ascii="Arial" w:cs="Arial" w:eastAsia="Arial" w:hAnsi="Arial"/>
          <w:sz w:val="13"/>
          <w:szCs w:val="13"/>
          <w:color w:val="auto"/>
        </w:rPr>
        <w:t>Provided leadership with feedback about the health of Allstate’s culture semi-annually, with this more frequent feedback enabling stronger development of managers and employee culture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-3597275</wp:posOffset>
            </wp:positionH>
            <wp:positionV relativeFrom="paragraph">
              <wp:posOffset>306070</wp:posOffset>
            </wp:positionV>
            <wp:extent cx="7246620" cy="3429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3429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80" w:space="494"/>
            <w:col w:w="5766"/>
          </w:cols>
          <w:pgMar w:left="240" w:top="121" w:right="219" w:bottom="1440" w:gutter="0" w:footer="0" w:header="0"/>
          <w:type w:val="continuous"/>
        </w:sectPr>
      </w:pPr>
    </w:p>
    <w:p>
      <w:pPr>
        <w:spacing w:after="0" w:line="200" w:lineRule="exact"/>
        <w:rPr>
          <w:sz w:val="20"/>
          <w:szCs w:val="20"/>
          <w:color w:val="auto"/>
        </w:rPr>
      </w:pPr>
    </w:p>
    <w:p>
      <w:pPr>
        <w:spacing w:after="0" w:line="202" w:lineRule="exact"/>
        <w:rPr>
          <w:sz w:val="20"/>
          <w:szCs w:val="20"/>
          <w:color w:val="auto"/>
        </w:rPr>
      </w:pPr>
    </w:p>
    <w:p>
      <w:pPr>
        <w:ind w:right="260"/>
        <w:spacing w:after="0" w:line="258" w:lineRule="auto"/>
        <w:rPr>
          <w:sz w:val="20"/>
          <w:szCs w:val="20"/>
          <w:color w:val="auto"/>
        </w:rPr>
      </w:pPr>
      <w:r>
        <w:rPr>
          <w:rFonts w:ascii="Arial" w:cs="Arial" w:eastAsia="Arial" w:hAnsi="Arial"/>
          <w:sz w:val="13"/>
          <w:szCs w:val="13"/>
          <w:color w:val="105FAB"/>
        </w:rPr>
        <w:t>Ethisphere has named Allstate as one of the World’s Most Ethical Companies each of the last five years, recognizing Allstate for high ethical standards in its business practices and values-based leadership.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246620" cy="3511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3511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sz w:val="1"/>
          <w:szCs w:val="1"/>
          <w:color w:val="auto"/>
        </w:rPr>
        <w:drawing>
          <wp:inline distT="0" distB="0" distL="0" distR="0">
            <wp:extent cx="171450" cy="196850"/>
            <wp:effectExtent l="0" t="0" r="0" b="0"/>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71450" cy="196850"/>
                    </a:xfrm>
                    <a:prstGeom prst="rect">
                      <a:avLst/>
                    </a:prstGeom>
                    <a:noFill/>
                    <a:ln>
                      <a:noFill/>
                    </a:ln>
                  </pic:spPr>
                </pic:pic>
              </a:graphicData>
            </a:graphic>
          </wp:inline>
        </w:drawing>
      </w:r>
      <w:r>
        <w:rPr>
          <w:rFonts w:ascii="Arial" w:cs="Arial" w:eastAsia="Arial" w:hAnsi="Arial"/>
          <w:sz w:val="13"/>
          <w:szCs w:val="13"/>
          <w:color w:val="105FAB"/>
        </w:rPr>
        <w:t xml:space="preserve"> To learn more about our corporate sustainability efforts, please view Allstate’s 2018 Sustainability Report at </w:t>
      </w:r>
      <w:r>
        <w:rPr>
          <w:rFonts w:ascii="Arial" w:cs="Arial" w:eastAsia="Arial" w:hAnsi="Arial"/>
          <w:sz w:val="13"/>
          <w:szCs w:val="13"/>
          <w:b w:val="1"/>
          <w:bCs w:val="1"/>
          <w:color w:val="105FAB"/>
        </w:rPr>
        <w:t>http://allstatesustainability.com</w:t>
      </w:r>
    </w:p>
    <w:p>
      <w:pPr>
        <w:spacing w:after="0" w:line="307" w:lineRule="exact"/>
        <w:rPr>
          <w:sz w:val="20"/>
          <w:szCs w:val="20"/>
          <w:color w:val="auto"/>
        </w:rPr>
      </w:pPr>
    </w:p>
    <w:p>
      <w:pPr>
        <w:spacing w:after="0"/>
        <w:rPr>
          <w:sz w:val="20"/>
          <w:szCs w:val="20"/>
          <w:color w:val="auto"/>
        </w:rPr>
      </w:pPr>
      <w:r>
        <w:rPr>
          <w:rFonts w:ascii="Arial" w:cs="Arial" w:eastAsia="Arial" w:hAnsi="Arial"/>
          <w:sz w:val="25"/>
          <w:szCs w:val="25"/>
          <w:b w:val="1"/>
          <w:bCs w:val="1"/>
          <w:color w:val="105FAB"/>
        </w:rPr>
        <w:t>More Information</w:t>
      </w:r>
    </w:p>
    <w:p>
      <w:pPr>
        <w:spacing w:after="0" w:line="241" w:lineRule="exact"/>
        <w:rPr>
          <w:sz w:val="20"/>
          <w:szCs w:val="20"/>
          <w:color w:val="auto"/>
        </w:rPr>
      </w:pPr>
    </w:p>
    <w:p>
      <w:pPr>
        <w:ind w:right="80"/>
        <w:spacing w:after="0"/>
        <w:rPr>
          <w:sz w:val="20"/>
          <w:szCs w:val="20"/>
          <w:color w:val="auto"/>
        </w:rPr>
      </w:pPr>
      <w:r>
        <w:rPr>
          <w:rFonts w:ascii="Arial" w:cs="Arial" w:eastAsia="Arial" w:hAnsi="Arial"/>
          <w:sz w:val="18"/>
          <w:szCs w:val="18"/>
          <w:color w:val="auto"/>
        </w:rPr>
        <w:t xml:space="preserve">You can learn more about our corporate governance by visiting www.allstateinvestors.com, where you will find our </w:t>
      </w:r>
      <w:r>
        <w:rPr>
          <w:rFonts w:ascii="Arial" w:cs="Arial" w:eastAsia="Arial" w:hAnsi="Arial"/>
          <w:sz w:val="18"/>
          <w:szCs w:val="18"/>
          <w:i w:val="1"/>
          <w:iCs w:val="1"/>
          <w:color w:val="auto"/>
        </w:rPr>
        <w:t>Corporate Governance</w:t>
      </w:r>
      <w:r>
        <w:rPr>
          <w:rFonts w:ascii="Arial" w:cs="Arial" w:eastAsia="Arial" w:hAnsi="Arial"/>
          <w:sz w:val="18"/>
          <w:szCs w:val="18"/>
          <w:color w:val="auto"/>
        </w:rPr>
        <w:t xml:space="preserve"> </w:t>
      </w:r>
      <w:r>
        <w:rPr>
          <w:rFonts w:ascii="Arial" w:cs="Arial" w:eastAsia="Arial" w:hAnsi="Arial"/>
          <w:sz w:val="18"/>
          <w:szCs w:val="18"/>
          <w:i w:val="1"/>
          <w:iCs w:val="1"/>
          <w:color w:val="auto"/>
        </w:rPr>
        <w:t>Guidelines</w:t>
      </w:r>
      <w:r>
        <w:rPr>
          <w:rFonts w:ascii="Arial" w:cs="Arial" w:eastAsia="Arial" w:hAnsi="Arial"/>
          <w:sz w:val="18"/>
          <w:szCs w:val="18"/>
          <w:color w:val="auto"/>
        </w:rPr>
        <w:t>, each standing committee charter, and</w:t>
      </w:r>
      <w:r>
        <w:rPr>
          <w:rFonts w:ascii="Arial" w:cs="Arial" w:eastAsia="Arial" w:hAnsi="Arial"/>
          <w:sz w:val="18"/>
          <w:szCs w:val="18"/>
          <w:i w:val="1"/>
          <w:iCs w:val="1"/>
          <w:color w:val="auto"/>
        </w:rPr>
        <w:t xml:space="preserve"> Director Independence Standards</w:t>
      </w:r>
      <w:r>
        <w:rPr>
          <w:rFonts w:ascii="Arial" w:cs="Arial" w:eastAsia="Arial" w:hAnsi="Arial"/>
          <w:sz w:val="18"/>
          <w:szCs w:val="18"/>
          <w:color w:val="auto"/>
        </w:rPr>
        <w:t>. Allstate has adopted a comprehensive Global Code of</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Conduct that applies to the CEO, CFO, vice chair, controller, and other senior financial and executive officers, as well as the Board of Directors and other employees. It is also available at www.allstateinvestors.com. Each of the above documents is available in print upon request to the Office of the Secretary, The Allstate Corporation, 2775 Sanders Road, Suite F7, Northbrook, IL 60062-6127.</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1120" w:type="dxa"/>
            <w:vAlign w:val="bottom"/>
          </w:tcPr>
          <w:p>
            <w:pPr>
              <w:ind w:left="9640"/>
              <w:spacing w:after="0"/>
              <w:rPr>
                <w:sz w:val="20"/>
                <w:szCs w:val="20"/>
                <w:color w:val="auto"/>
              </w:rPr>
            </w:pPr>
            <w:r>
              <w:rPr>
                <w:rFonts w:ascii="Arial" w:cs="Arial" w:eastAsia="Arial" w:hAnsi="Arial"/>
                <w:sz w:val="13"/>
                <w:szCs w:val="13"/>
                <w:color w:val="105EAB"/>
              </w:rPr>
              <w:t>2019 Proxy Statement</w:t>
            </w:r>
          </w:p>
        </w:tc>
        <w:tc>
          <w:tcPr>
            <w:tcW w:w="320" w:type="dxa"/>
            <w:vAlign w:val="bottom"/>
          </w:tcPr>
          <w:p>
            <w:pPr>
              <w:jc w:val="right"/>
              <w:spacing w:after="0"/>
              <w:rPr>
                <w:sz w:val="20"/>
                <w:szCs w:val="20"/>
                <w:color w:val="auto"/>
              </w:rPr>
            </w:pPr>
            <w:r>
              <w:rPr>
                <w:rFonts w:ascii="Arial" w:cs="Arial" w:eastAsia="Arial" w:hAnsi="Arial"/>
                <w:sz w:val="13"/>
                <w:szCs w:val="13"/>
                <w:b w:val="1"/>
                <w:bCs w:val="1"/>
                <w:color w:val="105EAB"/>
              </w:rPr>
              <w:t>23</w:t>
            </w:r>
          </w:p>
        </w:tc>
      </w:tr>
      <w:tr>
        <w:trPr>
          <w:trHeight w:val="213"/>
        </w:trPr>
        <w:tc>
          <w:tcPr>
            <w:tcW w:w="1112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-13970</wp:posOffset>
            </wp:positionV>
            <wp:extent cx="1270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b w:val="1"/>
          <w:bCs w:val="1"/>
          <w:color w:val="105FAB"/>
        </w:rPr>
        <w:t xml:space="preserve">Corporate Governance | </w:t>
      </w:r>
      <w:r>
        <w:rPr>
          <w:rFonts w:ascii="Arial" w:cs="Arial" w:eastAsia="Arial" w:hAnsi="Arial"/>
          <w:sz w:val="13"/>
          <w:szCs w:val="13"/>
          <w:b w:val="1"/>
          <w:bCs w:val="1"/>
          <w:color w:val="000000"/>
        </w:rPr>
        <w:t>The Board’s Risk Oversight Responsibilities</w:t>
      </w:r>
    </w:p>
    <w:p>
      <w:pPr>
        <w:spacing w:after="0" w:line="201" w:lineRule="exact"/>
        <w:rPr>
          <w:sz w:val="20"/>
          <w:szCs w:val="20"/>
          <w:color w:val="auto"/>
        </w:rPr>
      </w:pPr>
    </w:p>
    <w:p>
      <w:pPr>
        <w:spacing w:after="0"/>
        <w:rPr>
          <w:sz w:val="20"/>
          <w:szCs w:val="20"/>
          <w:color w:val="auto"/>
        </w:rPr>
      </w:pPr>
      <w:r>
        <w:rPr>
          <w:rFonts w:ascii="Arial" w:cs="Arial" w:eastAsia="Arial" w:hAnsi="Arial"/>
          <w:sz w:val="25"/>
          <w:szCs w:val="25"/>
          <w:b w:val="1"/>
          <w:bCs w:val="1"/>
          <w:color w:val="105FAB"/>
        </w:rPr>
        <w:t>Stockholder Engagement</w:t>
      </w:r>
    </w:p>
    <w:p>
      <w:pPr>
        <w:spacing w:after="0" w:line="23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 xml:space="preserve">Allstate proactively engages with significant stockholders throughout the year. </w:t>
      </w:r>
      <w:r>
        <w:rPr>
          <w:rFonts w:ascii="Arial" w:cs="Arial" w:eastAsia="Arial" w:hAnsi="Arial"/>
          <w:sz w:val="18"/>
          <w:szCs w:val="18"/>
          <w:b w:val="1"/>
          <w:bCs w:val="1"/>
          <w:color w:val="105FAB"/>
        </w:rPr>
        <w:t>Dialogue</w:t>
      </w:r>
      <w:r>
        <w:rPr>
          <w:rFonts w:ascii="Arial" w:cs="Arial" w:eastAsia="Arial" w:hAnsi="Arial"/>
          <w:sz w:val="18"/>
          <w:szCs w:val="18"/>
          <w:color w:val="105FAB"/>
        </w:rPr>
        <w:t>,</w:t>
      </w:r>
      <w:r>
        <w:rPr>
          <w:rFonts w:ascii="Arial" w:cs="Arial" w:eastAsia="Arial" w:hAnsi="Arial"/>
          <w:sz w:val="18"/>
          <w:szCs w:val="18"/>
          <w:color w:val="auto"/>
        </w:rPr>
        <w:t xml:space="preserve"> </w:t>
      </w:r>
      <w:r>
        <w:rPr>
          <w:rFonts w:ascii="Arial" w:cs="Arial" w:eastAsia="Arial" w:hAnsi="Arial"/>
          <w:sz w:val="18"/>
          <w:szCs w:val="18"/>
          <w:b w:val="1"/>
          <w:bCs w:val="1"/>
          <w:color w:val="105FAB"/>
        </w:rPr>
        <w:t>transparency</w:t>
      </w:r>
      <w:r>
        <w:rPr>
          <w:rFonts w:ascii="Arial" w:cs="Arial" w:eastAsia="Arial" w:hAnsi="Arial"/>
          <w:sz w:val="18"/>
          <w:szCs w:val="18"/>
          <w:color w:val="auto"/>
        </w:rPr>
        <w:t xml:space="preserve">, and </w:t>
      </w:r>
      <w:r>
        <w:rPr>
          <w:rFonts w:ascii="Arial" w:cs="Arial" w:eastAsia="Arial" w:hAnsi="Arial"/>
          <w:sz w:val="18"/>
          <w:szCs w:val="18"/>
          <w:b w:val="1"/>
          <w:bCs w:val="1"/>
          <w:color w:val="105FAB"/>
        </w:rPr>
        <w:t>responsiveness</w:t>
      </w:r>
      <w:r>
        <w:rPr>
          <w:rFonts w:ascii="Arial" w:cs="Arial" w:eastAsia="Arial" w:hAnsi="Arial"/>
          <w:sz w:val="18"/>
          <w:szCs w:val="18"/>
          <w:color w:val="auto"/>
        </w:rPr>
        <w:t xml:space="preserve"> are the cornerstones of our stockholder engagement program. Such discussions are held before the annual meeting, during stockholder voting, and after the annual meeting and include our lead director, chair of the nominating and governance committee, Chair of the Board, and other committee chairs or directors as necessary. </w:t>
      </w:r>
      <w:r>
        <w:rPr>
          <w:rFonts w:ascii="Arial" w:cs="Arial" w:eastAsia="Arial" w:hAnsi="Arial"/>
          <w:sz w:val="18"/>
          <w:szCs w:val="18"/>
          <w:b w:val="1"/>
          <w:bCs w:val="1"/>
          <w:color w:val="auto"/>
        </w:rPr>
        <w:t>Direct engagement involves reaching out to our largest stockholders representing approximately one-third of our total outstanding shares</w:t>
      </w:r>
      <w:r>
        <w:rPr>
          <w:rFonts w:ascii="Arial" w:cs="Arial" w:eastAsia="Arial" w:hAnsi="Arial"/>
          <w:sz w:val="18"/>
          <w:szCs w:val="18"/>
          <w:color w:val="auto"/>
        </w:rPr>
        <w:t>. We also engage with proxy and other investor advisory firms that represent the interests of various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stockholders. In addition to input on current governance and executive compensation topics specific to Allstate, we invite discussion on any other topics or trends stockholders may wish to share with us. Their input is reported to the nominating and governance committee, which in turn allocates specific issues to relevant Board committees for further consideration. </w:t>
      </w:r>
      <w:r>
        <w:rPr>
          <w:rFonts w:ascii="Arial" w:cs="Arial" w:eastAsia="Arial" w:hAnsi="Arial"/>
          <w:sz w:val="18"/>
          <w:szCs w:val="18"/>
          <w:b w:val="1"/>
          <w:bCs w:val="1"/>
          <w:color w:val="auto"/>
        </w:rPr>
        <w:t>Each Board committee reviews relevant feedback and</w:t>
      </w:r>
      <w:r>
        <w:rPr>
          <w:rFonts w:ascii="Arial" w:cs="Arial" w:eastAsia="Arial" w:hAnsi="Arial"/>
          <w:sz w:val="18"/>
          <w:szCs w:val="18"/>
          <w:color w:val="auto"/>
        </w:rPr>
        <w:t xml:space="preserve"> </w:t>
      </w:r>
      <w:r>
        <w:rPr>
          <w:rFonts w:ascii="Arial" w:cs="Arial" w:eastAsia="Arial" w:hAnsi="Arial"/>
          <w:sz w:val="18"/>
          <w:szCs w:val="18"/>
          <w:b w:val="1"/>
          <w:bCs w:val="1"/>
          <w:color w:val="auto"/>
        </w:rPr>
        <w:t>determines if additional discussion or actions are necessary by the respective committee or full Board</w:t>
      </w:r>
      <w:r>
        <w:rPr>
          <w:rFonts w:ascii="Arial" w:cs="Arial" w:eastAsia="Arial" w:hAnsi="Arial"/>
          <w:sz w:val="18"/>
          <w:szCs w:val="18"/>
          <w:color w:val="auto"/>
        </w:rPr>
        <w:t>. In addition, broader investor</w:t>
      </w:r>
      <w:r>
        <w:rPr>
          <w:rFonts w:ascii="Arial" w:cs="Arial" w:eastAsia="Arial" w:hAnsi="Arial"/>
          <w:sz w:val="18"/>
          <w:szCs w:val="18"/>
          <w:b w:val="1"/>
          <w:bCs w:val="1"/>
          <w:color w:val="auto"/>
        </w:rPr>
        <w:t xml:space="preserve"> </w:t>
      </w:r>
      <w:r>
        <w:rPr>
          <w:rFonts w:ascii="Arial" w:cs="Arial" w:eastAsia="Arial" w:hAnsi="Arial"/>
          <w:sz w:val="18"/>
          <w:szCs w:val="18"/>
          <w:color w:val="auto"/>
        </w:rPr>
        <w:t>surveys provide perspective on investor concerns.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105FAB"/>
        </w:rPr>
        <w:t>STOCKHOLDER ENGAGEMENT CYCLE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146050</wp:posOffset>
            </wp:positionV>
            <wp:extent cx="5859145" cy="35204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859145" cy="3520440"/>
                    </a:xfrm>
                    <a:prstGeom prst="rect">
                      <a:avLst/>
                    </a:prstGeom>
                    <a:noFill/>
                  </pic:spPr>
                </pic:pic>
              </a:graphicData>
            </a:graphic>
          </wp:anchor>
        </w:drawing>
      </w:r>
    </w:p>
    <w:p>
      <w:pPr>
        <w:sectPr>
          <w:pgSz w:w="11900" w:h="16838" w:orient="portrait"/>
          <w:cols w:equalWidth="0" w:num="1">
            <w:col w:w="11240"/>
          </w:cols>
          <w:pgMar w:left="240" w:top="121"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5"/>
          <w:szCs w:val="25"/>
          <w:b w:val="1"/>
          <w:bCs w:val="1"/>
          <w:color w:val="105FAB"/>
        </w:rPr>
        <w:t>Communication with the Board</w:t>
      </w:r>
    </w:p>
    <w:p>
      <w:pPr>
        <w:spacing w:after="0" w:line="25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Board has established a process to facilitate communication by stockholders and other interested parties with directors as a group. The general counsel reports regularly to the nominating and governance committee on all correspondence received that, in her opinion, involves functions of the Board or its committees or that she otherwise determines merits Board attention. Activity on social media is also monitored and reported to the nominating and governance committee.</w:t>
      </w:r>
    </w:p>
    <w:p>
      <w:pPr>
        <w:spacing w:after="0" w:line="209"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In addition, the audit committee has established procedures for the receipt, retention, and treatment of any complaints about accounting, internal accounting controls, or auditing matters. The communication process and the methods to communicate with directors are posted on the “Corporate Governance” and “Management &amp; Directors” sections of www.allstateinvestors.com.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540"/>
        <w:spacing w:after="0" w:line="298" w:lineRule="auto"/>
        <w:rPr>
          <w:sz w:val="20"/>
          <w:szCs w:val="20"/>
          <w:color w:val="auto"/>
        </w:rPr>
      </w:pPr>
      <w:r>
        <w:rPr>
          <w:rFonts w:ascii="Arial" w:cs="Arial" w:eastAsia="Arial" w:hAnsi="Arial"/>
          <w:sz w:val="16"/>
          <w:szCs w:val="16"/>
          <w:color w:val="105FAB"/>
        </w:rPr>
        <w:t>The Allstate Board welcomes your input on compensation, governance, and 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-368300</wp:posOffset>
            </wp:positionV>
            <wp:extent cx="2749550" cy="14046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749550" cy="1404620"/>
                    </a:xfrm>
                    <a:prstGeom prst="rect">
                      <a:avLst/>
                    </a:prstGeom>
                    <a:noFill/>
                  </pic:spPr>
                </pic:pic>
              </a:graphicData>
            </a:graphic>
          </wp:anchor>
        </w:drawing>
      </w:r>
    </w:p>
    <w:p>
      <w:pPr>
        <w:spacing w:after="0" w:line="21" w:lineRule="exact"/>
        <w:rPr>
          <w:sz w:val="20"/>
          <w:szCs w:val="20"/>
          <w:color w:val="auto"/>
        </w:rPr>
      </w:pPr>
    </w:p>
    <w:p>
      <w:pPr>
        <w:spacing w:after="0"/>
        <w:rPr>
          <w:sz w:val="20"/>
          <w:szCs w:val="20"/>
          <w:color w:val="auto"/>
        </w:rPr>
      </w:pPr>
      <w:r>
        <w:rPr>
          <w:sz w:val="1"/>
          <w:szCs w:val="1"/>
          <w:color w:val="auto"/>
        </w:rPr>
        <w:drawing>
          <wp:inline distT="0" distB="0" distL="0" distR="0">
            <wp:extent cx="291465" cy="308610"/>
            <wp:effectExtent l="0" t="0" r="0" b="0"/>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91465" cy="308610"/>
                    </a:xfrm>
                    <a:prstGeom prst="rect">
                      <a:avLst/>
                    </a:prstGeom>
                    <a:noFill/>
                    <a:ln>
                      <a:noFill/>
                    </a:ln>
                  </pic:spPr>
                </pic:pic>
              </a:graphicData>
            </a:graphic>
          </wp:inline>
        </w:drawing>
      </w:r>
      <w:r>
        <w:rPr>
          <w:rFonts w:ascii="Arial" w:cs="Arial" w:eastAsia="Arial" w:hAnsi="Arial"/>
          <w:sz w:val="18"/>
          <w:szCs w:val="18"/>
          <w:color w:val="105FAB"/>
        </w:rPr>
        <w:t xml:space="preserve"> directors@allstate.com</w:t>
      </w:r>
    </w:p>
    <w:p>
      <w:pPr>
        <w:spacing w:after="0" w:line="138" w:lineRule="exact"/>
        <w:rPr>
          <w:sz w:val="20"/>
          <w:szCs w:val="20"/>
          <w:color w:val="auto"/>
        </w:rPr>
      </w:pPr>
    </w:p>
    <w:p>
      <w:pPr>
        <w:ind w:left="540" w:right="60"/>
        <w:spacing w:after="0" w:line="237" w:lineRule="auto"/>
        <w:rPr>
          <w:sz w:val="20"/>
          <w:szCs w:val="20"/>
          <w:color w:val="auto"/>
        </w:rPr>
      </w:pPr>
      <w:r>
        <w:rPr>
          <w:rFonts w:ascii="Arial" w:cs="Arial" w:eastAsia="Arial" w:hAnsi="Arial"/>
          <w:sz w:val="18"/>
          <w:szCs w:val="18"/>
          <w:color w:val="105FAB"/>
        </w:rPr>
        <w:t>The Allstate Corporation, Nominating &amp; Governance Committee, 2775 Sanders Road, Suite F7, Northbrook, IL 60062-6127 c/o General Counsel</w:t>
      </w:r>
    </w:p>
    <w:p>
      <w:pPr>
        <w:spacing w:after="0" w:line="548" w:lineRule="exact"/>
        <w:rPr>
          <w:sz w:val="20"/>
          <w:szCs w:val="20"/>
          <w:color w:val="auto"/>
        </w:rPr>
      </w:pPr>
    </w:p>
    <w:p>
      <w:pPr>
        <w:sectPr>
          <w:pgSz w:w="11900" w:h="16838" w:orient="portrait"/>
          <w:cols w:equalWidth="0" w:num="2">
            <w:col w:w="6760" w:space="320"/>
            <w:col w:w="4160"/>
          </w:cols>
          <w:pgMar w:left="240" w:top="121" w:right="419" w:bottom="1440" w:gutter="0" w:footer="0" w:header="0"/>
          <w:type w:val="continuous"/>
        </w:sectPr>
      </w:pPr>
    </w:p>
    <w:p>
      <w:pPr>
        <w:spacing w:after="0" w:line="222" w:lineRule="exact"/>
        <w:rPr>
          <w:sz w:val="20"/>
          <w:szCs w:val="20"/>
          <w:color w:val="auto"/>
        </w:rPr>
      </w:pPr>
    </w:p>
    <w:p>
      <w:pPr>
        <w:ind w:left="460" w:hanging="452"/>
        <w:spacing w:after="0"/>
        <w:tabs>
          <w:tab w:leader="none" w:pos="460" w:val="left"/>
        </w:tabs>
        <w:numPr>
          <w:ilvl w:val="0"/>
          <w:numId w:val="117"/>
        </w:numPr>
        <w:rPr>
          <w:rFonts w:ascii="Arial" w:cs="Arial" w:eastAsia="Arial" w:hAnsi="Arial"/>
          <w:sz w:val="13"/>
          <w:szCs w:val="13"/>
          <w:b w:val="1"/>
          <w:bCs w:val="1"/>
          <w:color w:val="105EAB"/>
        </w:rPr>
      </w:pPr>
      <w:r>
        <w:rPr>
          <w:rFonts w:ascii="Arial" w:cs="Arial" w:eastAsia="Arial" w:hAnsi="Arial"/>
          <w:sz w:val="13"/>
          <w:szCs w:val="13"/>
          <w:color w:val="105EAB"/>
        </w:rPr>
        <w:t>www.allstateproxy.com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134620</wp:posOffset>
            </wp:positionV>
            <wp:extent cx="7268210" cy="209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240"/>
          </w:cols>
          <w:pgMar w:left="240" w:top="121" w:right="41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jc w:val="right"/>
        <w:ind w:right="20"/>
        <w:spacing w:after="0"/>
        <w:rPr>
          <w:sz w:val="20"/>
          <w:szCs w:val="20"/>
          <w:color w:val="auto"/>
        </w:rPr>
      </w:pPr>
      <w:r>
        <w:rPr>
          <w:rFonts w:ascii="Arial" w:cs="Arial" w:eastAsia="Arial" w:hAnsi="Arial"/>
          <w:sz w:val="13"/>
          <w:szCs w:val="13"/>
          <w:b w:val="1"/>
          <w:bCs w:val="1"/>
          <w:color w:val="auto"/>
        </w:rPr>
        <w:t xml:space="preserve">Board Structure </w:t>
      </w:r>
      <w:r>
        <w:rPr>
          <w:rFonts w:ascii="Arial" w:cs="Arial" w:eastAsia="Arial" w:hAnsi="Arial"/>
          <w:sz w:val="13"/>
          <w:szCs w:val="13"/>
          <w:b w:val="1"/>
          <w:bCs w:val="1"/>
          <w:color w:val="105EAB"/>
        </w:rPr>
        <w:t>| Corporate Governance</w:t>
      </w:r>
    </w:p>
    <w:p>
      <w:pPr>
        <w:spacing w:after="0" w:line="200" w:lineRule="exact"/>
        <w:rPr>
          <w:sz w:val="20"/>
          <w:szCs w:val="20"/>
          <w:color w:val="auto"/>
        </w:rPr>
      </w:pPr>
    </w:p>
    <w:p>
      <w:pPr>
        <w:spacing w:after="0"/>
        <w:rPr>
          <w:sz w:val="20"/>
          <w:szCs w:val="20"/>
          <w:color w:val="auto"/>
        </w:rPr>
      </w:pPr>
      <w:r>
        <w:rPr>
          <w:rFonts w:ascii="Arial" w:cs="Arial" w:eastAsia="Arial" w:hAnsi="Arial"/>
          <w:sz w:val="31"/>
          <w:szCs w:val="31"/>
          <w:b w:val="1"/>
          <w:bCs w:val="1"/>
          <w:color w:val="959595"/>
        </w:rPr>
        <w:t>Board Structure</w:t>
      </w:r>
    </w:p>
    <w:p>
      <w:pPr>
        <w:spacing w:after="0" w:line="224" w:lineRule="exact"/>
        <w:rPr>
          <w:sz w:val="20"/>
          <w:szCs w:val="20"/>
          <w:color w:val="auto"/>
        </w:rPr>
      </w:pPr>
    </w:p>
    <w:p>
      <w:pPr>
        <w:spacing w:after="0"/>
        <w:rPr>
          <w:sz w:val="20"/>
          <w:szCs w:val="20"/>
          <w:color w:val="auto"/>
        </w:rPr>
      </w:pPr>
      <w:r>
        <w:rPr>
          <w:rFonts w:ascii="Arial" w:cs="Arial" w:eastAsia="Arial" w:hAnsi="Arial"/>
          <w:sz w:val="25"/>
          <w:szCs w:val="25"/>
          <w:b w:val="1"/>
          <w:bCs w:val="1"/>
          <w:color w:val="105EAB"/>
        </w:rPr>
        <w:t>Independent Lead Director</w:t>
      </w:r>
    </w:p>
    <w:p>
      <w:pPr>
        <w:spacing w:after="0" w:line="259" w:lineRule="exact"/>
        <w:rPr>
          <w:sz w:val="20"/>
          <w:szCs w:val="20"/>
          <w:color w:val="auto"/>
        </w:rPr>
      </w:pPr>
    </w:p>
    <w:p>
      <w:pPr>
        <w:ind w:right="360"/>
        <w:spacing w:after="0" w:line="237" w:lineRule="auto"/>
        <w:rPr>
          <w:sz w:val="20"/>
          <w:szCs w:val="20"/>
          <w:color w:val="auto"/>
        </w:rPr>
      </w:pPr>
      <w:r>
        <w:rPr>
          <w:rFonts w:ascii="Arial" w:cs="Arial" w:eastAsia="Arial" w:hAnsi="Arial"/>
          <w:sz w:val="18"/>
          <w:szCs w:val="18"/>
          <w:color w:val="auto"/>
        </w:rPr>
        <w:t>Allstate’s Board places great importance on strong independent Board leadership and has had a strong lead director role in place for over eight years. Allstate’s Corporate Governance Guidelines describe the responsibilities of the lead director and the selection process, including the characteristics that the Board considers important in a lead director.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lead director is elected annually by the independent directors, and it is generally expected that the lead director serve more than one year.</w:t>
      </w:r>
    </w:p>
    <w:p>
      <w:pPr>
        <w:sectPr>
          <w:pgSz w:w="11900" w:h="16838" w:orient="portrait"/>
          <w:cols w:equalWidth="0" w:num="1">
            <w:col w:w="11440"/>
          </w:cols>
          <w:pgMar w:left="240" w:top="121" w:right="219" w:bottom="1440" w:gutter="0" w:footer="0" w:header="0"/>
        </w:sectPr>
      </w:pPr>
    </w:p>
    <w:p>
      <w:pPr>
        <w:spacing w:after="0" w:line="299"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39B6E9"/>
        </w:rPr>
        <w:t>Considerations in Selecting the Current Lead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3760470" cy="13360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760470" cy="133604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3"/>
          <w:szCs w:val="13"/>
          <w:color w:val="auto"/>
        </w:rPr>
        <w:t>The independent directors consider several factors, including the director’s corporate governance expertise, operational and leadership experience, board service and tenure, integrity, prior Board leadership roles, and ability to meet the required time commitment. It is preferable that the lead director hold a previous position as chair of a Board committee, either at Allstate or another company. Ms. Sprieser was chosen by the independent directors as she exemplified these characteristics. She has devoted significant time fulfilling her duties as lead director since May 2015. During her tenure on Allstate’s Board, she has cultivated an expansive knowledge of Allstate in multiple operating environments. Her long-term perspective complements the perspectives of newer Board members, six of whom have joined in the last five years. The independent directors believe that Ms. Sprieser is exceptionally well-qualified to serve as Allstate’s independent lead director.</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b w:val="1"/>
          <w:bCs w:val="1"/>
          <w:color w:val="105EAB"/>
        </w:rPr>
        <w:t>Judith A. Sprieser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-139700</wp:posOffset>
            </wp:positionV>
            <wp:extent cx="3272155" cy="134493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272155" cy="134493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39B6E9"/>
        </w:rPr>
        <w:t>LEAD DIRECTOR</w:t>
      </w:r>
    </w:p>
    <w:p>
      <w:pPr>
        <w:spacing w:after="0" w:line="200" w:lineRule="exact"/>
        <w:rPr>
          <w:sz w:val="20"/>
          <w:szCs w:val="20"/>
          <w:color w:val="auto"/>
        </w:rPr>
      </w:pPr>
    </w:p>
    <w:p>
      <w:pPr>
        <w:spacing w:after="0" w:line="237" w:lineRule="exact"/>
        <w:rPr>
          <w:sz w:val="20"/>
          <w:szCs w:val="20"/>
          <w:color w:val="auto"/>
        </w:rPr>
      </w:pPr>
    </w:p>
    <w:p>
      <w:pPr>
        <w:ind w:left="260" w:hanging="260"/>
        <w:spacing w:after="0"/>
        <w:tabs>
          <w:tab w:leader="none" w:pos="260" w:val="left"/>
        </w:tabs>
        <w:numPr>
          <w:ilvl w:val="0"/>
          <w:numId w:val="118"/>
        </w:numPr>
        <w:rPr>
          <w:rFonts w:ascii="Arial" w:cs="Arial" w:eastAsia="Arial" w:hAnsi="Arial"/>
          <w:sz w:val="13"/>
          <w:szCs w:val="13"/>
          <w:color w:val="105EAB"/>
        </w:rPr>
      </w:pPr>
      <w:r>
        <w:rPr>
          <w:rFonts w:ascii="Arial" w:cs="Arial" w:eastAsia="Arial" w:hAnsi="Arial"/>
          <w:sz w:val="13"/>
          <w:szCs w:val="13"/>
          <w:color w:val="auto"/>
        </w:rPr>
        <w:t>Lead director since 2015</w:t>
      </w:r>
    </w:p>
    <w:p>
      <w:pPr>
        <w:spacing w:after="0" w:line="66" w:lineRule="exact"/>
        <w:rPr>
          <w:rFonts w:ascii="Arial" w:cs="Arial" w:eastAsia="Arial" w:hAnsi="Arial"/>
          <w:sz w:val="13"/>
          <w:szCs w:val="13"/>
          <w:color w:val="105EAB"/>
        </w:rPr>
      </w:pPr>
    </w:p>
    <w:p>
      <w:pPr>
        <w:ind w:left="260" w:right="1460" w:hanging="260"/>
        <w:spacing w:after="0" w:line="258" w:lineRule="auto"/>
        <w:tabs>
          <w:tab w:leader="none" w:pos="259" w:val="left"/>
        </w:tabs>
        <w:numPr>
          <w:ilvl w:val="0"/>
          <w:numId w:val="118"/>
        </w:numPr>
        <w:rPr>
          <w:rFonts w:ascii="Arial" w:cs="Arial" w:eastAsia="Arial" w:hAnsi="Arial"/>
          <w:sz w:val="13"/>
          <w:szCs w:val="13"/>
          <w:color w:val="105EAB"/>
        </w:rPr>
      </w:pPr>
      <w:r>
        <w:rPr>
          <w:rFonts w:ascii="Arial" w:cs="Arial" w:eastAsia="Arial" w:hAnsi="Arial"/>
          <w:sz w:val="13"/>
          <w:szCs w:val="13"/>
          <w:color w:val="auto"/>
        </w:rPr>
        <w:t>Member of the nominating and governance, risk and return and executive committees</w:t>
      </w:r>
    </w:p>
    <w:p>
      <w:pPr>
        <w:spacing w:after="0" w:line="42" w:lineRule="exact"/>
        <w:rPr>
          <w:rFonts w:ascii="Arial" w:cs="Arial" w:eastAsia="Arial" w:hAnsi="Arial"/>
          <w:sz w:val="13"/>
          <w:szCs w:val="13"/>
          <w:color w:val="105EAB"/>
        </w:rPr>
      </w:pPr>
    </w:p>
    <w:p>
      <w:pPr>
        <w:ind w:left="260" w:hanging="260"/>
        <w:spacing w:after="0"/>
        <w:tabs>
          <w:tab w:leader="none" w:pos="260" w:val="left"/>
        </w:tabs>
        <w:numPr>
          <w:ilvl w:val="0"/>
          <w:numId w:val="118"/>
        </w:numPr>
        <w:rPr>
          <w:rFonts w:ascii="Arial" w:cs="Arial" w:eastAsia="Arial" w:hAnsi="Arial"/>
          <w:sz w:val="13"/>
          <w:szCs w:val="13"/>
          <w:color w:val="105EAB"/>
        </w:rPr>
      </w:pPr>
      <w:r>
        <w:rPr>
          <w:rFonts w:ascii="Arial" w:cs="Arial" w:eastAsia="Arial" w:hAnsi="Arial"/>
          <w:sz w:val="13"/>
          <w:szCs w:val="13"/>
          <w:color w:val="auto"/>
        </w:rPr>
        <w:t>Prior chair of audit committee for seven years</w:t>
      </w:r>
    </w:p>
    <w:p>
      <w:pPr>
        <w:spacing w:after="0" w:line="79" w:lineRule="exact"/>
        <w:rPr>
          <w:rFonts w:ascii="Arial" w:cs="Arial" w:eastAsia="Arial" w:hAnsi="Arial"/>
          <w:sz w:val="13"/>
          <w:szCs w:val="13"/>
          <w:color w:val="105EAB"/>
        </w:rPr>
      </w:pPr>
    </w:p>
    <w:p>
      <w:pPr>
        <w:ind w:left="260" w:right="2200" w:hanging="260"/>
        <w:spacing w:after="0" w:line="258" w:lineRule="auto"/>
        <w:tabs>
          <w:tab w:leader="none" w:pos="259" w:val="left"/>
        </w:tabs>
        <w:numPr>
          <w:ilvl w:val="0"/>
          <w:numId w:val="118"/>
        </w:numPr>
        <w:rPr>
          <w:rFonts w:ascii="Arial" w:cs="Arial" w:eastAsia="Arial" w:hAnsi="Arial"/>
          <w:sz w:val="13"/>
          <w:szCs w:val="13"/>
          <w:color w:val="105EAB"/>
        </w:rPr>
      </w:pPr>
      <w:r>
        <w:rPr>
          <w:rFonts w:ascii="Arial" w:cs="Arial" w:eastAsia="Arial" w:hAnsi="Arial"/>
          <w:sz w:val="13"/>
          <w:szCs w:val="13"/>
          <w:color w:val="auto"/>
        </w:rPr>
        <w:t>Allstate Board experience in multiple operating environments and under two CEOs</w:t>
      </w:r>
    </w:p>
    <w:p>
      <w:pPr>
        <w:spacing w:after="0" w:line="200" w:lineRule="exact"/>
        <w:rPr>
          <w:sz w:val="20"/>
          <w:szCs w:val="20"/>
          <w:color w:val="auto"/>
        </w:rPr>
      </w:pPr>
    </w:p>
    <w:p>
      <w:pPr>
        <w:sectPr>
          <w:pgSz w:w="11900" w:h="16838" w:orient="portrait"/>
          <w:cols w:equalWidth="0" w:num="2">
            <w:col w:w="5820" w:space="380"/>
            <w:col w:w="5240"/>
          </w:cols>
          <w:pgMar w:left="240" w:top="121" w:right="219" w:bottom="1440" w:gutter="0" w:footer="0" w:header="0"/>
          <w:type w:val="continuous"/>
        </w:sectPr>
      </w:pP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105EAB"/>
        </w:rPr>
        <w:t>LEAD INDEPENDENT DIRECTOR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860" w:type="dxa"/>
            <w:vAlign w:val="bottom"/>
          </w:tcPr>
          <w:p>
            <w:pPr>
              <w:ind w:left="80"/>
              <w:spacing w:after="0"/>
              <w:rPr>
                <w:sz w:val="20"/>
                <w:szCs w:val="20"/>
                <w:color w:val="auto"/>
              </w:rPr>
            </w:pPr>
            <w:r>
              <w:rPr>
                <w:rFonts w:ascii="Arial" w:cs="Arial" w:eastAsia="Arial" w:hAnsi="Arial"/>
                <w:sz w:val="13"/>
                <w:szCs w:val="13"/>
                <w:b w:val="1"/>
                <w:bCs w:val="1"/>
                <w:color w:val="105EAB"/>
              </w:rPr>
              <w:t>Board Meetings and</w:t>
            </w:r>
          </w:p>
        </w:tc>
        <w:tc>
          <w:tcPr>
            <w:tcW w:w="9400" w:type="dxa"/>
            <w:vAlign w:val="bottom"/>
          </w:tcPr>
          <w:p>
            <w:pPr>
              <w:ind w:left="180"/>
              <w:spacing w:after="0"/>
              <w:rPr>
                <w:sz w:val="20"/>
                <w:szCs w:val="20"/>
                <w:color w:val="auto"/>
              </w:rPr>
            </w:pPr>
            <w:r>
              <w:rPr>
                <w:rFonts w:ascii="Arial" w:cs="Arial" w:eastAsia="Arial" w:hAnsi="Arial"/>
                <w:sz w:val="13"/>
                <w:szCs w:val="13"/>
                <w:color w:val="105EAB"/>
              </w:rPr>
              <w:t xml:space="preserve">►  </w:t>
            </w:r>
            <w:r>
              <w:rPr>
                <w:rFonts w:ascii="Arial" w:cs="Arial" w:eastAsia="Arial" w:hAnsi="Arial"/>
                <w:sz w:val="13"/>
                <w:szCs w:val="13"/>
                <w:color w:val="000000"/>
              </w:rPr>
              <w:t>Has the authority to call meetings of the independent directors</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1860" w:type="dxa"/>
            <w:vAlign w:val="bottom"/>
          </w:tcPr>
          <w:p>
            <w:pPr>
              <w:ind w:left="80"/>
              <w:spacing w:after="0"/>
              <w:rPr>
                <w:sz w:val="20"/>
                <w:szCs w:val="20"/>
                <w:color w:val="auto"/>
              </w:rPr>
            </w:pPr>
            <w:r>
              <w:rPr>
                <w:rFonts w:ascii="Arial" w:cs="Arial" w:eastAsia="Arial" w:hAnsi="Arial"/>
                <w:sz w:val="13"/>
                <w:szCs w:val="13"/>
                <w:b w:val="1"/>
                <w:bCs w:val="1"/>
                <w:color w:val="105EAB"/>
              </w:rPr>
              <w:t>Executive Sessions</w:t>
            </w:r>
          </w:p>
        </w:tc>
        <w:tc>
          <w:tcPr>
            <w:tcW w:w="9400" w:type="dxa"/>
            <w:vAlign w:val="bottom"/>
            <w:vMerge w:val="restart"/>
          </w:tcPr>
          <w:p>
            <w:pPr>
              <w:ind w:left="180"/>
              <w:spacing w:after="0"/>
              <w:rPr>
                <w:sz w:val="20"/>
                <w:szCs w:val="20"/>
                <w:color w:val="auto"/>
              </w:rPr>
            </w:pPr>
            <w:r>
              <w:rPr>
                <w:rFonts w:ascii="Arial" w:cs="Arial" w:eastAsia="Arial" w:hAnsi="Arial"/>
                <w:sz w:val="13"/>
                <w:szCs w:val="13"/>
                <w:color w:val="105EAB"/>
              </w:rPr>
              <w:t xml:space="preserve">►  </w:t>
            </w:r>
            <w:r>
              <w:rPr>
                <w:rFonts w:ascii="Arial" w:cs="Arial" w:eastAsia="Arial" w:hAnsi="Arial"/>
                <w:sz w:val="13"/>
                <w:szCs w:val="13"/>
                <w:color w:val="000000"/>
              </w:rPr>
              <w:t>Approves meeting agendas and schedules and information sent to the Board to ensure there is sufficient time for discussion of all items and that</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4"/>
        </w:trPr>
        <w:tc>
          <w:tcPr>
            <w:tcW w:w="1860" w:type="dxa"/>
            <w:vAlign w:val="bottom"/>
          </w:tcPr>
          <w:p>
            <w:pPr>
              <w:spacing w:after="0"/>
              <w:rPr>
                <w:sz w:val="8"/>
                <w:szCs w:val="8"/>
                <w:color w:val="auto"/>
              </w:rPr>
            </w:pPr>
          </w:p>
        </w:tc>
        <w:tc>
          <w:tcPr>
            <w:tcW w:w="94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1860" w:type="dxa"/>
            <w:vAlign w:val="bottom"/>
          </w:tcPr>
          <w:p>
            <w:pPr>
              <w:spacing w:after="0"/>
              <w:rPr>
                <w:sz w:val="14"/>
                <w:szCs w:val="14"/>
                <w:color w:val="auto"/>
              </w:rPr>
            </w:pPr>
          </w:p>
        </w:tc>
        <w:tc>
          <w:tcPr>
            <w:tcW w:w="9400" w:type="dxa"/>
            <w:vAlign w:val="bottom"/>
          </w:tcPr>
          <w:p>
            <w:pPr>
              <w:ind w:left="460"/>
              <w:spacing w:after="0"/>
              <w:rPr>
                <w:sz w:val="20"/>
                <w:szCs w:val="20"/>
                <w:color w:val="auto"/>
              </w:rPr>
            </w:pPr>
            <w:r>
              <w:rPr>
                <w:rFonts w:ascii="Arial" w:cs="Arial" w:eastAsia="Arial" w:hAnsi="Arial"/>
                <w:sz w:val="13"/>
                <w:szCs w:val="13"/>
                <w:color w:val="auto"/>
              </w:rPr>
              <w:t>directors have the information necessary to perform their duties</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1860" w:type="dxa"/>
            <w:vAlign w:val="bottom"/>
          </w:tcPr>
          <w:p>
            <w:pPr>
              <w:spacing w:after="0"/>
              <w:rPr>
                <w:sz w:val="22"/>
                <w:szCs w:val="22"/>
                <w:color w:val="auto"/>
              </w:rPr>
            </w:pPr>
          </w:p>
        </w:tc>
        <w:tc>
          <w:tcPr>
            <w:tcW w:w="9400" w:type="dxa"/>
            <w:vAlign w:val="bottom"/>
          </w:tcPr>
          <w:p>
            <w:pPr>
              <w:ind w:left="180"/>
              <w:spacing w:after="0"/>
              <w:rPr>
                <w:sz w:val="20"/>
                <w:szCs w:val="20"/>
                <w:color w:val="auto"/>
              </w:rPr>
            </w:pPr>
            <w:r>
              <w:rPr>
                <w:rFonts w:ascii="Arial" w:cs="Arial" w:eastAsia="Arial" w:hAnsi="Arial"/>
                <w:sz w:val="13"/>
                <w:szCs w:val="13"/>
                <w:color w:val="105EAB"/>
              </w:rPr>
              <w:t xml:space="preserve">►  </w:t>
            </w:r>
            <w:r>
              <w:rPr>
                <w:rFonts w:ascii="Arial" w:cs="Arial" w:eastAsia="Arial" w:hAnsi="Arial"/>
                <w:sz w:val="13"/>
                <w:szCs w:val="13"/>
                <w:color w:val="000000"/>
              </w:rPr>
              <w:t>Chairs executive sessions of independent directors at every Board meeting</w:t>
            </w: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860" w:type="dxa"/>
            <w:vAlign w:val="bottom"/>
            <w:tcBorders>
              <w:bottom w:val="single" w:sz="8" w:color="DFF1FB"/>
            </w:tcBorders>
          </w:tcPr>
          <w:p>
            <w:pPr>
              <w:spacing w:after="0"/>
              <w:rPr>
                <w:sz w:val="22"/>
                <w:szCs w:val="22"/>
                <w:color w:val="auto"/>
              </w:rPr>
            </w:pPr>
          </w:p>
        </w:tc>
        <w:tc>
          <w:tcPr>
            <w:tcW w:w="9400" w:type="dxa"/>
            <w:vAlign w:val="bottom"/>
            <w:tcBorders>
              <w:bottom w:val="single" w:sz="8" w:color="DFF1FB"/>
            </w:tcBorders>
          </w:tcPr>
          <w:p>
            <w:pPr>
              <w:ind w:left="180"/>
              <w:spacing w:after="0"/>
              <w:rPr>
                <w:sz w:val="20"/>
                <w:szCs w:val="20"/>
                <w:color w:val="auto"/>
              </w:rPr>
            </w:pPr>
            <w:r>
              <w:rPr>
                <w:rFonts w:ascii="Arial" w:cs="Arial" w:eastAsia="Arial" w:hAnsi="Arial"/>
                <w:sz w:val="13"/>
                <w:szCs w:val="13"/>
                <w:color w:val="105EAB"/>
              </w:rPr>
              <w:t xml:space="preserve">►  </w:t>
            </w:r>
            <w:r>
              <w:rPr>
                <w:rFonts w:ascii="Arial" w:cs="Arial" w:eastAsia="Arial" w:hAnsi="Arial"/>
                <w:sz w:val="13"/>
                <w:szCs w:val="13"/>
                <w:color w:val="000000"/>
              </w:rPr>
              <w:t>Presides at all Board meetings when the Chair is not present</w:t>
            </w:r>
          </w:p>
        </w:tc>
        <w:tc>
          <w:tcPr>
            <w:tcW w:w="160" w:type="dxa"/>
            <w:vAlign w:val="bottom"/>
            <w:tcBorders>
              <w:bottom w:val="single" w:sz="8" w:color="DFF1FB"/>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8"/>
        </w:trPr>
        <w:tc>
          <w:tcPr>
            <w:tcW w:w="1860" w:type="dxa"/>
            <w:vAlign w:val="bottom"/>
          </w:tcPr>
          <w:p>
            <w:pPr>
              <w:ind w:left="80"/>
              <w:spacing w:after="0"/>
              <w:rPr>
                <w:sz w:val="20"/>
                <w:szCs w:val="20"/>
                <w:color w:val="auto"/>
              </w:rPr>
            </w:pPr>
            <w:r>
              <w:rPr>
                <w:rFonts w:ascii="Arial" w:cs="Arial" w:eastAsia="Arial" w:hAnsi="Arial"/>
                <w:sz w:val="13"/>
                <w:szCs w:val="13"/>
                <w:b w:val="1"/>
                <w:bCs w:val="1"/>
                <w:color w:val="105EAB"/>
              </w:rPr>
              <w:t>Duties to the Board</w:t>
            </w:r>
          </w:p>
        </w:tc>
        <w:tc>
          <w:tcPr>
            <w:tcW w:w="9400" w:type="dxa"/>
            <w:vAlign w:val="bottom"/>
          </w:tcPr>
          <w:p>
            <w:pPr>
              <w:ind w:left="180"/>
              <w:spacing w:after="0"/>
              <w:rPr>
                <w:sz w:val="20"/>
                <w:szCs w:val="20"/>
                <w:color w:val="auto"/>
              </w:rPr>
            </w:pPr>
            <w:r>
              <w:rPr>
                <w:rFonts w:ascii="Arial" w:cs="Arial" w:eastAsia="Arial" w:hAnsi="Arial"/>
                <w:sz w:val="13"/>
                <w:szCs w:val="13"/>
                <w:color w:val="105EAB"/>
              </w:rPr>
              <w:t xml:space="preserve">►  </w:t>
            </w:r>
            <w:r>
              <w:rPr>
                <w:rFonts w:ascii="Arial" w:cs="Arial" w:eastAsia="Arial" w:hAnsi="Arial"/>
                <w:sz w:val="13"/>
                <w:szCs w:val="13"/>
                <w:color w:val="000000"/>
              </w:rPr>
              <w:t>Has regular communications with the CEO about Allstate’s strategy and performance</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860" w:type="dxa"/>
            <w:vAlign w:val="bottom"/>
            <w:tcBorders>
              <w:bottom w:val="single" w:sz="8" w:color="DFF1FB"/>
            </w:tcBorders>
          </w:tcPr>
          <w:p>
            <w:pPr>
              <w:spacing w:after="0"/>
              <w:rPr>
                <w:sz w:val="22"/>
                <w:szCs w:val="22"/>
                <w:color w:val="auto"/>
              </w:rPr>
            </w:pPr>
          </w:p>
        </w:tc>
        <w:tc>
          <w:tcPr>
            <w:tcW w:w="9400" w:type="dxa"/>
            <w:vAlign w:val="bottom"/>
            <w:tcBorders>
              <w:bottom w:val="single" w:sz="8" w:color="DFF1FB"/>
            </w:tcBorders>
          </w:tcPr>
          <w:p>
            <w:pPr>
              <w:ind w:left="180"/>
              <w:spacing w:after="0"/>
              <w:rPr>
                <w:sz w:val="20"/>
                <w:szCs w:val="20"/>
                <w:color w:val="auto"/>
              </w:rPr>
            </w:pPr>
            <w:r>
              <w:rPr>
                <w:rFonts w:ascii="Arial" w:cs="Arial" w:eastAsia="Arial" w:hAnsi="Arial"/>
                <w:sz w:val="13"/>
                <w:szCs w:val="13"/>
                <w:color w:val="105EAB"/>
              </w:rPr>
              <w:t xml:space="preserve">►  </w:t>
            </w:r>
            <w:r>
              <w:rPr>
                <w:rFonts w:ascii="Arial" w:cs="Arial" w:eastAsia="Arial" w:hAnsi="Arial"/>
                <w:sz w:val="13"/>
                <w:szCs w:val="13"/>
                <w:color w:val="000000"/>
              </w:rPr>
              <w:t>Performs additional duties designated by the independent directors</w:t>
            </w:r>
          </w:p>
        </w:tc>
        <w:tc>
          <w:tcPr>
            <w:tcW w:w="160" w:type="dxa"/>
            <w:vAlign w:val="bottom"/>
            <w:tcBorders>
              <w:bottom w:val="single" w:sz="8" w:color="DFF1FB"/>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1860" w:type="dxa"/>
            <w:vAlign w:val="bottom"/>
            <w:tcBorders>
              <w:bottom w:val="single" w:sz="8" w:color="DFF1FB"/>
            </w:tcBorders>
          </w:tcPr>
          <w:p>
            <w:pPr>
              <w:ind w:left="80"/>
              <w:spacing w:after="0"/>
              <w:rPr>
                <w:sz w:val="20"/>
                <w:szCs w:val="20"/>
                <w:color w:val="auto"/>
              </w:rPr>
            </w:pPr>
            <w:r>
              <w:rPr>
                <w:rFonts w:ascii="Arial" w:cs="Arial" w:eastAsia="Arial" w:hAnsi="Arial"/>
                <w:sz w:val="13"/>
                <w:szCs w:val="13"/>
                <w:b w:val="1"/>
                <w:bCs w:val="1"/>
                <w:color w:val="105EAB"/>
              </w:rPr>
              <w:t>Succession Plans</w:t>
            </w:r>
          </w:p>
        </w:tc>
        <w:tc>
          <w:tcPr>
            <w:tcW w:w="9400" w:type="dxa"/>
            <w:vAlign w:val="bottom"/>
            <w:tcBorders>
              <w:bottom w:val="single" w:sz="8" w:color="DFF1FB"/>
            </w:tcBorders>
          </w:tcPr>
          <w:p>
            <w:pPr>
              <w:ind w:left="180"/>
              <w:spacing w:after="0"/>
              <w:rPr>
                <w:sz w:val="20"/>
                <w:szCs w:val="20"/>
                <w:color w:val="auto"/>
              </w:rPr>
            </w:pPr>
            <w:r>
              <w:rPr>
                <w:rFonts w:ascii="Arial" w:cs="Arial" w:eastAsia="Arial" w:hAnsi="Arial"/>
                <w:sz w:val="13"/>
                <w:szCs w:val="13"/>
                <w:color w:val="105EAB"/>
              </w:rPr>
              <w:t xml:space="preserve">►  </w:t>
            </w:r>
            <w:r>
              <w:rPr>
                <w:rFonts w:ascii="Arial" w:cs="Arial" w:eastAsia="Arial" w:hAnsi="Arial"/>
                <w:sz w:val="13"/>
                <w:szCs w:val="13"/>
                <w:color w:val="000000"/>
              </w:rPr>
              <w:t>Facilitates the development of a succession plan for the Chair and CEO</w:t>
            </w:r>
          </w:p>
        </w:tc>
        <w:tc>
          <w:tcPr>
            <w:tcW w:w="160" w:type="dxa"/>
            <w:vAlign w:val="bottom"/>
            <w:tcBorders>
              <w:bottom w:val="single" w:sz="8" w:color="DFF1FB"/>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1860" w:type="dxa"/>
            <w:vAlign w:val="bottom"/>
          </w:tcPr>
          <w:p>
            <w:pPr>
              <w:ind w:left="80"/>
              <w:spacing w:after="0"/>
              <w:rPr>
                <w:sz w:val="20"/>
                <w:szCs w:val="20"/>
                <w:color w:val="auto"/>
              </w:rPr>
            </w:pPr>
            <w:r>
              <w:rPr>
                <w:rFonts w:ascii="Arial" w:cs="Arial" w:eastAsia="Arial" w:hAnsi="Arial"/>
                <w:sz w:val="13"/>
                <w:szCs w:val="13"/>
                <w:b w:val="1"/>
                <w:bCs w:val="1"/>
                <w:color w:val="105EAB"/>
              </w:rPr>
              <w:t>Committee</w:t>
            </w:r>
          </w:p>
        </w:tc>
        <w:tc>
          <w:tcPr>
            <w:tcW w:w="9580" w:type="dxa"/>
            <w:vAlign w:val="bottom"/>
            <w:gridSpan w:val="3"/>
          </w:tcPr>
          <w:p>
            <w:pPr>
              <w:ind w:left="180"/>
              <w:spacing w:after="0"/>
              <w:rPr>
                <w:sz w:val="20"/>
                <w:szCs w:val="20"/>
                <w:color w:val="auto"/>
              </w:rPr>
            </w:pPr>
            <w:r>
              <w:rPr>
                <w:rFonts w:ascii="Arial" w:cs="Arial" w:eastAsia="Arial" w:hAnsi="Arial"/>
                <w:sz w:val="13"/>
                <w:szCs w:val="13"/>
                <w:color w:val="105EAB"/>
              </w:rPr>
              <w:t xml:space="preserve">►  </w:t>
            </w:r>
            <w:r>
              <w:rPr>
                <w:rFonts w:ascii="Arial" w:cs="Arial" w:eastAsia="Arial" w:hAnsi="Arial"/>
                <w:sz w:val="13"/>
                <w:szCs w:val="13"/>
                <w:color w:val="000000"/>
              </w:rPr>
              <w:t>Works with the Chair and committee chairs to ensure coordinated coverage of Board responsibilities and ensures effective functioning of all committees</w:t>
            </w:r>
          </w:p>
        </w:tc>
        <w:tc>
          <w:tcPr>
            <w:tcW w:w="0" w:type="dxa"/>
            <w:vAlign w:val="bottom"/>
          </w:tcPr>
          <w:p>
            <w:pPr>
              <w:spacing w:after="0"/>
              <w:rPr>
                <w:sz w:val="1"/>
                <w:szCs w:val="1"/>
                <w:color w:val="auto"/>
              </w:rPr>
            </w:pPr>
          </w:p>
        </w:tc>
      </w:tr>
      <w:tr>
        <w:trPr>
          <w:trHeight w:val="178"/>
        </w:trPr>
        <w:tc>
          <w:tcPr>
            <w:tcW w:w="1860" w:type="dxa"/>
            <w:vAlign w:val="bottom"/>
          </w:tcPr>
          <w:p>
            <w:pPr>
              <w:ind w:left="80"/>
              <w:spacing w:after="0"/>
              <w:rPr>
                <w:sz w:val="20"/>
                <w:szCs w:val="20"/>
                <w:color w:val="auto"/>
              </w:rPr>
            </w:pPr>
            <w:r>
              <w:rPr>
                <w:rFonts w:ascii="Arial" w:cs="Arial" w:eastAsia="Arial" w:hAnsi="Arial"/>
                <w:sz w:val="13"/>
                <w:szCs w:val="13"/>
                <w:b w:val="1"/>
                <w:bCs w:val="1"/>
                <w:color w:val="105EAB"/>
              </w:rPr>
              <w:t>Involvement</w:t>
            </w:r>
          </w:p>
        </w:tc>
        <w:tc>
          <w:tcPr>
            <w:tcW w:w="9400" w:type="dxa"/>
            <w:vAlign w:val="bottom"/>
            <w:vMerge w:val="restart"/>
          </w:tcPr>
          <w:p>
            <w:pPr>
              <w:ind w:left="180"/>
              <w:spacing w:after="0"/>
              <w:rPr>
                <w:sz w:val="20"/>
                <w:szCs w:val="20"/>
                <w:color w:val="auto"/>
              </w:rPr>
            </w:pPr>
            <w:r>
              <w:rPr>
                <w:rFonts w:ascii="Arial" w:cs="Arial" w:eastAsia="Arial" w:hAnsi="Arial"/>
                <w:sz w:val="13"/>
                <w:szCs w:val="13"/>
                <w:color w:val="105EAB"/>
              </w:rPr>
              <w:t xml:space="preserve">►  </w:t>
            </w:r>
            <w:r>
              <w:rPr>
                <w:rFonts w:ascii="Arial" w:cs="Arial" w:eastAsia="Arial" w:hAnsi="Arial"/>
                <w:sz w:val="13"/>
                <w:szCs w:val="13"/>
                <w:color w:val="000000"/>
              </w:rPr>
              <w:t>Ensures the implementation of a committee self-evaluation process and regular committee reports to the Board</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1860" w:type="dxa"/>
            <w:vAlign w:val="bottom"/>
            <w:tcBorders>
              <w:bottom w:val="single" w:sz="8" w:color="DFF1FB"/>
            </w:tcBorders>
          </w:tcPr>
          <w:p>
            <w:pPr>
              <w:spacing w:after="0"/>
              <w:rPr>
                <w:sz w:val="10"/>
                <w:szCs w:val="10"/>
                <w:color w:val="auto"/>
              </w:rPr>
            </w:pPr>
          </w:p>
        </w:tc>
        <w:tc>
          <w:tcPr>
            <w:tcW w:w="9400" w:type="dxa"/>
            <w:vAlign w:val="bottom"/>
            <w:tcBorders>
              <w:bottom w:val="single" w:sz="8" w:color="DFF1FB"/>
            </w:tcBorders>
            <w:vMerge w:val="continue"/>
          </w:tcPr>
          <w:p>
            <w:pPr>
              <w:spacing w:after="0"/>
              <w:rPr>
                <w:sz w:val="10"/>
                <w:szCs w:val="10"/>
                <w:color w:val="auto"/>
              </w:rPr>
            </w:pPr>
          </w:p>
        </w:tc>
        <w:tc>
          <w:tcPr>
            <w:tcW w:w="160" w:type="dxa"/>
            <w:vAlign w:val="bottom"/>
            <w:tcBorders>
              <w:bottom w:val="single" w:sz="8" w:color="DFF1FB"/>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860" w:type="dxa"/>
            <w:vAlign w:val="bottom"/>
          </w:tcPr>
          <w:p>
            <w:pPr>
              <w:ind w:left="80"/>
              <w:spacing w:after="0"/>
              <w:rPr>
                <w:sz w:val="20"/>
                <w:szCs w:val="20"/>
                <w:color w:val="auto"/>
              </w:rPr>
            </w:pPr>
            <w:r>
              <w:rPr>
                <w:rFonts w:ascii="Arial" w:cs="Arial" w:eastAsia="Arial" w:hAnsi="Arial"/>
                <w:sz w:val="13"/>
                <w:szCs w:val="13"/>
                <w:b w:val="1"/>
                <w:bCs w:val="1"/>
                <w:color w:val="105EAB"/>
              </w:rPr>
              <w:t>CEO Performance</w:t>
            </w:r>
          </w:p>
        </w:tc>
        <w:tc>
          <w:tcPr>
            <w:tcW w:w="9580" w:type="dxa"/>
            <w:vAlign w:val="bottom"/>
            <w:gridSpan w:val="3"/>
          </w:tcPr>
          <w:p>
            <w:pPr>
              <w:ind w:left="180"/>
              <w:spacing w:after="0"/>
              <w:rPr>
                <w:sz w:val="20"/>
                <w:szCs w:val="20"/>
                <w:color w:val="auto"/>
              </w:rPr>
            </w:pPr>
            <w:r>
              <w:rPr>
                <w:rFonts w:ascii="Arial" w:cs="Arial" w:eastAsia="Arial" w:hAnsi="Arial"/>
                <w:sz w:val="13"/>
                <w:szCs w:val="13"/>
                <w:color w:val="105EAB"/>
              </w:rPr>
              <w:t xml:space="preserve">►  </w:t>
            </w:r>
            <w:r>
              <w:rPr>
                <w:rFonts w:ascii="Arial" w:cs="Arial" w:eastAsia="Arial" w:hAnsi="Arial"/>
                <w:sz w:val="13"/>
                <w:szCs w:val="13"/>
                <w:color w:val="000000"/>
              </w:rPr>
              <w:t>Facilitates and communicates the Board’s performance evaluation of the Chair and CEO with the chair of the compensation and succession committee</w:t>
            </w:r>
          </w:p>
        </w:tc>
        <w:tc>
          <w:tcPr>
            <w:tcW w:w="0" w:type="dxa"/>
            <w:vAlign w:val="bottom"/>
          </w:tcPr>
          <w:p>
            <w:pPr>
              <w:spacing w:after="0"/>
              <w:rPr>
                <w:sz w:val="1"/>
                <w:szCs w:val="1"/>
                <w:color w:val="auto"/>
              </w:rPr>
            </w:pPr>
          </w:p>
        </w:tc>
      </w:tr>
      <w:tr>
        <w:trPr>
          <w:trHeight w:val="186"/>
        </w:trPr>
        <w:tc>
          <w:tcPr>
            <w:tcW w:w="1860" w:type="dxa"/>
            <w:vAlign w:val="bottom"/>
            <w:tcBorders>
              <w:bottom w:val="single" w:sz="8" w:color="DFF1FB"/>
            </w:tcBorders>
          </w:tcPr>
          <w:p>
            <w:pPr>
              <w:ind w:left="80"/>
              <w:spacing w:after="0"/>
              <w:rPr>
                <w:sz w:val="20"/>
                <w:szCs w:val="20"/>
                <w:color w:val="auto"/>
              </w:rPr>
            </w:pPr>
            <w:r>
              <w:rPr>
                <w:rFonts w:ascii="Arial" w:cs="Arial" w:eastAsia="Arial" w:hAnsi="Arial"/>
                <w:sz w:val="13"/>
                <w:szCs w:val="13"/>
                <w:b w:val="1"/>
                <w:bCs w:val="1"/>
                <w:color w:val="105EAB"/>
              </w:rPr>
              <w:t>Evaluation</w:t>
            </w:r>
          </w:p>
        </w:tc>
        <w:tc>
          <w:tcPr>
            <w:tcW w:w="9400" w:type="dxa"/>
            <w:vAlign w:val="bottom"/>
            <w:tcBorders>
              <w:bottom w:val="single" w:sz="8" w:color="DFF1FB"/>
            </w:tcBorders>
          </w:tcPr>
          <w:p>
            <w:pPr>
              <w:spacing w:after="0"/>
              <w:rPr>
                <w:sz w:val="16"/>
                <w:szCs w:val="16"/>
                <w:color w:val="auto"/>
              </w:rPr>
            </w:pPr>
          </w:p>
        </w:tc>
        <w:tc>
          <w:tcPr>
            <w:tcW w:w="160" w:type="dxa"/>
            <w:vAlign w:val="bottom"/>
            <w:tcBorders>
              <w:bottom w:val="single" w:sz="8" w:color="DFF1FB"/>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1860" w:type="dxa"/>
            <w:vAlign w:val="bottom"/>
          </w:tcPr>
          <w:p>
            <w:pPr>
              <w:ind w:left="80"/>
              <w:spacing w:after="0"/>
              <w:rPr>
                <w:sz w:val="20"/>
                <w:szCs w:val="20"/>
                <w:color w:val="auto"/>
              </w:rPr>
            </w:pPr>
            <w:r>
              <w:rPr>
                <w:rFonts w:ascii="Arial" w:cs="Arial" w:eastAsia="Arial" w:hAnsi="Arial"/>
                <w:sz w:val="13"/>
                <w:szCs w:val="13"/>
                <w:b w:val="1"/>
                <w:bCs w:val="1"/>
                <w:color w:val="105EAB"/>
              </w:rPr>
              <w:t>Communication Between</w:t>
            </w:r>
          </w:p>
        </w:tc>
        <w:tc>
          <w:tcPr>
            <w:tcW w:w="9400" w:type="dxa"/>
            <w:vAlign w:val="bottom"/>
          </w:tcPr>
          <w:p>
            <w:pPr>
              <w:ind w:left="180"/>
              <w:spacing w:after="0"/>
              <w:rPr>
                <w:sz w:val="20"/>
                <w:szCs w:val="20"/>
                <w:color w:val="auto"/>
              </w:rPr>
            </w:pPr>
            <w:r>
              <w:rPr>
                <w:rFonts w:ascii="Arial" w:cs="Arial" w:eastAsia="Arial" w:hAnsi="Arial"/>
                <w:sz w:val="13"/>
                <w:szCs w:val="13"/>
                <w:color w:val="105EAB"/>
              </w:rPr>
              <w:t xml:space="preserve">►  </w:t>
            </w:r>
            <w:r>
              <w:rPr>
                <w:rFonts w:ascii="Arial" w:cs="Arial" w:eastAsia="Arial" w:hAnsi="Arial"/>
                <w:sz w:val="13"/>
                <w:szCs w:val="13"/>
                <w:color w:val="000000"/>
              </w:rPr>
              <w:t>Serves as liaison between the Chair and independent directors</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860" w:type="dxa"/>
            <w:vAlign w:val="bottom"/>
          </w:tcPr>
          <w:p>
            <w:pPr>
              <w:ind w:left="80"/>
              <w:spacing w:after="0" w:line="149" w:lineRule="exact"/>
              <w:rPr>
                <w:sz w:val="20"/>
                <w:szCs w:val="20"/>
                <w:color w:val="auto"/>
              </w:rPr>
            </w:pPr>
            <w:r>
              <w:rPr>
                <w:rFonts w:ascii="Arial" w:cs="Arial" w:eastAsia="Arial" w:hAnsi="Arial"/>
                <w:sz w:val="13"/>
                <w:szCs w:val="13"/>
                <w:b w:val="1"/>
                <w:bCs w:val="1"/>
                <w:color w:val="105EAB"/>
              </w:rPr>
              <w:t>Chair and Independent</w:t>
            </w:r>
          </w:p>
        </w:tc>
        <w:tc>
          <w:tcPr>
            <w:tcW w:w="9400" w:type="dxa"/>
            <w:vAlign w:val="bottom"/>
            <w:vMerge w:val="restart"/>
          </w:tcPr>
          <w:p>
            <w:pPr>
              <w:ind w:left="180"/>
              <w:spacing w:after="0"/>
              <w:rPr>
                <w:sz w:val="20"/>
                <w:szCs w:val="20"/>
                <w:color w:val="auto"/>
              </w:rPr>
            </w:pPr>
            <w:r>
              <w:rPr>
                <w:rFonts w:ascii="Arial" w:cs="Arial" w:eastAsia="Arial" w:hAnsi="Arial"/>
                <w:sz w:val="13"/>
                <w:szCs w:val="13"/>
                <w:color w:val="105EAB"/>
              </w:rPr>
              <w:t xml:space="preserve">►  </w:t>
            </w:r>
            <w:r>
              <w:rPr>
                <w:rFonts w:ascii="Arial" w:cs="Arial" w:eastAsia="Arial" w:hAnsi="Arial"/>
                <w:sz w:val="13"/>
                <w:szCs w:val="13"/>
                <w:color w:val="000000"/>
              </w:rPr>
              <w:t>Consults with the Chair and discusses items raised in executive sessions</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860" w:type="dxa"/>
            <w:vAlign w:val="bottom"/>
            <w:tcBorders>
              <w:bottom w:val="single" w:sz="8" w:color="DFF1FB"/>
            </w:tcBorders>
          </w:tcPr>
          <w:p>
            <w:pPr>
              <w:ind w:left="80"/>
              <w:spacing w:after="0"/>
              <w:rPr>
                <w:sz w:val="20"/>
                <w:szCs w:val="20"/>
                <w:color w:val="auto"/>
              </w:rPr>
            </w:pPr>
            <w:r>
              <w:rPr>
                <w:rFonts w:ascii="Arial" w:cs="Arial" w:eastAsia="Arial" w:hAnsi="Arial"/>
                <w:sz w:val="13"/>
                <w:szCs w:val="13"/>
                <w:b w:val="1"/>
                <w:bCs w:val="1"/>
                <w:color w:val="105EAB"/>
              </w:rPr>
              <w:t>Directors</w:t>
            </w:r>
          </w:p>
        </w:tc>
        <w:tc>
          <w:tcPr>
            <w:tcW w:w="9400" w:type="dxa"/>
            <w:vAlign w:val="bottom"/>
            <w:tcBorders>
              <w:bottom w:val="single" w:sz="8" w:color="DFF1FB"/>
            </w:tcBorders>
            <w:vMerge w:val="continue"/>
          </w:tcPr>
          <w:p>
            <w:pPr>
              <w:spacing w:after="0"/>
              <w:rPr>
                <w:sz w:val="16"/>
                <w:szCs w:val="16"/>
                <w:color w:val="auto"/>
              </w:rPr>
            </w:pPr>
          </w:p>
        </w:tc>
        <w:tc>
          <w:tcPr>
            <w:tcW w:w="160" w:type="dxa"/>
            <w:vAlign w:val="bottom"/>
            <w:tcBorders>
              <w:bottom w:val="single" w:sz="8" w:color="DFF1FB"/>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1860" w:type="dxa"/>
            <w:vAlign w:val="bottom"/>
          </w:tcPr>
          <w:p>
            <w:pPr>
              <w:ind w:left="80"/>
              <w:spacing w:after="0"/>
              <w:rPr>
                <w:sz w:val="20"/>
                <w:szCs w:val="20"/>
                <w:color w:val="auto"/>
              </w:rPr>
            </w:pPr>
            <w:r>
              <w:rPr>
                <w:rFonts w:ascii="Arial" w:cs="Arial" w:eastAsia="Arial" w:hAnsi="Arial"/>
                <w:sz w:val="13"/>
                <w:szCs w:val="13"/>
                <w:b w:val="1"/>
                <w:bCs w:val="1"/>
                <w:color w:val="105EAB"/>
              </w:rPr>
              <w:t>Communication with</w:t>
            </w:r>
          </w:p>
        </w:tc>
        <w:tc>
          <w:tcPr>
            <w:tcW w:w="9400" w:type="dxa"/>
            <w:vAlign w:val="bottom"/>
          </w:tcPr>
          <w:p>
            <w:pPr>
              <w:ind w:left="180"/>
              <w:spacing w:after="0"/>
              <w:rPr>
                <w:sz w:val="20"/>
                <w:szCs w:val="20"/>
                <w:color w:val="auto"/>
              </w:rPr>
            </w:pPr>
            <w:r>
              <w:rPr>
                <w:rFonts w:ascii="Arial" w:cs="Arial" w:eastAsia="Arial" w:hAnsi="Arial"/>
                <w:sz w:val="13"/>
                <w:szCs w:val="13"/>
                <w:color w:val="105EAB"/>
              </w:rPr>
              <w:t xml:space="preserve">►  </w:t>
            </w:r>
            <w:r>
              <w:rPr>
                <w:rFonts w:ascii="Arial" w:cs="Arial" w:eastAsia="Arial" w:hAnsi="Arial"/>
                <w:sz w:val="13"/>
                <w:szCs w:val="13"/>
                <w:color w:val="000000"/>
              </w:rPr>
              <w:t>Communicates with significant stockholders and other stakeholders on matters involving broad corporate policies and practices, when appropriate</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1860" w:type="dxa"/>
            <w:vAlign w:val="bottom"/>
            <w:tcBorders>
              <w:bottom w:val="single" w:sz="8" w:color="DFF1FB"/>
            </w:tcBorders>
          </w:tcPr>
          <w:p>
            <w:pPr>
              <w:ind w:left="80"/>
              <w:spacing w:after="0"/>
              <w:rPr>
                <w:sz w:val="20"/>
                <w:szCs w:val="20"/>
                <w:color w:val="auto"/>
              </w:rPr>
            </w:pPr>
            <w:r>
              <w:rPr>
                <w:rFonts w:ascii="Arial" w:cs="Arial" w:eastAsia="Arial" w:hAnsi="Arial"/>
                <w:sz w:val="13"/>
                <w:szCs w:val="13"/>
                <w:b w:val="1"/>
                <w:bCs w:val="1"/>
                <w:color w:val="105EAB"/>
              </w:rPr>
              <w:t>Stockholders</w:t>
            </w:r>
          </w:p>
        </w:tc>
        <w:tc>
          <w:tcPr>
            <w:tcW w:w="9400" w:type="dxa"/>
            <w:vAlign w:val="bottom"/>
            <w:tcBorders>
              <w:bottom w:val="single" w:sz="8" w:color="DFF1FB"/>
            </w:tcBorders>
          </w:tcPr>
          <w:p>
            <w:pPr>
              <w:spacing w:after="0"/>
              <w:rPr>
                <w:sz w:val="16"/>
                <w:szCs w:val="16"/>
                <w:color w:val="auto"/>
              </w:rPr>
            </w:pPr>
          </w:p>
        </w:tc>
        <w:tc>
          <w:tcPr>
            <w:tcW w:w="160" w:type="dxa"/>
            <w:vAlign w:val="bottom"/>
            <w:tcBorders>
              <w:bottom w:val="single" w:sz="8" w:color="DFF1FB"/>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1860" w:type="dxa"/>
            <w:vAlign w:val="bottom"/>
          </w:tcPr>
          <w:p>
            <w:pPr>
              <w:ind w:left="80"/>
              <w:spacing w:after="0"/>
              <w:rPr>
                <w:sz w:val="20"/>
                <w:szCs w:val="20"/>
                <w:color w:val="auto"/>
              </w:rPr>
            </w:pPr>
            <w:r>
              <w:rPr>
                <w:rFonts w:ascii="Arial" w:cs="Arial" w:eastAsia="Arial" w:hAnsi="Arial"/>
                <w:sz w:val="13"/>
                <w:szCs w:val="13"/>
                <w:b w:val="1"/>
                <w:bCs w:val="1"/>
                <w:color w:val="105EAB"/>
              </w:rPr>
              <w:t>Board and Individual</w:t>
            </w:r>
          </w:p>
        </w:tc>
        <w:tc>
          <w:tcPr>
            <w:tcW w:w="9400" w:type="dxa"/>
            <w:vAlign w:val="bottom"/>
          </w:tcPr>
          <w:p>
            <w:pPr>
              <w:ind w:left="180"/>
              <w:spacing w:after="0"/>
              <w:rPr>
                <w:sz w:val="20"/>
                <w:szCs w:val="20"/>
                <w:color w:val="auto"/>
              </w:rPr>
            </w:pPr>
            <w:r>
              <w:rPr>
                <w:rFonts w:ascii="Arial" w:cs="Arial" w:eastAsia="Arial" w:hAnsi="Arial"/>
                <w:sz w:val="13"/>
                <w:szCs w:val="13"/>
                <w:color w:val="105EAB"/>
              </w:rPr>
              <w:t xml:space="preserve">►  </w:t>
            </w:r>
            <w:r>
              <w:rPr>
                <w:rFonts w:ascii="Arial" w:cs="Arial" w:eastAsia="Arial" w:hAnsi="Arial"/>
                <w:sz w:val="13"/>
                <w:szCs w:val="13"/>
                <w:color w:val="000000"/>
              </w:rPr>
              <w:t>Facilitates the evaluation of individual director, Board and committee performance with the chair of the nominating and governance committee and the</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1860" w:type="dxa"/>
            <w:vAlign w:val="bottom"/>
            <w:tcBorders>
              <w:bottom w:val="single" w:sz="8" w:color="105EAB"/>
            </w:tcBorders>
          </w:tcPr>
          <w:p>
            <w:pPr>
              <w:ind w:left="80"/>
              <w:spacing w:after="0"/>
              <w:rPr>
                <w:sz w:val="20"/>
                <w:szCs w:val="20"/>
                <w:color w:val="auto"/>
              </w:rPr>
            </w:pPr>
            <w:r>
              <w:rPr>
                <w:rFonts w:ascii="Arial" w:cs="Arial" w:eastAsia="Arial" w:hAnsi="Arial"/>
                <w:sz w:val="13"/>
                <w:szCs w:val="13"/>
                <w:b w:val="1"/>
                <w:bCs w:val="1"/>
                <w:color w:val="105EAB"/>
              </w:rPr>
              <w:t>Director Evaluations</w:t>
            </w:r>
          </w:p>
        </w:tc>
        <w:tc>
          <w:tcPr>
            <w:tcW w:w="9400" w:type="dxa"/>
            <w:vAlign w:val="bottom"/>
            <w:tcBorders>
              <w:bottom w:val="single" w:sz="8" w:color="105EAB"/>
            </w:tcBorders>
          </w:tcPr>
          <w:p>
            <w:pPr>
              <w:ind w:left="460"/>
              <w:spacing w:after="0"/>
              <w:rPr>
                <w:sz w:val="20"/>
                <w:szCs w:val="20"/>
                <w:color w:val="auto"/>
              </w:rPr>
            </w:pPr>
            <w:r>
              <w:rPr>
                <w:rFonts w:ascii="Arial" w:cs="Arial" w:eastAsia="Arial" w:hAnsi="Arial"/>
                <w:sz w:val="13"/>
                <w:szCs w:val="13"/>
                <w:color w:val="auto"/>
              </w:rPr>
              <w:t>Chair</w:t>
            </w:r>
          </w:p>
        </w:tc>
        <w:tc>
          <w:tcPr>
            <w:tcW w:w="160" w:type="dxa"/>
            <w:vAlign w:val="bottom"/>
            <w:tcBorders>
              <w:bottom w:val="single" w:sz="8" w:color="105EAB"/>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7"/>
        </w:trPr>
        <w:tc>
          <w:tcPr>
            <w:tcW w:w="1860" w:type="dxa"/>
            <w:vAlign w:val="bottom"/>
          </w:tcPr>
          <w:p>
            <w:pPr>
              <w:spacing w:after="0"/>
              <w:rPr>
                <w:sz w:val="24"/>
                <w:szCs w:val="24"/>
                <w:color w:val="auto"/>
              </w:rPr>
            </w:pPr>
          </w:p>
        </w:tc>
        <w:tc>
          <w:tcPr>
            <w:tcW w:w="9400" w:type="dxa"/>
            <w:vAlign w:val="bottom"/>
          </w:tcPr>
          <w:p>
            <w:pPr>
              <w:ind w:left="7780"/>
              <w:spacing w:after="0"/>
              <w:rPr>
                <w:sz w:val="20"/>
                <w:szCs w:val="20"/>
                <w:color w:val="auto"/>
              </w:rPr>
            </w:pPr>
            <w:r>
              <w:rPr>
                <w:rFonts w:ascii="Arial" w:cs="Arial" w:eastAsia="Arial" w:hAnsi="Arial"/>
                <w:sz w:val="13"/>
                <w:szCs w:val="13"/>
                <w:color w:val="105EAB"/>
              </w:rPr>
              <w:t>2019 Proxy Statement</w:t>
            </w:r>
          </w:p>
        </w:tc>
        <w:tc>
          <w:tcPr>
            <w:tcW w:w="180" w:type="dxa"/>
            <w:vAlign w:val="bottom"/>
            <w:gridSpan w:val="2"/>
          </w:tcPr>
          <w:p>
            <w:pPr>
              <w:jc w:val="right"/>
              <w:ind w:right="20"/>
              <w:spacing w:after="0"/>
              <w:rPr>
                <w:sz w:val="20"/>
                <w:szCs w:val="20"/>
                <w:color w:val="auto"/>
              </w:rPr>
            </w:pPr>
            <w:r>
              <w:rPr>
                <w:rFonts w:ascii="Arial" w:cs="Arial" w:eastAsia="Arial" w:hAnsi="Arial"/>
                <w:sz w:val="13"/>
                <w:szCs w:val="13"/>
                <w:b w:val="1"/>
                <w:bCs w:val="1"/>
                <w:color w:val="105EAB"/>
                <w:w w:val="96"/>
              </w:rPr>
              <w:t>25</w:t>
            </w:r>
          </w:p>
        </w:tc>
        <w:tc>
          <w:tcPr>
            <w:tcW w:w="0" w:type="dxa"/>
            <w:vAlign w:val="bottom"/>
          </w:tcPr>
          <w:p>
            <w:pPr>
              <w:spacing w:after="0"/>
              <w:rPr>
                <w:sz w:val="1"/>
                <w:szCs w:val="1"/>
                <w:color w:val="auto"/>
              </w:rPr>
            </w:pPr>
          </w:p>
        </w:tc>
      </w:tr>
      <w:tr>
        <w:trPr>
          <w:trHeight w:val="213"/>
        </w:trPr>
        <w:tc>
          <w:tcPr>
            <w:tcW w:w="1860" w:type="dxa"/>
            <w:vAlign w:val="bottom"/>
            <w:tcBorders>
              <w:bottom w:val="single" w:sz="8" w:color="808080"/>
            </w:tcBorders>
          </w:tcPr>
          <w:p>
            <w:pPr>
              <w:spacing w:after="0"/>
              <w:rPr>
                <w:sz w:val="18"/>
                <w:szCs w:val="18"/>
                <w:color w:val="auto"/>
              </w:rPr>
            </w:pPr>
          </w:p>
        </w:tc>
        <w:tc>
          <w:tcPr>
            <w:tcW w:w="940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-13970</wp:posOffset>
            </wp:positionV>
            <wp:extent cx="1270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b w:val="1"/>
          <w:bCs w:val="1"/>
          <w:color w:val="105EAB"/>
        </w:rPr>
        <w:t xml:space="preserve">Corporate Governance | </w:t>
      </w:r>
      <w:r>
        <w:rPr>
          <w:rFonts w:ascii="Arial" w:cs="Arial" w:eastAsia="Arial" w:hAnsi="Arial"/>
          <w:sz w:val="13"/>
          <w:szCs w:val="13"/>
          <w:b w:val="1"/>
          <w:bCs w:val="1"/>
          <w:color w:val="000000"/>
        </w:rPr>
        <w:t>Board Meetings and Committees</w:t>
      </w:r>
    </w:p>
    <w:p>
      <w:pPr>
        <w:spacing w:after="0" w:line="201" w:lineRule="exact"/>
        <w:rPr>
          <w:sz w:val="20"/>
          <w:szCs w:val="20"/>
          <w:color w:val="auto"/>
        </w:rPr>
      </w:pPr>
    </w:p>
    <w:p>
      <w:pPr>
        <w:spacing w:after="0"/>
        <w:rPr>
          <w:sz w:val="20"/>
          <w:szCs w:val="20"/>
          <w:color w:val="auto"/>
        </w:rPr>
      </w:pPr>
      <w:r>
        <w:rPr>
          <w:rFonts w:ascii="Arial" w:cs="Arial" w:eastAsia="Arial" w:hAnsi="Arial"/>
          <w:sz w:val="25"/>
          <w:szCs w:val="25"/>
          <w:b w:val="1"/>
          <w:bCs w:val="1"/>
          <w:color w:val="105EAB"/>
        </w:rPr>
        <w:t>Board Chair</w:t>
      </w:r>
    </w:p>
    <w:p>
      <w:pPr>
        <w:spacing w:after="0" w:line="259" w:lineRule="exact"/>
        <w:rPr>
          <w:sz w:val="20"/>
          <w:szCs w:val="20"/>
          <w:color w:val="auto"/>
        </w:rPr>
      </w:pPr>
    </w:p>
    <w:p>
      <w:pPr>
        <w:ind w:right="220"/>
        <w:spacing w:after="0" w:line="236" w:lineRule="auto"/>
        <w:rPr>
          <w:sz w:val="20"/>
          <w:szCs w:val="20"/>
          <w:color w:val="auto"/>
        </w:rPr>
      </w:pPr>
      <w:r>
        <w:rPr>
          <w:rFonts w:ascii="Arial" w:cs="Arial" w:eastAsia="Arial" w:hAnsi="Arial"/>
          <w:sz w:val="18"/>
          <w:szCs w:val="18"/>
          <w:color w:val="auto"/>
        </w:rPr>
        <w:t>The independent directors periodically review Allstate’s leadership structure and whether separating the roles of Chair and CEO is in the best interests of Allstate and its stockholders. When making this determination, the independent directors consider the recommendation of the nominating and governance committee, the current circumstances at Allstate, the skills and experience of the individuals involved and the leadership composition of the Board. The roles of Chair and CEO were split during a transition of leadership in 2007 and 2008. The independent directors also appoint an independent lead director with robust powers and responsibilities. A strong lead director role provides an effective independent counterbalance if the independent directors choose to combine the Chair and CEO roles.</w:t>
      </w:r>
    </w:p>
    <w:p>
      <w:pPr>
        <w:spacing w:after="0" w:line="209"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At present, the independent directors have determined Allstate is well-served by having these roles performed by Mr. Wilson, who provides excellent leadership and direction for both management and the Board. This promotes a strong connection between the Board and management that is subject to strong independent oversight by Allstate’s independent lead director and the other independent directors. The Board believes it benefits from the considerable knowledge and perspective that Mr. Wilson has acquired from more than 24 years of insurance industry experience. Given his extensive Company knowledge and his ability to effectively fulfill both roles simultaneously, he is uniquely qualified to lead discussions of the Board and is in the best position to facilitate the flow of business information and communications between the Board and management.</w:t>
      </w:r>
    </w:p>
    <w:p>
      <w:pPr>
        <w:sectPr>
          <w:pgSz w:w="11900" w:h="16838" w:orient="portrait"/>
          <w:cols w:equalWidth="0" w:num="1">
            <w:col w:w="11380"/>
          </w:cols>
          <w:pgMar w:left="240" w:top="121" w:right="279" w:bottom="1440" w:gutter="0" w:footer="0" w:header="0"/>
        </w:sectPr>
      </w:pPr>
    </w:p>
    <w:p>
      <w:pPr>
        <w:spacing w:after="0" w:line="153" w:lineRule="exact"/>
        <w:rPr>
          <w:sz w:val="20"/>
          <w:szCs w:val="20"/>
          <w:color w:val="auto"/>
        </w:rPr>
      </w:pPr>
    </w:p>
    <w:p>
      <w:pPr>
        <w:spacing w:after="0"/>
        <w:rPr>
          <w:sz w:val="20"/>
          <w:szCs w:val="20"/>
          <w:color w:val="auto"/>
        </w:rPr>
      </w:pPr>
      <w:r>
        <w:rPr>
          <w:rFonts w:ascii="Arial" w:cs="Arial" w:eastAsia="Arial" w:hAnsi="Arial"/>
          <w:sz w:val="31"/>
          <w:szCs w:val="31"/>
          <w:b w:val="1"/>
          <w:bCs w:val="1"/>
          <w:color w:val="959595"/>
        </w:rPr>
        <w:t>Board Meetings and Committees</w:t>
      </w:r>
    </w:p>
    <w:p>
      <w:pPr>
        <w:spacing w:after="0" w:line="224" w:lineRule="exact"/>
        <w:rPr>
          <w:sz w:val="20"/>
          <w:szCs w:val="20"/>
          <w:color w:val="auto"/>
        </w:rPr>
      </w:pPr>
    </w:p>
    <w:p>
      <w:pPr>
        <w:spacing w:after="0"/>
        <w:rPr>
          <w:sz w:val="20"/>
          <w:szCs w:val="20"/>
          <w:color w:val="auto"/>
        </w:rPr>
      </w:pPr>
      <w:r>
        <w:rPr>
          <w:rFonts w:ascii="Arial" w:cs="Arial" w:eastAsia="Arial" w:hAnsi="Arial"/>
          <w:sz w:val="25"/>
          <w:szCs w:val="25"/>
          <w:b w:val="1"/>
          <w:bCs w:val="1"/>
          <w:color w:val="105EAB"/>
        </w:rPr>
        <w:t>Board Attendance</w:t>
      </w:r>
    </w:p>
    <w:p>
      <w:pPr>
        <w:spacing w:after="0" w:line="25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Each director attended at least 75% of the combined Board meetings and meetings of committees of which he or she was a member. Directors are expected to attend Board and committee meetings and the annual meeting of stockholders. All directors who stood for election at the 2018 annual meeting of stockholders attended the annual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36"/>
          <w:szCs w:val="36"/>
          <w:b w:val="1"/>
          <w:bCs w:val="1"/>
          <w:color w:val="39B6E9"/>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33020</wp:posOffset>
            </wp:positionV>
            <wp:extent cx="2150110" cy="5480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150110" cy="548005"/>
                    </a:xfrm>
                    <a:prstGeom prst="rect">
                      <a:avLst/>
                    </a:prstGeom>
                    <a:noFill/>
                  </pic:spPr>
                </pic:pic>
              </a:graphicData>
            </a:graphic>
          </wp:anchor>
        </w:drawing>
      </w:r>
    </w:p>
    <w:p>
      <w:pPr>
        <w:spacing w:after="0" w:line="157"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105EAB"/>
        </w:rPr>
        <w:t>Average attendance of directors as a group at Board and committee meetings during 2018.</w:t>
      </w:r>
    </w:p>
    <w:p>
      <w:pPr>
        <w:spacing w:after="0" w:line="200" w:lineRule="exact"/>
        <w:rPr>
          <w:sz w:val="20"/>
          <w:szCs w:val="20"/>
          <w:color w:val="auto"/>
        </w:rPr>
      </w:pPr>
    </w:p>
    <w:p>
      <w:pPr>
        <w:sectPr>
          <w:pgSz w:w="11900" w:h="16838" w:orient="portrait"/>
          <w:cols w:equalWidth="0" w:num="2">
            <w:col w:w="7680" w:space="360"/>
            <w:col w:w="3340"/>
          </w:cols>
          <w:pgMar w:left="240" w:top="121" w:right="279" w:bottom="1440" w:gutter="0" w:footer="0" w:header="0"/>
          <w:type w:val="continuous"/>
        </w:sectPr>
      </w:pPr>
    </w:p>
    <w:p>
      <w:pPr>
        <w:spacing w:after="0" w:line="141" w:lineRule="exact"/>
        <w:rPr>
          <w:sz w:val="20"/>
          <w:szCs w:val="20"/>
          <w:color w:val="auto"/>
        </w:rPr>
      </w:pPr>
    </w:p>
    <w:p>
      <w:pPr>
        <w:ind w:left="460" w:hanging="452"/>
        <w:spacing w:after="0"/>
        <w:tabs>
          <w:tab w:leader="none" w:pos="460" w:val="left"/>
        </w:tabs>
        <w:numPr>
          <w:ilvl w:val="0"/>
          <w:numId w:val="119"/>
        </w:numPr>
        <w:rPr>
          <w:rFonts w:ascii="Arial" w:cs="Arial" w:eastAsia="Arial" w:hAnsi="Arial"/>
          <w:sz w:val="13"/>
          <w:szCs w:val="13"/>
          <w:b w:val="1"/>
          <w:bCs w:val="1"/>
          <w:color w:val="105EAB"/>
        </w:rPr>
      </w:pPr>
      <w:r>
        <w:rPr>
          <w:rFonts w:ascii="Arial" w:cs="Arial" w:eastAsia="Arial" w:hAnsi="Arial"/>
          <w:sz w:val="13"/>
          <w:szCs w:val="13"/>
          <w:color w:val="105EAB"/>
        </w:rPr>
        <w:t>www.allstateproxy.com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134620</wp:posOffset>
            </wp:positionV>
            <wp:extent cx="7268210" cy="209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jc w:val="right"/>
        <w:ind w:right="20"/>
        <w:spacing w:after="0"/>
        <w:rPr>
          <w:sz w:val="20"/>
          <w:szCs w:val="20"/>
          <w:color w:val="auto"/>
        </w:rPr>
      </w:pPr>
      <w:r>
        <w:rPr>
          <w:rFonts w:ascii="Arial" w:cs="Arial" w:eastAsia="Arial" w:hAnsi="Arial"/>
          <w:sz w:val="13"/>
          <w:szCs w:val="13"/>
          <w:b w:val="1"/>
          <w:bCs w:val="1"/>
          <w:color w:val="auto"/>
        </w:rPr>
        <w:t xml:space="preserve">Board Meetings and Committees </w:t>
      </w:r>
      <w:r>
        <w:rPr>
          <w:rFonts w:ascii="Arial" w:cs="Arial" w:eastAsia="Arial" w:hAnsi="Arial"/>
          <w:sz w:val="13"/>
          <w:szCs w:val="13"/>
          <w:b w:val="1"/>
          <w:bCs w:val="1"/>
          <w:color w:val="105EAB"/>
        </w:rPr>
        <w:t>| Corporate Governance</w:t>
      </w:r>
    </w:p>
    <w:p>
      <w:pPr>
        <w:spacing w:after="0" w:line="201" w:lineRule="exact"/>
        <w:rPr>
          <w:sz w:val="20"/>
          <w:szCs w:val="20"/>
          <w:color w:val="auto"/>
        </w:rPr>
      </w:pPr>
    </w:p>
    <w:p>
      <w:pPr>
        <w:spacing w:after="0"/>
        <w:rPr>
          <w:sz w:val="20"/>
          <w:szCs w:val="20"/>
          <w:color w:val="auto"/>
        </w:rPr>
      </w:pPr>
      <w:r>
        <w:rPr>
          <w:rFonts w:ascii="Arial" w:cs="Arial" w:eastAsia="Arial" w:hAnsi="Arial"/>
          <w:sz w:val="25"/>
          <w:szCs w:val="25"/>
          <w:b w:val="1"/>
          <w:bCs w:val="1"/>
          <w:color w:val="105EAB"/>
        </w:rPr>
        <w:t>Management Participation in Committee Meetings</w:t>
      </w:r>
    </w:p>
    <w:p>
      <w:pPr>
        <w:spacing w:after="0" w:line="259"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Key members of management regularly attend and participate in Board meetings, presenting on key topics. Regular attendees include the CEO, vice chair, CFO, general counsel, president of Allstate Personal Lines, president of Allstate Financial Businesses, president of Service Businesses, chief investment and corporate strategy officer, and chief risk officer. Other senior leaders attend as meeting topics warrant. In addition, senior leadership also participates in committee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87376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6620" cy="873760"/>
                    </a:xfrm>
                    <a:prstGeom prst="rect">
                      <a:avLst/>
                    </a:prstGeom>
                    <a:noFill/>
                  </pic:spPr>
                </pic:pic>
              </a:graphicData>
            </a:graphic>
          </wp:anchor>
        </w:drawing>
      </w:r>
    </w:p>
    <w:p>
      <w:pPr>
        <w:spacing w:after="0" w:line="24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105EAB"/>
        </w:rPr>
        <w:t>Audit Committee</w:t>
      </w:r>
    </w:p>
    <w:p>
      <w:pPr>
        <w:spacing w:after="0" w:line="233" w:lineRule="exact"/>
        <w:rPr>
          <w:sz w:val="20"/>
          <w:szCs w:val="20"/>
          <w:color w:val="auto"/>
        </w:rPr>
      </w:pPr>
    </w:p>
    <w:p>
      <w:pPr>
        <w:ind w:left="100" w:right="300"/>
        <w:spacing w:after="0" w:line="275" w:lineRule="auto"/>
        <w:rPr>
          <w:sz w:val="20"/>
          <w:szCs w:val="20"/>
          <w:color w:val="auto"/>
        </w:rPr>
      </w:pPr>
      <w:r>
        <w:rPr>
          <w:rFonts w:ascii="Arial" w:cs="Arial" w:eastAsia="Arial" w:hAnsi="Arial"/>
          <w:sz w:val="16"/>
          <w:szCs w:val="16"/>
          <w:color w:val="auto"/>
        </w:rPr>
        <w:t>The CFO, chief audit executive, chief compliance executive, chief risk officer, CEO, vice chair, general counsel and controller all actively participate in meetings. Senior business unit and technology executives, including the chief technology officer, are present when appropriate. Executive sessions of the committee are scheduled and held throughout the year, including sessions in which the committee meets exclusively with the independent registered public accountant, independent cybersecurity advisor, chief audit executive, and chief compliance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246620" cy="227012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6620" cy="2270125"/>
                    </a:xfrm>
                    <a:prstGeom prst="rect">
                      <a:avLst/>
                    </a:prstGeom>
                    <a:noFill/>
                  </pic:spPr>
                </pic:pic>
              </a:graphicData>
            </a:graphic>
          </wp:anchor>
        </w:drawing>
      </w:r>
    </w:p>
    <w:p>
      <w:pPr>
        <w:spacing w:after="0" w:line="221"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105EAB"/>
        </w:rPr>
        <w:t>Compensation and Succession Committee</w:t>
      </w:r>
    </w:p>
    <w:p>
      <w:pPr>
        <w:spacing w:after="0" w:line="260" w:lineRule="exact"/>
        <w:rPr>
          <w:sz w:val="20"/>
          <w:szCs w:val="20"/>
          <w:color w:val="auto"/>
        </w:rPr>
      </w:pPr>
    </w:p>
    <w:p>
      <w:pPr>
        <w:ind w:left="100" w:right="540"/>
        <w:spacing w:after="0" w:line="239" w:lineRule="auto"/>
        <w:rPr>
          <w:sz w:val="20"/>
          <w:szCs w:val="20"/>
          <w:color w:val="auto"/>
        </w:rPr>
      </w:pPr>
      <w:r>
        <w:rPr>
          <w:rFonts w:ascii="Arial" w:cs="Arial" w:eastAsia="Arial" w:hAnsi="Arial"/>
          <w:sz w:val="18"/>
          <w:szCs w:val="18"/>
          <w:color w:val="auto"/>
        </w:rPr>
        <w:t>The senior human resources executive, general counsel, CFO and CEO regularly participate in meetings. The committee regularly meets in executive sessions that include just the independent compensation consultant or senior human resources executive.</w:t>
      </w:r>
    </w:p>
    <w:p>
      <w:pPr>
        <w:sectPr>
          <w:pgSz w:w="11900" w:h="16838" w:orient="portrait"/>
          <w:cols w:equalWidth="0" w:num="1">
            <w:col w:w="11440"/>
          </w:cols>
          <w:pgMar w:left="240" w:top="121" w:right="219" w:bottom="1440" w:gutter="0" w:footer="0" w:header="0"/>
        </w:sectPr>
      </w:pPr>
    </w:p>
    <w:p>
      <w:pPr>
        <w:spacing w:after="0" w:line="127" w:lineRule="exact"/>
        <w:rPr>
          <w:sz w:val="20"/>
          <w:szCs w:val="20"/>
          <w:color w:val="auto"/>
        </w:rPr>
      </w:pPr>
    </w:p>
    <w:p>
      <w:pPr>
        <w:ind w:left="360" w:hanging="298"/>
        <w:spacing w:after="0" w:line="236" w:lineRule="auto"/>
        <w:tabs>
          <w:tab w:leader="none" w:pos="358" w:val="left"/>
        </w:tabs>
        <w:numPr>
          <w:ilvl w:val="0"/>
          <w:numId w:val="120"/>
        </w:numPr>
        <w:rPr>
          <w:rFonts w:ascii="Arial" w:cs="Arial" w:eastAsia="Arial" w:hAnsi="Arial"/>
          <w:sz w:val="17"/>
          <w:szCs w:val="17"/>
          <w:color w:val="105EAB"/>
        </w:rPr>
      </w:pPr>
      <w:r>
        <w:rPr>
          <w:rFonts w:ascii="Arial" w:cs="Arial" w:eastAsia="Arial" w:hAnsi="Arial"/>
          <w:sz w:val="18"/>
          <w:szCs w:val="18"/>
          <w:color w:val="auto"/>
        </w:rPr>
        <w:t>The senior human resources executive provides the committee with internal and external analyses of the structure of compensation programs. Throughout the year, the estimated and actual results under our incentive compensation plans are reviewed.</w:t>
      </w:r>
    </w:p>
    <w:p>
      <w:pPr>
        <w:spacing w:after="0" w:line="101" w:lineRule="exact"/>
        <w:rPr>
          <w:rFonts w:ascii="Arial" w:cs="Arial" w:eastAsia="Arial" w:hAnsi="Arial"/>
          <w:sz w:val="17"/>
          <w:szCs w:val="17"/>
          <w:color w:val="105EAB"/>
        </w:rPr>
      </w:pPr>
    </w:p>
    <w:p>
      <w:pPr>
        <w:ind w:left="360" w:hanging="298"/>
        <w:spacing w:after="0" w:line="298" w:lineRule="auto"/>
        <w:tabs>
          <w:tab w:leader="none" w:pos="358" w:val="left"/>
        </w:tabs>
        <w:numPr>
          <w:ilvl w:val="0"/>
          <w:numId w:val="120"/>
        </w:numPr>
        <w:rPr>
          <w:rFonts w:ascii="Arial" w:cs="Arial" w:eastAsia="Arial" w:hAnsi="Arial"/>
          <w:sz w:val="16"/>
          <w:szCs w:val="16"/>
          <w:color w:val="105EAB"/>
        </w:rPr>
      </w:pPr>
      <w:r>
        <w:rPr>
          <w:rFonts w:ascii="Arial" w:cs="Arial" w:eastAsia="Arial" w:hAnsi="Arial"/>
          <w:sz w:val="16"/>
          <w:szCs w:val="16"/>
          <w:color w:val="auto"/>
        </w:rPr>
        <w:t>The CFO discusses financial results relevant to incentive compensation, other financial measures, and accounting rules.</w:t>
      </w:r>
    </w:p>
    <w:p>
      <w:pPr>
        <w:spacing w:after="0" w:line="55" w:lineRule="exact"/>
        <w:rPr>
          <w:rFonts w:ascii="Arial" w:cs="Arial" w:eastAsia="Arial" w:hAnsi="Arial"/>
          <w:sz w:val="16"/>
          <w:szCs w:val="16"/>
          <w:color w:val="105EAB"/>
        </w:rPr>
      </w:pPr>
    </w:p>
    <w:p>
      <w:pPr>
        <w:ind w:left="360" w:right="120" w:hanging="298"/>
        <w:spacing w:after="0" w:line="237" w:lineRule="auto"/>
        <w:tabs>
          <w:tab w:leader="none" w:pos="358" w:val="left"/>
        </w:tabs>
        <w:numPr>
          <w:ilvl w:val="0"/>
          <w:numId w:val="120"/>
        </w:numPr>
        <w:rPr>
          <w:rFonts w:ascii="Arial" w:cs="Arial" w:eastAsia="Arial" w:hAnsi="Arial"/>
          <w:sz w:val="17"/>
          <w:szCs w:val="17"/>
          <w:color w:val="105EAB"/>
        </w:rPr>
      </w:pPr>
      <w:r>
        <w:rPr>
          <w:rFonts w:ascii="Arial" w:cs="Arial" w:eastAsia="Arial" w:hAnsi="Arial"/>
          <w:sz w:val="18"/>
          <w:szCs w:val="18"/>
          <w:color w:val="auto"/>
        </w:rPr>
        <w:t>The CEO advises on the alignment of incentive plan performance measures with strategy and the design of equity incentive awards. He also provides the committee with performance evaluations of</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ind w:left="296" w:right="1060" w:hanging="20"/>
        <w:spacing w:after="0" w:line="239" w:lineRule="auto"/>
        <w:rPr>
          <w:sz w:val="20"/>
          <w:szCs w:val="20"/>
          <w:color w:val="auto"/>
        </w:rPr>
      </w:pPr>
      <w:r>
        <w:rPr>
          <w:rFonts w:ascii="Arial" w:cs="Arial" w:eastAsia="Arial" w:hAnsi="Arial"/>
          <w:sz w:val="18"/>
          <w:szCs w:val="18"/>
          <w:color w:val="auto"/>
        </w:rPr>
        <w:t>senior executives and recommends merit increases and compensation awards.</w:t>
      </w:r>
    </w:p>
    <w:p>
      <w:pPr>
        <w:spacing w:after="0" w:line="100" w:lineRule="exact"/>
        <w:rPr>
          <w:sz w:val="20"/>
          <w:szCs w:val="20"/>
          <w:color w:val="auto"/>
        </w:rPr>
      </w:pPr>
    </w:p>
    <w:p>
      <w:pPr>
        <w:ind w:left="296" w:right="160" w:hanging="296"/>
        <w:spacing w:after="0" w:line="281" w:lineRule="auto"/>
        <w:tabs>
          <w:tab w:leader="none" w:pos="294" w:val="left"/>
        </w:tabs>
        <w:numPr>
          <w:ilvl w:val="0"/>
          <w:numId w:val="121"/>
        </w:numPr>
        <w:rPr>
          <w:rFonts w:ascii="Arial" w:cs="Arial" w:eastAsia="Arial" w:hAnsi="Arial"/>
          <w:sz w:val="16"/>
          <w:szCs w:val="16"/>
          <w:color w:val="105EAB"/>
        </w:rPr>
      </w:pPr>
      <w:r>
        <w:rPr>
          <w:rFonts w:ascii="Arial" w:cs="Arial" w:eastAsia="Arial" w:hAnsi="Arial"/>
          <w:sz w:val="16"/>
          <w:szCs w:val="16"/>
          <w:color w:val="auto"/>
        </w:rPr>
        <w:t>The general counsel provides input on the legal and regulatory environment and corporate governance best practices and ensures the proxy materials accurately reflect the committee’s actions.</w:t>
      </w:r>
    </w:p>
    <w:p>
      <w:pPr>
        <w:spacing w:after="0" w:line="68" w:lineRule="exact"/>
        <w:rPr>
          <w:rFonts w:ascii="Arial" w:cs="Arial" w:eastAsia="Arial" w:hAnsi="Arial"/>
          <w:sz w:val="16"/>
          <w:szCs w:val="16"/>
          <w:color w:val="105EAB"/>
        </w:rPr>
      </w:pPr>
    </w:p>
    <w:p>
      <w:pPr>
        <w:ind w:left="296" w:right="740" w:hanging="296"/>
        <w:spacing w:after="0" w:line="298" w:lineRule="auto"/>
        <w:tabs>
          <w:tab w:leader="none" w:pos="294" w:val="left"/>
        </w:tabs>
        <w:numPr>
          <w:ilvl w:val="0"/>
          <w:numId w:val="121"/>
        </w:numPr>
        <w:rPr>
          <w:rFonts w:ascii="Arial" w:cs="Arial" w:eastAsia="Arial" w:hAnsi="Arial"/>
          <w:sz w:val="16"/>
          <w:szCs w:val="16"/>
          <w:color w:val="105EAB"/>
        </w:rPr>
      </w:pPr>
      <w:r>
        <w:rPr>
          <w:rFonts w:ascii="Arial" w:cs="Arial" w:eastAsia="Arial" w:hAnsi="Arial"/>
          <w:sz w:val="16"/>
          <w:szCs w:val="16"/>
          <w:color w:val="auto"/>
        </w:rPr>
        <w:t>The chief risk officer reports annually on compensation plan alignment with Board-approved risk and return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-3654425</wp:posOffset>
            </wp:positionH>
            <wp:positionV relativeFrom="paragraph">
              <wp:posOffset>615950</wp:posOffset>
            </wp:positionV>
            <wp:extent cx="7246620" cy="50546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6620" cy="505460"/>
                    </a:xfrm>
                    <a:prstGeom prst="rect">
                      <a:avLst/>
                    </a:prstGeom>
                    <a:noFill/>
                  </pic:spPr>
                </pic:pic>
              </a:graphicData>
            </a:graphic>
          </wp:anchor>
        </w:drawing>
      </w:r>
    </w:p>
    <w:p>
      <w:pPr>
        <w:spacing w:after="0" w:line="965" w:lineRule="exact"/>
        <w:rPr>
          <w:sz w:val="20"/>
          <w:szCs w:val="20"/>
          <w:color w:val="auto"/>
        </w:rPr>
      </w:pPr>
    </w:p>
    <w:p>
      <w:pPr>
        <w:sectPr>
          <w:pgSz w:w="11900" w:h="16838" w:orient="portrait"/>
          <w:cols w:equalWidth="0" w:num="2">
            <w:col w:w="5240" w:space="524"/>
            <w:col w:w="5676"/>
          </w:cols>
          <w:pgMar w:left="240" w:top="121" w:right="219" w:bottom="1440" w:gutter="0" w:footer="0" w:header="0"/>
          <w:type w:val="continuous"/>
        </w:sectPr>
      </w:pPr>
    </w:p>
    <w:p>
      <w:pPr>
        <w:spacing w:after="0" w:line="6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105EAB"/>
        </w:rPr>
        <w:t>Nominating and Governance Committee</w:t>
      </w:r>
    </w:p>
    <w:p>
      <w:pPr>
        <w:spacing w:after="0" w:line="26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CEO and general counsel participate in meetings. The committee regularly meets in executive session without management 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1065" cy="6553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1065" cy="655320"/>
                    </a:xfrm>
                    <a:prstGeom prst="rect">
                      <a:avLst/>
                    </a:prstGeom>
                    <a:noFill/>
                  </pic:spPr>
                </pic:pic>
              </a:graphicData>
            </a:graphic>
          </wp:anchor>
        </w:drawing>
      </w:r>
    </w:p>
    <w:p>
      <w:pPr>
        <w:spacing w:after="0" w:line="250"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105EAB"/>
        </w:rPr>
        <w:t>Risk and Return Committee</w:t>
      </w:r>
    </w:p>
    <w:p>
      <w:pPr>
        <w:spacing w:after="0" w:line="260" w:lineRule="exact"/>
        <w:rPr>
          <w:sz w:val="20"/>
          <w:szCs w:val="20"/>
          <w:color w:val="auto"/>
        </w:rPr>
      </w:pPr>
    </w:p>
    <w:p>
      <w:pPr>
        <w:ind w:left="100" w:right="160"/>
        <w:spacing w:after="0" w:line="239" w:lineRule="auto"/>
        <w:rPr>
          <w:sz w:val="20"/>
          <w:szCs w:val="20"/>
          <w:color w:val="auto"/>
        </w:rPr>
      </w:pPr>
      <w:r>
        <w:rPr>
          <w:rFonts w:ascii="Arial" w:cs="Arial" w:eastAsia="Arial" w:hAnsi="Arial"/>
          <w:sz w:val="18"/>
          <w:szCs w:val="18"/>
          <w:color w:val="auto"/>
        </w:rPr>
        <w:t>The chief risk officer, CFO, general counsel, CEO, vice chair, and chief audit executive participate in meetings. The committee regularly meets in executive session, including sessions with the chief risk officer.</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1120" w:type="dxa"/>
            <w:vAlign w:val="bottom"/>
          </w:tcPr>
          <w:p>
            <w:pPr>
              <w:ind w:left="9640"/>
              <w:spacing w:after="0"/>
              <w:rPr>
                <w:sz w:val="20"/>
                <w:szCs w:val="20"/>
                <w:color w:val="auto"/>
              </w:rPr>
            </w:pPr>
            <w:r>
              <w:rPr>
                <w:rFonts w:ascii="Arial" w:cs="Arial" w:eastAsia="Arial" w:hAnsi="Arial"/>
                <w:sz w:val="13"/>
                <w:szCs w:val="13"/>
                <w:color w:val="105EAB"/>
              </w:rPr>
              <w:t>2019 Proxy Statement</w:t>
            </w:r>
          </w:p>
        </w:tc>
        <w:tc>
          <w:tcPr>
            <w:tcW w:w="320" w:type="dxa"/>
            <w:vAlign w:val="bottom"/>
          </w:tcPr>
          <w:p>
            <w:pPr>
              <w:jc w:val="right"/>
              <w:spacing w:after="0"/>
              <w:rPr>
                <w:sz w:val="20"/>
                <w:szCs w:val="20"/>
                <w:color w:val="auto"/>
              </w:rPr>
            </w:pPr>
            <w:r>
              <w:rPr>
                <w:rFonts w:ascii="Arial" w:cs="Arial" w:eastAsia="Arial" w:hAnsi="Arial"/>
                <w:sz w:val="13"/>
                <w:szCs w:val="13"/>
                <w:b w:val="1"/>
                <w:bCs w:val="1"/>
                <w:color w:val="105EAB"/>
              </w:rPr>
              <w:t>27</w:t>
            </w:r>
          </w:p>
        </w:tc>
      </w:tr>
      <w:tr>
        <w:trPr>
          <w:trHeight w:val="213"/>
        </w:trPr>
        <w:tc>
          <w:tcPr>
            <w:tcW w:w="1112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-13970</wp:posOffset>
            </wp:positionV>
            <wp:extent cx="1270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type w:val="continuous"/>
        </w:sectPr>
      </w:pPr>
    </w:p>
    <w:bookmarkStart w:id="28" w:name="page29"/>
    <w:bookmarkEnd w:id="28"/>
    <w:p>
      <w:pPr>
        <w:spacing w:after="0"/>
        <w:rPr>
          <w:rFonts w:ascii="Arial" w:cs="Arial" w:eastAsia="Arial" w:hAnsi="Arial"/>
          <w:sz w:val="16"/>
          <w:szCs w:val="16"/>
          <w:b w:val="1"/>
          <w:bCs w:val="1"/>
          <w:u w:val="single" w:color="auto"/>
          <w:color w:val="0000EE"/>
        </w:rPr>
      </w:pPr>
      <w:hyperlink w:anchor="page10">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26123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6620" cy="2612390"/>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p>
      <w:pPr>
        <w:spacing w:after="0" w:line="200" w:lineRule="exact"/>
        <w:rPr>
          <w:sz w:val="20"/>
          <w:szCs w:val="20"/>
          <w:color w:val="auto"/>
        </w:rPr>
      </w:pPr>
    </w:p>
    <w:p>
      <w:pPr>
        <w:spacing w:after="0" w:line="212" w:lineRule="exact"/>
        <w:rPr>
          <w:sz w:val="20"/>
          <w:szCs w:val="20"/>
          <w:color w:val="auto"/>
        </w:rPr>
      </w:pPr>
    </w:p>
    <w:p>
      <w:pPr>
        <w:ind w:left="180"/>
        <w:spacing w:after="0"/>
        <w:rPr>
          <w:sz w:val="20"/>
          <w:szCs w:val="20"/>
          <w:color w:val="auto"/>
        </w:rPr>
      </w:pPr>
      <w:r>
        <w:rPr>
          <w:rFonts w:ascii="Arial" w:cs="Arial" w:eastAsia="Arial" w:hAnsi="Arial"/>
          <w:sz w:val="13"/>
          <w:szCs w:val="13"/>
          <w:b w:val="1"/>
          <w:bCs w:val="1"/>
          <w:color w:val="105EAB"/>
        </w:rPr>
        <w:t xml:space="preserve">Corporate Governance | </w:t>
      </w:r>
      <w:r>
        <w:rPr>
          <w:rFonts w:ascii="Arial" w:cs="Arial" w:eastAsia="Arial" w:hAnsi="Arial"/>
          <w:sz w:val="13"/>
          <w:szCs w:val="13"/>
          <w:b w:val="1"/>
          <w:bCs w:val="1"/>
          <w:color w:val="000000"/>
        </w:rPr>
        <w:t>Board Meetings and Committees</w:t>
      </w:r>
    </w:p>
    <w:p>
      <w:pPr>
        <w:spacing w:after="0" w:line="201" w:lineRule="exact"/>
        <w:rPr>
          <w:sz w:val="20"/>
          <w:szCs w:val="20"/>
          <w:color w:val="auto"/>
        </w:rPr>
      </w:pPr>
    </w:p>
    <w:p>
      <w:pPr>
        <w:ind w:left="720"/>
        <w:spacing w:after="0"/>
        <w:rPr>
          <w:sz w:val="20"/>
          <w:szCs w:val="20"/>
          <w:color w:val="auto"/>
        </w:rPr>
      </w:pPr>
      <w:r>
        <w:rPr>
          <w:rFonts w:ascii="Arial" w:cs="Arial" w:eastAsia="Arial" w:hAnsi="Arial"/>
          <w:sz w:val="25"/>
          <w:szCs w:val="25"/>
          <w:b w:val="1"/>
          <w:bCs w:val="1"/>
          <w:color w:val="105EAB"/>
        </w:rPr>
        <w:t>The Allstate Corporation Board of Directors</w:t>
      </w:r>
    </w:p>
    <w:p>
      <w:pPr>
        <w:spacing w:after="0" w:line="266" w:lineRule="exact"/>
        <w:rPr>
          <w:sz w:val="20"/>
          <w:szCs w:val="20"/>
          <w:color w:val="auto"/>
        </w:rPr>
      </w:pPr>
    </w:p>
    <w:p>
      <w:pPr>
        <w:ind w:left="720"/>
        <w:spacing w:after="0"/>
        <w:rPr>
          <w:sz w:val="20"/>
          <w:szCs w:val="20"/>
          <w:color w:val="auto"/>
        </w:rPr>
      </w:pPr>
      <w:r>
        <w:rPr>
          <w:rFonts w:ascii="Arial" w:cs="Arial" w:eastAsia="Arial" w:hAnsi="Arial"/>
          <w:sz w:val="13"/>
          <w:szCs w:val="13"/>
          <w:b w:val="1"/>
          <w:bCs w:val="1"/>
          <w:color w:val="39B6E9"/>
        </w:rPr>
        <w:t xml:space="preserve">Independent Lead Director: </w:t>
      </w:r>
      <w:r>
        <w:rPr>
          <w:rFonts w:ascii="Arial" w:cs="Arial" w:eastAsia="Arial" w:hAnsi="Arial"/>
          <w:sz w:val="13"/>
          <w:szCs w:val="13"/>
          <w:color w:val="000000"/>
        </w:rPr>
        <w:t>Judith A. Sprieser</w:t>
      </w:r>
    </w:p>
    <w:p>
      <w:pPr>
        <w:spacing w:after="0" w:line="215" w:lineRule="exact"/>
        <w:rPr>
          <w:sz w:val="20"/>
          <w:szCs w:val="20"/>
          <w:color w:val="auto"/>
        </w:rPr>
      </w:pPr>
    </w:p>
    <w:p>
      <w:pPr>
        <w:ind w:left="720"/>
        <w:spacing w:after="0"/>
        <w:rPr>
          <w:sz w:val="20"/>
          <w:szCs w:val="20"/>
          <w:color w:val="auto"/>
        </w:rPr>
      </w:pPr>
      <w:r>
        <w:rPr>
          <w:rFonts w:ascii="Arial" w:cs="Arial" w:eastAsia="Arial" w:hAnsi="Arial"/>
          <w:sz w:val="13"/>
          <w:szCs w:val="13"/>
          <w:b w:val="1"/>
          <w:bCs w:val="1"/>
          <w:color w:val="39B6E9"/>
        </w:rPr>
        <w:t xml:space="preserve">Chair: </w:t>
      </w:r>
      <w:r>
        <w:rPr>
          <w:rFonts w:ascii="Arial" w:cs="Arial" w:eastAsia="Arial" w:hAnsi="Arial"/>
          <w:sz w:val="13"/>
          <w:szCs w:val="13"/>
          <w:color w:val="000000"/>
        </w:rPr>
        <w:t>Thomas J. Wilson</w:t>
      </w:r>
    </w:p>
    <w:p>
      <w:pPr>
        <w:spacing w:after="0" w:line="215" w:lineRule="exact"/>
        <w:rPr>
          <w:sz w:val="20"/>
          <w:szCs w:val="20"/>
          <w:color w:val="auto"/>
        </w:rPr>
      </w:pPr>
    </w:p>
    <w:p>
      <w:pPr>
        <w:ind w:left="720"/>
        <w:spacing w:after="0"/>
        <w:rPr>
          <w:sz w:val="20"/>
          <w:szCs w:val="20"/>
          <w:color w:val="auto"/>
        </w:rPr>
      </w:pPr>
      <w:r>
        <w:rPr>
          <w:rFonts w:ascii="Arial" w:cs="Arial" w:eastAsia="Arial" w:hAnsi="Arial"/>
          <w:sz w:val="13"/>
          <w:szCs w:val="13"/>
          <w:b w:val="1"/>
          <w:bCs w:val="1"/>
          <w:color w:val="39B6E9"/>
        </w:rPr>
        <w:t xml:space="preserve">Meetings in 2018: </w:t>
      </w:r>
      <w:r>
        <w:rPr>
          <w:rFonts w:ascii="Arial" w:cs="Arial" w:eastAsia="Arial" w:hAnsi="Arial"/>
          <w:sz w:val="13"/>
          <w:szCs w:val="13"/>
          <w:color w:val="000000"/>
        </w:rPr>
        <w:t>7</w:t>
      </w:r>
    </w:p>
    <w:p>
      <w:pPr>
        <w:spacing w:after="0" w:line="15" w:lineRule="exact"/>
        <w:rPr>
          <w:sz w:val="20"/>
          <w:szCs w:val="20"/>
          <w:color w:val="auto"/>
        </w:rPr>
      </w:pPr>
    </w:p>
    <w:p>
      <w:pPr>
        <w:ind w:left="980" w:right="100" w:hanging="266"/>
        <w:spacing w:after="0" w:line="258" w:lineRule="auto"/>
        <w:tabs>
          <w:tab w:leader="none" w:pos="969" w:val="left"/>
        </w:tabs>
        <w:numPr>
          <w:ilvl w:val="0"/>
          <w:numId w:val="122"/>
        </w:numPr>
        <w:rPr>
          <w:rFonts w:ascii="Arial" w:cs="Arial" w:eastAsia="Arial" w:hAnsi="Arial"/>
          <w:sz w:val="13"/>
          <w:szCs w:val="13"/>
          <w:color w:val="105EAB"/>
        </w:rPr>
      </w:pPr>
      <w:r>
        <w:rPr>
          <w:rFonts w:ascii="Arial" w:cs="Arial" w:eastAsia="Arial" w:hAnsi="Arial"/>
          <w:sz w:val="13"/>
          <w:szCs w:val="13"/>
          <w:color w:val="auto"/>
        </w:rPr>
        <w:t>The Board’s meeting schedule was revised in 2018 to solely focus on strategy for three days in October</w:t>
      </w:r>
    </w:p>
    <w:p>
      <w:pPr>
        <w:spacing w:after="0" w:line="56" w:lineRule="exact"/>
        <w:rPr>
          <w:rFonts w:ascii="Arial" w:cs="Arial" w:eastAsia="Arial" w:hAnsi="Arial"/>
          <w:sz w:val="13"/>
          <w:szCs w:val="13"/>
          <w:color w:val="105EAB"/>
        </w:rPr>
      </w:pPr>
    </w:p>
    <w:p>
      <w:pPr>
        <w:ind w:left="980" w:hanging="266"/>
        <w:spacing w:after="0"/>
        <w:tabs>
          <w:tab w:leader="none" w:pos="980" w:val="left"/>
        </w:tabs>
        <w:numPr>
          <w:ilvl w:val="0"/>
          <w:numId w:val="122"/>
        </w:numPr>
        <w:rPr>
          <w:rFonts w:ascii="Arial" w:cs="Arial" w:eastAsia="Arial" w:hAnsi="Arial"/>
          <w:sz w:val="13"/>
          <w:szCs w:val="13"/>
          <w:color w:val="105EAB"/>
        </w:rPr>
      </w:pPr>
      <w:r>
        <w:rPr>
          <w:rFonts w:ascii="Arial" w:cs="Arial" w:eastAsia="Arial" w:hAnsi="Arial"/>
          <w:sz w:val="13"/>
          <w:szCs w:val="13"/>
          <w:color w:val="auto"/>
        </w:rPr>
        <w:t>Succession planning discussed at four meetings annually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3"/>
          <w:szCs w:val="13"/>
          <w:b w:val="1"/>
          <w:bCs w:val="1"/>
          <w:color w:val="39B6E9"/>
        </w:rPr>
        <w:t>Highly Independent Board</w:t>
      </w:r>
    </w:p>
    <w:p>
      <w:pPr>
        <w:spacing w:after="0" w:line="15" w:lineRule="exact"/>
        <w:rPr>
          <w:sz w:val="20"/>
          <w:szCs w:val="20"/>
          <w:color w:val="auto"/>
        </w:rPr>
      </w:pPr>
    </w:p>
    <w:p>
      <w:pPr>
        <w:ind w:right="200"/>
        <w:spacing w:after="0" w:line="241" w:lineRule="auto"/>
        <w:rPr>
          <w:sz w:val="20"/>
          <w:szCs w:val="20"/>
          <w:color w:val="auto"/>
        </w:rPr>
      </w:pPr>
      <w:r>
        <w:rPr>
          <w:rFonts w:ascii="Arial" w:cs="Arial" w:eastAsia="Arial" w:hAnsi="Arial"/>
          <w:sz w:val="13"/>
          <w:szCs w:val="13"/>
          <w:color w:val="auto"/>
        </w:rPr>
        <w:t>Nine out of ten directors on the Board are independent. Each director has input into Board and committee meeting schedules, agendas and materials. In addition, directors are provided opportunities throughout the year for independent discussion and reflection. The directors hold executive sessions without management present at every in-person Board and committee meeting. In 2018, small group director breakfasts were added to allow for additional independent contemplation of the matters discussed at meetings.</w:t>
      </w:r>
    </w:p>
    <w:p>
      <w:pPr>
        <w:spacing w:after="0" w:line="404" w:lineRule="exact"/>
        <w:rPr>
          <w:sz w:val="20"/>
          <w:szCs w:val="20"/>
          <w:color w:val="auto"/>
        </w:rPr>
      </w:pPr>
    </w:p>
    <w:p>
      <w:pPr>
        <w:sectPr>
          <w:pgSz w:w="11900" w:h="16838" w:orient="portrait"/>
          <w:cols w:equalWidth="0" w:num="2">
            <w:col w:w="5920" w:space="180"/>
            <w:col w:w="5280"/>
          </w:cols>
          <w:pgMar w:left="240" w:top="121" w:right="2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700"/>
        <w:spacing w:after="0"/>
        <w:rPr>
          <w:sz w:val="20"/>
          <w:szCs w:val="20"/>
          <w:color w:val="auto"/>
        </w:rPr>
      </w:pPr>
      <w:r>
        <w:rPr>
          <w:rFonts w:ascii="Arial" w:cs="Arial" w:eastAsia="Arial" w:hAnsi="Arial"/>
          <w:sz w:val="22"/>
          <w:szCs w:val="22"/>
          <w:b w:val="1"/>
          <w:bCs w:val="1"/>
          <w:color w:val="105EAB"/>
        </w:rPr>
        <w:t>Audit Committee</w:t>
      </w:r>
      <w:r>
        <w:rPr>
          <w:rFonts w:ascii="Arial" w:cs="Arial" w:eastAsia="Arial" w:hAnsi="Arial"/>
          <w:sz w:val="35"/>
          <w:szCs w:val="35"/>
          <w:b w:val="1"/>
          <w:bCs w:val="1"/>
          <w:color w:val="105EAB"/>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3148965</wp:posOffset>
            </wp:positionH>
            <wp:positionV relativeFrom="paragraph">
              <wp:posOffset>-146050</wp:posOffset>
            </wp:positionV>
            <wp:extent cx="591185" cy="5911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91185" cy="591185"/>
                    </a:xfrm>
                    <a:prstGeom prst="rect">
                      <a:avLst/>
                    </a:prstGeom>
                    <a:noFill/>
                  </pic:spPr>
                </pic:pic>
              </a:graphicData>
            </a:graphic>
          </wp:anchor>
        </w:drawing>
      </w:r>
    </w:p>
    <w:p>
      <w:pPr>
        <w:spacing w:after="0" w:line="116" w:lineRule="exact"/>
        <w:rPr>
          <w:sz w:val="20"/>
          <w:szCs w:val="20"/>
          <w:color w:val="auto"/>
        </w:rPr>
      </w:pPr>
    </w:p>
    <w:p>
      <w:pPr>
        <w:ind w:left="700"/>
        <w:spacing w:after="0"/>
        <w:rPr>
          <w:sz w:val="20"/>
          <w:szCs w:val="20"/>
          <w:color w:val="auto"/>
        </w:rPr>
      </w:pPr>
      <w:r>
        <w:rPr>
          <w:rFonts w:ascii="Arial" w:cs="Arial" w:eastAsia="Arial" w:hAnsi="Arial"/>
          <w:sz w:val="18"/>
          <w:szCs w:val="18"/>
          <w:color w:val="105EAB"/>
        </w:rPr>
        <w:t>Report, pg. 85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450215</wp:posOffset>
            </wp:positionH>
            <wp:positionV relativeFrom="paragraph">
              <wp:posOffset>38100</wp:posOffset>
            </wp:positionV>
            <wp:extent cx="26466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646680" cy="8255"/>
                    </a:xfrm>
                    <a:prstGeom prst="rect">
                      <a:avLst/>
                    </a:prstGeom>
                    <a:noFill/>
                  </pic:spPr>
                </pic:pic>
              </a:graphicData>
            </a:graphic>
          </wp:anchor>
        </w:drawing>
      </w:r>
    </w:p>
    <w:p>
      <w:pPr>
        <w:spacing w:after="0" w:line="131" w:lineRule="exact"/>
        <w:rPr>
          <w:sz w:val="20"/>
          <w:szCs w:val="20"/>
          <w:color w:val="auto"/>
        </w:rPr>
      </w:pPr>
    </w:p>
    <w:p>
      <w:pPr>
        <w:ind w:left="700"/>
        <w:spacing w:after="0"/>
        <w:tabs>
          <w:tab w:leader="none" w:pos="2960" w:val="left"/>
        </w:tabs>
        <w:rPr>
          <w:sz w:val="20"/>
          <w:szCs w:val="20"/>
          <w:color w:val="auto"/>
        </w:rPr>
      </w:pPr>
      <w:r>
        <w:rPr>
          <w:rFonts w:ascii="Arial" w:cs="Arial" w:eastAsia="Arial" w:hAnsi="Arial"/>
          <w:sz w:val="13"/>
          <w:szCs w:val="13"/>
          <w:b w:val="1"/>
          <w:bCs w:val="1"/>
          <w:color w:val="959595"/>
        </w:rPr>
        <w:t xml:space="preserve">Chair: </w:t>
      </w:r>
      <w:r>
        <w:rPr>
          <w:rFonts w:ascii="Arial" w:cs="Arial" w:eastAsia="Arial" w:hAnsi="Arial"/>
          <w:sz w:val="13"/>
          <w:szCs w:val="13"/>
          <w:color w:val="000000"/>
        </w:rPr>
        <w:t>Kermit R. Crawford</w:t>
      </w:r>
      <w:r>
        <w:rPr>
          <w:sz w:val="20"/>
          <w:szCs w:val="20"/>
          <w:color w:val="auto"/>
        </w:rPr>
        <w:tab/>
      </w:r>
      <w:r>
        <w:rPr>
          <w:rFonts w:ascii="Arial" w:cs="Arial" w:eastAsia="Arial" w:hAnsi="Arial"/>
          <w:sz w:val="13"/>
          <w:szCs w:val="13"/>
          <w:b w:val="1"/>
          <w:bCs w:val="1"/>
          <w:color w:val="959595"/>
        </w:rPr>
        <w:t xml:space="preserve">Meetings in 2018: </w:t>
      </w:r>
      <w:r>
        <w:rPr>
          <w:rFonts w:ascii="Arial" w:cs="Arial" w:eastAsia="Arial" w:hAnsi="Arial"/>
          <w:sz w:val="13"/>
          <w:szCs w:val="13"/>
          <w:color w:val="000000"/>
        </w:rPr>
        <w:t>9</w:t>
      </w:r>
    </w:p>
    <w:p>
      <w:pPr>
        <w:spacing w:after="0" w:line="282" w:lineRule="exact"/>
        <w:rPr>
          <w:sz w:val="20"/>
          <w:szCs w:val="20"/>
          <w:color w:val="auto"/>
        </w:rPr>
      </w:pPr>
    </w:p>
    <w:p>
      <w:pPr>
        <w:ind w:left="700"/>
        <w:spacing w:after="0"/>
        <w:rPr>
          <w:sz w:val="20"/>
          <w:szCs w:val="20"/>
          <w:color w:val="auto"/>
        </w:rPr>
      </w:pPr>
      <w:r>
        <w:rPr>
          <w:rFonts w:ascii="Arial" w:cs="Arial" w:eastAsia="Arial" w:hAnsi="Arial"/>
          <w:sz w:val="13"/>
          <w:szCs w:val="13"/>
          <w:b w:val="1"/>
          <w:bCs w:val="1"/>
          <w:color w:val="959595"/>
        </w:rPr>
        <w:t>Other Members:</w:t>
      </w:r>
    </w:p>
    <w:p>
      <w:pPr>
        <w:spacing w:after="0" w:line="82" w:lineRule="exact"/>
        <w:rPr>
          <w:sz w:val="20"/>
          <w:szCs w:val="20"/>
          <w:color w:val="auto"/>
        </w:rPr>
      </w:pPr>
    </w:p>
    <w:p>
      <w:pPr>
        <w:ind w:left="700"/>
        <w:spacing w:after="0"/>
        <w:tabs>
          <w:tab w:leader="none" w:pos="2960" w:val="left"/>
        </w:tabs>
        <w:rPr>
          <w:sz w:val="20"/>
          <w:szCs w:val="20"/>
          <w:color w:val="auto"/>
        </w:rPr>
      </w:pPr>
      <w:r>
        <w:rPr>
          <w:rFonts w:ascii="Arial" w:cs="Arial" w:eastAsia="Arial" w:hAnsi="Arial"/>
          <w:sz w:val="13"/>
          <w:szCs w:val="13"/>
          <w:color w:val="auto"/>
        </w:rPr>
        <w:t>Michael L. Eskew</w:t>
      </w:r>
      <w:r>
        <w:rPr>
          <w:sz w:val="20"/>
          <w:szCs w:val="20"/>
          <w:color w:val="auto"/>
        </w:rPr>
        <w:tab/>
      </w:r>
      <w:r>
        <w:rPr>
          <w:rFonts w:ascii="Arial" w:cs="Arial" w:eastAsia="Arial" w:hAnsi="Arial"/>
          <w:sz w:val="13"/>
          <w:szCs w:val="13"/>
          <w:color w:val="auto"/>
        </w:rPr>
        <w:t>Gregg M. Sherrill</w:t>
      </w:r>
    </w:p>
    <w:p>
      <w:pPr>
        <w:spacing w:after="0" w:line="66" w:lineRule="exact"/>
        <w:rPr>
          <w:sz w:val="20"/>
          <w:szCs w:val="20"/>
          <w:color w:val="auto"/>
        </w:rPr>
      </w:pPr>
    </w:p>
    <w:p>
      <w:pPr>
        <w:ind w:left="700"/>
        <w:spacing w:after="0"/>
        <w:rPr>
          <w:sz w:val="20"/>
          <w:szCs w:val="20"/>
          <w:color w:val="auto"/>
        </w:rPr>
      </w:pPr>
      <w:r>
        <w:rPr>
          <w:rFonts w:ascii="Arial" w:cs="Arial" w:eastAsia="Arial" w:hAnsi="Arial"/>
          <w:sz w:val="13"/>
          <w:szCs w:val="13"/>
          <w:color w:val="auto"/>
        </w:rPr>
        <w:t>Siddharth N. Mehta</w:t>
      </w:r>
    </w:p>
    <w:p>
      <w:pPr>
        <w:spacing w:after="0" w:line="255" w:lineRule="exact"/>
        <w:rPr>
          <w:sz w:val="20"/>
          <w:szCs w:val="20"/>
          <w:color w:val="auto"/>
        </w:rPr>
      </w:pPr>
    </w:p>
    <w:p>
      <w:pPr>
        <w:ind w:left="700"/>
        <w:spacing w:after="0" w:line="243" w:lineRule="auto"/>
        <w:rPr>
          <w:sz w:val="20"/>
          <w:szCs w:val="20"/>
          <w:color w:val="auto"/>
        </w:rPr>
      </w:pPr>
      <w:r>
        <w:rPr>
          <w:rFonts w:ascii="Arial" w:cs="Arial" w:eastAsia="Arial" w:hAnsi="Arial"/>
          <w:sz w:val="13"/>
          <w:szCs w:val="13"/>
          <w:color w:val="105EAB"/>
        </w:rPr>
        <w:t>“The controls over operations and financial statement preparation continue to be highly effective. Cybersecurity risk continued to be an area of significant attention, and the independent cybersecurity advisor was retained for a third year to provide additional assessment capabilities. We also reviewed an independent external assessment of Allstate’s ethics and compliance program.”</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3"/>
          <w:szCs w:val="13"/>
          <w:b w:val="1"/>
          <w:bCs w:val="1"/>
          <w:color w:val="105EAB"/>
        </w:rPr>
        <w:t>— KERMIT R. CRAWFORD,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450215</wp:posOffset>
            </wp:positionH>
            <wp:positionV relativeFrom="paragraph">
              <wp:posOffset>52705</wp:posOffset>
            </wp:positionV>
            <wp:extent cx="328930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289300" cy="8255"/>
                    </a:xfrm>
                    <a:prstGeom prst="rect">
                      <a:avLst/>
                    </a:prstGeom>
                    <a:noFill/>
                  </pic:spPr>
                </pic:pic>
              </a:graphicData>
            </a:graphic>
          </wp:anchor>
        </w:drawing>
      </w:r>
    </w:p>
    <w:p>
      <w:pPr>
        <w:spacing w:after="0" w:line="127" w:lineRule="exact"/>
        <w:rPr>
          <w:sz w:val="20"/>
          <w:szCs w:val="20"/>
          <w:color w:val="auto"/>
        </w:rPr>
      </w:pPr>
    </w:p>
    <w:p>
      <w:pPr>
        <w:ind w:left="700"/>
        <w:spacing w:after="0"/>
        <w:rPr>
          <w:sz w:val="20"/>
          <w:szCs w:val="20"/>
          <w:color w:val="auto"/>
        </w:rPr>
      </w:pPr>
      <w:r>
        <w:rPr>
          <w:rFonts w:ascii="Arial" w:cs="Arial" w:eastAsia="Arial" w:hAnsi="Arial"/>
          <w:sz w:val="13"/>
          <w:szCs w:val="13"/>
          <w:b w:val="1"/>
          <w:bCs w:val="1"/>
          <w:color w:val="959595"/>
        </w:rPr>
        <w:t>Key Responsibilities:</w:t>
      </w:r>
    </w:p>
    <w:p>
      <w:pPr>
        <w:spacing w:after="0" w:line="15" w:lineRule="exact"/>
        <w:rPr>
          <w:sz w:val="20"/>
          <w:szCs w:val="20"/>
          <w:color w:val="auto"/>
        </w:rPr>
      </w:pPr>
    </w:p>
    <w:p>
      <w:pPr>
        <w:ind w:left="980" w:right="340" w:hanging="271"/>
        <w:spacing w:after="0" w:line="238" w:lineRule="auto"/>
        <w:tabs>
          <w:tab w:leader="none" w:pos="969" w:val="left"/>
        </w:tabs>
        <w:numPr>
          <w:ilvl w:val="0"/>
          <w:numId w:val="123"/>
        </w:numPr>
        <w:rPr>
          <w:rFonts w:ascii="Arial" w:cs="Arial" w:eastAsia="Arial" w:hAnsi="Arial"/>
          <w:sz w:val="13"/>
          <w:szCs w:val="13"/>
          <w:color w:val="105EAB"/>
        </w:rPr>
      </w:pPr>
      <w:r>
        <w:rPr>
          <w:rFonts w:ascii="Arial" w:cs="Arial" w:eastAsia="Arial" w:hAnsi="Arial"/>
          <w:sz w:val="13"/>
          <w:szCs w:val="13"/>
          <w:color w:val="auto"/>
        </w:rPr>
        <w:t>Oversees integrity of financial statements and other financial information and disclosures</w:t>
      </w:r>
    </w:p>
    <w:p>
      <w:pPr>
        <w:ind w:left="980" w:right="220" w:hanging="271"/>
        <w:spacing w:after="0" w:line="238" w:lineRule="auto"/>
        <w:tabs>
          <w:tab w:leader="none" w:pos="969" w:val="left"/>
        </w:tabs>
        <w:numPr>
          <w:ilvl w:val="0"/>
          <w:numId w:val="123"/>
        </w:numPr>
        <w:rPr>
          <w:rFonts w:ascii="Arial" w:cs="Arial" w:eastAsia="Arial" w:hAnsi="Arial"/>
          <w:sz w:val="13"/>
          <w:szCs w:val="13"/>
          <w:color w:val="105EAB"/>
        </w:rPr>
      </w:pPr>
      <w:r>
        <w:rPr>
          <w:rFonts w:ascii="Arial" w:cs="Arial" w:eastAsia="Arial" w:hAnsi="Arial"/>
          <w:sz w:val="13"/>
          <w:szCs w:val="13"/>
          <w:color w:val="auto"/>
        </w:rPr>
        <w:t>Oversees the system of internal control over accounting and financial reporting and disclosure controls and procedures</w:t>
      </w:r>
    </w:p>
    <w:p>
      <w:pPr>
        <w:ind w:left="980" w:right="20" w:hanging="271"/>
        <w:spacing w:after="0" w:line="238" w:lineRule="auto"/>
        <w:tabs>
          <w:tab w:leader="none" w:pos="969" w:val="left"/>
        </w:tabs>
        <w:numPr>
          <w:ilvl w:val="0"/>
          <w:numId w:val="123"/>
        </w:numPr>
        <w:rPr>
          <w:rFonts w:ascii="Arial" w:cs="Arial" w:eastAsia="Arial" w:hAnsi="Arial"/>
          <w:sz w:val="13"/>
          <w:szCs w:val="13"/>
          <w:color w:val="105EAB"/>
        </w:rPr>
      </w:pPr>
      <w:r>
        <w:rPr>
          <w:rFonts w:ascii="Arial" w:cs="Arial" w:eastAsia="Arial" w:hAnsi="Arial"/>
          <w:sz w:val="13"/>
          <w:szCs w:val="13"/>
          <w:color w:val="auto"/>
        </w:rPr>
        <w:t>Reviews the enterprise risk control assessment and guidelines, including cybersecurity risk and the major financial risk exposures and management’s steps to monitor and control those risks</w:t>
      </w:r>
    </w:p>
    <w:p>
      <w:pPr>
        <w:ind w:left="980" w:right="360" w:hanging="271"/>
        <w:spacing w:after="0" w:line="238" w:lineRule="auto"/>
        <w:tabs>
          <w:tab w:leader="none" w:pos="969" w:val="left"/>
        </w:tabs>
        <w:numPr>
          <w:ilvl w:val="0"/>
          <w:numId w:val="123"/>
        </w:numPr>
        <w:rPr>
          <w:rFonts w:ascii="Arial" w:cs="Arial" w:eastAsia="Arial" w:hAnsi="Arial"/>
          <w:sz w:val="13"/>
          <w:szCs w:val="13"/>
          <w:color w:val="105EAB"/>
        </w:rPr>
      </w:pPr>
      <w:r>
        <w:rPr>
          <w:rFonts w:ascii="Arial" w:cs="Arial" w:eastAsia="Arial" w:hAnsi="Arial"/>
          <w:sz w:val="13"/>
          <w:szCs w:val="13"/>
          <w:color w:val="auto"/>
        </w:rPr>
        <w:t>Oversees the ethics and compliance program and compliance with legal and regulatory requirements</w:t>
      </w:r>
    </w:p>
    <w:p>
      <w:pPr>
        <w:ind w:left="980" w:right="260" w:hanging="271"/>
        <w:spacing w:after="0" w:line="238" w:lineRule="auto"/>
        <w:tabs>
          <w:tab w:leader="none" w:pos="969" w:val="left"/>
        </w:tabs>
        <w:numPr>
          <w:ilvl w:val="0"/>
          <w:numId w:val="123"/>
        </w:numPr>
        <w:rPr>
          <w:rFonts w:ascii="Arial" w:cs="Arial" w:eastAsia="Arial" w:hAnsi="Arial"/>
          <w:sz w:val="13"/>
          <w:szCs w:val="13"/>
          <w:color w:val="105EAB"/>
        </w:rPr>
      </w:pPr>
      <w:r>
        <w:rPr>
          <w:rFonts w:ascii="Arial" w:cs="Arial" w:eastAsia="Arial" w:hAnsi="Arial"/>
          <w:sz w:val="13"/>
          <w:szCs w:val="13"/>
          <w:color w:val="auto"/>
        </w:rPr>
        <w:t>Appoints, retains, and oversees the independent registered public accountant, and evaluates its qualifications, performance and independence</w:t>
      </w:r>
    </w:p>
    <w:p>
      <w:pPr>
        <w:ind w:left="960" w:hanging="251"/>
        <w:spacing w:after="0" w:line="238" w:lineRule="auto"/>
        <w:tabs>
          <w:tab w:leader="none" w:pos="960" w:val="left"/>
        </w:tabs>
        <w:numPr>
          <w:ilvl w:val="0"/>
          <w:numId w:val="123"/>
        </w:numPr>
        <w:rPr>
          <w:rFonts w:ascii="Arial" w:cs="Arial" w:eastAsia="Arial" w:hAnsi="Arial"/>
          <w:sz w:val="13"/>
          <w:szCs w:val="13"/>
          <w:color w:val="105EAB"/>
        </w:rPr>
      </w:pPr>
      <w:r>
        <w:rPr>
          <w:rFonts w:ascii="Arial" w:cs="Arial" w:eastAsia="Arial" w:hAnsi="Arial"/>
          <w:sz w:val="13"/>
          <w:szCs w:val="13"/>
          <w:color w:val="auto"/>
        </w:rPr>
        <w:t>Evaluates retaining independent cybersecurity advisor</w:t>
      </w:r>
    </w:p>
    <w:p>
      <w:pPr>
        <w:ind w:left="960" w:hanging="251"/>
        <w:spacing w:after="0" w:line="238" w:lineRule="auto"/>
        <w:tabs>
          <w:tab w:leader="none" w:pos="960" w:val="left"/>
        </w:tabs>
        <w:numPr>
          <w:ilvl w:val="0"/>
          <w:numId w:val="123"/>
        </w:numPr>
        <w:rPr>
          <w:rFonts w:ascii="Arial" w:cs="Arial" w:eastAsia="Arial" w:hAnsi="Arial"/>
          <w:sz w:val="13"/>
          <w:szCs w:val="13"/>
          <w:color w:val="105EAB"/>
        </w:rPr>
      </w:pPr>
      <w:r>
        <w:rPr>
          <w:rFonts w:ascii="Arial" w:cs="Arial" w:eastAsia="Arial" w:hAnsi="Arial"/>
          <w:sz w:val="13"/>
          <w:szCs w:val="13"/>
          <w:color w:val="auto"/>
        </w:rPr>
        <w:t>Oversees Allstate’s internal audit function</w:t>
      </w:r>
    </w:p>
    <w:p>
      <w:pPr>
        <w:ind w:left="980" w:right="160" w:hanging="271"/>
        <w:spacing w:after="0" w:line="258" w:lineRule="auto"/>
        <w:tabs>
          <w:tab w:leader="none" w:pos="969" w:val="left"/>
        </w:tabs>
        <w:numPr>
          <w:ilvl w:val="0"/>
          <w:numId w:val="123"/>
        </w:numPr>
        <w:rPr>
          <w:rFonts w:ascii="Arial" w:cs="Arial" w:eastAsia="Arial" w:hAnsi="Arial"/>
          <w:sz w:val="13"/>
          <w:szCs w:val="13"/>
          <w:color w:val="105EAB"/>
        </w:rPr>
      </w:pPr>
      <w:r>
        <w:rPr>
          <w:rFonts w:ascii="Arial" w:cs="Arial" w:eastAsia="Arial" w:hAnsi="Arial"/>
          <w:sz w:val="13"/>
          <w:szCs w:val="13"/>
          <w:color w:val="auto"/>
        </w:rPr>
        <w:t>Has authority to engage independent counsel and other advisors to carry out its duties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2760"/>
        <w:spacing w:after="0" w:line="284" w:lineRule="auto"/>
        <w:rPr>
          <w:sz w:val="20"/>
          <w:szCs w:val="20"/>
          <w:color w:val="auto"/>
        </w:rPr>
      </w:pPr>
      <w:r>
        <w:rPr>
          <w:rFonts w:ascii="Arial" w:cs="Arial" w:eastAsia="Arial" w:hAnsi="Arial"/>
          <w:sz w:val="21"/>
          <w:szCs w:val="21"/>
          <w:b w:val="1"/>
          <w:bCs w:val="1"/>
          <w:color w:val="105EAB"/>
        </w:rPr>
        <w:t>Compensation and Succession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-341630</wp:posOffset>
            </wp:positionV>
            <wp:extent cx="8255" cy="38373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255" cy="3837305"/>
                    </a:xfrm>
                    <a:prstGeom prst="rect">
                      <a:avLst/>
                    </a:prstGeom>
                    <a:noFill/>
                  </pic:spPr>
                </pic:pic>
              </a:graphicData>
            </a:graphic>
          </wp:anchor>
        </w:drawing>
        <w:drawing>
          <wp:anchor simplePos="0" relativeHeight="251657728" behindDoc="1" locked="0" layoutInCell="0" allowOverlap="1">
            <wp:simplePos x="0" y="0"/>
            <wp:positionH relativeFrom="column">
              <wp:posOffset>2689860</wp:posOffset>
            </wp:positionH>
            <wp:positionV relativeFrom="paragraph">
              <wp:posOffset>-127635</wp:posOffset>
            </wp:positionV>
            <wp:extent cx="599440" cy="59118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99440" cy="591185"/>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105EAB"/>
        </w:rPr>
        <w:t>Report, pg. 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263842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638425" cy="8255"/>
                    </a:xfrm>
                    <a:prstGeom prst="rect">
                      <a:avLst/>
                    </a:prstGeom>
                    <a:noFill/>
                  </pic:spPr>
                </pic:pic>
              </a:graphicData>
            </a:graphic>
          </wp:anchor>
        </w:drawing>
      </w:r>
    </w:p>
    <w:p>
      <w:pPr>
        <w:spacing w:after="0" w:line="131" w:lineRule="exact"/>
        <w:rPr>
          <w:sz w:val="20"/>
          <w:szCs w:val="20"/>
          <w:color w:val="auto"/>
        </w:rPr>
      </w:pPr>
    </w:p>
    <w:p>
      <w:pPr>
        <w:spacing w:after="0"/>
        <w:tabs>
          <w:tab w:leader="none" w:pos="2220" w:val="left"/>
        </w:tabs>
        <w:rPr>
          <w:sz w:val="20"/>
          <w:szCs w:val="20"/>
          <w:color w:val="auto"/>
        </w:rPr>
      </w:pPr>
      <w:r>
        <w:rPr>
          <w:rFonts w:ascii="Arial" w:cs="Arial" w:eastAsia="Arial" w:hAnsi="Arial"/>
          <w:sz w:val="13"/>
          <w:szCs w:val="13"/>
          <w:b w:val="1"/>
          <w:bCs w:val="1"/>
          <w:color w:val="959595"/>
        </w:rPr>
        <w:t xml:space="preserve">Chair: </w:t>
      </w:r>
      <w:r>
        <w:rPr>
          <w:rFonts w:ascii="Arial" w:cs="Arial" w:eastAsia="Arial" w:hAnsi="Arial"/>
          <w:sz w:val="13"/>
          <w:szCs w:val="13"/>
          <w:color w:val="000000"/>
        </w:rPr>
        <w:t>Michael L. Eskew</w:t>
      </w:r>
      <w:r>
        <w:rPr>
          <w:sz w:val="20"/>
          <w:szCs w:val="20"/>
          <w:color w:val="auto"/>
        </w:rPr>
        <w:tab/>
      </w:r>
      <w:r>
        <w:rPr>
          <w:rFonts w:ascii="Arial" w:cs="Arial" w:eastAsia="Arial" w:hAnsi="Arial"/>
          <w:sz w:val="13"/>
          <w:szCs w:val="13"/>
          <w:b w:val="1"/>
          <w:bCs w:val="1"/>
          <w:color w:val="959595"/>
        </w:rPr>
        <w:t xml:space="preserve">Meetings in 2018: </w:t>
      </w:r>
      <w:r>
        <w:rPr>
          <w:rFonts w:ascii="Arial" w:cs="Arial" w:eastAsia="Arial" w:hAnsi="Arial"/>
          <w:sz w:val="13"/>
          <w:szCs w:val="13"/>
          <w:color w:val="000000"/>
        </w:rPr>
        <w:t>7</w:t>
      </w:r>
    </w:p>
    <w:p>
      <w:pPr>
        <w:spacing w:after="0" w:line="282" w:lineRule="exact"/>
        <w:rPr>
          <w:sz w:val="20"/>
          <w:szCs w:val="20"/>
          <w:color w:val="auto"/>
        </w:rPr>
      </w:pPr>
    </w:p>
    <w:p>
      <w:pPr>
        <w:spacing w:after="0"/>
        <w:rPr>
          <w:sz w:val="20"/>
          <w:szCs w:val="20"/>
          <w:color w:val="auto"/>
        </w:rPr>
      </w:pPr>
      <w:r>
        <w:rPr>
          <w:rFonts w:ascii="Arial" w:cs="Arial" w:eastAsia="Arial" w:hAnsi="Arial"/>
          <w:sz w:val="13"/>
          <w:szCs w:val="13"/>
          <w:b w:val="1"/>
          <w:bCs w:val="1"/>
          <w:color w:val="959595"/>
        </w:rPr>
        <w:t>Other Members:</w:t>
      </w:r>
    </w:p>
    <w:p>
      <w:pPr>
        <w:spacing w:after="0" w:line="82" w:lineRule="exact"/>
        <w:rPr>
          <w:sz w:val="20"/>
          <w:szCs w:val="20"/>
          <w:color w:val="auto"/>
        </w:rPr>
      </w:pPr>
    </w:p>
    <w:p>
      <w:pPr>
        <w:spacing w:after="0"/>
        <w:tabs>
          <w:tab w:leader="none" w:pos="2220" w:val="left"/>
        </w:tabs>
        <w:rPr>
          <w:sz w:val="20"/>
          <w:szCs w:val="20"/>
          <w:color w:val="auto"/>
        </w:rPr>
      </w:pPr>
      <w:r>
        <w:rPr>
          <w:rFonts w:ascii="Arial" w:cs="Arial" w:eastAsia="Arial" w:hAnsi="Arial"/>
          <w:sz w:val="13"/>
          <w:szCs w:val="13"/>
          <w:color w:val="auto"/>
        </w:rPr>
        <w:t>Margaret M. Keane</w:t>
      </w:r>
      <w:r>
        <w:rPr>
          <w:sz w:val="20"/>
          <w:szCs w:val="20"/>
          <w:color w:val="auto"/>
        </w:rPr>
        <w:tab/>
      </w:r>
      <w:r>
        <w:rPr>
          <w:rFonts w:ascii="Arial" w:cs="Arial" w:eastAsia="Arial" w:hAnsi="Arial"/>
          <w:sz w:val="13"/>
          <w:szCs w:val="13"/>
          <w:color w:val="auto"/>
        </w:rPr>
        <w:t>Perry M. Traquina</w:t>
      </w:r>
    </w:p>
    <w:p>
      <w:pPr>
        <w:spacing w:after="0" w:line="66" w:lineRule="exact"/>
        <w:rPr>
          <w:sz w:val="20"/>
          <w:szCs w:val="20"/>
          <w:color w:val="auto"/>
        </w:rPr>
      </w:pPr>
    </w:p>
    <w:p>
      <w:pPr>
        <w:spacing w:after="0"/>
        <w:rPr>
          <w:sz w:val="20"/>
          <w:szCs w:val="20"/>
          <w:color w:val="auto"/>
        </w:rPr>
      </w:pPr>
      <w:r>
        <w:rPr>
          <w:rFonts w:ascii="Arial" w:cs="Arial" w:eastAsia="Arial" w:hAnsi="Arial"/>
          <w:sz w:val="13"/>
          <w:szCs w:val="13"/>
          <w:color w:val="auto"/>
        </w:rPr>
        <w:t>Andrea Redmond</w:t>
      </w:r>
    </w:p>
    <w:p>
      <w:pPr>
        <w:spacing w:after="0" w:line="255" w:lineRule="exact"/>
        <w:rPr>
          <w:sz w:val="20"/>
          <w:szCs w:val="20"/>
          <w:color w:val="auto"/>
        </w:rPr>
      </w:pPr>
    </w:p>
    <w:p>
      <w:pPr>
        <w:spacing w:after="0" w:line="243" w:lineRule="auto"/>
        <w:rPr>
          <w:sz w:val="20"/>
          <w:szCs w:val="20"/>
          <w:color w:val="auto"/>
        </w:rPr>
      </w:pPr>
      <w:r>
        <w:rPr>
          <w:rFonts w:ascii="Arial" w:cs="Arial" w:eastAsia="Arial" w:hAnsi="Arial"/>
          <w:sz w:val="13"/>
          <w:szCs w:val="13"/>
          <w:color w:val="105EAB"/>
        </w:rPr>
        <w:t>“In 2018, the annual incentive plan and long-term equity plan were fully reviewed, with minor modifications made to ensure continued alignment with shareholder interests. We also focused on management succession over multiple time periods and operating scenarios, the strength of Allstate’s human capital management programs, Allstate’s inclusive diversity practices and annual pay fairness analyses.”</w:t>
      </w:r>
    </w:p>
    <w:p>
      <w:pPr>
        <w:spacing w:after="0" w:line="212" w:lineRule="exact"/>
        <w:rPr>
          <w:sz w:val="20"/>
          <w:szCs w:val="20"/>
          <w:color w:val="auto"/>
        </w:rPr>
      </w:pPr>
    </w:p>
    <w:p>
      <w:pPr>
        <w:spacing w:after="0"/>
        <w:rPr>
          <w:sz w:val="20"/>
          <w:szCs w:val="20"/>
          <w:color w:val="auto"/>
        </w:rPr>
      </w:pPr>
      <w:r>
        <w:rPr>
          <w:rFonts w:ascii="Arial" w:cs="Arial" w:eastAsia="Arial" w:hAnsi="Arial"/>
          <w:sz w:val="13"/>
          <w:szCs w:val="13"/>
          <w:b w:val="1"/>
          <w:bCs w:val="1"/>
          <w:color w:val="105EAB"/>
        </w:rPr>
        <w:t>— MICHAEL L. ESKEW,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52705</wp:posOffset>
            </wp:positionV>
            <wp:extent cx="328930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289300" cy="8255"/>
                    </a:xfrm>
                    <a:prstGeom prst="rect">
                      <a:avLst/>
                    </a:prstGeom>
                    <a:noFill/>
                  </pic:spPr>
                </pic:pic>
              </a:graphicData>
            </a:graphic>
          </wp:anchor>
        </w:drawing>
      </w:r>
    </w:p>
    <w:p>
      <w:pPr>
        <w:spacing w:after="0" w:line="127" w:lineRule="exact"/>
        <w:rPr>
          <w:sz w:val="20"/>
          <w:szCs w:val="20"/>
          <w:color w:val="auto"/>
        </w:rPr>
      </w:pPr>
    </w:p>
    <w:p>
      <w:pPr>
        <w:spacing w:after="0"/>
        <w:rPr>
          <w:sz w:val="20"/>
          <w:szCs w:val="20"/>
          <w:color w:val="auto"/>
        </w:rPr>
      </w:pPr>
      <w:r>
        <w:rPr>
          <w:rFonts w:ascii="Arial" w:cs="Arial" w:eastAsia="Arial" w:hAnsi="Arial"/>
          <w:sz w:val="13"/>
          <w:szCs w:val="13"/>
          <w:b w:val="1"/>
          <w:bCs w:val="1"/>
          <w:color w:val="959595"/>
        </w:rPr>
        <w:t>Key Responsibilities:</w:t>
      </w:r>
    </w:p>
    <w:p>
      <w:pPr>
        <w:spacing w:after="0" w:line="14" w:lineRule="exact"/>
        <w:rPr>
          <w:sz w:val="20"/>
          <w:szCs w:val="20"/>
          <w:color w:val="auto"/>
        </w:rPr>
      </w:pPr>
    </w:p>
    <w:p>
      <w:pPr>
        <w:ind w:left="260" w:hanging="260"/>
        <w:spacing w:after="0"/>
        <w:tabs>
          <w:tab w:leader="none" w:pos="260" w:val="left"/>
        </w:tabs>
        <w:numPr>
          <w:ilvl w:val="0"/>
          <w:numId w:val="124"/>
        </w:numPr>
        <w:rPr>
          <w:rFonts w:ascii="Arial" w:cs="Arial" w:eastAsia="Arial" w:hAnsi="Arial"/>
          <w:sz w:val="13"/>
          <w:szCs w:val="13"/>
          <w:color w:val="105EAB"/>
        </w:rPr>
      </w:pPr>
      <w:r>
        <w:rPr>
          <w:rFonts w:ascii="Arial" w:cs="Arial" w:eastAsia="Arial" w:hAnsi="Arial"/>
          <w:sz w:val="13"/>
          <w:szCs w:val="13"/>
          <w:color w:val="auto"/>
        </w:rPr>
        <w:t>Oversees Allstate’s executive compensation plans</w:t>
      </w:r>
    </w:p>
    <w:p>
      <w:pPr>
        <w:ind w:left="260" w:hanging="260"/>
        <w:spacing w:after="0" w:line="238" w:lineRule="auto"/>
        <w:tabs>
          <w:tab w:leader="none" w:pos="260" w:val="left"/>
        </w:tabs>
        <w:numPr>
          <w:ilvl w:val="0"/>
          <w:numId w:val="124"/>
        </w:numPr>
        <w:rPr>
          <w:rFonts w:ascii="Arial" w:cs="Arial" w:eastAsia="Arial" w:hAnsi="Arial"/>
          <w:sz w:val="13"/>
          <w:szCs w:val="13"/>
          <w:color w:val="105EAB"/>
        </w:rPr>
      </w:pPr>
      <w:r>
        <w:rPr>
          <w:rFonts w:ascii="Arial" w:cs="Arial" w:eastAsia="Arial" w:hAnsi="Arial"/>
          <w:sz w:val="13"/>
          <w:szCs w:val="13"/>
          <w:color w:val="auto"/>
        </w:rPr>
        <w:t>Has authority to retain the committee’s independent compensation consultant</w:t>
      </w:r>
    </w:p>
    <w:p>
      <w:pPr>
        <w:ind w:left="260" w:right="320" w:hanging="260"/>
        <w:spacing w:after="0" w:line="238" w:lineRule="auto"/>
        <w:tabs>
          <w:tab w:leader="none" w:pos="250" w:val="left"/>
        </w:tabs>
        <w:numPr>
          <w:ilvl w:val="0"/>
          <w:numId w:val="124"/>
        </w:numPr>
        <w:rPr>
          <w:rFonts w:ascii="Arial" w:cs="Arial" w:eastAsia="Arial" w:hAnsi="Arial"/>
          <w:sz w:val="13"/>
          <w:szCs w:val="13"/>
          <w:color w:val="105EAB"/>
        </w:rPr>
      </w:pPr>
      <w:r>
        <w:rPr>
          <w:rFonts w:ascii="Arial" w:cs="Arial" w:eastAsia="Arial" w:hAnsi="Arial"/>
          <w:sz w:val="13"/>
          <w:szCs w:val="13"/>
          <w:color w:val="auto"/>
        </w:rPr>
        <w:t>Assists the Board in determining all compensation elements of the executive officers, including the CEO</w:t>
      </w:r>
    </w:p>
    <w:p>
      <w:pPr>
        <w:ind w:left="260" w:right="680" w:hanging="260"/>
        <w:spacing w:after="0" w:line="238" w:lineRule="auto"/>
        <w:tabs>
          <w:tab w:leader="none" w:pos="250" w:val="left"/>
        </w:tabs>
        <w:numPr>
          <w:ilvl w:val="0"/>
          <w:numId w:val="124"/>
        </w:numPr>
        <w:rPr>
          <w:rFonts w:ascii="Arial" w:cs="Arial" w:eastAsia="Arial" w:hAnsi="Arial"/>
          <w:sz w:val="13"/>
          <w:szCs w:val="13"/>
          <w:color w:val="105EAB"/>
        </w:rPr>
      </w:pPr>
      <w:r>
        <w:rPr>
          <w:rFonts w:ascii="Arial" w:cs="Arial" w:eastAsia="Arial" w:hAnsi="Arial"/>
          <w:sz w:val="13"/>
          <w:szCs w:val="13"/>
          <w:color w:val="auto"/>
        </w:rPr>
        <w:t>Reviews the Compensation Discussion and Analysis and prepares the Compensation Committee Report in this proxy statement</w:t>
      </w:r>
    </w:p>
    <w:p>
      <w:pPr>
        <w:ind w:left="260" w:hanging="260"/>
        <w:spacing w:after="0" w:line="238" w:lineRule="auto"/>
        <w:tabs>
          <w:tab w:leader="none" w:pos="250" w:val="left"/>
        </w:tabs>
        <w:numPr>
          <w:ilvl w:val="0"/>
          <w:numId w:val="124"/>
        </w:numPr>
        <w:rPr>
          <w:rFonts w:ascii="Arial" w:cs="Arial" w:eastAsia="Arial" w:hAnsi="Arial"/>
          <w:sz w:val="13"/>
          <w:szCs w:val="13"/>
          <w:color w:val="105EAB"/>
        </w:rPr>
      </w:pPr>
      <w:r>
        <w:rPr>
          <w:rFonts w:ascii="Arial" w:cs="Arial" w:eastAsia="Arial" w:hAnsi="Arial"/>
          <w:sz w:val="13"/>
          <w:szCs w:val="13"/>
          <w:color w:val="auto"/>
        </w:rPr>
        <w:t>Reviews management succession plans, evaluation processes and organizational strength</w:t>
      </w:r>
    </w:p>
    <w:p>
      <w:pPr>
        <w:ind w:left="260" w:hanging="260"/>
        <w:spacing w:after="0"/>
        <w:tabs>
          <w:tab w:leader="none" w:pos="260" w:val="left"/>
        </w:tabs>
        <w:numPr>
          <w:ilvl w:val="0"/>
          <w:numId w:val="124"/>
        </w:numPr>
        <w:rPr>
          <w:rFonts w:ascii="Arial" w:cs="Arial" w:eastAsia="Arial" w:hAnsi="Arial"/>
          <w:sz w:val="13"/>
          <w:szCs w:val="13"/>
          <w:color w:val="105EAB"/>
        </w:rPr>
      </w:pPr>
      <w:r>
        <w:rPr>
          <w:rFonts w:ascii="Arial" w:cs="Arial" w:eastAsia="Arial" w:hAnsi="Arial"/>
          <w:sz w:val="13"/>
          <w:szCs w:val="13"/>
          <w:color w:val="auto"/>
        </w:rPr>
        <w:t>Reviews CEO’s performance in light of approved goals and objectives</w:t>
      </w:r>
    </w:p>
    <w:p>
      <w:pPr>
        <w:spacing w:after="0" w:line="1037" w:lineRule="exact"/>
        <w:rPr>
          <w:sz w:val="20"/>
          <w:szCs w:val="20"/>
          <w:color w:val="auto"/>
        </w:rPr>
      </w:pPr>
    </w:p>
    <w:p>
      <w:pPr>
        <w:sectPr>
          <w:pgSz w:w="11900" w:h="16838" w:orient="portrait"/>
          <w:cols w:equalWidth="0" w:num="2">
            <w:col w:w="5880" w:space="360"/>
            <w:col w:w="5140"/>
          </w:cols>
          <w:pgMar w:left="240" w:top="121" w:right="279" w:bottom="1440" w:gutter="0" w:footer="0" w:header="0"/>
          <w:type w:val="continuous"/>
        </w:sectPr>
      </w:pPr>
    </w:p>
    <w:p>
      <w:pPr>
        <w:ind w:left="1000" w:right="240" w:hanging="291"/>
        <w:spacing w:after="0" w:line="258" w:lineRule="auto"/>
        <w:tabs>
          <w:tab w:leader="none" w:pos="1000" w:val="left"/>
        </w:tabs>
        <w:numPr>
          <w:ilvl w:val="0"/>
          <w:numId w:val="125"/>
        </w:numPr>
        <w:rPr>
          <w:rFonts w:ascii="Arial" w:cs="Arial" w:eastAsia="Arial" w:hAnsi="Arial"/>
          <w:sz w:val="11"/>
          <w:szCs w:val="11"/>
          <w:color w:val="auto"/>
        </w:rPr>
      </w:pPr>
      <w:r>
        <w:rPr>
          <w:rFonts w:ascii="Arial" w:cs="Arial" w:eastAsia="Arial" w:hAnsi="Arial"/>
          <w:sz w:val="13"/>
          <w:szCs w:val="13"/>
          <w:color w:val="auto"/>
        </w:rPr>
        <w:t>The Board determined that all members of the audit committee are independent under the New York Stock Exchange (“NYSE”) and Securities and Exchange Commission (“SEC”) requirements, and that Messrs. Eskew, Mehta, and Sherrill are each an audit committee financial expert as defined under SEC rules.</w:t>
      </w:r>
    </w:p>
    <w:p>
      <w:pPr>
        <w:spacing w:after="0" w:line="191" w:lineRule="exact"/>
        <w:rPr>
          <w:sz w:val="20"/>
          <w:szCs w:val="20"/>
          <w:color w:val="auto"/>
        </w:rPr>
      </w:pPr>
    </w:p>
    <w:p>
      <w:pPr>
        <w:ind w:left="460" w:hanging="452"/>
        <w:spacing w:after="0"/>
        <w:tabs>
          <w:tab w:leader="none" w:pos="460" w:val="left"/>
        </w:tabs>
        <w:numPr>
          <w:ilvl w:val="0"/>
          <w:numId w:val="126"/>
        </w:numPr>
        <w:rPr>
          <w:rFonts w:ascii="Arial" w:cs="Arial" w:eastAsia="Arial" w:hAnsi="Arial"/>
          <w:sz w:val="13"/>
          <w:szCs w:val="13"/>
          <w:b w:val="1"/>
          <w:bCs w:val="1"/>
          <w:color w:val="105EAB"/>
        </w:rPr>
      </w:pPr>
      <w:r>
        <w:rPr>
          <w:rFonts w:ascii="Arial" w:cs="Arial" w:eastAsia="Arial" w:hAnsi="Arial"/>
          <w:sz w:val="13"/>
          <w:szCs w:val="13"/>
          <w:color w:val="105EAB"/>
        </w:rPr>
        <w:t>www.allstateproxy.com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134620</wp:posOffset>
            </wp:positionV>
            <wp:extent cx="7268210" cy="209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337"/>
        </w:trPr>
        <w:tc>
          <w:tcPr>
            <w:tcW w:w="5760" w:type="dxa"/>
            <w:vAlign w:val="bottom"/>
            <w:shd w:val="clear" w:color="auto" w:fill="EFF8FA"/>
          </w:tcPr>
          <w:p>
            <w:pPr>
              <w:spacing w:after="0"/>
              <w:rPr>
                <w:sz w:val="24"/>
                <w:szCs w:val="24"/>
                <w:color w:val="auto"/>
              </w:rPr>
            </w:pPr>
          </w:p>
        </w:tc>
        <w:tc>
          <w:tcPr>
            <w:tcW w:w="5660" w:type="dxa"/>
            <w:vAlign w:val="bottom"/>
            <w:gridSpan w:val="3"/>
            <w:shd w:val="clear" w:color="auto" w:fill="EFF8FA"/>
          </w:tcPr>
          <w:p>
            <w:pPr>
              <w:ind w:left="1740"/>
              <w:spacing w:after="0"/>
              <w:rPr>
                <w:sz w:val="20"/>
                <w:szCs w:val="20"/>
                <w:color w:val="auto"/>
              </w:rPr>
            </w:pPr>
            <w:r>
              <w:rPr>
                <w:rFonts w:ascii="Arial" w:cs="Arial" w:eastAsia="Arial" w:hAnsi="Arial"/>
                <w:sz w:val="13"/>
                <w:szCs w:val="13"/>
                <w:b w:val="1"/>
                <w:bCs w:val="1"/>
                <w:color w:val="auto"/>
              </w:rPr>
              <w:t xml:space="preserve">Board Meetings and Committees </w:t>
            </w:r>
            <w:r>
              <w:rPr>
                <w:rFonts w:ascii="Arial" w:cs="Arial" w:eastAsia="Arial" w:hAnsi="Arial"/>
                <w:sz w:val="13"/>
                <w:szCs w:val="13"/>
                <w:b w:val="1"/>
                <w:bCs w:val="1"/>
                <w:color w:val="105EAB"/>
              </w:rPr>
              <w:t>| Corporate Governance</w:t>
            </w:r>
          </w:p>
        </w:tc>
        <w:tc>
          <w:tcPr>
            <w:tcW w:w="0" w:type="dxa"/>
            <w:vAlign w:val="bottom"/>
          </w:tcPr>
          <w:p>
            <w:pPr>
              <w:spacing w:after="0"/>
              <w:rPr>
                <w:sz w:val="1"/>
                <w:szCs w:val="1"/>
                <w:color w:val="auto"/>
              </w:rPr>
            </w:pPr>
          </w:p>
        </w:tc>
      </w:tr>
      <w:tr>
        <w:trPr>
          <w:trHeight w:val="203"/>
        </w:trPr>
        <w:tc>
          <w:tcPr>
            <w:tcW w:w="5760" w:type="dxa"/>
            <w:vAlign w:val="bottom"/>
            <w:vMerge w:val="restart"/>
            <w:shd w:val="clear" w:color="auto" w:fill="EFF8FA"/>
          </w:tcPr>
          <w:p>
            <w:pPr>
              <w:ind w:left="720"/>
              <w:spacing w:after="0"/>
              <w:rPr>
                <w:sz w:val="20"/>
                <w:szCs w:val="20"/>
                <w:color w:val="auto"/>
              </w:rPr>
            </w:pPr>
            <w:r>
              <w:rPr>
                <w:rFonts w:ascii="Arial" w:cs="Arial" w:eastAsia="Arial" w:hAnsi="Arial"/>
                <w:sz w:val="13"/>
                <w:szCs w:val="13"/>
                <w:b w:val="1"/>
                <w:bCs w:val="1"/>
                <w:color w:val="39B6E9"/>
              </w:rPr>
              <w:t>Robust Role for Independent Committee Chairs</w:t>
            </w:r>
          </w:p>
        </w:tc>
        <w:tc>
          <w:tcPr>
            <w:tcW w:w="5660" w:type="dxa"/>
            <w:vAlign w:val="bottom"/>
            <w:gridSpan w:val="3"/>
            <w:shd w:val="clear" w:color="auto" w:fill="EFF8FA"/>
          </w:tcPr>
          <w:p>
            <w:pPr>
              <w:spacing w:after="0" w:line="203" w:lineRule="exact"/>
              <w:rPr>
                <w:sz w:val="20"/>
                <w:szCs w:val="20"/>
                <w:color w:val="auto"/>
              </w:rPr>
            </w:pPr>
            <w:r>
              <w:rPr>
                <w:rFonts w:ascii="Arial" w:cs="Arial" w:eastAsia="Arial" w:hAnsi="Arial"/>
                <w:sz w:val="22"/>
                <w:szCs w:val="22"/>
                <w:b w:val="1"/>
                <w:bCs w:val="1"/>
                <w:color w:val="105EAB"/>
              </w:rPr>
              <w:t>Judith A. Sprieser</w:t>
            </w:r>
          </w:p>
        </w:tc>
        <w:tc>
          <w:tcPr>
            <w:tcW w:w="0" w:type="dxa"/>
            <w:vAlign w:val="bottom"/>
          </w:tcPr>
          <w:p>
            <w:pPr>
              <w:spacing w:after="0"/>
              <w:rPr>
                <w:sz w:val="1"/>
                <w:szCs w:val="1"/>
                <w:color w:val="auto"/>
              </w:rPr>
            </w:pPr>
          </w:p>
        </w:tc>
      </w:tr>
      <w:tr>
        <w:trPr>
          <w:trHeight w:val="148"/>
        </w:trPr>
        <w:tc>
          <w:tcPr>
            <w:tcW w:w="5760" w:type="dxa"/>
            <w:vAlign w:val="bottom"/>
            <w:vMerge w:val="continue"/>
            <w:shd w:val="clear" w:color="auto" w:fill="EFF8FA"/>
          </w:tcPr>
          <w:p>
            <w:pPr>
              <w:spacing w:after="0"/>
              <w:rPr>
                <w:sz w:val="12"/>
                <w:szCs w:val="12"/>
                <w:color w:val="auto"/>
              </w:rPr>
            </w:pPr>
          </w:p>
        </w:tc>
        <w:tc>
          <w:tcPr>
            <w:tcW w:w="4060" w:type="dxa"/>
            <w:vAlign w:val="bottom"/>
            <w:shd w:val="clear" w:color="auto" w:fill="EFF8FA"/>
          </w:tcPr>
          <w:p>
            <w:pPr>
              <w:spacing w:after="0"/>
              <w:rPr>
                <w:sz w:val="12"/>
                <w:szCs w:val="12"/>
                <w:color w:val="auto"/>
              </w:rPr>
            </w:pPr>
          </w:p>
        </w:tc>
        <w:tc>
          <w:tcPr>
            <w:tcW w:w="1260" w:type="dxa"/>
            <w:vAlign w:val="bottom"/>
            <w:tcBorders>
              <w:right w:val="single" w:sz="8" w:color="39B6E9"/>
            </w:tcBorders>
            <w:shd w:val="clear" w:color="auto" w:fill="EFF8FA"/>
          </w:tcPr>
          <w:p>
            <w:pPr>
              <w:spacing w:after="0"/>
              <w:rPr>
                <w:sz w:val="12"/>
                <w:szCs w:val="12"/>
                <w:color w:val="auto"/>
              </w:rPr>
            </w:pPr>
          </w:p>
        </w:tc>
        <w:tc>
          <w:tcPr>
            <w:tcW w:w="340" w:type="dxa"/>
            <w:vAlign w:val="bottom"/>
            <w:shd w:val="clear" w:color="auto" w:fill="EFF8FA"/>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60" w:type="dxa"/>
            <w:vAlign w:val="bottom"/>
            <w:shd w:val="clear" w:color="auto" w:fill="EFF8FA"/>
          </w:tcPr>
          <w:p>
            <w:pPr>
              <w:ind w:left="720"/>
              <w:spacing w:after="0" w:line="149" w:lineRule="exact"/>
              <w:rPr>
                <w:sz w:val="20"/>
                <w:szCs w:val="20"/>
                <w:color w:val="auto"/>
              </w:rPr>
            </w:pPr>
            <w:r>
              <w:rPr>
                <w:rFonts w:ascii="Arial" w:cs="Arial" w:eastAsia="Arial" w:hAnsi="Arial"/>
                <w:sz w:val="13"/>
                <w:szCs w:val="13"/>
                <w:color w:val="auto"/>
              </w:rPr>
              <w:t>Each of the committee chair roles includes the approval of meeting</w:t>
            </w:r>
          </w:p>
        </w:tc>
        <w:tc>
          <w:tcPr>
            <w:tcW w:w="5320" w:type="dxa"/>
            <w:vAlign w:val="bottom"/>
            <w:tcBorders>
              <w:right w:val="single" w:sz="8" w:color="39B6E9"/>
            </w:tcBorders>
            <w:gridSpan w:val="2"/>
            <w:vMerge w:val="restart"/>
            <w:shd w:val="clear" w:color="auto" w:fill="EFF8FA"/>
          </w:tcPr>
          <w:p>
            <w:pPr>
              <w:spacing w:after="0"/>
              <w:rPr>
                <w:sz w:val="20"/>
                <w:szCs w:val="20"/>
                <w:color w:val="auto"/>
              </w:rPr>
            </w:pPr>
            <w:r>
              <w:rPr>
                <w:rFonts w:ascii="Arial" w:cs="Arial" w:eastAsia="Arial" w:hAnsi="Arial"/>
                <w:sz w:val="18"/>
                <w:szCs w:val="18"/>
                <w:b w:val="1"/>
                <w:bCs w:val="1"/>
                <w:color w:val="39B6E9"/>
              </w:rPr>
              <w:t>INDEPENDENT LEAD DIRECTOR</w:t>
            </w:r>
          </w:p>
        </w:tc>
        <w:tc>
          <w:tcPr>
            <w:tcW w:w="340" w:type="dxa"/>
            <w:vAlign w:val="bottom"/>
            <w:shd w:val="clear" w:color="auto" w:fill="EFF8FA"/>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60" w:type="dxa"/>
            <w:vAlign w:val="bottom"/>
            <w:shd w:val="clear" w:color="auto" w:fill="EFF8FA"/>
          </w:tcPr>
          <w:p>
            <w:pPr>
              <w:ind w:left="720"/>
              <w:spacing w:after="0" w:line="149" w:lineRule="exact"/>
              <w:rPr>
                <w:sz w:val="20"/>
                <w:szCs w:val="20"/>
                <w:color w:val="auto"/>
              </w:rPr>
            </w:pPr>
            <w:r>
              <w:rPr>
                <w:rFonts w:ascii="Arial" w:cs="Arial" w:eastAsia="Arial" w:hAnsi="Arial"/>
                <w:sz w:val="13"/>
                <w:szCs w:val="13"/>
                <w:color w:val="auto"/>
              </w:rPr>
              <w:t>agendas and committee materials. Prior to each meeting, each committee</w:t>
            </w:r>
          </w:p>
        </w:tc>
        <w:tc>
          <w:tcPr>
            <w:tcW w:w="5320" w:type="dxa"/>
            <w:vAlign w:val="bottom"/>
            <w:tcBorders>
              <w:right w:val="single" w:sz="8" w:color="39B6E9"/>
            </w:tcBorders>
            <w:gridSpan w:val="2"/>
            <w:vMerge w:val="continue"/>
            <w:shd w:val="clear" w:color="auto" w:fill="EFF8FA"/>
          </w:tcPr>
          <w:p>
            <w:pPr>
              <w:spacing w:after="0"/>
              <w:rPr>
                <w:sz w:val="12"/>
                <w:szCs w:val="12"/>
                <w:color w:val="auto"/>
              </w:rPr>
            </w:pPr>
          </w:p>
        </w:tc>
        <w:tc>
          <w:tcPr>
            <w:tcW w:w="340" w:type="dxa"/>
            <w:vAlign w:val="bottom"/>
            <w:shd w:val="clear" w:color="auto" w:fill="EFF8FA"/>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5760" w:type="dxa"/>
            <w:vAlign w:val="bottom"/>
            <w:tcBorders>
              <w:bottom w:val="single" w:sz="8" w:color="EFF8FA"/>
            </w:tcBorders>
            <w:vMerge w:val="restart"/>
            <w:shd w:val="clear" w:color="auto" w:fill="EFF8FA"/>
          </w:tcPr>
          <w:p>
            <w:pPr>
              <w:ind w:left="720"/>
              <w:spacing w:after="0" w:line="149" w:lineRule="exact"/>
              <w:rPr>
                <w:sz w:val="20"/>
                <w:szCs w:val="20"/>
                <w:color w:val="auto"/>
              </w:rPr>
            </w:pPr>
            <w:r>
              <w:rPr>
                <w:rFonts w:ascii="Arial" w:cs="Arial" w:eastAsia="Arial" w:hAnsi="Arial"/>
                <w:sz w:val="13"/>
                <w:szCs w:val="13"/>
                <w:color w:val="auto"/>
              </w:rPr>
              <w:t>chair has a separate conference call with the CEO and relevant operating</w:t>
            </w:r>
          </w:p>
        </w:tc>
        <w:tc>
          <w:tcPr>
            <w:tcW w:w="4060" w:type="dxa"/>
            <w:vAlign w:val="bottom"/>
            <w:tcBorders>
              <w:bottom w:val="single" w:sz="8" w:color="39B6E9"/>
            </w:tcBorders>
            <w:shd w:val="clear" w:color="auto" w:fill="EFF8FA"/>
          </w:tcPr>
          <w:p>
            <w:pPr>
              <w:spacing w:after="0"/>
              <w:rPr>
                <w:sz w:val="7"/>
                <w:szCs w:val="7"/>
                <w:color w:val="auto"/>
              </w:rPr>
            </w:pPr>
          </w:p>
        </w:tc>
        <w:tc>
          <w:tcPr>
            <w:tcW w:w="1260" w:type="dxa"/>
            <w:vAlign w:val="bottom"/>
            <w:tcBorders>
              <w:bottom w:val="single" w:sz="8" w:color="EFF8FA"/>
              <w:right w:val="single" w:sz="8" w:color="39B6E9"/>
            </w:tcBorders>
            <w:shd w:val="clear" w:color="auto" w:fill="EFF8FA"/>
          </w:tcPr>
          <w:p>
            <w:pPr>
              <w:spacing w:after="0"/>
              <w:rPr>
                <w:sz w:val="7"/>
                <w:szCs w:val="7"/>
                <w:color w:val="auto"/>
              </w:rPr>
            </w:pPr>
          </w:p>
        </w:tc>
        <w:tc>
          <w:tcPr>
            <w:tcW w:w="340" w:type="dxa"/>
            <w:vAlign w:val="bottom"/>
            <w:tcBorders>
              <w:bottom w:val="single" w:sz="8" w:color="EFF8FA"/>
            </w:tcBorders>
            <w:shd w:val="clear" w:color="auto" w:fill="EFF8FA"/>
          </w:tcPr>
          <w:p>
            <w:pPr>
              <w:spacing w:after="0"/>
              <w:rPr>
                <w:sz w:val="7"/>
                <w:szCs w:val="7"/>
                <w:color w:val="auto"/>
              </w:rPr>
            </w:pPr>
          </w:p>
        </w:tc>
        <w:tc>
          <w:tcPr>
            <w:tcW w:w="0" w:type="dxa"/>
            <w:vAlign w:val="bottom"/>
          </w:tcPr>
          <w:p>
            <w:pPr>
              <w:spacing w:after="0"/>
              <w:rPr>
                <w:sz w:val="1"/>
                <w:szCs w:val="1"/>
                <w:color w:val="auto"/>
              </w:rPr>
            </w:pPr>
          </w:p>
        </w:tc>
      </w:tr>
      <w:tr>
        <w:trPr>
          <w:trHeight w:val="47"/>
        </w:trPr>
        <w:tc>
          <w:tcPr>
            <w:tcW w:w="5760" w:type="dxa"/>
            <w:vAlign w:val="bottom"/>
            <w:vMerge w:val="continue"/>
            <w:shd w:val="clear" w:color="auto" w:fill="EFF8FA"/>
          </w:tcPr>
          <w:p>
            <w:pPr>
              <w:spacing w:after="0"/>
              <w:rPr>
                <w:sz w:val="4"/>
                <w:szCs w:val="4"/>
                <w:color w:val="auto"/>
              </w:rPr>
            </w:pPr>
          </w:p>
        </w:tc>
        <w:tc>
          <w:tcPr>
            <w:tcW w:w="4060" w:type="dxa"/>
            <w:vAlign w:val="bottom"/>
            <w:shd w:val="clear" w:color="auto" w:fill="EFF8FA"/>
          </w:tcPr>
          <w:p>
            <w:pPr>
              <w:spacing w:after="0"/>
              <w:rPr>
                <w:sz w:val="4"/>
                <w:szCs w:val="4"/>
                <w:color w:val="auto"/>
              </w:rPr>
            </w:pPr>
          </w:p>
        </w:tc>
        <w:tc>
          <w:tcPr>
            <w:tcW w:w="1260" w:type="dxa"/>
            <w:vAlign w:val="bottom"/>
            <w:tcBorders>
              <w:right w:val="single" w:sz="8" w:color="39B6E9"/>
            </w:tcBorders>
            <w:shd w:val="clear" w:color="auto" w:fill="EFF8FA"/>
          </w:tcPr>
          <w:p>
            <w:pPr>
              <w:spacing w:after="0"/>
              <w:rPr>
                <w:sz w:val="4"/>
                <w:szCs w:val="4"/>
                <w:color w:val="auto"/>
              </w:rPr>
            </w:pPr>
          </w:p>
        </w:tc>
        <w:tc>
          <w:tcPr>
            <w:tcW w:w="340" w:type="dxa"/>
            <w:vAlign w:val="bottom"/>
            <w:shd w:val="clear" w:color="auto" w:fill="EFF8FA"/>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5760" w:type="dxa"/>
            <w:vAlign w:val="bottom"/>
            <w:shd w:val="clear" w:color="auto" w:fill="EFF8FA"/>
          </w:tcPr>
          <w:p>
            <w:pPr>
              <w:ind w:left="720"/>
              <w:spacing w:after="0" w:line="149" w:lineRule="exact"/>
              <w:rPr>
                <w:sz w:val="20"/>
                <w:szCs w:val="20"/>
                <w:color w:val="auto"/>
              </w:rPr>
            </w:pPr>
            <w:r>
              <w:rPr>
                <w:rFonts w:ascii="Arial" w:cs="Arial" w:eastAsia="Arial" w:hAnsi="Arial"/>
                <w:sz w:val="13"/>
                <w:szCs w:val="13"/>
                <w:color w:val="auto"/>
              </w:rPr>
              <w:t>executives. The committee chairs discuss meeting materials and agendas</w:t>
            </w:r>
          </w:p>
        </w:tc>
        <w:tc>
          <w:tcPr>
            <w:tcW w:w="4060" w:type="dxa"/>
            <w:vAlign w:val="bottom"/>
            <w:shd w:val="clear" w:color="auto" w:fill="EFF8FA"/>
          </w:tcPr>
          <w:p>
            <w:pPr>
              <w:spacing w:after="0"/>
              <w:rPr>
                <w:sz w:val="12"/>
                <w:szCs w:val="12"/>
                <w:color w:val="auto"/>
              </w:rPr>
            </w:pPr>
          </w:p>
        </w:tc>
        <w:tc>
          <w:tcPr>
            <w:tcW w:w="1260" w:type="dxa"/>
            <w:vAlign w:val="bottom"/>
            <w:tcBorders>
              <w:right w:val="single" w:sz="8" w:color="39B6E9"/>
            </w:tcBorders>
            <w:shd w:val="clear" w:color="auto" w:fill="EFF8FA"/>
          </w:tcPr>
          <w:p>
            <w:pPr>
              <w:spacing w:after="0"/>
              <w:rPr>
                <w:sz w:val="12"/>
                <w:szCs w:val="12"/>
                <w:color w:val="auto"/>
              </w:rPr>
            </w:pPr>
          </w:p>
        </w:tc>
        <w:tc>
          <w:tcPr>
            <w:tcW w:w="340" w:type="dxa"/>
            <w:vAlign w:val="bottom"/>
            <w:shd w:val="clear" w:color="auto" w:fill="EFF8FA"/>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60" w:type="dxa"/>
            <w:vAlign w:val="bottom"/>
            <w:shd w:val="clear" w:color="auto" w:fill="EFF8FA"/>
          </w:tcPr>
          <w:p>
            <w:pPr>
              <w:ind w:left="720"/>
              <w:spacing w:after="0" w:line="149" w:lineRule="exact"/>
              <w:rPr>
                <w:sz w:val="20"/>
                <w:szCs w:val="20"/>
                <w:color w:val="auto"/>
              </w:rPr>
            </w:pPr>
            <w:r>
              <w:rPr>
                <w:rFonts w:ascii="Arial" w:cs="Arial" w:eastAsia="Arial" w:hAnsi="Arial"/>
                <w:sz w:val="13"/>
                <w:szCs w:val="13"/>
                <w:color w:val="auto"/>
              </w:rPr>
              <w:t>in advance of each meeting, which fosters independence and successful</w:t>
            </w:r>
          </w:p>
        </w:tc>
        <w:tc>
          <w:tcPr>
            <w:tcW w:w="4060" w:type="dxa"/>
            <w:vAlign w:val="bottom"/>
            <w:shd w:val="clear" w:color="auto" w:fill="EFF8FA"/>
          </w:tcPr>
          <w:p>
            <w:pPr>
              <w:spacing w:after="0"/>
              <w:rPr>
                <w:sz w:val="12"/>
                <w:szCs w:val="12"/>
                <w:color w:val="auto"/>
              </w:rPr>
            </w:pPr>
          </w:p>
        </w:tc>
        <w:tc>
          <w:tcPr>
            <w:tcW w:w="1260" w:type="dxa"/>
            <w:vAlign w:val="bottom"/>
            <w:tcBorders>
              <w:right w:val="single" w:sz="8" w:color="39B6E9"/>
            </w:tcBorders>
            <w:shd w:val="clear" w:color="auto" w:fill="EFF8FA"/>
          </w:tcPr>
          <w:p>
            <w:pPr>
              <w:spacing w:after="0"/>
              <w:rPr>
                <w:sz w:val="12"/>
                <w:szCs w:val="12"/>
                <w:color w:val="auto"/>
              </w:rPr>
            </w:pPr>
          </w:p>
        </w:tc>
        <w:tc>
          <w:tcPr>
            <w:tcW w:w="340" w:type="dxa"/>
            <w:vAlign w:val="bottom"/>
            <w:shd w:val="clear" w:color="auto" w:fill="EFF8FA"/>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760" w:type="dxa"/>
            <w:vAlign w:val="bottom"/>
            <w:shd w:val="clear" w:color="auto" w:fill="EFF8FA"/>
          </w:tcPr>
          <w:p>
            <w:pPr>
              <w:ind w:left="720"/>
              <w:spacing w:after="0"/>
              <w:rPr>
                <w:sz w:val="20"/>
                <w:szCs w:val="20"/>
                <w:color w:val="auto"/>
              </w:rPr>
            </w:pPr>
            <w:r>
              <w:rPr>
                <w:rFonts w:ascii="Arial" w:cs="Arial" w:eastAsia="Arial" w:hAnsi="Arial"/>
                <w:sz w:val="13"/>
                <w:szCs w:val="13"/>
                <w:color w:val="auto"/>
              </w:rPr>
              <w:t>execution of each committee’s responsibilities.</w:t>
            </w:r>
          </w:p>
        </w:tc>
        <w:tc>
          <w:tcPr>
            <w:tcW w:w="5320" w:type="dxa"/>
            <w:vAlign w:val="bottom"/>
            <w:tcBorders>
              <w:right w:val="single" w:sz="8" w:color="39B6E9"/>
            </w:tcBorders>
            <w:gridSpan w:val="2"/>
            <w:vMerge w:val="restart"/>
            <w:shd w:val="clear" w:color="auto" w:fill="EFF8FA"/>
          </w:tcPr>
          <w:p>
            <w:pPr>
              <w:spacing w:after="0"/>
              <w:rPr>
                <w:sz w:val="20"/>
                <w:szCs w:val="20"/>
                <w:color w:val="auto"/>
              </w:rPr>
            </w:pPr>
            <w:r>
              <w:rPr>
                <w:rFonts w:ascii="Arial" w:cs="Arial" w:eastAsia="Arial" w:hAnsi="Arial"/>
                <w:sz w:val="13"/>
                <w:szCs w:val="13"/>
                <w:color w:val="105EAB"/>
              </w:rPr>
              <w:t>“Oversight of strategy is a major area of attention, with the three-</w:t>
            </w:r>
          </w:p>
        </w:tc>
        <w:tc>
          <w:tcPr>
            <w:tcW w:w="340" w:type="dxa"/>
            <w:vAlign w:val="bottom"/>
            <w:shd w:val="clear" w:color="auto" w:fill="EFF8FA"/>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5760" w:type="dxa"/>
            <w:vAlign w:val="bottom"/>
            <w:shd w:val="clear" w:color="auto" w:fill="EFF8FA"/>
          </w:tcPr>
          <w:p>
            <w:pPr>
              <w:spacing w:after="0"/>
              <w:rPr>
                <w:sz w:val="8"/>
                <w:szCs w:val="8"/>
                <w:color w:val="auto"/>
              </w:rPr>
            </w:pPr>
          </w:p>
        </w:tc>
        <w:tc>
          <w:tcPr>
            <w:tcW w:w="5320" w:type="dxa"/>
            <w:vAlign w:val="bottom"/>
            <w:tcBorders>
              <w:right w:val="single" w:sz="8" w:color="39B6E9"/>
            </w:tcBorders>
            <w:gridSpan w:val="2"/>
            <w:vMerge w:val="continue"/>
            <w:shd w:val="clear" w:color="auto" w:fill="EFF8FA"/>
          </w:tcPr>
          <w:p>
            <w:pPr>
              <w:spacing w:after="0"/>
              <w:rPr>
                <w:sz w:val="8"/>
                <w:szCs w:val="8"/>
                <w:color w:val="auto"/>
              </w:rPr>
            </w:pPr>
          </w:p>
        </w:tc>
        <w:tc>
          <w:tcPr>
            <w:tcW w:w="340" w:type="dxa"/>
            <w:vAlign w:val="bottom"/>
            <w:shd w:val="clear" w:color="auto" w:fill="EFF8FA"/>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5760" w:type="dxa"/>
            <w:vAlign w:val="bottom"/>
            <w:vMerge w:val="restart"/>
            <w:shd w:val="clear" w:color="auto" w:fill="EFF8FA"/>
          </w:tcPr>
          <w:p>
            <w:pPr>
              <w:ind w:left="720"/>
              <w:spacing w:after="0"/>
              <w:rPr>
                <w:sz w:val="20"/>
                <w:szCs w:val="20"/>
                <w:color w:val="auto"/>
              </w:rPr>
            </w:pPr>
            <w:r>
              <w:rPr>
                <w:rFonts w:ascii="Arial" w:cs="Arial" w:eastAsia="Arial" w:hAnsi="Arial"/>
                <w:sz w:val="13"/>
                <w:szCs w:val="13"/>
                <w:b w:val="1"/>
                <w:bCs w:val="1"/>
                <w:color w:val="39B6E9"/>
              </w:rPr>
              <w:t>Use of Independent Advisors</w:t>
            </w:r>
          </w:p>
        </w:tc>
        <w:tc>
          <w:tcPr>
            <w:tcW w:w="5320" w:type="dxa"/>
            <w:vAlign w:val="bottom"/>
            <w:tcBorders>
              <w:right w:val="single" w:sz="8" w:color="39B6E9"/>
            </w:tcBorders>
            <w:gridSpan w:val="2"/>
            <w:shd w:val="clear" w:color="auto" w:fill="EFF8FA"/>
          </w:tcPr>
          <w:p>
            <w:pPr>
              <w:spacing w:after="0" w:line="149" w:lineRule="exact"/>
              <w:rPr>
                <w:sz w:val="20"/>
                <w:szCs w:val="20"/>
                <w:color w:val="auto"/>
              </w:rPr>
            </w:pPr>
            <w:r>
              <w:rPr>
                <w:rFonts w:ascii="Arial" w:cs="Arial" w:eastAsia="Arial" w:hAnsi="Arial"/>
                <w:sz w:val="13"/>
                <w:szCs w:val="13"/>
                <w:color w:val="105EAB"/>
              </w:rPr>
              <w:t>day October meeting focused solely on strategy. We spent</w:t>
            </w:r>
          </w:p>
        </w:tc>
        <w:tc>
          <w:tcPr>
            <w:tcW w:w="340" w:type="dxa"/>
            <w:vAlign w:val="bottom"/>
            <w:shd w:val="clear" w:color="auto" w:fill="EFF8FA"/>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5760" w:type="dxa"/>
            <w:vAlign w:val="bottom"/>
            <w:vMerge w:val="continue"/>
            <w:shd w:val="clear" w:color="auto" w:fill="EFF8FA"/>
          </w:tcPr>
          <w:p>
            <w:pPr>
              <w:spacing w:after="0"/>
              <w:rPr>
                <w:sz w:val="10"/>
                <w:szCs w:val="10"/>
                <w:color w:val="auto"/>
              </w:rPr>
            </w:pPr>
          </w:p>
        </w:tc>
        <w:tc>
          <w:tcPr>
            <w:tcW w:w="5320" w:type="dxa"/>
            <w:vAlign w:val="bottom"/>
            <w:tcBorders>
              <w:right w:val="single" w:sz="8" w:color="39B6E9"/>
            </w:tcBorders>
            <w:gridSpan w:val="2"/>
            <w:shd w:val="clear" w:color="auto" w:fill="EFF8FA"/>
          </w:tcPr>
          <w:p>
            <w:pPr>
              <w:spacing w:after="0" w:line="122" w:lineRule="exact"/>
              <w:rPr>
                <w:sz w:val="20"/>
                <w:szCs w:val="20"/>
                <w:color w:val="auto"/>
              </w:rPr>
            </w:pPr>
            <w:r>
              <w:rPr>
                <w:rFonts w:ascii="Arial" w:cs="Arial" w:eastAsia="Arial" w:hAnsi="Arial"/>
                <w:sz w:val="13"/>
                <w:szCs w:val="13"/>
                <w:color w:val="105EAB"/>
              </w:rPr>
              <w:t>considerable time reviewing initiatives to advance Allstate’s strategy</w:t>
            </w:r>
          </w:p>
        </w:tc>
        <w:tc>
          <w:tcPr>
            <w:tcW w:w="340" w:type="dxa"/>
            <w:vAlign w:val="bottom"/>
            <w:shd w:val="clear" w:color="auto" w:fill="EFF8FA"/>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760" w:type="dxa"/>
            <w:vAlign w:val="bottom"/>
            <w:shd w:val="clear" w:color="auto" w:fill="EFF8FA"/>
          </w:tcPr>
          <w:p>
            <w:pPr>
              <w:ind w:left="720"/>
              <w:spacing w:after="0" w:line="149" w:lineRule="exact"/>
              <w:rPr>
                <w:sz w:val="20"/>
                <w:szCs w:val="20"/>
                <w:color w:val="auto"/>
              </w:rPr>
            </w:pPr>
            <w:r>
              <w:rPr>
                <w:rFonts w:ascii="Arial" w:cs="Arial" w:eastAsia="Arial" w:hAnsi="Arial"/>
                <w:sz w:val="13"/>
                <w:szCs w:val="13"/>
                <w:color w:val="auto"/>
              </w:rPr>
              <w:t>Each committee operates under a written charter and has the ability to hire</w:t>
            </w:r>
          </w:p>
        </w:tc>
        <w:tc>
          <w:tcPr>
            <w:tcW w:w="5320" w:type="dxa"/>
            <w:vAlign w:val="bottom"/>
            <w:tcBorders>
              <w:right w:val="single" w:sz="8" w:color="39B6E9"/>
            </w:tcBorders>
            <w:gridSpan w:val="2"/>
            <w:shd w:val="clear" w:color="auto" w:fill="EFF8FA"/>
          </w:tcPr>
          <w:p>
            <w:pPr>
              <w:spacing w:after="0" w:line="149" w:lineRule="exact"/>
              <w:rPr>
                <w:sz w:val="20"/>
                <w:szCs w:val="20"/>
                <w:color w:val="auto"/>
              </w:rPr>
            </w:pPr>
            <w:r>
              <w:rPr>
                <w:rFonts w:ascii="Arial" w:cs="Arial" w:eastAsia="Arial" w:hAnsi="Arial"/>
                <w:sz w:val="13"/>
                <w:szCs w:val="13"/>
                <w:color w:val="105EAB"/>
              </w:rPr>
              <w:t>to grow market share in protecting people from life’s uncertainties.</w:t>
            </w:r>
          </w:p>
        </w:tc>
        <w:tc>
          <w:tcPr>
            <w:tcW w:w="340" w:type="dxa"/>
            <w:vAlign w:val="bottom"/>
            <w:shd w:val="clear" w:color="auto" w:fill="EFF8FA"/>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60" w:type="dxa"/>
            <w:vAlign w:val="bottom"/>
            <w:shd w:val="clear" w:color="auto" w:fill="EFF8FA"/>
          </w:tcPr>
          <w:p>
            <w:pPr>
              <w:ind w:left="720"/>
              <w:spacing w:after="0" w:line="149" w:lineRule="exact"/>
              <w:rPr>
                <w:sz w:val="20"/>
                <w:szCs w:val="20"/>
                <w:color w:val="auto"/>
              </w:rPr>
            </w:pPr>
            <w:r>
              <w:rPr>
                <w:rFonts w:ascii="Arial" w:cs="Arial" w:eastAsia="Arial" w:hAnsi="Arial"/>
                <w:sz w:val="13"/>
                <w:szCs w:val="13"/>
                <w:color w:val="auto"/>
              </w:rPr>
              <w:t>third-party advisors. Outside experts such as independent auditors,</w:t>
            </w:r>
          </w:p>
        </w:tc>
        <w:tc>
          <w:tcPr>
            <w:tcW w:w="5320" w:type="dxa"/>
            <w:vAlign w:val="bottom"/>
            <w:tcBorders>
              <w:right w:val="single" w:sz="8" w:color="39B6E9"/>
            </w:tcBorders>
            <w:gridSpan w:val="2"/>
            <w:shd w:val="clear" w:color="auto" w:fill="EFF8FA"/>
          </w:tcPr>
          <w:p>
            <w:pPr>
              <w:spacing w:after="0" w:line="149" w:lineRule="exact"/>
              <w:rPr>
                <w:sz w:val="20"/>
                <w:szCs w:val="20"/>
                <w:color w:val="auto"/>
              </w:rPr>
            </w:pPr>
            <w:r>
              <w:rPr>
                <w:rFonts w:ascii="Arial" w:cs="Arial" w:eastAsia="Arial" w:hAnsi="Arial"/>
                <w:sz w:val="13"/>
                <w:szCs w:val="13"/>
                <w:color w:val="105EAB"/>
              </w:rPr>
              <w:t>This served as the foundation for the acquisition of InfoArmor. In</w:t>
            </w:r>
          </w:p>
        </w:tc>
        <w:tc>
          <w:tcPr>
            <w:tcW w:w="340" w:type="dxa"/>
            <w:vAlign w:val="bottom"/>
            <w:shd w:val="clear" w:color="auto" w:fill="EFF8FA"/>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60" w:type="dxa"/>
            <w:vAlign w:val="bottom"/>
            <w:shd w:val="clear" w:color="auto" w:fill="EFF8FA"/>
          </w:tcPr>
          <w:p>
            <w:pPr>
              <w:ind w:left="720"/>
              <w:spacing w:after="0" w:line="149" w:lineRule="exact"/>
              <w:rPr>
                <w:sz w:val="20"/>
                <w:szCs w:val="20"/>
                <w:color w:val="auto"/>
              </w:rPr>
            </w:pPr>
            <w:r>
              <w:rPr>
                <w:rFonts w:ascii="Arial" w:cs="Arial" w:eastAsia="Arial" w:hAnsi="Arial"/>
                <w:sz w:val="13"/>
                <w:szCs w:val="13"/>
                <w:color w:val="auto"/>
              </w:rPr>
              <w:t>compensation consultants, governance specialists, cybersecurity experts,</w:t>
            </w:r>
          </w:p>
        </w:tc>
        <w:tc>
          <w:tcPr>
            <w:tcW w:w="5320" w:type="dxa"/>
            <w:vAlign w:val="bottom"/>
            <w:tcBorders>
              <w:right w:val="single" w:sz="8" w:color="39B6E9"/>
            </w:tcBorders>
            <w:gridSpan w:val="2"/>
            <w:shd w:val="clear" w:color="auto" w:fill="EFF8FA"/>
          </w:tcPr>
          <w:p>
            <w:pPr>
              <w:spacing w:after="0" w:line="149" w:lineRule="exact"/>
              <w:rPr>
                <w:sz w:val="20"/>
                <w:szCs w:val="20"/>
                <w:color w:val="auto"/>
              </w:rPr>
            </w:pPr>
            <w:r>
              <w:rPr>
                <w:rFonts w:ascii="Arial" w:cs="Arial" w:eastAsia="Arial" w:hAnsi="Arial"/>
                <w:sz w:val="13"/>
                <w:szCs w:val="13"/>
                <w:color w:val="105EAB"/>
              </w:rPr>
              <w:t>response to stockholder engagement, the Board also reviewed the</w:t>
            </w:r>
          </w:p>
        </w:tc>
        <w:tc>
          <w:tcPr>
            <w:tcW w:w="340" w:type="dxa"/>
            <w:vAlign w:val="bottom"/>
            <w:shd w:val="clear" w:color="auto" w:fill="EFF8FA"/>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60" w:type="dxa"/>
            <w:vAlign w:val="bottom"/>
            <w:shd w:val="clear" w:color="auto" w:fill="EFF8FA"/>
          </w:tcPr>
          <w:p>
            <w:pPr>
              <w:ind w:left="720"/>
              <w:spacing w:after="0" w:line="149" w:lineRule="exact"/>
              <w:rPr>
                <w:sz w:val="20"/>
                <w:szCs w:val="20"/>
                <w:color w:val="auto"/>
              </w:rPr>
            </w:pPr>
            <w:r>
              <w:rPr>
                <w:rFonts w:ascii="Arial" w:cs="Arial" w:eastAsia="Arial" w:hAnsi="Arial"/>
                <w:sz w:val="13"/>
                <w:szCs w:val="13"/>
                <w:color w:val="auto"/>
              </w:rPr>
              <w:t>board search firm representatives, and financial advisors attend meetings</w:t>
            </w:r>
          </w:p>
        </w:tc>
        <w:tc>
          <w:tcPr>
            <w:tcW w:w="5320" w:type="dxa"/>
            <w:vAlign w:val="bottom"/>
            <w:tcBorders>
              <w:right w:val="single" w:sz="8" w:color="39B6E9"/>
            </w:tcBorders>
            <w:gridSpan w:val="2"/>
            <w:shd w:val="clear" w:color="auto" w:fill="EFF8FA"/>
          </w:tcPr>
          <w:p>
            <w:pPr>
              <w:spacing w:after="0" w:line="149" w:lineRule="exact"/>
              <w:rPr>
                <w:sz w:val="20"/>
                <w:szCs w:val="20"/>
                <w:color w:val="auto"/>
              </w:rPr>
            </w:pPr>
            <w:r>
              <w:rPr>
                <w:rFonts w:ascii="Arial" w:cs="Arial" w:eastAsia="Arial" w:hAnsi="Arial"/>
                <w:sz w:val="13"/>
                <w:szCs w:val="13"/>
                <w:color w:val="105EAB"/>
              </w:rPr>
              <w:t>chief risk officer’s first annual risk and return assessment of</w:t>
            </w:r>
          </w:p>
        </w:tc>
        <w:tc>
          <w:tcPr>
            <w:tcW w:w="340" w:type="dxa"/>
            <w:vAlign w:val="bottom"/>
            <w:shd w:val="clear" w:color="auto" w:fill="EFF8FA"/>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60" w:type="dxa"/>
            <w:vAlign w:val="bottom"/>
            <w:shd w:val="clear" w:color="auto" w:fill="EFF8FA"/>
          </w:tcPr>
          <w:p>
            <w:pPr>
              <w:ind w:left="720"/>
              <w:spacing w:after="0" w:line="149" w:lineRule="exact"/>
              <w:rPr>
                <w:sz w:val="20"/>
                <w:szCs w:val="20"/>
                <w:color w:val="auto"/>
              </w:rPr>
            </w:pPr>
            <w:r>
              <w:rPr>
                <w:rFonts w:ascii="Arial" w:cs="Arial" w:eastAsia="Arial" w:hAnsi="Arial"/>
                <w:sz w:val="13"/>
                <w:szCs w:val="13"/>
                <w:color w:val="auto"/>
              </w:rPr>
              <w:t>to provide directors with additional information on issues. All committees,</w:t>
            </w:r>
          </w:p>
        </w:tc>
        <w:tc>
          <w:tcPr>
            <w:tcW w:w="5320" w:type="dxa"/>
            <w:vAlign w:val="bottom"/>
            <w:tcBorders>
              <w:right w:val="single" w:sz="8" w:color="39B6E9"/>
            </w:tcBorders>
            <w:gridSpan w:val="2"/>
            <w:shd w:val="clear" w:color="auto" w:fill="EFF8FA"/>
          </w:tcPr>
          <w:p>
            <w:pPr>
              <w:spacing w:after="0" w:line="149" w:lineRule="exact"/>
              <w:rPr>
                <w:sz w:val="20"/>
                <w:szCs w:val="20"/>
                <w:color w:val="auto"/>
              </w:rPr>
            </w:pPr>
            <w:r>
              <w:rPr>
                <w:rFonts w:ascii="Arial" w:cs="Arial" w:eastAsia="Arial" w:hAnsi="Arial"/>
                <w:sz w:val="13"/>
                <w:szCs w:val="13"/>
                <w:color w:val="105EAB"/>
              </w:rPr>
              <w:t>Allstate’s political contributions program.”</w:t>
            </w:r>
          </w:p>
        </w:tc>
        <w:tc>
          <w:tcPr>
            <w:tcW w:w="340" w:type="dxa"/>
            <w:vAlign w:val="bottom"/>
            <w:shd w:val="clear" w:color="auto" w:fill="EFF8FA"/>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5760" w:type="dxa"/>
            <w:vAlign w:val="bottom"/>
            <w:shd w:val="clear" w:color="auto" w:fill="EFF8FA"/>
          </w:tcPr>
          <w:p>
            <w:pPr>
              <w:ind w:left="720"/>
              <w:spacing w:after="0" w:line="134" w:lineRule="exact"/>
              <w:rPr>
                <w:sz w:val="20"/>
                <w:szCs w:val="20"/>
                <w:color w:val="auto"/>
              </w:rPr>
            </w:pPr>
            <w:r>
              <w:rPr>
                <w:rFonts w:ascii="Arial" w:cs="Arial" w:eastAsia="Arial" w:hAnsi="Arial"/>
                <w:sz w:val="13"/>
                <w:szCs w:val="13"/>
                <w:color w:val="auto"/>
              </w:rPr>
              <w:t>other than the executive committee, used independent external consultants</w:t>
            </w:r>
          </w:p>
        </w:tc>
        <w:tc>
          <w:tcPr>
            <w:tcW w:w="4060" w:type="dxa"/>
            <w:vAlign w:val="bottom"/>
            <w:shd w:val="clear" w:color="auto" w:fill="EFF8FA"/>
          </w:tcPr>
          <w:p>
            <w:pPr>
              <w:spacing w:after="0"/>
              <w:rPr>
                <w:sz w:val="11"/>
                <w:szCs w:val="11"/>
                <w:color w:val="auto"/>
              </w:rPr>
            </w:pPr>
          </w:p>
        </w:tc>
        <w:tc>
          <w:tcPr>
            <w:tcW w:w="1260" w:type="dxa"/>
            <w:vAlign w:val="bottom"/>
            <w:tcBorders>
              <w:right w:val="single" w:sz="8" w:color="39B6E9"/>
            </w:tcBorders>
            <w:shd w:val="clear" w:color="auto" w:fill="EFF8FA"/>
          </w:tcPr>
          <w:p>
            <w:pPr>
              <w:spacing w:after="0"/>
              <w:rPr>
                <w:sz w:val="11"/>
                <w:szCs w:val="11"/>
                <w:color w:val="auto"/>
              </w:rPr>
            </w:pPr>
          </w:p>
        </w:tc>
        <w:tc>
          <w:tcPr>
            <w:tcW w:w="340" w:type="dxa"/>
            <w:vAlign w:val="bottom"/>
            <w:shd w:val="clear" w:color="auto" w:fill="EFF8FA"/>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5760" w:type="dxa"/>
            <w:vAlign w:val="bottom"/>
            <w:shd w:val="clear" w:color="auto" w:fill="EFF8FA"/>
          </w:tcPr>
          <w:p>
            <w:pPr>
              <w:ind w:left="720"/>
              <w:spacing w:after="0"/>
              <w:rPr>
                <w:sz w:val="20"/>
                <w:szCs w:val="20"/>
                <w:color w:val="auto"/>
              </w:rPr>
            </w:pPr>
            <w:r>
              <w:rPr>
                <w:rFonts w:ascii="Arial" w:cs="Arial" w:eastAsia="Arial" w:hAnsi="Arial"/>
                <w:sz w:val="13"/>
                <w:szCs w:val="13"/>
                <w:color w:val="auto"/>
              </w:rPr>
              <w:t>in 2018.</w:t>
            </w:r>
          </w:p>
        </w:tc>
        <w:tc>
          <w:tcPr>
            <w:tcW w:w="4060" w:type="dxa"/>
            <w:vAlign w:val="bottom"/>
            <w:shd w:val="clear" w:color="auto" w:fill="EFF8FA"/>
          </w:tcPr>
          <w:p>
            <w:pPr>
              <w:spacing w:after="0"/>
              <w:rPr>
                <w:sz w:val="14"/>
                <w:szCs w:val="14"/>
                <w:color w:val="auto"/>
              </w:rPr>
            </w:pPr>
          </w:p>
        </w:tc>
        <w:tc>
          <w:tcPr>
            <w:tcW w:w="1260" w:type="dxa"/>
            <w:vAlign w:val="bottom"/>
            <w:tcBorders>
              <w:right w:val="single" w:sz="8" w:color="39B6E9"/>
            </w:tcBorders>
            <w:shd w:val="clear" w:color="auto" w:fill="EFF8FA"/>
          </w:tcPr>
          <w:p>
            <w:pPr>
              <w:spacing w:after="0"/>
              <w:rPr>
                <w:sz w:val="14"/>
                <w:szCs w:val="14"/>
                <w:color w:val="auto"/>
              </w:rPr>
            </w:pPr>
          </w:p>
        </w:tc>
        <w:tc>
          <w:tcPr>
            <w:tcW w:w="340" w:type="dxa"/>
            <w:vAlign w:val="bottom"/>
            <w:shd w:val="clear" w:color="auto" w:fill="EFF8FA"/>
          </w:tcPr>
          <w:p>
            <w:pPr>
              <w:spacing w:after="0"/>
              <w:rPr>
                <w:sz w:val="14"/>
                <w:szCs w:val="14"/>
                <w:color w:val="auto"/>
              </w:rPr>
            </w:pPr>
          </w:p>
        </w:tc>
        <w:tc>
          <w:tcPr>
            <w:tcW w:w="0" w:type="dxa"/>
            <w:vAlign w:val="bottom"/>
          </w:tcPr>
          <w:p>
            <w:pPr>
              <w:spacing w:after="0"/>
              <w:rPr>
                <w:sz w:val="1"/>
                <w:szCs w:val="1"/>
                <w:color w:val="auto"/>
              </w:rPr>
            </w:pPr>
          </w:p>
        </w:tc>
      </w:tr>
      <w:tr>
        <w:trPr>
          <w:trHeight w:val="351"/>
        </w:trPr>
        <w:tc>
          <w:tcPr>
            <w:tcW w:w="5760" w:type="dxa"/>
            <w:vAlign w:val="bottom"/>
            <w:shd w:val="clear" w:color="auto" w:fill="EFF8FA"/>
          </w:tcPr>
          <w:p>
            <w:pPr>
              <w:ind w:left="720"/>
              <w:spacing w:after="0"/>
              <w:rPr>
                <w:sz w:val="20"/>
                <w:szCs w:val="20"/>
                <w:color w:val="auto"/>
              </w:rPr>
            </w:pPr>
            <w:r>
              <w:rPr>
                <w:rFonts w:ascii="Arial" w:cs="Arial" w:eastAsia="Arial" w:hAnsi="Arial"/>
                <w:sz w:val="13"/>
                <w:szCs w:val="13"/>
                <w:color w:val="auto"/>
              </w:rPr>
              <w:t>In 2018, an external advisor was used to assess Allstate’s ethics and</w:t>
            </w:r>
          </w:p>
        </w:tc>
        <w:tc>
          <w:tcPr>
            <w:tcW w:w="4060" w:type="dxa"/>
            <w:vAlign w:val="bottom"/>
            <w:shd w:val="clear" w:color="auto" w:fill="EFF8FA"/>
          </w:tcPr>
          <w:p>
            <w:pPr>
              <w:spacing w:after="0"/>
              <w:rPr>
                <w:sz w:val="24"/>
                <w:szCs w:val="24"/>
                <w:color w:val="auto"/>
              </w:rPr>
            </w:pPr>
          </w:p>
        </w:tc>
        <w:tc>
          <w:tcPr>
            <w:tcW w:w="1260" w:type="dxa"/>
            <w:vAlign w:val="bottom"/>
            <w:tcBorders>
              <w:right w:val="single" w:sz="8" w:color="39B6E9"/>
            </w:tcBorders>
            <w:shd w:val="clear" w:color="auto" w:fill="EFF8FA"/>
          </w:tcPr>
          <w:p>
            <w:pPr>
              <w:spacing w:after="0"/>
              <w:rPr>
                <w:sz w:val="24"/>
                <w:szCs w:val="24"/>
                <w:color w:val="auto"/>
              </w:rPr>
            </w:pPr>
          </w:p>
        </w:tc>
        <w:tc>
          <w:tcPr>
            <w:tcW w:w="340" w:type="dxa"/>
            <w:vAlign w:val="bottom"/>
            <w:shd w:val="clear" w:color="auto" w:fill="EFF8FA"/>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760" w:type="dxa"/>
            <w:vAlign w:val="bottom"/>
            <w:tcBorders>
              <w:bottom w:val="single" w:sz="8" w:color="EFF8FA"/>
            </w:tcBorders>
            <w:shd w:val="clear" w:color="auto" w:fill="EFF8FA"/>
          </w:tcPr>
          <w:p>
            <w:pPr>
              <w:ind w:left="720"/>
              <w:spacing w:after="0"/>
              <w:rPr>
                <w:sz w:val="20"/>
                <w:szCs w:val="20"/>
                <w:color w:val="auto"/>
              </w:rPr>
            </w:pPr>
            <w:r>
              <w:rPr>
                <w:rFonts w:ascii="Arial" w:cs="Arial" w:eastAsia="Arial" w:hAnsi="Arial"/>
                <w:sz w:val="13"/>
                <w:szCs w:val="13"/>
                <w:color w:val="auto"/>
              </w:rPr>
              <w:t>compliance program.</w:t>
            </w:r>
          </w:p>
        </w:tc>
        <w:tc>
          <w:tcPr>
            <w:tcW w:w="4060" w:type="dxa"/>
            <w:vAlign w:val="bottom"/>
            <w:tcBorders>
              <w:bottom w:val="single" w:sz="8" w:color="39B6E9"/>
            </w:tcBorders>
            <w:shd w:val="clear" w:color="auto" w:fill="EFF8FA"/>
          </w:tcPr>
          <w:p>
            <w:pPr>
              <w:spacing w:after="0"/>
              <w:rPr>
                <w:sz w:val="12"/>
                <w:szCs w:val="12"/>
                <w:color w:val="auto"/>
              </w:rPr>
            </w:pPr>
          </w:p>
        </w:tc>
        <w:tc>
          <w:tcPr>
            <w:tcW w:w="1260" w:type="dxa"/>
            <w:vAlign w:val="bottom"/>
            <w:tcBorders>
              <w:bottom w:val="single" w:sz="8" w:color="39B6E9"/>
              <w:right w:val="single" w:sz="8" w:color="39B6E9"/>
            </w:tcBorders>
            <w:shd w:val="clear" w:color="auto" w:fill="EFF8FA"/>
          </w:tcPr>
          <w:p>
            <w:pPr>
              <w:spacing w:after="0"/>
              <w:rPr>
                <w:sz w:val="12"/>
                <w:szCs w:val="12"/>
                <w:color w:val="auto"/>
              </w:rPr>
            </w:pPr>
          </w:p>
        </w:tc>
        <w:tc>
          <w:tcPr>
            <w:tcW w:w="340" w:type="dxa"/>
            <w:vAlign w:val="bottom"/>
            <w:tcBorders>
              <w:bottom w:val="single" w:sz="8" w:color="EFF8FA"/>
            </w:tcBorders>
            <w:shd w:val="clear" w:color="auto" w:fill="EFF8FA"/>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760" w:type="dxa"/>
            <w:vAlign w:val="bottom"/>
            <w:shd w:val="clear" w:color="auto" w:fill="EFF8FA"/>
          </w:tcPr>
          <w:p>
            <w:pPr>
              <w:spacing w:after="0"/>
              <w:rPr>
                <w:sz w:val="15"/>
                <w:szCs w:val="15"/>
                <w:color w:val="auto"/>
              </w:rPr>
            </w:pPr>
          </w:p>
        </w:tc>
        <w:tc>
          <w:tcPr>
            <w:tcW w:w="4060" w:type="dxa"/>
            <w:vAlign w:val="bottom"/>
            <w:shd w:val="clear" w:color="auto" w:fill="EFF8FA"/>
          </w:tcPr>
          <w:p>
            <w:pPr>
              <w:spacing w:after="0"/>
              <w:rPr>
                <w:sz w:val="15"/>
                <w:szCs w:val="15"/>
                <w:color w:val="auto"/>
              </w:rPr>
            </w:pPr>
          </w:p>
        </w:tc>
        <w:tc>
          <w:tcPr>
            <w:tcW w:w="1260" w:type="dxa"/>
            <w:vAlign w:val="bottom"/>
            <w:tcBorders>
              <w:right w:val="single" w:sz="8" w:color="EFF8FA"/>
            </w:tcBorders>
            <w:shd w:val="clear" w:color="auto" w:fill="EFF8FA"/>
          </w:tcPr>
          <w:p>
            <w:pPr>
              <w:spacing w:after="0"/>
              <w:rPr>
                <w:sz w:val="15"/>
                <w:szCs w:val="15"/>
                <w:color w:val="auto"/>
              </w:rPr>
            </w:pPr>
          </w:p>
        </w:tc>
        <w:tc>
          <w:tcPr>
            <w:tcW w:w="340" w:type="dxa"/>
            <w:vAlign w:val="bottom"/>
            <w:shd w:val="clear" w:color="auto" w:fill="EFF8FA"/>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-290830</wp:posOffset>
            </wp:positionV>
            <wp:extent cx="308610" cy="16256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08610" cy="162560"/>
                    </a:xfrm>
                    <a:prstGeom prst="rect">
                      <a:avLst/>
                    </a:prstGeom>
                    <a:noFill/>
                  </pic:spPr>
                </pic:pic>
              </a:graphicData>
            </a:graphic>
          </wp:anchor>
        </w:drawing>
        <w:drawing>
          <wp:anchor simplePos="0" relativeHeight="251657728" behindDoc="1" locked="0" layoutInCell="0" allowOverlap="1">
            <wp:simplePos x="0" y="0"/>
            <wp:positionH relativeFrom="column">
              <wp:posOffset>6232525</wp:posOffset>
            </wp:positionH>
            <wp:positionV relativeFrom="paragraph">
              <wp:posOffset>-2004060</wp:posOffset>
            </wp:positionV>
            <wp:extent cx="856615" cy="8566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56615" cy="856615"/>
                    </a:xfrm>
                    <a:prstGeom prst="rect">
                      <a:avLst/>
                    </a:prstGeom>
                    <a:noFill/>
                  </pic:spPr>
                </pic:pic>
              </a:graphicData>
            </a:graphic>
          </wp:anchor>
        </w:drawing>
        <w:drawing>
          <wp:anchor simplePos="0" relativeHeight="251657728" behindDoc="1" locked="0" layoutInCell="0" allowOverlap="1">
            <wp:simplePos x="0" y="0"/>
            <wp:positionH relativeFrom="column">
              <wp:posOffset>3825240</wp:posOffset>
            </wp:positionH>
            <wp:positionV relativeFrom="paragraph">
              <wp:posOffset>308610</wp:posOffset>
            </wp:positionV>
            <wp:extent cx="8255" cy="359791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255" cy="3597910"/>
                    </a:xfrm>
                    <a:prstGeom prst="rect">
                      <a:avLst/>
                    </a:prstGeom>
                    <a:noFill/>
                  </pic:spPr>
                </pic:pic>
              </a:graphicData>
            </a:graphic>
          </wp:anchor>
        </w:drawing>
        <w:drawing>
          <wp:anchor simplePos="0" relativeHeight="251657728" behindDoc="1" locked="0" layoutInCell="0" allowOverlap="1">
            <wp:simplePos x="0" y="0"/>
            <wp:positionH relativeFrom="column">
              <wp:posOffset>6660515</wp:posOffset>
            </wp:positionH>
            <wp:positionV relativeFrom="paragraph">
              <wp:posOffset>342900</wp:posOffset>
            </wp:positionV>
            <wp:extent cx="591185" cy="5994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91185" cy="59944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ind w:left="700"/>
        <w:spacing w:after="0"/>
        <w:rPr>
          <w:sz w:val="20"/>
          <w:szCs w:val="20"/>
          <w:color w:val="auto"/>
        </w:rPr>
      </w:pPr>
      <w:r>
        <w:rPr>
          <w:rFonts w:ascii="Arial" w:cs="Arial" w:eastAsia="Arial" w:hAnsi="Arial"/>
          <w:sz w:val="22"/>
          <w:szCs w:val="22"/>
          <w:b w:val="1"/>
          <w:bCs w:val="1"/>
          <w:color w:val="105EAB"/>
        </w:rPr>
        <w:t>Nominating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3122930</wp:posOffset>
            </wp:positionH>
            <wp:positionV relativeFrom="paragraph">
              <wp:posOffset>-156210</wp:posOffset>
            </wp:positionV>
            <wp:extent cx="591185" cy="59118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91185" cy="591185"/>
                    </a:xfrm>
                    <a:prstGeom prst="rect">
                      <a:avLst/>
                    </a:prstGeom>
                    <a:noFill/>
                  </pic:spPr>
                </pic:pic>
              </a:graphicData>
            </a:graphic>
          </wp:anchor>
        </w:drawing>
      </w:r>
    </w:p>
    <w:p>
      <w:pPr>
        <w:ind w:left="700"/>
        <w:spacing w:after="0"/>
        <w:rPr>
          <w:sz w:val="20"/>
          <w:szCs w:val="20"/>
          <w:color w:val="auto"/>
        </w:rPr>
      </w:pPr>
      <w:r>
        <w:rPr>
          <w:rFonts w:ascii="Arial" w:cs="Arial" w:eastAsia="Arial" w:hAnsi="Arial"/>
          <w:sz w:val="22"/>
          <w:szCs w:val="22"/>
          <w:b w:val="1"/>
          <w:bCs w:val="1"/>
          <w:color w:val="105EAB"/>
        </w:rPr>
        <w:t>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450215</wp:posOffset>
            </wp:positionH>
            <wp:positionV relativeFrom="paragraph">
              <wp:posOffset>40640</wp:posOffset>
            </wp:positionV>
            <wp:extent cx="26212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621280" cy="8255"/>
                    </a:xfrm>
                    <a:prstGeom prst="rect">
                      <a:avLst/>
                    </a:prstGeom>
                    <a:noFill/>
                  </pic:spPr>
                </pic:pic>
              </a:graphicData>
            </a:graphic>
          </wp:anchor>
        </w:drawing>
      </w:r>
    </w:p>
    <w:p>
      <w:pPr>
        <w:spacing w:after="0" w:line="189" w:lineRule="exact"/>
        <w:rPr>
          <w:sz w:val="20"/>
          <w:szCs w:val="20"/>
          <w:color w:val="auto"/>
        </w:rPr>
      </w:pPr>
    </w:p>
    <w:p>
      <w:pPr>
        <w:ind w:left="700"/>
        <w:spacing w:after="0"/>
        <w:tabs>
          <w:tab w:leader="none" w:pos="2920" w:val="left"/>
        </w:tabs>
        <w:rPr>
          <w:sz w:val="20"/>
          <w:szCs w:val="20"/>
          <w:color w:val="auto"/>
        </w:rPr>
      </w:pPr>
      <w:r>
        <w:rPr>
          <w:rFonts w:ascii="Arial" w:cs="Arial" w:eastAsia="Arial" w:hAnsi="Arial"/>
          <w:sz w:val="13"/>
          <w:szCs w:val="13"/>
          <w:b w:val="1"/>
          <w:bCs w:val="1"/>
          <w:color w:val="959595"/>
        </w:rPr>
        <w:t xml:space="preserve">Chair: </w:t>
      </w:r>
      <w:r>
        <w:rPr>
          <w:rFonts w:ascii="Arial" w:cs="Arial" w:eastAsia="Arial" w:hAnsi="Arial"/>
          <w:sz w:val="13"/>
          <w:szCs w:val="13"/>
          <w:color w:val="000000"/>
        </w:rPr>
        <w:t>Andrea Redmond</w:t>
      </w:r>
      <w:r>
        <w:rPr>
          <w:sz w:val="20"/>
          <w:szCs w:val="20"/>
          <w:color w:val="auto"/>
        </w:rPr>
        <w:tab/>
      </w:r>
      <w:r>
        <w:rPr>
          <w:rFonts w:ascii="Arial" w:cs="Arial" w:eastAsia="Arial" w:hAnsi="Arial"/>
          <w:sz w:val="13"/>
          <w:szCs w:val="13"/>
          <w:b w:val="1"/>
          <w:bCs w:val="1"/>
          <w:color w:val="959595"/>
        </w:rPr>
        <w:t xml:space="preserve">Meetings in 2018: </w:t>
      </w:r>
      <w:r>
        <w:rPr>
          <w:rFonts w:ascii="Arial" w:cs="Arial" w:eastAsia="Arial" w:hAnsi="Arial"/>
          <w:sz w:val="13"/>
          <w:szCs w:val="13"/>
          <w:color w:val="000000"/>
        </w:rPr>
        <w:t>5</w:t>
      </w:r>
    </w:p>
    <w:p>
      <w:pPr>
        <w:spacing w:after="0" w:line="282" w:lineRule="exact"/>
        <w:rPr>
          <w:sz w:val="20"/>
          <w:szCs w:val="20"/>
          <w:color w:val="auto"/>
        </w:rPr>
      </w:pPr>
    </w:p>
    <w:p>
      <w:pPr>
        <w:ind w:left="700"/>
        <w:spacing w:after="0"/>
        <w:rPr>
          <w:sz w:val="20"/>
          <w:szCs w:val="20"/>
          <w:color w:val="auto"/>
        </w:rPr>
      </w:pPr>
      <w:r>
        <w:rPr>
          <w:rFonts w:ascii="Arial" w:cs="Arial" w:eastAsia="Arial" w:hAnsi="Arial"/>
          <w:sz w:val="13"/>
          <w:szCs w:val="13"/>
          <w:b w:val="1"/>
          <w:bCs w:val="1"/>
          <w:color w:val="959595"/>
        </w:rPr>
        <w:t>Other Members:</w:t>
      </w:r>
    </w:p>
    <w:p>
      <w:pPr>
        <w:spacing w:after="0" w:line="82" w:lineRule="exact"/>
        <w:rPr>
          <w:sz w:val="20"/>
          <w:szCs w:val="20"/>
          <w:color w:val="auto"/>
        </w:rPr>
      </w:pPr>
    </w:p>
    <w:p>
      <w:pPr>
        <w:ind w:left="700"/>
        <w:spacing w:after="0"/>
        <w:tabs>
          <w:tab w:leader="none" w:pos="2920" w:val="left"/>
        </w:tabs>
        <w:rPr>
          <w:sz w:val="20"/>
          <w:szCs w:val="20"/>
          <w:color w:val="auto"/>
        </w:rPr>
      </w:pPr>
      <w:r>
        <w:rPr>
          <w:rFonts w:ascii="Arial" w:cs="Arial" w:eastAsia="Arial" w:hAnsi="Arial"/>
          <w:sz w:val="13"/>
          <w:szCs w:val="13"/>
          <w:color w:val="auto"/>
        </w:rPr>
        <w:t>Jacques P. Perold</w:t>
      </w:r>
      <w:r>
        <w:rPr>
          <w:sz w:val="20"/>
          <w:szCs w:val="20"/>
          <w:color w:val="auto"/>
        </w:rPr>
        <w:tab/>
      </w:r>
      <w:r>
        <w:rPr>
          <w:rFonts w:ascii="Arial" w:cs="Arial" w:eastAsia="Arial" w:hAnsi="Arial"/>
          <w:sz w:val="13"/>
          <w:szCs w:val="13"/>
          <w:color w:val="auto"/>
        </w:rPr>
        <w:t>Judith A. Sprieser</w:t>
      </w:r>
    </w:p>
    <w:p>
      <w:pPr>
        <w:spacing w:after="0" w:line="66" w:lineRule="exact"/>
        <w:rPr>
          <w:sz w:val="20"/>
          <w:szCs w:val="20"/>
          <w:color w:val="auto"/>
        </w:rPr>
      </w:pPr>
    </w:p>
    <w:p>
      <w:pPr>
        <w:ind w:left="700"/>
        <w:spacing w:after="0"/>
        <w:rPr>
          <w:sz w:val="20"/>
          <w:szCs w:val="20"/>
          <w:color w:val="auto"/>
        </w:rPr>
      </w:pPr>
      <w:r>
        <w:rPr>
          <w:rFonts w:ascii="Arial" w:cs="Arial" w:eastAsia="Arial" w:hAnsi="Arial"/>
          <w:sz w:val="13"/>
          <w:szCs w:val="13"/>
          <w:color w:val="auto"/>
        </w:rPr>
        <w:t>Gregg M. Sherrill</w:t>
      </w:r>
    </w:p>
    <w:p>
      <w:pPr>
        <w:spacing w:after="0" w:line="282" w:lineRule="exact"/>
        <w:rPr>
          <w:sz w:val="20"/>
          <w:szCs w:val="20"/>
          <w:color w:val="auto"/>
        </w:rPr>
      </w:pPr>
    </w:p>
    <w:p>
      <w:pPr>
        <w:ind w:left="700" w:right="20"/>
        <w:spacing w:after="0" w:line="358" w:lineRule="auto"/>
        <w:rPr>
          <w:sz w:val="20"/>
          <w:szCs w:val="20"/>
          <w:color w:val="auto"/>
        </w:rPr>
      </w:pPr>
      <w:r>
        <w:rPr>
          <w:rFonts w:ascii="Arial" w:cs="Arial" w:eastAsia="Arial" w:hAnsi="Arial"/>
          <w:sz w:val="13"/>
          <w:szCs w:val="13"/>
          <w:color w:val="105EAB"/>
        </w:rPr>
        <w:t>“The Committee is committed to ensuring Allstate continues to adopt best practices in corporate governance. In 2018, we focused on Board evaluations and effectiveness and hired an independent consultant to evaluate the Board. We also began overseeing Allstate’s political contributions program in response to stockholder engagement.”</w:t>
      </w:r>
    </w:p>
    <w:p>
      <w:pPr>
        <w:spacing w:after="0" w:line="387" w:lineRule="exact"/>
        <w:rPr>
          <w:sz w:val="20"/>
          <w:szCs w:val="20"/>
          <w:color w:val="auto"/>
        </w:rPr>
      </w:pPr>
    </w:p>
    <w:p>
      <w:pPr>
        <w:ind w:left="700"/>
        <w:spacing w:after="0"/>
        <w:rPr>
          <w:sz w:val="20"/>
          <w:szCs w:val="20"/>
          <w:color w:val="auto"/>
        </w:rPr>
      </w:pPr>
      <w:r>
        <w:rPr>
          <w:rFonts w:ascii="Arial" w:cs="Arial" w:eastAsia="Arial" w:hAnsi="Arial"/>
          <w:sz w:val="13"/>
          <w:szCs w:val="13"/>
          <w:b w:val="1"/>
          <w:bCs w:val="1"/>
          <w:color w:val="105EAB"/>
        </w:rPr>
        <w:t>— ANDREA REDMOND,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450215</wp:posOffset>
            </wp:positionH>
            <wp:positionV relativeFrom="paragraph">
              <wp:posOffset>52705</wp:posOffset>
            </wp:positionV>
            <wp:extent cx="326390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263900" cy="8255"/>
                    </a:xfrm>
                    <a:prstGeom prst="rect">
                      <a:avLst/>
                    </a:prstGeom>
                    <a:noFill/>
                  </pic:spPr>
                </pic:pic>
              </a:graphicData>
            </a:graphic>
          </wp:anchor>
        </w:drawing>
      </w:r>
    </w:p>
    <w:p>
      <w:pPr>
        <w:spacing w:after="0" w:line="127" w:lineRule="exact"/>
        <w:rPr>
          <w:sz w:val="20"/>
          <w:szCs w:val="20"/>
          <w:color w:val="auto"/>
        </w:rPr>
      </w:pPr>
    </w:p>
    <w:p>
      <w:pPr>
        <w:ind w:left="700"/>
        <w:spacing w:after="0"/>
        <w:rPr>
          <w:sz w:val="20"/>
          <w:szCs w:val="20"/>
          <w:color w:val="auto"/>
        </w:rPr>
      </w:pPr>
      <w:r>
        <w:rPr>
          <w:rFonts w:ascii="Arial" w:cs="Arial" w:eastAsia="Arial" w:hAnsi="Arial"/>
          <w:sz w:val="13"/>
          <w:szCs w:val="13"/>
          <w:b w:val="1"/>
          <w:bCs w:val="1"/>
          <w:color w:val="959595"/>
        </w:rPr>
        <w:t>Key Responsibilities:</w:t>
      </w:r>
    </w:p>
    <w:p>
      <w:pPr>
        <w:spacing w:after="0" w:line="14" w:lineRule="exact"/>
        <w:rPr>
          <w:sz w:val="20"/>
          <w:szCs w:val="20"/>
          <w:color w:val="auto"/>
        </w:rPr>
      </w:pPr>
    </w:p>
    <w:p>
      <w:pPr>
        <w:ind w:left="960" w:hanging="251"/>
        <w:spacing w:after="0"/>
        <w:tabs>
          <w:tab w:leader="none" w:pos="960" w:val="left"/>
        </w:tabs>
        <w:numPr>
          <w:ilvl w:val="0"/>
          <w:numId w:val="127"/>
        </w:numPr>
        <w:rPr>
          <w:rFonts w:ascii="Arial" w:cs="Arial" w:eastAsia="Arial" w:hAnsi="Arial"/>
          <w:sz w:val="13"/>
          <w:szCs w:val="13"/>
          <w:color w:val="105EAB"/>
        </w:rPr>
      </w:pPr>
      <w:r>
        <w:rPr>
          <w:rFonts w:ascii="Arial" w:cs="Arial" w:eastAsia="Arial" w:hAnsi="Arial"/>
          <w:sz w:val="13"/>
          <w:szCs w:val="13"/>
          <w:color w:val="auto"/>
        </w:rPr>
        <w:t>Recommends candidates for Board election and nominees for Board committees</w:t>
      </w:r>
    </w:p>
    <w:p>
      <w:pPr>
        <w:ind w:left="960" w:hanging="251"/>
        <w:spacing w:after="0" w:line="238" w:lineRule="auto"/>
        <w:tabs>
          <w:tab w:leader="none" w:pos="960" w:val="left"/>
        </w:tabs>
        <w:numPr>
          <w:ilvl w:val="0"/>
          <w:numId w:val="127"/>
        </w:numPr>
        <w:rPr>
          <w:rFonts w:ascii="Arial" w:cs="Arial" w:eastAsia="Arial" w:hAnsi="Arial"/>
          <w:sz w:val="13"/>
          <w:szCs w:val="13"/>
          <w:color w:val="105EAB"/>
        </w:rPr>
      </w:pPr>
      <w:r>
        <w:rPr>
          <w:rFonts w:ascii="Arial" w:cs="Arial" w:eastAsia="Arial" w:hAnsi="Arial"/>
          <w:sz w:val="13"/>
          <w:szCs w:val="13"/>
          <w:color w:val="auto"/>
        </w:rPr>
        <w:t>Recommends candidates for lead director and Chair</w:t>
      </w:r>
    </w:p>
    <w:p>
      <w:pPr>
        <w:ind w:left="980" w:hanging="271"/>
        <w:spacing w:after="0" w:line="238" w:lineRule="auto"/>
        <w:tabs>
          <w:tab w:leader="none" w:pos="969" w:val="left"/>
        </w:tabs>
        <w:numPr>
          <w:ilvl w:val="0"/>
          <w:numId w:val="127"/>
        </w:numPr>
        <w:rPr>
          <w:rFonts w:ascii="Arial" w:cs="Arial" w:eastAsia="Arial" w:hAnsi="Arial"/>
          <w:sz w:val="13"/>
          <w:szCs w:val="13"/>
          <w:color w:val="105EAB"/>
        </w:rPr>
      </w:pPr>
      <w:r>
        <w:rPr>
          <w:rFonts w:ascii="Arial" w:cs="Arial" w:eastAsia="Arial" w:hAnsi="Arial"/>
          <w:sz w:val="13"/>
          <w:szCs w:val="13"/>
          <w:color w:val="auto"/>
        </w:rPr>
        <w:t>Recommends criteria for selecting directors and the lead director, and determines director independence</w:t>
      </w:r>
    </w:p>
    <w:p>
      <w:pPr>
        <w:ind w:left="980" w:right="460" w:hanging="271"/>
        <w:spacing w:after="0" w:line="238" w:lineRule="auto"/>
        <w:tabs>
          <w:tab w:leader="none" w:pos="969" w:val="left"/>
        </w:tabs>
        <w:numPr>
          <w:ilvl w:val="0"/>
          <w:numId w:val="127"/>
        </w:numPr>
        <w:rPr>
          <w:rFonts w:ascii="Arial" w:cs="Arial" w:eastAsia="Arial" w:hAnsi="Arial"/>
          <w:sz w:val="13"/>
          <w:szCs w:val="13"/>
          <w:color w:val="105EAB"/>
        </w:rPr>
      </w:pPr>
      <w:r>
        <w:rPr>
          <w:rFonts w:ascii="Arial" w:cs="Arial" w:eastAsia="Arial" w:hAnsi="Arial"/>
          <w:sz w:val="13"/>
          <w:szCs w:val="13"/>
          <w:color w:val="auto"/>
        </w:rPr>
        <w:t>Reviews the Corporate Governance Guidelines and advises the Board on corporate governance issues</w:t>
      </w:r>
    </w:p>
    <w:p>
      <w:pPr>
        <w:ind w:left="980" w:right="160" w:hanging="271"/>
        <w:spacing w:after="0" w:line="238" w:lineRule="auto"/>
        <w:tabs>
          <w:tab w:leader="none" w:pos="969" w:val="left"/>
        </w:tabs>
        <w:numPr>
          <w:ilvl w:val="0"/>
          <w:numId w:val="127"/>
        </w:numPr>
        <w:rPr>
          <w:rFonts w:ascii="Arial" w:cs="Arial" w:eastAsia="Arial" w:hAnsi="Arial"/>
          <w:sz w:val="13"/>
          <w:szCs w:val="13"/>
          <w:color w:val="105EAB"/>
        </w:rPr>
      </w:pPr>
      <w:r>
        <w:rPr>
          <w:rFonts w:ascii="Arial" w:cs="Arial" w:eastAsia="Arial" w:hAnsi="Arial"/>
          <w:sz w:val="13"/>
          <w:szCs w:val="13"/>
          <w:color w:val="auto"/>
        </w:rPr>
        <w:t>Determines performance criteria and oversees the performance assessment of the Board, Board committees, and lead director</w:t>
      </w:r>
    </w:p>
    <w:p>
      <w:pPr>
        <w:ind w:left="960" w:hanging="251"/>
        <w:spacing w:after="0" w:line="238" w:lineRule="auto"/>
        <w:tabs>
          <w:tab w:leader="none" w:pos="960" w:val="left"/>
        </w:tabs>
        <w:numPr>
          <w:ilvl w:val="0"/>
          <w:numId w:val="127"/>
        </w:numPr>
        <w:rPr>
          <w:rFonts w:ascii="Arial" w:cs="Arial" w:eastAsia="Arial" w:hAnsi="Arial"/>
          <w:sz w:val="13"/>
          <w:szCs w:val="13"/>
          <w:color w:val="105EAB"/>
        </w:rPr>
      </w:pPr>
      <w:r>
        <w:rPr>
          <w:rFonts w:ascii="Arial" w:cs="Arial" w:eastAsia="Arial" w:hAnsi="Arial"/>
          <w:sz w:val="13"/>
          <w:szCs w:val="13"/>
          <w:color w:val="auto"/>
        </w:rPr>
        <w:t>Reviews Allstate’s non-employee director compensation program</w:t>
      </w:r>
    </w:p>
    <w:p>
      <w:pPr>
        <w:ind w:left="980" w:right="600" w:hanging="271"/>
        <w:spacing w:after="0" w:line="238" w:lineRule="auto"/>
        <w:tabs>
          <w:tab w:leader="none" w:pos="969" w:val="left"/>
        </w:tabs>
        <w:numPr>
          <w:ilvl w:val="0"/>
          <w:numId w:val="127"/>
        </w:numPr>
        <w:rPr>
          <w:rFonts w:ascii="Arial" w:cs="Arial" w:eastAsia="Arial" w:hAnsi="Arial"/>
          <w:sz w:val="13"/>
          <w:szCs w:val="13"/>
          <w:color w:val="105EAB"/>
        </w:rPr>
      </w:pPr>
      <w:r>
        <w:rPr>
          <w:rFonts w:ascii="Arial" w:cs="Arial" w:eastAsia="Arial" w:hAnsi="Arial"/>
          <w:sz w:val="13"/>
          <w:szCs w:val="13"/>
          <w:color w:val="auto"/>
        </w:rPr>
        <w:t>Has authority to retain a director search firm and director compensation consultant</w:t>
      </w:r>
    </w:p>
    <w:p>
      <w:pPr>
        <w:ind w:left="960" w:hanging="251"/>
        <w:spacing w:after="0"/>
        <w:tabs>
          <w:tab w:leader="none" w:pos="960" w:val="left"/>
        </w:tabs>
        <w:numPr>
          <w:ilvl w:val="0"/>
          <w:numId w:val="127"/>
        </w:numPr>
        <w:rPr>
          <w:rFonts w:ascii="Arial" w:cs="Arial" w:eastAsia="Arial" w:hAnsi="Arial"/>
          <w:sz w:val="13"/>
          <w:szCs w:val="13"/>
          <w:color w:val="105EAB"/>
        </w:rPr>
      </w:pPr>
      <w:r>
        <w:rPr>
          <w:rFonts w:ascii="Arial" w:cs="Arial" w:eastAsia="Arial" w:hAnsi="Arial"/>
          <w:sz w:val="13"/>
          <w:szCs w:val="13"/>
          <w:color w:val="auto"/>
        </w:rPr>
        <w:t>Reviews Allstate’s political contributions and sustainability initiatives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b w:val="1"/>
          <w:bCs w:val="1"/>
          <w:color w:val="105EAB"/>
        </w:rPr>
        <w:t>Risk and Return</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b w:val="1"/>
          <w:bCs w:val="1"/>
          <w:color w:val="105EAB"/>
        </w:rPr>
        <w:t>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267271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672715" cy="8255"/>
                    </a:xfrm>
                    <a:prstGeom prst="rect">
                      <a:avLst/>
                    </a:prstGeom>
                    <a:noFill/>
                  </pic:spPr>
                </pic:pic>
              </a:graphicData>
            </a:graphic>
          </wp:anchor>
        </w:drawing>
      </w:r>
    </w:p>
    <w:p>
      <w:pPr>
        <w:spacing w:after="0" w:line="189" w:lineRule="exact"/>
        <w:rPr>
          <w:sz w:val="20"/>
          <w:szCs w:val="20"/>
          <w:color w:val="auto"/>
        </w:rPr>
      </w:pPr>
    </w:p>
    <w:p>
      <w:pPr>
        <w:spacing w:after="0"/>
        <w:tabs>
          <w:tab w:leader="none" w:pos="2280" w:val="left"/>
        </w:tabs>
        <w:rPr>
          <w:sz w:val="20"/>
          <w:szCs w:val="20"/>
          <w:color w:val="auto"/>
        </w:rPr>
      </w:pPr>
      <w:r>
        <w:rPr>
          <w:rFonts w:ascii="Arial" w:cs="Arial" w:eastAsia="Arial" w:hAnsi="Arial"/>
          <w:sz w:val="13"/>
          <w:szCs w:val="13"/>
          <w:b w:val="1"/>
          <w:bCs w:val="1"/>
          <w:color w:val="959595"/>
        </w:rPr>
        <w:t xml:space="preserve">Chair: </w:t>
      </w:r>
      <w:r>
        <w:rPr>
          <w:rFonts w:ascii="Arial" w:cs="Arial" w:eastAsia="Arial" w:hAnsi="Arial"/>
          <w:sz w:val="13"/>
          <w:szCs w:val="13"/>
          <w:color w:val="000000"/>
        </w:rPr>
        <w:t>Siddharth N. Mehta</w:t>
      </w:r>
      <w:r>
        <w:rPr>
          <w:sz w:val="20"/>
          <w:szCs w:val="20"/>
          <w:color w:val="auto"/>
        </w:rPr>
        <w:tab/>
      </w:r>
      <w:r>
        <w:rPr>
          <w:rFonts w:ascii="Arial" w:cs="Arial" w:eastAsia="Arial" w:hAnsi="Arial"/>
          <w:sz w:val="13"/>
          <w:szCs w:val="13"/>
          <w:b w:val="1"/>
          <w:bCs w:val="1"/>
          <w:color w:val="959595"/>
        </w:rPr>
        <w:t xml:space="preserve">Meetings in 2018: </w:t>
      </w:r>
      <w:r>
        <w:rPr>
          <w:rFonts w:ascii="Arial" w:cs="Arial" w:eastAsia="Arial" w:hAnsi="Arial"/>
          <w:sz w:val="13"/>
          <w:szCs w:val="13"/>
          <w:color w:val="000000"/>
        </w:rPr>
        <w:t>6</w:t>
      </w:r>
    </w:p>
    <w:p>
      <w:pPr>
        <w:spacing w:after="0" w:line="282" w:lineRule="exact"/>
        <w:rPr>
          <w:sz w:val="20"/>
          <w:szCs w:val="20"/>
          <w:color w:val="auto"/>
        </w:rPr>
      </w:pPr>
    </w:p>
    <w:p>
      <w:pPr>
        <w:spacing w:after="0"/>
        <w:rPr>
          <w:sz w:val="20"/>
          <w:szCs w:val="20"/>
          <w:color w:val="auto"/>
        </w:rPr>
      </w:pPr>
      <w:r>
        <w:rPr>
          <w:rFonts w:ascii="Arial" w:cs="Arial" w:eastAsia="Arial" w:hAnsi="Arial"/>
          <w:sz w:val="13"/>
          <w:szCs w:val="13"/>
          <w:b w:val="1"/>
          <w:bCs w:val="1"/>
          <w:color w:val="959595"/>
        </w:rPr>
        <w:t>Other Members:</w:t>
      </w:r>
    </w:p>
    <w:p>
      <w:pPr>
        <w:spacing w:after="0" w:line="82" w:lineRule="exact"/>
        <w:rPr>
          <w:sz w:val="20"/>
          <w:szCs w:val="20"/>
          <w:color w:val="auto"/>
        </w:rPr>
      </w:pPr>
    </w:p>
    <w:p>
      <w:pPr>
        <w:spacing w:after="0"/>
        <w:tabs>
          <w:tab w:leader="none" w:pos="2280" w:val="left"/>
        </w:tabs>
        <w:rPr>
          <w:sz w:val="20"/>
          <w:szCs w:val="20"/>
          <w:color w:val="auto"/>
        </w:rPr>
      </w:pPr>
      <w:r>
        <w:rPr>
          <w:rFonts w:ascii="Arial" w:cs="Arial" w:eastAsia="Arial" w:hAnsi="Arial"/>
          <w:sz w:val="13"/>
          <w:szCs w:val="13"/>
          <w:color w:val="auto"/>
        </w:rPr>
        <w:t>Kermit R. Crawford</w:t>
      </w:r>
      <w:r>
        <w:rPr>
          <w:sz w:val="20"/>
          <w:szCs w:val="20"/>
          <w:color w:val="auto"/>
        </w:rPr>
        <w:tab/>
      </w:r>
      <w:r>
        <w:rPr>
          <w:rFonts w:ascii="Arial" w:cs="Arial" w:eastAsia="Arial" w:hAnsi="Arial"/>
          <w:sz w:val="13"/>
          <w:szCs w:val="13"/>
          <w:color w:val="auto"/>
        </w:rPr>
        <w:t>Judith A. Sprieser</w:t>
      </w:r>
    </w:p>
    <w:p>
      <w:pPr>
        <w:spacing w:after="0" w:line="66" w:lineRule="exact"/>
        <w:rPr>
          <w:sz w:val="20"/>
          <w:szCs w:val="20"/>
          <w:color w:val="auto"/>
        </w:rPr>
      </w:pPr>
    </w:p>
    <w:p>
      <w:pPr>
        <w:spacing w:after="0"/>
        <w:tabs>
          <w:tab w:leader="none" w:pos="2280" w:val="left"/>
        </w:tabs>
        <w:rPr>
          <w:sz w:val="20"/>
          <w:szCs w:val="20"/>
          <w:color w:val="auto"/>
        </w:rPr>
      </w:pPr>
      <w:r>
        <w:rPr>
          <w:rFonts w:ascii="Arial" w:cs="Arial" w:eastAsia="Arial" w:hAnsi="Arial"/>
          <w:sz w:val="13"/>
          <w:szCs w:val="13"/>
          <w:color w:val="auto"/>
        </w:rPr>
        <w:t>Jacques P. Perold</w:t>
      </w:r>
      <w:r>
        <w:rPr>
          <w:sz w:val="20"/>
          <w:szCs w:val="20"/>
          <w:color w:val="auto"/>
        </w:rPr>
        <w:tab/>
      </w:r>
      <w:r>
        <w:rPr>
          <w:rFonts w:ascii="Arial" w:cs="Arial" w:eastAsia="Arial" w:hAnsi="Arial"/>
          <w:sz w:val="13"/>
          <w:szCs w:val="13"/>
          <w:color w:val="auto"/>
        </w:rPr>
        <w:t>Perry M. Traquina</w:t>
      </w:r>
    </w:p>
    <w:p>
      <w:pPr>
        <w:spacing w:after="0" w:line="200" w:lineRule="exact"/>
        <w:rPr>
          <w:sz w:val="20"/>
          <w:szCs w:val="20"/>
          <w:color w:val="auto"/>
        </w:rPr>
      </w:pPr>
    </w:p>
    <w:p>
      <w:pPr>
        <w:spacing w:after="0" w:line="298" w:lineRule="exact"/>
        <w:rPr>
          <w:sz w:val="20"/>
          <w:szCs w:val="20"/>
          <w:color w:val="auto"/>
        </w:rPr>
      </w:pPr>
    </w:p>
    <w:p>
      <w:pPr>
        <w:ind w:right="20"/>
        <w:spacing w:after="0" w:line="353" w:lineRule="auto"/>
        <w:rPr>
          <w:sz w:val="20"/>
          <w:szCs w:val="20"/>
          <w:color w:val="auto"/>
        </w:rPr>
      </w:pPr>
      <w:r>
        <w:rPr>
          <w:rFonts w:ascii="Arial" w:cs="Arial" w:eastAsia="Arial" w:hAnsi="Arial"/>
          <w:sz w:val="13"/>
          <w:szCs w:val="13"/>
          <w:color w:val="105EAB"/>
        </w:rPr>
        <w:t>“Allstate’s sophisticated risk and return management program was further refined during the year. We spent considerable time revising Allstate’s enterprise risk-return principles, overseeing operational risk, and discussing economic capital methodologies. We also reviewed the potential impact of extremely low frequency scenarios, or ELFs.”</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b w:val="1"/>
          <w:bCs w:val="1"/>
          <w:color w:val="105EAB"/>
        </w:rPr>
        <w:t>— SIDDHARTH N. MEHTA,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52705</wp:posOffset>
            </wp:positionV>
            <wp:extent cx="331470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314700" cy="8255"/>
                    </a:xfrm>
                    <a:prstGeom prst="rect">
                      <a:avLst/>
                    </a:prstGeom>
                    <a:noFill/>
                  </pic:spPr>
                </pic:pic>
              </a:graphicData>
            </a:graphic>
          </wp:anchor>
        </w:drawing>
      </w:r>
    </w:p>
    <w:p>
      <w:pPr>
        <w:spacing w:after="0" w:line="127" w:lineRule="exact"/>
        <w:rPr>
          <w:sz w:val="20"/>
          <w:szCs w:val="20"/>
          <w:color w:val="auto"/>
        </w:rPr>
      </w:pPr>
    </w:p>
    <w:p>
      <w:pPr>
        <w:spacing w:after="0"/>
        <w:rPr>
          <w:sz w:val="20"/>
          <w:szCs w:val="20"/>
          <w:color w:val="auto"/>
        </w:rPr>
      </w:pPr>
      <w:r>
        <w:rPr>
          <w:rFonts w:ascii="Arial" w:cs="Arial" w:eastAsia="Arial" w:hAnsi="Arial"/>
          <w:sz w:val="13"/>
          <w:szCs w:val="13"/>
          <w:b w:val="1"/>
          <w:bCs w:val="1"/>
          <w:color w:val="959595"/>
        </w:rPr>
        <w:t>Key Responsibilities:</w:t>
      </w:r>
    </w:p>
    <w:p>
      <w:pPr>
        <w:spacing w:after="0" w:line="14" w:lineRule="exact"/>
        <w:rPr>
          <w:sz w:val="20"/>
          <w:szCs w:val="20"/>
          <w:color w:val="auto"/>
        </w:rPr>
      </w:pPr>
    </w:p>
    <w:p>
      <w:pPr>
        <w:ind w:left="260" w:hanging="260"/>
        <w:spacing w:after="0"/>
        <w:tabs>
          <w:tab w:leader="none" w:pos="260" w:val="left"/>
        </w:tabs>
        <w:numPr>
          <w:ilvl w:val="0"/>
          <w:numId w:val="128"/>
        </w:numPr>
        <w:rPr>
          <w:rFonts w:ascii="Arial" w:cs="Arial" w:eastAsia="Arial" w:hAnsi="Arial"/>
          <w:sz w:val="13"/>
          <w:szCs w:val="13"/>
          <w:color w:val="105EAB"/>
        </w:rPr>
      </w:pPr>
      <w:r>
        <w:rPr>
          <w:rFonts w:ascii="Arial" w:cs="Arial" w:eastAsia="Arial" w:hAnsi="Arial"/>
          <w:sz w:val="13"/>
          <w:szCs w:val="13"/>
          <w:color w:val="auto"/>
        </w:rPr>
        <w:t>Assists the Board in risk and return governance and oversight</w:t>
      </w:r>
    </w:p>
    <w:p>
      <w:pPr>
        <w:ind w:left="260" w:right="120" w:hanging="260"/>
        <w:spacing w:after="0" w:line="238" w:lineRule="auto"/>
        <w:tabs>
          <w:tab w:leader="none" w:pos="250" w:val="left"/>
        </w:tabs>
        <w:numPr>
          <w:ilvl w:val="0"/>
          <w:numId w:val="128"/>
        </w:numPr>
        <w:rPr>
          <w:rFonts w:ascii="Arial" w:cs="Arial" w:eastAsia="Arial" w:hAnsi="Arial"/>
          <w:sz w:val="13"/>
          <w:szCs w:val="13"/>
          <w:color w:val="105EAB"/>
        </w:rPr>
      </w:pPr>
      <w:r>
        <w:rPr>
          <w:rFonts w:ascii="Arial" w:cs="Arial" w:eastAsia="Arial" w:hAnsi="Arial"/>
          <w:sz w:val="13"/>
          <w:szCs w:val="13"/>
          <w:color w:val="auto"/>
        </w:rPr>
        <w:t>Reviews risk and return processes, policies, and guidelines used by management to evaluate, monitor, and manage enterprise risk and return</w:t>
      </w:r>
    </w:p>
    <w:p>
      <w:pPr>
        <w:ind w:left="260" w:right="240" w:hanging="260"/>
        <w:spacing w:after="0" w:line="238" w:lineRule="auto"/>
        <w:tabs>
          <w:tab w:leader="none" w:pos="250" w:val="left"/>
        </w:tabs>
        <w:numPr>
          <w:ilvl w:val="0"/>
          <w:numId w:val="128"/>
        </w:numPr>
        <w:rPr>
          <w:rFonts w:ascii="Arial" w:cs="Arial" w:eastAsia="Arial" w:hAnsi="Arial"/>
          <w:sz w:val="13"/>
          <w:szCs w:val="13"/>
          <w:color w:val="105EAB"/>
        </w:rPr>
      </w:pPr>
      <w:r>
        <w:rPr>
          <w:rFonts w:ascii="Arial" w:cs="Arial" w:eastAsia="Arial" w:hAnsi="Arial"/>
          <w:sz w:val="13"/>
          <w:szCs w:val="13"/>
          <w:color w:val="auto"/>
        </w:rPr>
        <w:t>Reviews Allstate’s enterprise risk and return management function, including its performance, organization, practices, budgeting, and staffing</w:t>
      </w:r>
    </w:p>
    <w:p>
      <w:pPr>
        <w:ind w:left="260" w:right="80" w:hanging="260"/>
        <w:spacing w:after="0" w:line="238" w:lineRule="auto"/>
        <w:tabs>
          <w:tab w:leader="none" w:pos="250" w:val="left"/>
        </w:tabs>
        <w:numPr>
          <w:ilvl w:val="0"/>
          <w:numId w:val="128"/>
        </w:numPr>
        <w:rPr>
          <w:rFonts w:ascii="Arial" w:cs="Arial" w:eastAsia="Arial" w:hAnsi="Arial"/>
          <w:sz w:val="13"/>
          <w:szCs w:val="13"/>
          <w:color w:val="105EAB"/>
        </w:rPr>
      </w:pPr>
      <w:r>
        <w:rPr>
          <w:rFonts w:ascii="Arial" w:cs="Arial" w:eastAsia="Arial" w:hAnsi="Arial"/>
          <w:sz w:val="13"/>
          <w:szCs w:val="13"/>
          <w:color w:val="auto"/>
        </w:rPr>
        <w:t>Supports the audit committee in its oversight of risk assessment and management policies</w:t>
      </w:r>
    </w:p>
    <w:p>
      <w:pPr>
        <w:ind w:left="260" w:hanging="260"/>
        <w:spacing w:after="0"/>
        <w:tabs>
          <w:tab w:leader="none" w:pos="260" w:val="left"/>
        </w:tabs>
        <w:numPr>
          <w:ilvl w:val="0"/>
          <w:numId w:val="128"/>
        </w:numPr>
        <w:rPr>
          <w:rFonts w:ascii="Arial" w:cs="Arial" w:eastAsia="Arial" w:hAnsi="Arial"/>
          <w:sz w:val="13"/>
          <w:szCs w:val="13"/>
          <w:color w:val="105EAB"/>
        </w:rPr>
      </w:pPr>
      <w:r>
        <w:rPr>
          <w:rFonts w:ascii="Arial" w:cs="Arial" w:eastAsia="Arial" w:hAnsi="Arial"/>
          <w:sz w:val="13"/>
          <w:szCs w:val="13"/>
          <w:color w:val="auto"/>
        </w:rPr>
        <w:t>Has authority to retain outside advisors to assist in its duties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2997835</wp:posOffset>
            </wp:positionH>
            <wp:positionV relativeFrom="paragraph">
              <wp:posOffset>248285</wp:posOffset>
            </wp:positionV>
            <wp:extent cx="299720" cy="15430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99720" cy="154305"/>
                    </a:xfrm>
                    <a:prstGeom prst="rect">
                      <a:avLst/>
                    </a:prstGeom>
                    <a:noFill/>
                  </pic:spPr>
                </pic:pic>
              </a:graphicData>
            </a:graphic>
          </wp:anchor>
        </w:drawing>
      </w:r>
    </w:p>
    <w:p>
      <w:pPr>
        <w:spacing w:after="0" w:line="793" w:lineRule="exact"/>
        <w:rPr>
          <w:sz w:val="20"/>
          <w:szCs w:val="20"/>
          <w:color w:val="auto"/>
        </w:rPr>
      </w:pPr>
    </w:p>
    <w:p>
      <w:pPr>
        <w:sectPr>
          <w:pgSz w:w="11900" w:h="16838" w:orient="portrait"/>
          <w:cols w:equalWidth="0" w:num="2">
            <w:col w:w="5820" w:space="380"/>
            <w:col w:w="5240"/>
          </w:cols>
          <w:pgMar w:left="240" w:top="121" w:right="21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39B6E9"/>
        </w:rPr>
        <w:t>EXECUTIVE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53086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46620" cy="530860"/>
                    </a:xfrm>
                    <a:prstGeom prst="rect">
                      <a:avLst/>
                    </a:prstGeom>
                    <a:noFill/>
                  </pic:spPr>
                </pic:pic>
              </a:graphicData>
            </a:graphic>
          </wp:anchor>
        </w:drawing>
      </w:r>
    </w:p>
    <w:p>
      <w:pPr>
        <w:spacing w:after="0" w:line="115" w:lineRule="exact"/>
        <w:rPr>
          <w:sz w:val="20"/>
          <w:szCs w:val="20"/>
          <w:color w:val="auto"/>
        </w:rPr>
      </w:pPr>
    </w:p>
    <w:p>
      <w:pPr>
        <w:ind w:right="160"/>
        <w:spacing w:after="0" w:line="245" w:lineRule="auto"/>
        <w:rPr>
          <w:sz w:val="20"/>
          <w:szCs w:val="20"/>
          <w:color w:val="auto"/>
        </w:rPr>
      </w:pPr>
      <w:r>
        <w:rPr>
          <w:rFonts w:ascii="Arial" w:cs="Arial" w:eastAsia="Arial" w:hAnsi="Arial"/>
          <w:sz w:val="13"/>
          <w:szCs w:val="13"/>
          <w:color w:val="105EAB"/>
        </w:rPr>
        <w:t>The Board has an Executive Committee made up of the lead director, committee chairs and Board Chair. The Executive Committee is chaired by Mr. Wilson and has the powers of the Board in the management of Allstate’s business affairs to the extent permitted under the bylaws, excluding any powers granted by the Board to any other committee of the Board. In addition, the Executive Committee provides Board oversight if outside the scope of established committees or if an accelerated process is necessary. No meetings of the Executive Committee were necessary in 2018.</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1120" w:type="dxa"/>
            <w:vAlign w:val="bottom"/>
          </w:tcPr>
          <w:p>
            <w:pPr>
              <w:ind w:left="9640"/>
              <w:spacing w:after="0"/>
              <w:rPr>
                <w:sz w:val="20"/>
                <w:szCs w:val="20"/>
                <w:color w:val="auto"/>
              </w:rPr>
            </w:pPr>
            <w:r>
              <w:rPr>
                <w:rFonts w:ascii="Arial" w:cs="Arial" w:eastAsia="Arial" w:hAnsi="Arial"/>
                <w:sz w:val="13"/>
                <w:szCs w:val="13"/>
                <w:color w:val="105EAB"/>
              </w:rPr>
              <w:t>2019 Proxy Statement</w:t>
            </w:r>
          </w:p>
        </w:tc>
        <w:tc>
          <w:tcPr>
            <w:tcW w:w="320" w:type="dxa"/>
            <w:vAlign w:val="bottom"/>
          </w:tcPr>
          <w:p>
            <w:pPr>
              <w:jc w:val="right"/>
              <w:spacing w:after="0"/>
              <w:rPr>
                <w:sz w:val="20"/>
                <w:szCs w:val="20"/>
                <w:color w:val="auto"/>
              </w:rPr>
            </w:pPr>
            <w:r>
              <w:rPr>
                <w:rFonts w:ascii="Arial" w:cs="Arial" w:eastAsia="Arial" w:hAnsi="Arial"/>
                <w:sz w:val="13"/>
                <w:szCs w:val="13"/>
                <w:b w:val="1"/>
                <w:bCs w:val="1"/>
                <w:color w:val="105EAB"/>
              </w:rPr>
              <w:t>29</w:t>
            </w:r>
          </w:p>
        </w:tc>
      </w:tr>
      <w:tr>
        <w:trPr>
          <w:trHeight w:val="213"/>
        </w:trPr>
        <w:tc>
          <w:tcPr>
            <w:tcW w:w="1112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-13970</wp:posOffset>
            </wp:positionV>
            <wp:extent cx="1270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b w:val="1"/>
          <w:bCs w:val="1"/>
          <w:color w:val="105EAB"/>
        </w:rPr>
        <w:t xml:space="preserve">Corporate Governance | </w:t>
      </w:r>
      <w:r>
        <w:rPr>
          <w:rFonts w:ascii="Arial" w:cs="Arial" w:eastAsia="Arial" w:hAnsi="Arial"/>
          <w:sz w:val="13"/>
          <w:szCs w:val="13"/>
          <w:b w:val="1"/>
          <w:bCs w:val="1"/>
          <w:color w:val="000000"/>
        </w:rPr>
        <w:t>Board Independence and Related Person Transactions</w:t>
      </w:r>
    </w:p>
    <w:p>
      <w:pPr>
        <w:spacing w:after="0" w:line="200" w:lineRule="exact"/>
        <w:rPr>
          <w:sz w:val="20"/>
          <w:szCs w:val="20"/>
          <w:color w:val="auto"/>
        </w:rPr>
      </w:pPr>
    </w:p>
    <w:p>
      <w:pPr>
        <w:spacing w:after="0"/>
        <w:rPr>
          <w:sz w:val="20"/>
          <w:szCs w:val="20"/>
          <w:color w:val="auto"/>
        </w:rPr>
      </w:pPr>
      <w:r>
        <w:rPr>
          <w:rFonts w:ascii="Arial" w:cs="Arial" w:eastAsia="Arial" w:hAnsi="Arial"/>
          <w:sz w:val="31"/>
          <w:szCs w:val="31"/>
          <w:b w:val="1"/>
          <w:bCs w:val="1"/>
          <w:color w:val="959595"/>
        </w:rPr>
        <w:t>Board Independence and Related Person Transactions</w:t>
      </w:r>
    </w:p>
    <w:p>
      <w:pPr>
        <w:spacing w:after="0" w:line="224" w:lineRule="exact"/>
        <w:rPr>
          <w:sz w:val="20"/>
          <w:szCs w:val="20"/>
          <w:color w:val="auto"/>
        </w:rPr>
      </w:pPr>
    </w:p>
    <w:p>
      <w:pPr>
        <w:spacing w:after="0"/>
        <w:rPr>
          <w:sz w:val="20"/>
          <w:szCs w:val="20"/>
          <w:color w:val="auto"/>
        </w:rPr>
      </w:pPr>
      <w:r>
        <w:rPr>
          <w:rFonts w:ascii="Arial" w:cs="Arial" w:eastAsia="Arial" w:hAnsi="Arial"/>
          <w:sz w:val="25"/>
          <w:szCs w:val="25"/>
          <w:b w:val="1"/>
          <w:bCs w:val="1"/>
          <w:color w:val="105EAB"/>
        </w:rPr>
        <w:t>Nominee Independence Determinations</w:t>
      </w:r>
    </w:p>
    <w:p>
      <w:pPr>
        <w:spacing w:after="0" w:line="237" w:lineRule="exact"/>
        <w:rPr>
          <w:sz w:val="20"/>
          <w:szCs w:val="20"/>
          <w:color w:val="auto"/>
        </w:rPr>
      </w:pPr>
    </w:p>
    <w:p>
      <w:pPr>
        <w:ind w:right="160"/>
        <w:spacing w:after="0"/>
        <w:rPr>
          <w:sz w:val="20"/>
          <w:szCs w:val="20"/>
          <w:color w:val="auto"/>
        </w:rPr>
      </w:pPr>
      <w:r>
        <w:rPr>
          <w:rFonts w:ascii="Arial" w:cs="Arial" w:eastAsia="Arial" w:hAnsi="Arial"/>
          <w:sz w:val="18"/>
          <w:szCs w:val="18"/>
          <w:b w:val="1"/>
          <w:bCs w:val="1"/>
          <w:color w:val="auto"/>
        </w:rPr>
        <w:t xml:space="preserve">The Board has determined that all directors who served during 2018, other than Mr. Wilson, are independent </w:t>
      </w:r>
      <w:r>
        <w:rPr>
          <w:rFonts w:ascii="Arial" w:cs="Arial" w:eastAsia="Arial" w:hAnsi="Arial"/>
          <w:sz w:val="18"/>
          <w:szCs w:val="18"/>
          <w:color w:val="auto"/>
        </w:rPr>
        <w:t>according to applicable law,</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NYSE listing standards, and the Board’s </w:t>
      </w:r>
      <w:r>
        <w:rPr>
          <w:rFonts w:ascii="Arial" w:cs="Arial" w:eastAsia="Arial" w:hAnsi="Arial"/>
          <w:sz w:val="18"/>
          <w:szCs w:val="18"/>
          <w:i w:val="1"/>
          <w:iCs w:val="1"/>
          <w:color w:val="auto"/>
        </w:rPr>
        <w:t>Director Independence Standards</w:t>
      </w:r>
      <w:r>
        <w:rPr>
          <w:rFonts w:ascii="Arial" w:cs="Arial" w:eastAsia="Arial" w:hAnsi="Arial"/>
          <w:sz w:val="18"/>
          <w:szCs w:val="18"/>
          <w:color w:val="auto"/>
        </w:rPr>
        <w:t xml:space="preserve"> (which are included on www.allstateinvestors.com). In accordance with the </w:t>
      </w:r>
      <w:r>
        <w:rPr>
          <w:rFonts w:ascii="Arial" w:cs="Arial" w:eastAsia="Arial" w:hAnsi="Arial"/>
          <w:sz w:val="18"/>
          <w:szCs w:val="18"/>
          <w:i w:val="1"/>
          <w:iCs w:val="1"/>
          <w:color w:val="auto"/>
        </w:rPr>
        <w:t>Director Independence Standards,</w:t>
      </w:r>
      <w:r>
        <w:rPr>
          <w:rFonts w:ascii="Arial" w:cs="Arial" w:eastAsia="Arial" w:hAnsi="Arial"/>
          <w:sz w:val="18"/>
          <w:szCs w:val="18"/>
          <w:color w:val="auto"/>
        </w:rPr>
        <w:t xml:space="preserve"> the Board has determined that the nature of the relationships with the corporation that are set forth in Appendix B do not create a conflict of interest that would impair a director’s independence. The Board also determined that the members of the audit, compensation and succession, nominating and governance, and risk and return committees are independent within the meaning of applicable laws, the NYSE listing standards, and the </w:t>
      </w:r>
      <w:r>
        <w:rPr>
          <w:rFonts w:ascii="Arial" w:cs="Arial" w:eastAsia="Arial" w:hAnsi="Arial"/>
          <w:sz w:val="18"/>
          <w:szCs w:val="18"/>
          <w:i w:val="1"/>
          <w:iCs w:val="1"/>
          <w:color w:val="auto"/>
        </w:rPr>
        <w:t>Director Independence Standards.</w:t>
      </w:r>
    </w:p>
    <w:p>
      <w:pPr>
        <w:spacing w:after="0" w:line="188"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 xml:space="preserve">When evaluating the independence of director nominees, the Board weighs numerous factors, including tenure. In particular, </w:t>
      </w:r>
      <w:r>
        <w:rPr>
          <w:rFonts w:ascii="Arial" w:cs="Arial" w:eastAsia="Arial" w:hAnsi="Arial"/>
          <w:sz w:val="18"/>
          <w:szCs w:val="18"/>
          <w:b w:val="1"/>
          <w:bCs w:val="1"/>
          <w:color w:val="auto"/>
        </w:rPr>
        <w:t>the Board weighed</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the potential impact of tenure on the independence of our longest-serving director, Ms. Sprieser. </w:t>
      </w:r>
      <w:r>
        <w:rPr>
          <w:rFonts w:ascii="Arial" w:cs="Arial" w:eastAsia="Arial" w:hAnsi="Arial"/>
          <w:sz w:val="18"/>
          <w:szCs w:val="18"/>
          <w:color w:val="auto"/>
        </w:rPr>
        <w:t>Ms. Sprieser has significant experience</w:t>
      </w:r>
      <w:r>
        <w:rPr>
          <w:rFonts w:ascii="Arial" w:cs="Arial" w:eastAsia="Arial" w:hAnsi="Arial"/>
          <w:sz w:val="18"/>
          <w:szCs w:val="18"/>
          <w:b w:val="1"/>
          <w:bCs w:val="1"/>
          <w:color w:val="auto"/>
        </w:rPr>
        <w:t xml:space="preserve"> </w:t>
      </w:r>
      <w:r>
        <w:rPr>
          <w:rFonts w:ascii="Arial" w:cs="Arial" w:eastAsia="Arial" w:hAnsi="Arial"/>
          <w:sz w:val="18"/>
          <w:szCs w:val="18"/>
          <w:color w:val="auto"/>
        </w:rPr>
        <w:t>serving at Allstate under different operating environments and management teams, and served on the Board under two CEOs and prior to Mr. Wilson’s appointment. The Board concluded that Ms. Sprieser is an effective director who fulfills her responsibilities with integrity and independence of thought. She appropriately challenges management and the status quo, and is reasoned, balanced, and thoughtful in Board deliberations and in communications with management. The Board determined that her independence from management has not been diminished by her years of service.</w:t>
      </w:r>
    </w:p>
    <w:p>
      <w:pPr>
        <w:spacing w:after="0" w:line="178" w:lineRule="exact"/>
        <w:rPr>
          <w:sz w:val="20"/>
          <w:szCs w:val="20"/>
          <w:color w:val="auto"/>
        </w:rPr>
      </w:pPr>
    </w:p>
    <w:p>
      <w:pPr>
        <w:spacing w:after="0"/>
        <w:rPr>
          <w:sz w:val="20"/>
          <w:szCs w:val="20"/>
          <w:color w:val="auto"/>
        </w:rPr>
      </w:pPr>
      <w:r>
        <w:rPr>
          <w:rFonts w:ascii="Arial" w:cs="Arial" w:eastAsia="Arial" w:hAnsi="Arial"/>
          <w:sz w:val="25"/>
          <w:szCs w:val="25"/>
          <w:b w:val="1"/>
          <w:bCs w:val="1"/>
          <w:color w:val="105EAB"/>
        </w:rPr>
        <w:t>Related Person Transactions</w:t>
      </w:r>
    </w:p>
    <w:p>
      <w:pPr>
        <w:spacing w:after="0" w:line="25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nominating and governance committee has adopted a written policy on the review, approval, or ratification of transactions with related persons, which is posted on the Corporate Governance section of www.allstateinvestors.com.</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There were no related person transactions identified for 2018.</w:t>
      </w:r>
    </w:p>
    <w:p>
      <w:pPr>
        <w:spacing w:after="0" w:line="211"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The committee or committee chair reviews transactions with Allstate in which the amount involved exceeds $120,000 and in which any related person had, has, or will have a direct or indirect material interest. In general, related persons are directors, executive officers, their immediate family members, and stockholders beneficially owning more than 5% of our outstanding stock. The committee or committee chair approves or ratifies only those transactions that are in, or not inconsistent with, the best interest of Allstate and its stockholders. Transactions are reviewed and approved or ratified by the committee chair when it is not practicable or desirable to delay review of a transaction until a committee meeting. The committee chair reports any approved transactions to the committee. Any ongoing, previously approved, or ratified related person transactions are reviewed annually.</w:t>
      </w:r>
    </w:p>
    <w:p>
      <w:pPr>
        <w:spacing w:after="0" w:line="173" w:lineRule="exact"/>
        <w:rPr>
          <w:sz w:val="20"/>
          <w:szCs w:val="20"/>
          <w:color w:val="auto"/>
        </w:rPr>
      </w:pPr>
    </w:p>
    <w:p>
      <w:pPr>
        <w:spacing w:after="0"/>
        <w:rPr>
          <w:sz w:val="20"/>
          <w:szCs w:val="20"/>
          <w:color w:val="auto"/>
        </w:rPr>
      </w:pPr>
      <w:r>
        <w:rPr>
          <w:rFonts w:ascii="Arial" w:cs="Arial" w:eastAsia="Arial" w:hAnsi="Arial"/>
          <w:sz w:val="31"/>
          <w:szCs w:val="31"/>
          <w:b w:val="1"/>
          <w:bCs w:val="1"/>
          <w:color w:val="959595"/>
        </w:rPr>
        <w:t>Director Compensation</w:t>
      </w:r>
    </w:p>
    <w:p>
      <w:pPr>
        <w:spacing w:after="0" w:line="224" w:lineRule="exact"/>
        <w:rPr>
          <w:sz w:val="20"/>
          <w:szCs w:val="20"/>
          <w:color w:val="auto"/>
        </w:rPr>
      </w:pPr>
    </w:p>
    <w:p>
      <w:pPr>
        <w:spacing w:after="0"/>
        <w:rPr>
          <w:sz w:val="20"/>
          <w:szCs w:val="20"/>
          <w:color w:val="auto"/>
        </w:rPr>
      </w:pPr>
      <w:r>
        <w:rPr>
          <w:rFonts w:ascii="Arial" w:cs="Arial" w:eastAsia="Arial" w:hAnsi="Arial"/>
          <w:sz w:val="25"/>
          <w:szCs w:val="25"/>
          <w:b w:val="1"/>
          <w:bCs w:val="1"/>
          <w:color w:val="105EAB"/>
        </w:rPr>
        <w:t>Director Compensation Program</w:t>
      </w:r>
    </w:p>
    <w:p>
      <w:pPr>
        <w:spacing w:after="0" w:line="259"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director compensation program is designed to appropriately compensate our non-employee directors for the time, expertise, and effort required to serve as a director of a large, complex, and highly regulated company and to align the interests of directors and long-term stockholders. The nominating and governance committee reviews non-employee director compensation annually and proposes changes, as appropriate, based on its review, benchmark information from peer companies, advice from an independent compensation consultant, and relevant compensation surveys.</w:t>
      </w:r>
    </w:p>
    <w:p>
      <w:pPr>
        <w:spacing w:after="0" w:line="206" w:lineRule="exact"/>
        <w:rPr>
          <w:sz w:val="20"/>
          <w:szCs w:val="20"/>
          <w:color w:val="auto"/>
        </w:rPr>
      </w:pPr>
    </w:p>
    <w:p>
      <w:pPr>
        <w:ind w:left="460" w:hanging="452"/>
        <w:spacing w:after="0"/>
        <w:tabs>
          <w:tab w:leader="none" w:pos="460" w:val="left"/>
        </w:tabs>
        <w:numPr>
          <w:ilvl w:val="0"/>
          <w:numId w:val="129"/>
        </w:numPr>
        <w:rPr>
          <w:rFonts w:ascii="Arial" w:cs="Arial" w:eastAsia="Arial" w:hAnsi="Arial"/>
          <w:sz w:val="13"/>
          <w:szCs w:val="13"/>
          <w:b w:val="1"/>
          <w:bCs w:val="1"/>
          <w:color w:val="105EAB"/>
        </w:rPr>
      </w:pPr>
      <w:r>
        <w:rPr>
          <w:rFonts w:ascii="Arial" w:cs="Arial" w:eastAsia="Arial" w:hAnsi="Arial"/>
          <w:sz w:val="13"/>
          <w:szCs w:val="13"/>
          <w:color w:val="105EAB"/>
        </w:rPr>
        <w:t>www.allstateproxy.com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134620</wp:posOffset>
            </wp:positionV>
            <wp:extent cx="7268210" cy="209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jc w:val="right"/>
        <w:ind w:right="20"/>
        <w:spacing w:after="0"/>
        <w:rPr>
          <w:sz w:val="20"/>
          <w:szCs w:val="20"/>
          <w:color w:val="auto"/>
        </w:rPr>
      </w:pPr>
      <w:r>
        <w:rPr>
          <w:rFonts w:ascii="Arial" w:cs="Arial" w:eastAsia="Arial" w:hAnsi="Arial"/>
          <w:sz w:val="13"/>
          <w:szCs w:val="13"/>
          <w:b w:val="1"/>
          <w:bCs w:val="1"/>
          <w:color w:val="auto"/>
        </w:rPr>
        <w:t xml:space="preserve">Director Compensation </w:t>
      </w:r>
      <w:r>
        <w:rPr>
          <w:rFonts w:ascii="Arial" w:cs="Arial" w:eastAsia="Arial" w:hAnsi="Arial"/>
          <w:sz w:val="13"/>
          <w:szCs w:val="13"/>
          <w:b w:val="1"/>
          <w:bCs w:val="1"/>
          <w:color w:val="105EAB"/>
        </w:rPr>
        <w:t>| Corporate Governance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39B6E9"/>
        </w:rPr>
        <w:t>AMONG THE HIGHLIGHTS OF OUR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12503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46620" cy="1250315"/>
                    </a:xfrm>
                    <a:prstGeom prst="rect">
                      <a:avLst/>
                    </a:prstGeom>
                    <a:noFill/>
                  </pic:spPr>
                </pic:pic>
              </a:graphicData>
            </a:graphic>
          </wp:anchor>
        </w:drawing>
      </w:r>
    </w:p>
    <w:p>
      <w:pPr>
        <w:spacing w:after="0" w:line="115" w:lineRule="exact"/>
        <w:rPr>
          <w:sz w:val="20"/>
          <w:szCs w:val="20"/>
          <w:color w:val="auto"/>
        </w:rPr>
      </w:pPr>
    </w:p>
    <w:p>
      <w:pPr>
        <w:ind w:left="280" w:right="480" w:hanging="272"/>
        <w:spacing w:after="0" w:line="258" w:lineRule="auto"/>
        <w:tabs>
          <w:tab w:leader="none" w:pos="269" w:val="left"/>
        </w:tabs>
        <w:numPr>
          <w:ilvl w:val="0"/>
          <w:numId w:val="130"/>
        </w:numPr>
        <w:rPr>
          <w:rFonts w:ascii="Arial" w:cs="Arial" w:eastAsia="Arial" w:hAnsi="Arial"/>
          <w:sz w:val="13"/>
          <w:szCs w:val="13"/>
          <w:color w:val="105EAB"/>
        </w:rPr>
      </w:pPr>
      <w:r>
        <w:rPr>
          <w:rFonts w:ascii="Arial" w:cs="Arial" w:eastAsia="Arial" w:hAnsi="Arial"/>
          <w:sz w:val="13"/>
          <w:szCs w:val="13"/>
          <w:color w:val="auto"/>
        </w:rPr>
        <w:t>Director total compensation, lead director and committee chair retainers, and equity grant practices are all benchmarked against insurance industry peer group and targeted at peer median.</w:t>
      </w:r>
    </w:p>
    <w:p>
      <w:pPr>
        <w:spacing w:after="0" w:line="83" w:lineRule="exact"/>
        <w:rPr>
          <w:rFonts w:ascii="Arial" w:cs="Arial" w:eastAsia="Arial" w:hAnsi="Arial"/>
          <w:sz w:val="13"/>
          <w:szCs w:val="13"/>
          <w:color w:val="105EAB"/>
        </w:rPr>
      </w:pPr>
    </w:p>
    <w:p>
      <w:pPr>
        <w:ind w:left="260" w:hanging="252"/>
        <w:spacing w:after="0"/>
        <w:tabs>
          <w:tab w:leader="none" w:pos="260" w:val="left"/>
        </w:tabs>
        <w:numPr>
          <w:ilvl w:val="0"/>
          <w:numId w:val="130"/>
        </w:numPr>
        <w:rPr>
          <w:rFonts w:ascii="Arial" w:cs="Arial" w:eastAsia="Arial" w:hAnsi="Arial"/>
          <w:sz w:val="13"/>
          <w:szCs w:val="13"/>
          <w:color w:val="105EAB"/>
        </w:rPr>
      </w:pPr>
      <w:r>
        <w:rPr>
          <w:rFonts w:ascii="Arial" w:cs="Arial" w:eastAsia="Arial" w:hAnsi="Arial"/>
          <w:sz w:val="13"/>
          <w:szCs w:val="13"/>
          <w:color w:val="auto"/>
        </w:rPr>
        <w:t>Equity makes up a meaningful portion of the directors’ overall compensation mix to align interests with stockholders.</w:t>
      </w:r>
    </w:p>
    <w:p>
      <w:pPr>
        <w:spacing w:after="0" w:line="106" w:lineRule="exact"/>
        <w:rPr>
          <w:rFonts w:ascii="Arial" w:cs="Arial" w:eastAsia="Arial" w:hAnsi="Arial"/>
          <w:sz w:val="13"/>
          <w:szCs w:val="13"/>
          <w:color w:val="105EAB"/>
        </w:rPr>
      </w:pPr>
    </w:p>
    <w:p>
      <w:pPr>
        <w:ind w:left="260" w:hanging="252"/>
        <w:spacing w:after="0"/>
        <w:tabs>
          <w:tab w:leader="none" w:pos="260" w:val="left"/>
        </w:tabs>
        <w:numPr>
          <w:ilvl w:val="0"/>
          <w:numId w:val="130"/>
        </w:numPr>
        <w:rPr>
          <w:rFonts w:ascii="Arial" w:cs="Arial" w:eastAsia="Arial" w:hAnsi="Arial"/>
          <w:sz w:val="13"/>
          <w:szCs w:val="13"/>
          <w:color w:val="105EAB"/>
        </w:rPr>
      </w:pPr>
      <w:r>
        <w:rPr>
          <w:rFonts w:ascii="Arial" w:cs="Arial" w:eastAsia="Arial" w:hAnsi="Arial"/>
          <w:sz w:val="13"/>
          <w:szCs w:val="13"/>
          <w:color w:val="auto"/>
        </w:rPr>
        <w:t>A robust stock ownership guideline of five times the annual board membership cash retainer supports alignment with stockholders’ interests.</w:t>
      </w:r>
    </w:p>
    <w:p>
      <w:pPr>
        <w:spacing w:after="0" w:line="106" w:lineRule="exact"/>
        <w:rPr>
          <w:rFonts w:ascii="Arial" w:cs="Arial" w:eastAsia="Arial" w:hAnsi="Arial"/>
          <w:sz w:val="13"/>
          <w:szCs w:val="13"/>
          <w:color w:val="105EAB"/>
        </w:rPr>
      </w:pPr>
    </w:p>
    <w:p>
      <w:pPr>
        <w:ind w:left="260" w:hanging="252"/>
        <w:spacing w:after="0"/>
        <w:tabs>
          <w:tab w:leader="none" w:pos="260" w:val="left"/>
        </w:tabs>
        <w:numPr>
          <w:ilvl w:val="0"/>
          <w:numId w:val="130"/>
        </w:numPr>
        <w:rPr>
          <w:rFonts w:ascii="Arial" w:cs="Arial" w:eastAsia="Arial" w:hAnsi="Arial"/>
          <w:sz w:val="13"/>
          <w:szCs w:val="13"/>
          <w:color w:val="105EAB"/>
        </w:rPr>
      </w:pPr>
      <w:r>
        <w:rPr>
          <w:rFonts w:ascii="Arial" w:cs="Arial" w:eastAsia="Arial" w:hAnsi="Arial"/>
          <w:sz w:val="13"/>
          <w:szCs w:val="13"/>
          <w:color w:val="auto"/>
        </w:rPr>
        <w:t>Special roles (such as lead director and committee chairs) are fairly recognized for their additional time commitments.</w:t>
      </w:r>
    </w:p>
    <w:p>
      <w:pPr>
        <w:spacing w:after="0" w:line="106" w:lineRule="exact"/>
        <w:rPr>
          <w:rFonts w:ascii="Arial" w:cs="Arial" w:eastAsia="Arial" w:hAnsi="Arial"/>
          <w:sz w:val="13"/>
          <w:szCs w:val="13"/>
          <w:color w:val="105EAB"/>
        </w:rPr>
      </w:pPr>
    </w:p>
    <w:p>
      <w:pPr>
        <w:ind w:left="260" w:hanging="252"/>
        <w:spacing w:after="0"/>
        <w:tabs>
          <w:tab w:leader="none" w:pos="260" w:val="left"/>
        </w:tabs>
        <w:numPr>
          <w:ilvl w:val="0"/>
          <w:numId w:val="130"/>
        </w:numPr>
        <w:rPr>
          <w:rFonts w:ascii="Arial" w:cs="Arial" w:eastAsia="Arial" w:hAnsi="Arial"/>
          <w:sz w:val="13"/>
          <w:szCs w:val="13"/>
          <w:color w:val="105EAB"/>
        </w:rPr>
      </w:pPr>
      <w:r>
        <w:rPr>
          <w:rFonts w:ascii="Arial" w:cs="Arial" w:eastAsia="Arial" w:hAnsi="Arial"/>
          <w:sz w:val="13"/>
          <w:szCs w:val="13"/>
          <w:color w:val="auto"/>
        </w:rPr>
        <w:t>No additional fees are paid for board meeting attendance.</w:t>
      </w:r>
    </w:p>
    <w:p>
      <w:pPr>
        <w:spacing w:after="0" w:line="106" w:lineRule="exact"/>
        <w:rPr>
          <w:rFonts w:ascii="Arial" w:cs="Arial" w:eastAsia="Arial" w:hAnsi="Arial"/>
          <w:sz w:val="13"/>
          <w:szCs w:val="13"/>
          <w:color w:val="105EAB"/>
        </w:rPr>
      </w:pPr>
    </w:p>
    <w:p>
      <w:pPr>
        <w:ind w:left="280" w:right="420" w:hanging="272"/>
        <w:spacing w:after="0" w:line="258" w:lineRule="auto"/>
        <w:tabs>
          <w:tab w:leader="none" w:pos="269" w:val="left"/>
        </w:tabs>
        <w:numPr>
          <w:ilvl w:val="0"/>
          <w:numId w:val="130"/>
        </w:numPr>
        <w:rPr>
          <w:rFonts w:ascii="Arial" w:cs="Arial" w:eastAsia="Arial" w:hAnsi="Arial"/>
          <w:sz w:val="13"/>
          <w:szCs w:val="13"/>
          <w:color w:val="105EAB"/>
        </w:rPr>
      </w:pPr>
      <w:r>
        <w:rPr>
          <w:rFonts w:ascii="Arial" w:cs="Arial" w:eastAsia="Arial" w:hAnsi="Arial"/>
          <w:sz w:val="13"/>
          <w:szCs w:val="13"/>
          <w:color w:val="auto"/>
        </w:rPr>
        <w:t>Annual restricted stock units are granted under a fixed-value formula and in accordance with the stockholder approved 2017 Equity Compensation Plan for Non-Employee Directors. The aggregate grant date fair value of any award during a calendar year may not exceed $800,000.</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describes each component of our non-employee director compensation program for 2018.</w:t>
      </w:r>
    </w:p>
    <w:p>
      <w:pPr>
        <w:spacing w:after="0" w:line="191" w:lineRule="exact"/>
        <w:rPr>
          <w:sz w:val="20"/>
          <w:szCs w:val="20"/>
          <w:color w:val="auto"/>
        </w:rPr>
      </w:pPr>
    </w:p>
    <w:p>
      <w:pPr>
        <w:ind w:left="5780"/>
        <w:spacing w:after="0"/>
        <w:rPr>
          <w:sz w:val="20"/>
          <w:szCs w:val="20"/>
          <w:color w:val="auto"/>
        </w:rPr>
      </w:pPr>
      <w:r>
        <w:rPr>
          <w:rFonts w:ascii="Arial" w:cs="Arial" w:eastAsia="Arial" w:hAnsi="Arial"/>
          <w:sz w:val="13"/>
          <w:szCs w:val="13"/>
          <w:b w:val="1"/>
          <w:bCs w:val="1"/>
          <w:color w:val="105EAB"/>
        </w:rPr>
        <w:t>Quarterly</w:t>
      </w:r>
    </w:p>
    <w:p>
      <w:pPr>
        <w:spacing w:after="0" w:line="22" w:lineRule="exact"/>
        <w:rPr>
          <w:sz w:val="20"/>
          <w:szCs w:val="20"/>
          <w:color w:val="auto"/>
        </w:rPr>
      </w:pPr>
    </w:p>
    <w:p>
      <w:pPr>
        <w:ind w:left="80"/>
        <w:spacing w:after="0"/>
        <w:tabs>
          <w:tab w:leader="none" w:pos="5180" w:val="left"/>
          <w:tab w:leader="none" w:pos="6640" w:val="left"/>
        </w:tabs>
        <w:rPr>
          <w:sz w:val="20"/>
          <w:szCs w:val="20"/>
          <w:color w:val="auto"/>
        </w:rPr>
      </w:pPr>
      <w:r>
        <w:rPr>
          <w:rFonts w:ascii="Arial" w:cs="Arial" w:eastAsia="Arial" w:hAnsi="Arial"/>
          <w:sz w:val="13"/>
          <w:szCs w:val="13"/>
          <w:b w:val="1"/>
          <w:bCs w:val="1"/>
          <w:color w:val="105EAB"/>
        </w:rPr>
        <w:t>Role</w:t>
      </w:r>
      <w:r>
        <w:rPr>
          <w:sz w:val="20"/>
          <w:szCs w:val="20"/>
          <w:color w:val="auto"/>
        </w:rPr>
        <w:tab/>
      </w:r>
      <w:r>
        <w:rPr>
          <w:rFonts w:ascii="Arial" w:cs="Arial" w:eastAsia="Arial" w:hAnsi="Arial"/>
          <w:sz w:val="13"/>
          <w:szCs w:val="13"/>
          <w:b w:val="1"/>
          <w:bCs w:val="1"/>
          <w:color w:val="105EAB"/>
        </w:rPr>
        <w:t>Cash Retainer</w:t>
      </w:r>
      <w:r>
        <w:rPr>
          <w:rFonts w:ascii="Arial" w:cs="Arial" w:eastAsia="Arial" w:hAnsi="Arial"/>
          <w:sz w:val="22"/>
          <w:szCs w:val="22"/>
          <w:b w:val="1"/>
          <w:bCs w:val="1"/>
          <w:color w:val="105EAB"/>
          <w:vertAlign w:val="superscript"/>
        </w:rPr>
        <w:t>(1)(2)</w:t>
      </w:r>
      <w:r>
        <w:rPr>
          <w:sz w:val="20"/>
          <w:szCs w:val="20"/>
          <w:color w:val="auto"/>
        </w:rPr>
        <w:tab/>
      </w:r>
      <w:r>
        <w:rPr>
          <w:rFonts w:ascii="Arial" w:cs="Arial" w:eastAsia="Arial" w:hAnsi="Arial"/>
          <w:sz w:val="13"/>
          <w:szCs w:val="13"/>
          <w:b w:val="1"/>
          <w:bCs w:val="1"/>
          <w:color w:val="105EAB"/>
        </w:rPr>
        <w:t>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2466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80" w:type="dxa"/>
            <w:vAlign w:val="bottom"/>
          </w:tcPr>
          <w:p>
            <w:pPr>
              <w:ind w:left="80"/>
              <w:spacing w:after="0"/>
              <w:rPr>
                <w:sz w:val="20"/>
                <w:szCs w:val="20"/>
                <w:color w:val="auto"/>
              </w:rPr>
            </w:pPr>
            <w:r>
              <w:rPr>
                <w:rFonts w:ascii="Arial" w:cs="Arial" w:eastAsia="Arial" w:hAnsi="Arial"/>
                <w:sz w:val="13"/>
                <w:szCs w:val="13"/>
                <w:color w:val="auto"/>
              </w:rPr>
              <w:t>Non-Employee Director</w:t>
            </w:r>
          </w:p>
        </w:tc>
        <w:tc>
          <w:tcPr>
            <w:tcW w:w="170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31,250</w:t>
            </w:r>
          </w:p>
        </w:tc>
      </w:tr>
      <w:tr>
        <w:trPr>
          <w:trHeight w:val="41"/>
        </w:trPr>
        <w:tc>
          <w:tcPr>
            <w:tcW w:w="4180" w:type="dxa"/>
            <w:vAlign w:val="bottom"/>
            <w:tcBorders>
              <w:bottom w:val="single" w:sz="8" w:color="DFF1FB"/>
            </w:tcBorders>
          </w:tcPr>
          <w:p>
            <w:pPr>
              <w:spacing w:after="0"/>
              <w:rPr>
                <w:sz w:val="3"/>
                <w:szCs w:val="3"/>
                <w:color w:val="auto"/>
              </w:rPr>
            </w:pPr>
          </w:p>
        </w:tc>
        <w:tc>
          <w:tcPr>
            <w:tcW w:w="1700" w:type="dxa"/>
            <w:vAlign w:val="bottom"/>
            <w:tcBorders>
              <w:bottom w:val="single" w:sz="8" w:color="DFF1FB"/>
            </w:tcBorders>
          </w:tcPr>
          <w:p>
            <w:pPr>
              <w:spacing w:after="0"/>
              <w:rPr>
                <w:sz w:val="3"/>
                <w:szCs w:val="3"/>
                <w:color w:val="auto"/>
              </w:rPr>
            </w:pPr>
          </w:p>
        </w:tc>
        <w:tc>
          <w:tcPr>
            <w:tcW w:w="500" w:type="dxa"/>
            <w:vAlign w:val="bottom"/>
            <w:tcBorders>
              <w:bottom w:val="single" w:sz="8" w:color="DFF1FB"/>
            </w:tcBorders>
          </w:tcPr>
          <w:p>
            <w:pPr>
              <w:spacing w:after="0"/>
              <w:rPr>
                <w:sz w:val="3"/>
                <w:szCs w:val="3"/>
                <w:color w:val="auto"/>
              </w:rPr>
            </w:pPr>
          </w:p>
        </w:tc>
      </w:tr>
      <w:tr>
        <w:trPr>
          <w:trHeight w:val="195"/>
        </w:trPr>
        <w:tc>
          <w:tcPr>
            <w:tcW w:w="4180" w:type="dxa"/>
            <w:vAlign w:val="bottom"/>
          </w:tcPr>
          <w:p>
            <w:pPr>
              <w:ind w:left="80"/>
              <w:spacing w:after="0"/>
              <w:rPr>
                <w:sz w:val="20"/>
                <w:szCs w:val="20"/>
                <w:color w:val="auto"/>
              </w:rPr>
            </w:pPr>
            <w:r>
              <w:rPr>
                <w:rFonts w:ascii="Arial" w:cs="Arial" w:eastAsia="Arial" w:hAnsi="Arial"/>
                <w:sz w:val="13"/>
                <w:szCs w:val="13"/>
                <w:color w:val="auto"/>
              </w:rPr>
              <w:t>Lead Director</w:t>
            </w:r>
          </w:p>
        </w:tc>
        <w:tc>
          <w:tcPr>
            <w:tcW w:w="170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12,500</w:t>
            </w:r>
          </w:p>
        </w:tc>
      </w:tr>
      <w:tr>
        <w:trPr>
          <w:trHeight w:val="41"/>
        </w:trPr>
        <w:tc>
          <w:tcPr>
            <w:tcW w:w="4180" w:type="dxa"/>
            <w:vAlign w:val="bottom"/>
            <w:tcBorders>
              <w:bottom w:val="single" w:sz="8" w:color="DFF1FB"/>
            </w:tcBorders>
          </w:tcPr>
          <w:p>
            <w:pPr>
              <w:spacing w:after="0"/>
              <w:rPr>
                <w:sz w:val="3"/>
                <w:szCs w:val="3"/>
                <w:color w:val="auto"/>
              </w:rPr>
            </w:pPr>
          </w:p>
        </w:tc>
        <w:tc>
          <w:tcPr>
            <w:tcW w:w="1700" w:type="dxa"/>
            <w:vAlign w:val="bottom"/>
            <w:tcBorders>
              <w:bottom w:val="single" w:sz="8" w:color="DFF1FB"/>
            </w:tcBorders>
          </w:tcPr>
          <w:p>
            <w:pPr>
              <w:spacing w:after="0"/>
              <w:rPr>
                <w:sz w:val="3"/>
                <w:szCs w:val="3"/>
                <w:color w:val="auto"/>
              </w:rPr>
            </w:pPr>
          </w:p>
        </w:tc>
        <w:tc>
          <w:tcPr>
            <w:tcW w:w="500" w:type="dxa"/>
            <w:vAlign w:val="bottom"/>
            <w:tcBorders>
              <w:bottom w:val="single" w:sz="8" w:color="DFF1FB"/>
            </w:tcBorders>
          </w:tcPr>
          <w:p>
            <w:pPr>
              <w:spacing w:after="0"/>
              <w:rPr>
                <w:sz w:val="3"/>
                <w:szCs w:val="3"/>
                <w:color w:val="auto"/>
              </w:rPr>
            </w:pPr>
          </w:p>
        </w:tc>
      </w:tr>
      <w:tr>
        <w:trPr>
          <w:trHeight w:val="195"/>
        </w:trPr>
        <w:tc>
          <w:tcPr>
            <w:tcW w:w="4180" w:type="dxa"/>
            <w:vAlign w:val="bottom"/>
          </w:tcPr>
          <w:p>
            <w:pPr>
              <w:ind w:left="80"/>
              <w:spacing w:after="0"/>
              <w:rPr>
                <w:sz w:val="20"/>
                <w:szCs w:val="20"/>
                <w:color w:val="auto"/>
              </w:rPr>
            </w:pPr>
            <w:r>
              <w:rPr>
                <w:rFonts w:ascii="Arial" w:cs="Arial" w:eastAsia="Arial" w:hAnsi="Arial"/>
                <w:sz w:val="13"/>
                <w:szCs w:val="13"/>
                <w:color w:val="auto"/>
              </w:rPr>
              <w:t>Audit Committee Chair</w:t>
            </w:r>
          </w:p>
        </w:tc>
        <w:tc>
          <w:tcPr>
            <w:tcW w:w="170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8,750</w:t>
            </w:r>
          </w:p>
        </w:tc>
      </w:tr>
      <w:tr>
        <w:trPr>
          <w:trHeight w:val="41"/>
        </w:trPr>
        <w:tc>
          <w:tcPr>
            <w:tcW w:w="4180" w:type="dxa"/>
            <w:vAlign w:val="bottom"/>
            <w:tcBorders>
              <w:bottom w:val="single" w:sz="8" w:color="DFF1FB"/>
            </w:tcBorders>
          </w:tcPr>
          <w:p>
            <w:pPr>
              <w:spacing w:after="0"/>
              <w:rPr>
                <w:sz w:val="3"/>
                <w:szCs w:val="3"/>
                <w:color w:val="auto"/>
              </w:rPr>
            </w:pPr>
          </w:p>
        </w:tc>
        <w:tc>
          <w:tcPr>
            <w:tcW w:w="1700" w:type="dxa"/>
            <w:vAlign w:val="bottom"/>
            <w:tcBorders>
              <w:bottom w:val="single" w:sz="8" w:color="DFF1FB"/>
            </w:tcBorders>
          </w:tcPr>
          <w:p>
            <w:pPr>
              <w:spacing w:after="0"/>
              <w:rPr>
                <w:sz w:val="3"/>
                <w:szCs w:val="3"/>
                <w:color w:val="auto"/>
              </w:rPr>
            </w:pPr>
          </w:p>
        </w:tc>
        <w:tc>
          <w:tcPr>
            <w:tcW w:w="500" w:type="dxa"/>
            <w:vAlign w:val="bottom"/>
            <w:tcBorders>
              <w:bottom w:val="single" w:sz="8" w:color="DFF1FB"/>
            </w:tcBorders>
          </w:tcPr>
          <w:p>
            <w:pPr>
              <w:spacing w:after="0"/>
              <w:rPr>
                <w:sz w:val="3"/>
                <w:szCs w:val="3"/>
                <w:color w:val="auto"/>
              </w:rPr>
            </w:pPr>
          </w:p>
        </w:tc>
      </w:tr>
      <w:tr>
        <w:trPr>
          <w:trHeight w:val="195"/>
        </w:trPr>
        <w:tc>
          <w:tcPr>
            <w:tcW w:w="4180" w:type="dxa"/>
            <w:vAlign w:val="bottom"/>
          </w:tcPr>
          <w:p>
            <w:pPr>
              <w:ind w:left="80"/>
              <w:spacing w:after="0"/>
              <w:rPr>
                <w:sz w:val="20"/>
                <w:szCs w:val="20"/>
                <w:color w:val="auto"/>
              </w:rPr>
            </w:pPr>
            <w:r>
              <w:rPr>
                <w:rFonts w:ascii="Arial" w:cs="Arial" w:eastAsia="Arial" w:hAnsi="Arial"/>
                <w:sz w:val="13"/>
                <w:szCs w:val="13"/>
                <w:color w:val="auto"/>
              </w:rPr>
              <w:t>Compensation and Succession Committee</w:t>
            </w:r>
          </w:p>
        </w:tc>
        <w:tc>
          <w:tcPr>
            <w:tcW w:w="170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6,250</w:t>
            </w:r>
          </w:p>
        </w:tc>
      </w:tr>
    </w:tbl>
    <w:p>
      <w:pPr>
        <w:spacing w:after="0" w:line="20" w:lineRule="exact"/>
        <w:rPr>
          <w:sz w:val="20"/>
          <w:szCs w:val="20"/>
          <w:color w:val="auto"/>
        </w:rPr>
      </w:pPr>
      <w:r>
        <w:rPr>
          <w:sz w:val="20"/>
          <w:szCs w:val="20"/>
          <w:color w:val="auto"/>
        </w:rPr>
        <w:br w:type="column"/>
      </w:r>
    </w:p>
    <w:p>
      <w:pPr>
        <w:ind w:right="200"/>
        <w:spacing w:after="0" w:line="242" w:lineRule="auto"/>
        <w:rPr>
          <w:sz w:val="20"/>
          <w:szCs w:val="20"/>
          <w:color w:val="auto"/>
        </w:rPr>
      </w:pPr>
      <w:r>
        <w:rPr>
          <w:rFonts w:ascii="Arial" w:cs="Arial" w:eastAsia="Arial" w:hAnsi="Arial"/>
          <w:sz w:val="13"/>
          <w:szCs w:val="13"/>
          <w:color w:val="auto"/>
        </w:rPr>
        <w:t>The Board believes that a meaningful portion of a director’s compensation should be in the form of equity securities to create a linkage with corporate performance and stockholder interests. Directors are granted restricted stock units on June 1 equal in value to $155,000 divided by the closing price of a share of Allstate common stock on such grant date, rounded to the nearest whole share.</w:t>
      </w:r>
    </w:p>
    <w:p>
      <w:pPr>
        <w:spacing w:after="0" w:line="121" w:lineRule="exact"/>
        <w:rPr>
          <w:sz w:val="20"/>
          <w:szCs w:val="20"/>
          <w:color w:val="auto"/>
        </w:rPr>
      </w:pPr>
    </w:p>
    <w:p>
      <w:pPr>
        <w:sectPr>
          <w:pgSz w:w="11900" w:h="16838" w:orient="portrait"/>
          <w:cols w:equalWidth="0" w:num="2">
            <w:col w:w="6380" w:space="280"/>
            <w:col w:w="4780"/>
          </w:cols>
          <w:pgMar w:left="240" w:top="121" w:right="219" w:bottom="1440" w:gutter="0" w:footer="0" w:header="0"/>
          <w:type w:val="continuous"/>
        </w:sectPr>
      </w:pPr>
    </w:p>
    <w:p>
      <w:pPr>
        <w:ind w:left="80"/>
        <w:spacing w:after="0"/>
        <w:rPr>
          <w:sz w:val="20"/>
          <w:szCs w:val="20"/>
          <w:color w:val="auto"/>
        </w:rPr>
      </w:pPr>
      <w:r>
        <w:rPr>
          <w:rFonts w:ascii="Arial" w:cs="Arial" w:eastAsia="Arial" w:hAnsi="Arial"/>
          <w:sz w:val="13"/>
          <w:szCs w:val="13"/>
          <w:color w:val="auto"/>
        </w:rPr>
        <w:t>Chair and Risk and Return Committee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405193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4051935" cy="8255"/>
                    </a:xfrm>
                    <a:prstGeom prst="rect">
                      <a:avLst/>
                    </a:prstGeom>
                    <a:noFill/>
                  </pic:spPr>
                </pic:pic>
              </a:graphicData>
            </a:graphic>
          </wp:anchor>
        </w:drawing>
      </w:r>
    </w:p>
    <w:p>
      <w:pPr>
        <w:spacing w:after="0" w:line="87" w:lineRule="exact"/>
        <w:rPr>
          <w:sz w:val="20"/>
          <w:szCs w:val="20"/>
          <w:color w:val="auto"/>
        </w:rPr>
      </w:pPr>
    </w:p>
    <w:p>
      <w:pPr>
        <w:ind w:left="80"/>
        <w:spacing w:after="0"/>
        <w:tabs>
          <w:tab w:leader="none" w:pos="5700" w:val="left"/>
          <w:tab w:leader="none" w:pos="6040" w:val="left"/>
        </w:tabs>
        <w:rPr>
          <w:sz w:val="20"/>
          <w:szCs w:val="20"/>
          <w:color w:val="auto"/>
        </w:rPr>
      </w:pPr>
      <w:r>
        <w:rPr>
          <w:rFonts w:ascii="Arial" w:cs="Arial" w:eastAsia="Arial" w:hAnsi="Arial"/>
          <w:sz w:val="13"/>
          <w:szCs w:val="13"/>
          <w:color w:val="auto"/>
        </w:rPr>
        <w:t>Nominating and Governance Committee Chair</w:t>
      </w:r>
      <w:r>
        <w:rPr>
          <w:sz w:val="20"/>
          <w:szCs w:val="20"/>
          <w:color w:val="auto"/>
        </w:rPr>
        <w:tab/>
      </w:r>
      <w:r>
        <w:rPr>
          <w:rFonts w:ascii="Arial" w:cs="Arial" w:eastAsia="Arial" w:hAnsi="Arial"/>
          <w:sz w:val="13"/>
          <w:szCs w:val="13"/>
          <w:color w:val="auto"/>
        </w:rPr>
        <w:t>$</w:t>
      </w:r>
      <w:r>
        <w:rPr>
          <w:sz w:val="20"/>
          <w:szCs w:val="20"/>
          <w:color w:val="auto"/>
        </w:rPr>
        <w:tab/>
      </w:r>
      <w:r>
        <w:rPr>
          <w:rFonts w:ascii="Arial" w:cs="Arial" w:eastAsia="Arial" w:hAnsi="Arial"/>
          <w:sz w:val="12"/>
          <w:szCs w:val="12"/>
          <w:color w:val="auto"/>
        </w:rPr>
        <w:t>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8" w:lineRule="exact"/>
        <w:rPr>
          <w:sz w:val="20"/>
          <w:szCs w:val="20"/>
          <w:color w:val="auto"/>
        </w:rPr>
      </w:pPr>
    </w:p>
    <w:p>
      <w:pPr>
        <w:ind w:left="300" w:hanging="292"/>
        <w:spacing w:after="0"/>
        <w:tabs>
          <w:tab w:leader="none" w:pos="300" w:val="left"/>
        </w:tabs>
        <w:numPr>
          <w:ilvl w:val="0"/>
          <w:numId w:val="131"/>
        </w:numPr>
        <w:rPr>
          <w:rFonts w:ascii="Arial" w:cs="Arial" w:eastAsia="Arial" w:hAnsi="Arial"/>
          <w:sz w:val="11"/>
          <w:szCs w:val="11"/>
          <w:color w:val="auto"/>
        </w:rPr>
      </w:pPr>
      <w:r>
        <w:rPr>
          <w:rFonts w:ascii="Arial" w:cs="Arial" w:eastAsia="Arial" w:hAnsi="Arial"/>
          <w:sz w:val="13"/>
          <w:szCs w:val="13"/>
          <w:color w:val="auto"/>
        </w:rPr>
        <w:t>Paid in advance on the first day of January, April, July, and October. The retainer is prorated for a director who joins the Board during a quarter.</w:t>
      </w:r>
    </w:p>
    <w:p>
      <w:pPr>
        <w:spacing w:after="0" w:line="12" w:lineRule="exact"/>
        <w:rPr>
          <w:rFonts w:ascii="Arial" w:cs="Arial" w:eastAsia="Arial" w:hAnsi="Arial"/>
          <w:sz w:val="11"/>
          <w:szCs w:val="11"/>
          <w:color w:val="auto"/>
        </w:rPr>
      </w:pPr>
    </w:p>
    <w:p>
      <w:pPr>
        <w:ind w:left="300" w:right="200" w:hanging="292"/>
        <w:spacing w:after="0" w:line="245" w:lineRule="auto"/>
        <w:tabs>
          <w:tab w:leader="none" w:pos="300" w:val="left"/>
        </w:tabs>
        <w:numPr>
          <w:ilvl w:val="0"/>
          <w:numId w:val="131"/>
        </w:numPr>
        <w:rPr>
          <w:rFonts w:ascii="Arial" w:cs="Arial" w:eastAsia="Arial" w:hAnsi="Arial"/>
          <w:sz w:val="11"/>
          <w:szCs w:val="11"/>
          <w:color w:val="auto"/>
        </w:rPr>
      </w:pPr>
      <w:r>
        <w:rPr>
          <w:rFonts w:ascii="Arial" w:cs="Arial" w:eastAsia="Arial" w:hAnsi="Arial"/>
          <w:sz w:val="13"/>
          <w:szCs w:val="13"/>
          <w:color w:val="auto"/>
        </w:rPr>
        <w:t>In 2018, based on peer benchmarking and an evaluation of the increased demands associated with committee service, effective January 1, 2019, the quarterly chair fee for the compensation and succession committee and risk and return committee was increased to $7,500 and $8,750, respectively. Both the annual retainer and chair fees for the committees were last increased effective January 1, 2017. No other changes were recommended for 2019 as director total compensation continues to be aligned with the insurance peer group and survey median.</w:t>
      </w:r>
    </w:p>
    <w:p>
      <w:pPr>
        <w:spacing w:after="0" w:line="322" w:lineRule="exact"/>
        <w:rPr>
          <w:sz w:val="20"/>
          <w:szCs w:val="20"/>
          <w:color w:val="auto"/>
        </w:rPr>
      </w:pPr>
    </w:p>
    <w:p>
      <w:pPr>
        <w:spacing w:after="0"/>
        <w:rPr>
          <w:sz w:val="20"/>
          <w:szCs w:val="20"/>
          <w:color w:val="auto"/>
        </w:rPr>
      </w:pPr>
      <w:r>
        <w:rPr>
          <w:rFonts w:ascii="Arial" w:cs="Arial" w:eastAsia="Arial" w:hAnsi="Arial"/>
          <w:sz w:val="25"/>
          <w:szCs w:val="25"/>
          <w:b w:val="1"/>
          <w:bCs w:val="1"/>
          <w:color w:val="105EAB"/>
        </w:rPr>
        <w:t>Director Stock Ownership Guidelines</w:t>
      </w:r>
    </w:p>
    <w:p>
      <w:pPr>
        <w:spacing w:after="0" w:line="259" w:lineRule="exact"/>
        <w:rPr>
          <w:sz w:val="20"/>
          <w:szCs w:val="20"/>
          <w:color w:val="auto"/>
        </w:rPr>
      </w:pPr>
    </w:p>
    <w:p>
      <w:pPr>
        <w:jc w:val="both"/>
        <w:ind w:right="60"/>
        <w:spacing w:after="0" w:line="281" w:lineRule="auto"/>
        <w:rPr>
          <w:sz w:val="20"/>
          <w:szCs w:val="20"/>
          <w:color w:val="auto"/>
        </w:rPr>
      </w:pPr>
      <w:r>
        <w:rPr>
          <w:rFonts w:ascii="Arial" w:cs="Arial" w:eastAsia="Arial" w:hAnsi="Arial"/>
          <w:sz w:val="16"/>
          <w:szCs w:val="16"/>
          <w:color w:val="auto"/>
        </w:rPr>
        <w:t>Each director is expected, within five years of joining the Board or within five years of an increase in annual retainer, if applicable, to accumulate an ownership position in Allstate common stock equal to five times the annual value of the cash retainer. Allstate’s stock ownership guidelines specify that Allstate shares owned personally and beneficially, as well as unvested restricted stock units, count toward meeting the requirement.</w:t>
      </w:r>
    </w:p>
    <w:p>
      <w:pPr>
        <w:spacing w:after="0" w:line="177"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Each director has met the ownership guideline, except for Ms. Keane, and Messrs. Perold, Sherrill, and Traquina, who joined the Board in the last five years.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1120" w:type="dxa"/>
            <w:vAlign w:val="bottom"/>
          </w:tcPr>
          <w:p>
            <w:pPr>
              <w:ind w:left="9640"/>
              <w:spacing w:after="0"/>
              <w:rPr>
                <w:sz w:val="20"/>
                <w:szCs w:val="20"/>
                <w:color w:val="auto"/>
              </w:rPr>
            </w:pPr>
            <w:r>
              <w:rPr>
                <w:rFonts w:ascii="Arial" w:cs="Arial" w:eastAsia="Arial" w:hAnsi="Arial"/>
                <w:sz w:val="13"/>
                <w:szCs w:val="13"/>
                <w:color w:val="105EAB"/>
              </w:rPr>
              <w:t>2019 Proxy Statement</w:t>
            </w:r>
          </w:p>
        </w:tc>
        <w:tc>
          <w:tcPr>
            <w:tcW w:w="320" w:type="dxa"/>
            <w:vAlign w:val="bottom"/>
          </w:tcPr>
          <w:p>
            <w:pPr>
              <w:jc w:val="right"/>
              <w:spacing w:after="0"/>
              <w:rPr>
                <w:sz w:val="20"/>
                <w:szCs w:val="20"/>
                <w:color w:val="auto"/>
              </w:rPr>
            </w:pPr>
            <w:r>
              <w:rPr>
                <w:rFonts w:ascii="Arial" w:cs="Arial" w:eastAsia="Arial" w:hAnsi="Arial"/>
                <w:sz w:val="13"/>
                <w:szCs w:val="13"/>
                <w:b w:val="1"/>
                <w:bCs w:val="1"/>
                <w:color w:val="105EAB"/>
              </w:rPr>
              <w:t>31</w:t>
            </w:r>
          </w:p>
        </w:tc>
      </w:tr>
      <w:tr>
        <w:trPr>
          <w:trHeight w:val="213"/>
        </w:trPr>
        <w:tc>
          <w:tcPr>
            <w:tcW w:w="1112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-13970</wp:posOffset>
            </wp:positionV>
            <wp:extent cx="1270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b w:val="1"/>
          <w:bCs w:val="1"/>
          <w:color w:val="105EAB"/>
        </w:rPr>
        <w:t xml:space="preserve">Corporate Governance | </w:t>
      </w:r>
      <w:r>
        <w:rPr>
          <w:rFonts w:ascii="Arial" w:cs="Arial" w:eastAsia="Arial" w:hAnsi="Arial"/>
          <w:sz w:val="13"/>
          <w:szCs w:val="13"/>
          <w:b w:val="1"/>
          <w:bCs w:val="1"/>
          <w:color w:val="000000"/>
        </w:rPr>
        <w:t>Director Compensation</w:t>
      </w:r>
    </w:p>
    <w:p>
      <w:pPr>
        <w:spacing w:after="0" w:line="201" w:lineRule="exact"/>
        <w:rPr>
          <w:sz w:val="20"/>
          <w:szCs w:val="20"/>
          <w:color w:val="auto"/>
        </w:rPr>
      </w:pPr>
    </w:p>
    <w:p>
      <w:pPr>
        <w:spacing w:after="0"/>
        <w:rPr>
          <w:sz w:val="20"/>
          <w:szCs w:val="20"/>
          <w:color w:val="auto"/>
        </w:rPr>
      </w:pPr>
      <w:r>
        <w:rPr>
          <w:rFonts w:ascii="Arial" w:cs="Arial" w:eastAsia="Arial" w:hAnsi="Arial"/>
          <w:sz w:val="25"/>
          <w:szCs w:val="25"/>
          <w:b w:val="1"/>
          <w:bCs w:val="1"/>
          <w:color w:val="105EAB"/>
        </w:rPr>
        <w:t>2018 Director Compensation</w:t>
      </w:r>
    </w:p>
    <w:p>
      <w:pPr>
        <w:spacing w:after="0" w:line="259" w:lineRule="exact"/>
        <w:rPr>
          <w:sz w:val="20"/>
          <w:szCs w:val="20"/>
          <w:color w:val="auto"/>
        </w:rPr>
      </w:pPr>
    </w:p>
    <w:p>
      <w:pPr>
        <w:ind w:right="880"/>
        <w:spacing w:after="0" w:line="239" w:lineRule="auto"/>
        <w:rPr>
          <w:sz w:val="20"/>
          <w:szCs w:val="20"/>
          <w:color w:val="auto"/>
        </w:rPr>
      </w:pPr>
      <w:r>
        <w:rPr>
          <w:rFonts w:ascii="Arial" w:cs="Arial" w:eastAsia="Arial" w:hAnsi="Arial"/>
          <w:sz w:val="18"/>
          <w:szCs w:val="18"/>
          <w:color w:val="auto"/>
        </w:rPr>
        <w:t>The following table summarizes the compensation for each of our non-employee directors who served as a member of the Board and its committees in 2018.</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66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2420" w:type="dxa"/>
            <w:vAlign w:val="bottom"/>
          </w:tcPr>
          <w:p>
            <w:pPr>
              <w:jc w:val="right"/>
              <w:ind w:right="73"/>
              <w:spacing w:after="0"/>
              <w:rPr>
                <w:sz w:val="20"/>
                <w:szCs w:val="20"/>
                <w:color w:val="auto"/>
              </w:rPr>
            </w:pPr>
            <w:r>
              <w:rPr>
                <w:rFonts w:ascii="Arial" w:cs="Arial" w:eastAsia="Arial" w:hAnsi="Arial"/>
                <w:sz w:val="13"/>
                <w:szCs w:val="13"/>
                <w:b w:val="1"/>
                <w:bCs w:val="1"/>
                <w:color w:val="105EAB"/>
              </w:rPr>
              <w:t>Fees Earned or</w:t>
            </w:r>
          </w:p>
        </w:tc>
        <w:tc>
          <w:tcPr>
            <w:tcW w:w="760" w:type="dxa"/>
            <w:vAlign w:val="bottom"/>
          </w:tcPr>
          <w:p>
            <w:pPr>
              <w:jc w:val="right"/>
              <w:ind w:right="74"/>
              <w:spacing w:after="0"/>
              <w:rPr>
                <w:sz w:val="20"/>
                <w:szCs w:val="20"/>
                <w:color w:val="auto"/>
              </w:rPr>
            </w:pPr>
            <w:r>
              <w:rPr>
                <w:rFonts w:ascii="Arial" w:cs="Arial" w:eastAsia="Arial" w:hAnsi="Arial"/>
                <w:sz w:val="13"/>
                <w:szCs w:val="13"/>
                <w:b w:val="1"/>
                <w:bCs w:val="1"/>
                <w:color w:val="105EAB"/>
              </w:rPr>
              <w:t>Stock</w:t>
            </w:r>
          </w:p>
        </w:tc>
        <w:tc>
          <w:tcPr>
            <w:tcW w:w="1220" w:type="dxa"/>
            <w:vAlign w:val="bottom"/>
          </w:tcPr>
          <w:p>
            <w:pPr>
              <w:jc w:val="right"/>
              <w:ind w:right="73"/>
              <w:spacing w:after="0"/>
              <w:rPr>
                <w:sz w:val="20"/>
                <w:szCs w:val="20"/>
                <w:color w:val="auto"/>
              </w:rPr>
            </w:pPr>
            <w:r>
              <w:rPr>
                <w:rFonts w:ascii="Arial" w:cs="Arial" w:eastAsia="Arial" w:hAnsi="Arial"/>
                <w:sz w:val="13"/>
                <w:szCs w:val="13"/>
                <w:b w:val="1"/>
                <w:bCs w:val="1"/>
                <w:color w:val="105EAB"/>
              </w:rPr>
              <w:t>All Other</w:t>
            </w:r>
          </w:p>
        </w:tc>
        <w:tc>
          <w:tcPr>
            <w:tcW w:w="700" w:type="dxa"/>
            <w:vAlign w:val="bottom"/>
          </w:tcPr>
          <w:p>
            <w:pPr>
              <w:spacing w:after="0"/>
              <w:rPr>
                <w:sz w:val="13"/>
                <w:szCs w:val="13"/>
                <w:color w:val="auto"/>
              </w:rPr>
            </w:pPr>
          </w:p>
        </w:tc>
      </w:tr>
      <w:tr>
        <w:trPr>
          <w:trHeight w:val="179"/>
        </w:trPr>
        <w:tc>
          <w:tcPr>
            <w:tcW w:w="1660" w:type="dxa"/>
            <w:vAlign w:val="bottom"/>
          </w:tcPr>
          <w:p>
            <w:pPr>
              <w:spacing w:after="0"/>
              <w:rPr>
                <w:sz w:val="15"/>
                <w:szCs w:val="15"/>
                <w:color w:val="auto"/>
              </w:rPr>
            </w:pPr>
          </w:p>
        </w:tc>
        <w:tc>
          <w:tcPr>
            <w:tcW w:w="4660" w:type="dxa"/>
            <w:vAlign w:val="bottom"/>
          </w:tcPr>
          <w:p>
            <w:pPr>
              <w:ind w:left="360"/>
              <w:spacing w:after="0"/>
              <w:rPr>
                <w:sz w:val="20"/>
                <w:szCs w:val="20"/>
                <w:color w:val="auto"/>
              </w:rPr>
            </w:pPr>
            <w:r>
              <w:rPr>
                <w:rFonts w:ascii="Arial" w:cs="Arial" w:eastAsia="Arial" w:hAnsi="Arial"/>
                <w:sz w:val="13"/>
                <w:szCs w:val="13"/>
                <w:b w:val="1"/>
                <w:bCs w:val="1"/>
                <w:color w:val="105EAB"/>
              </w:rPr>
              <w:t>Leadership Roles</w:t>
            </w:r>
          </w:p>
        </w:tc>
        <w:tc>
          <w:tcPr>
            <w:tcW w:w="2420" w:type="dxa"/>
            <w:vAlign w:val="bottom"/>
          </w:tcPr>
          <w:p>
            <w:pPr>
              <w:jc w:val="right"/>
              <w:ind w:right="73"/>
              <w:spacing w:after="0"/>
              <w:rPr>
                <w:sz w:val="20"/>
                <w:szCs w:val="20"/>
                <w:color w:val="auto"/>
              </w:rPr>
            </w:pPr>
            <w:r>
              <w:rPr>
                <w:rFonts w:ascii="Arial" w:cs="Arial" w:eastAsia="Arial" w:hAnsi="Arial"/>
                <w:sz w:val="13"/>
                <w:szCs w:val="13"/>
                <w:b w:val="1"/>
                <w:bCs w:val="1"/>
                <w:color w:val="105EAB"/>
              </w:rPr>
              <w:t>Paid in Cash</w:t>
            </w:r>
          </w:p>
        </w:tc>
        <w:tc>
          <w:tcPr>
            <w:tcW w:w="760" w:type="dxa"/>
            <w:vAlign w:val="bottom"/>
          </w:tcPr>
          <w:p>
            <w:pPr>
              <w:jc w:val="right"/>
              <w:ind w:right="74"/>
              <w:spacing w:after="0"/>
              <w:rPr>
                <w:sz w:val="20"/>
                <w:szCs w:val="20"/>
                <w:color w:val="auto"/>
              </w:rPr>
            </w:pPr>
            <w:r>
              <w:rPr>
                <w:rFonts w:ascii="Arial" w:cs="Arial" w:eastAsia="Arial" w:hAnsi="Arial"/>
                <w:sz w:val="13"/>
                <w:szCs w:val="13"/>
                <w:b w:val="1"/>
                <w:bCs w:val="1"/>
                <w:color w:val="105EAB"/>
              </w:rPr>
              <w:t>Awards</w:t>
            </w:r>
          </w:p>
        </w:tc>
        <w:tc>
          <w:tcPr>
            <w:tcW w:w="1220" w:type="dxa"/>
            <w:vAlign w:val="bottom"/>
          </w:tcPr>
          <w:p>
            <w:pPr>
              <w:jc w:val="right"/>
              <w:ind w:right="73"/>
              <w:spacing w:after="0"/>
              <w:rPr>
                <w:sz w:val="20"/>
                <w:szCs w:val="20"/>
                <w:color w:val="auto"/>
              </w:rPr>
            </w:pPr>
            <w:r>
              <w:rPr>
                <w:rFonts w:ascii="Arial" w:cs="Arial" w:eastAsia="Arial" w:hAnsi="Arial"/>
                <w:sz w:val="13"/>
                <w:szCs w:val="13"/>
                <w:b w:val="1"/>
                <w:bCs w:val="1"/>
                <w:color w:val="105EAB"/>
              </w:rPr>
              <w:t>Compensation</w:t>
            </w:r>
          </w:p>
        </w:tc>
        <w:tc>
          <w:tcPr>
            <w:tcW w:w="700" w:type="dxa"/>
            <w:vAlign w:val="bottom"/>
          </w:tcPr>
          <w:p>
            <w:pPr>
              <w:jc w:val="right"/>
              <w:ind w:right="13"/>
              <w:spacing w:after="0"/>
              <w:rPr>
                <w:sz w:val="20"/>
                <w:szCs w:val="20"/>
                <w:color w:val="auto"/>
              </w:rPr>
            </w:pPr>
            <w:r>
              <w:rPr>
                <w:rFonts w:ascii="Arial" w:cs="Arial" w:eastAsia="Arial" w:hAnsi="Arial"/>
                <w:sz w:val="13"/>
                <w:szCs w:val="13"/>
                <w:b w:val="1"/>
                <w:bCs w:val="1"/>
                <w:color w:val="105EAB"/>
              </w:rPr>
              <w:t>Total</w:t>
            </w:r>
          </w:p>
        </w:tc>
      </w:tr>
      <w:tr>
        <w:trPr>
          <w:trHeight w:val="209"/>
        </w:trPr>
        <w:tc>
          <w:tcPr>
            <w:tcW w:w="1660" w:type="dxa"/>
            <w:vAlign w:val="bottom"/>
            <w:tcBorders>
              <w:bottom w:val="single" w:sz="8" w:color="105EAB"/>
            </w:tcBorders>
          </w:tcPr>
          <w:p>
            <w:pPr>
              <w:ind w:left="80"/>
              <w:spacing w:after="0"/>
              <w:rPr>
                <w:sz w:val="20"/>
                <w:szCs w:val="20"/>
                <w:color w:val="auto"/>
              </w:rPr>
            </w:pPr>
            <w:r>
              <w:rPr>
                <w:rFonts w:ascii="Arial" w:cs="Arial" w:eastAsia="Arial" w:hAnsi="Arial"/>
                <w:sz w:val="13"/>
                <w:szCs w:val="13"/>
                <w:b w:val="1"/>
                <w:bCs w:val="1"/>
                <w:color w:val="105EAB"/>
              </w:rPr>
              <w:t>Name</w:t>
            </w:r>
          </w:p>
        </w:tc>
        <w:tc>
          <w:tcPr>
            <w:tcW w:w="4660" w:type="dxa"/>
            <w:vAlign w:val="bottom"/>
            <w:tcBorders>
              <w:bottom w:val="single" w:sz="8" w:color="105EAB"/>
            </w:tcBorders>
          </w:tcPr>
          <w:p>
            <w:pPr>
              <w:ind w:left="360"/>
              <w:spacing w:after="0"/>
              <w:rPr>
                <w:sz w:val="20"/>
                <w:szCs w:val="20"/>
                <w:color w:val="auto"/>
              </w:rPr>
            </w:pPr>
            <w:r>
              <w:rPr>
                <w:rFonts w:ascii="Arial" w:cs="Arial" w:eastAsia="Arial" w:hAnsi="Arial"/>
                <w:sz w:val="13"/>
                <w:szCs w:val="13"/>
                <w:b w:val="1"/>
                <w:bCs w:val="1"/>
                <w:color w:val="105EAB"/>
              </w:rPr>
              <w:t>Held During 2018</w:t>
            </w:r>
          </w:p>
        </w:tc>
        <w:tc>
          <w:tcPr>
            <w:tcW w:w="2420" w:type="dxa"/>
            <w:vAlign w:val="bottom"/>
            <w:tcBorders>
              <w:bottom w:val="single" w:sz="8" w:color="105EAB"/>
            </w:tcBorders>
          </w:tcPr>
          <w:p>
            <w:pPr>
              <w:jc w:val="right"/>
              <w:ind w:right="73"/>
              <w:spacing w:after="0" w:line="202" w:lineRule="exact"/>
              <w:rPr>
                <w:sz w:val="20"/>
                <w:szCs w:val="20"/>
                <w:color w:val="auto"/>
              </w:rPr>
            </w:pPr>
            <w:r>
              <w:rPr>
                <w:rFonts w:ascii="Arial" w:cs="Arial" w:eastAsia="Arial" w:hAnsi="Arial"/>
                <w:sz w:val="13"/>
                <w:szCs w:val="13"/>
                <w:b w:val="1"/>
                <w:bCs w:val="1"/>
                <w:color w:val="105EAB"/>
              </w:rPr>
              <w:t>($)</w:t>
            </w:r>
            <w:r>
              <w:rPr>
                <w:rFonts w:ascii="Arial" w:cs="Arial" w:eastAsia="Arial" w:hAnsi="Arial"/>
                <w:sz w:val="22"/>
                <w:szCs w:val="22"/>
                <w:b w:val="1"/>
                <w:bCs w:val="1"/>
                <w:color w:val="105EAB"/>
                <w:vertAlign w:val="superscript"/>
              </w:rPr>
              <w:t>(1)</w:t>
            </w:r>
          </w:p>
        </w:tc>
        <w:tc>
          <w:tcPr>
            <w:tcW w:w="760" w:type="dxa"/>
            <w:vAlign w:val="bottom"/>
            <w:tcBorders>
              <w:bottom w:val="single" w:sz="8" w:color="105EAB"/>
            </w:tcBorders>
          </w:tcPr>
          <w:p>
            <w:pPr>
              <w:jc w:val="right"/>
              <w:ind w:right="74"/>
              <w:spacing w:after="0" w:line="202" w:lineRule="exact"/>
              <w:rPr>
                <w:sz w:val="20"/>
                <w:szCs w:val="20"/>
                <w:color w:val="auto"/>
              </w:rPr>
            </w:pPr>
            <w:r>
              <w:rPr>
                <w:rFonts w:ascii="Arial" w:cs="Arial" w:eastAsia="Arial" w:hAnsi="Arial"/>
                <w:sz w:val="23"/>
                <w:szCs w:val="23"/>
                <w:b w:val="1"/>
                <w:bCs w:val="1"/>
                <w:color w:val="105EAB"/>
                <w:vertAlign w:val="subscript"/>
              </w:rPr>
              <w:t>($)</w:t>
            </w:r>
            <w:r>
              <w:rPr>
                <w:rFonts w:ascii="Arial" w:cs="Arial" w:eastAsia="Arial" w:hAnsi="Arial"/>
                <w:sz w:val="10"/>
                <w:szCs w:val="10"/>
                <w:b w:val="1"/>
                <w:bCs w:val="1"/>
                <w:color w:val="105EAB"/>
              </w:rPr>
              <w:t>(2)(3)</w:t>
            </w:r>
          </w:p>
        </w:tc>
        <w:tc>
          <w:tcPr>
            <w:tcW w:w="1220" w:type="dxa"/>
            <w:vAlign w:val="bottom"/>
            <w:tcBorders>
              <w:bottom w:val="single" w:sz="8" w:color="105EAB"/>
            </w:tcBorders>
          </w:tcPr>
          <w:p>
            <w:pPr>
              <w:jc w:val="right"/>
              <w:ind w:right="73"/>
              <w:spacing w:after="0" w:line="202" w:lineRule="exact"/>
              <w:rPr>
                <w:sz w:val="20"/>
                <w:szCs w:val="20"/>
                <w:color w:val="auto"/>
              </w:rPr>
            </w:pPr>
            <w:r>
              <w:rPr>
                <w:rFonts w:ascii="Arial" w:cs="Arial" w:eastAsia="Arial" w:hAnsi="Arial"/>
                <w:sz w:val="13"/>
                <w:szCs w:val="13"/>
                <w:b w:val="1"/>
                <w:bCs w:val="1"/>
                <w:color w:val="105EAB"/>
              </w:rPr>
              <w:t>($)</w:t>
            </w:r>
            <w:r>
              <w:rPr>
                <w:rFonts w:ascii="Arial" w:cs="Arial" w:eastAsia="Arial" w:hAnsi="Arial"/>
                <w:sz w:val="22"/>
                <w:szCs w:val="22"/>
                <w:b w:val="1"/>
                <w:bCs w:val="1"/>
                <w:color w:val="105EAB"/>
                <w:vertAlign w:val="superscript"/>
              </w:rPr>
              <w:t>(4)</w:t>
            </w:r>
          </w:p>
        </w:tc>
        <w:tc>
          <w:tcPr>
            <w:tcW w:w="700" w:type="dxa"/>
            <w:vAlign w:val="bottom"/>
            <w:tcBorders>
              <w:bottom w:val="single" w:sz="8" w:color="105EAB"/>
            </w:tcBorders>
          </w:tcPr>
          <w:p>
            <w:pPr>
              <w:jc w:val="right"/>
              <w:ind w:right="13"/>
              <w:spacing w:after="0"/>
              <w:rPr>
                <w:sz w:val="20"/>
                <w:szCs w:val="20"/>
                <w:color w:val="auto"/>
              </w:rPr>
            </w:pPr>
            <w:r>
              <w:rPr>
                <w:rFonts w:ascii="Arial" w:cs="Arial" w:eastAsia="Arial" w:hAnsi="Arial"/>
                <w:sz w:val="13"/>
                <w:szCs w:val="13"/>
                <w:b w:val="1"/>
                <w:bCs w:val="1"/>
                <w:color w:val="105EAB"/>
              </w:rPr>
              <w:t>($)</w:t>
            </w:r>
          </w:p>
        </w:tc>
      </w:tr>
      <w:tr>
        <w:trPr>
          <w:trHeight w:val="202"/>
        </w:trPr>
        <w:tc>
          <w:tcPr>
            <w:tcW w:w="1660" w:type="dxa"/>
            <w:vAlign w:val="bottom"/>
          </w:tcPr>
          <w:p>
            <w:pPr>
              <w:ind w:left="80"/>
              <w:spacing w:after="0"/>
              <w:rPr>
                <w:sz w:val="20"/>
                <w:szCs w:val="20"/>
                <w:color w:val="auto"/>
              </w:rPr>
            </w:pPr>
            <w:r>
              <w:rPr>
                <w:rFonts w:ascii="Arial" w:cs="Arial" w:eastAsia="Arial" w:hAnsi="Arial"/>
                <w:sz w:val="13"/>
                <w:szCs w:val="13"/>
                <w:b w:val="1"/>
                <w:bCs w:val="1"/>
                <w:color w:val="105EAB"/>
              </w:rPr>
              <w:t>Kermit R. Crawford</w:t>
            </w:r>
          </w:p>
        </w:tc>
        <w:tc>
          <w:tcPr>
            <w:tcW w:w="4660" w:type="dxa"/>
            <w:vAlign w:val="bottom"/>
          </w:tcPr>
          <w:p>
            <w:pPr>
              <w:ind w:left="360"/>
              <w:spacing w:after="0"/>
              <w:rPr>
                <w:sz w:val="20"/>
                <w:szCs w:val="20"/>
                <w:color w:val="auto"/>
              </w:rPr>
            </w:pPr>
            <w:r>
              <w:rPr>
                <w:rFonts w:ascii="Arial" w:cs="Arial" w:eastAsia="Arial" w:hAnsi="Arial"/>
                <w:sz w:val="13"/>
                <w:szCs w:val="13"/>
                <w:color w:val="auto"/>
              </w:rPr>
              <w:t>Audit Committee Chair (May – December)</w:t>
            </w:r>
          </w:p>
        </w:tc>
        <w:tc>
          <w:tcPr>
            <w:tcW w:w="2420" w:type="dxa"/>
            <w:vAlign w:val="bottom"/>
          </w:tcPr>
          <w:p>
            <w:pPr>
              <w:jc w:val="right"/>
              <w:ind w:right="73"/>
              <w:spacing w:after="0"/>
              <w:rPr>
                <w:sz w:val="20"/>
                <w:szCs w:val="20"/>
                <w:color w:val="auto"/>
              </w:rPr>
            </w:pPr>
            <w:r>
              <w:rPr>
                <w:rFonts w:ascii="Arial" w:cs="Arial" w:eastAsia="Arial" w:hAnsi="Arial"/>
                <w:sz w:val="13"/>
                <w:szCs w:val="13"/>
                <w:color w:val="auto"/>
              </w:rPr>
              <w:t>147,404</w:t>
            </w:r>
          </w:p>
        </w:tc>
        <w:tc>
          <w:tcPr>
            <w:tcW w:w="760" w:type="dxa"/>
            <w:vAlign w:val="bottom"/>
          </w:tcPr>
          <w:p>
            <w:pPr>
              <w:jc w:val="right"/>
              <w:ind w:right="74"/>
              <w:spacing w:after="0"/>
              <w:rPr>
                <w:sz w:val="20"/>
                <w:szCs w:val="20"/>
                <w:color w:val="auto"/>
              </w:rPr>
            </w:pPr>
            <w:r>
              <w:rPr>
                <w:rFonts w:ascii="Arial" w:cs="Arial" w:eastAsia="Arial" w:hAnsi="Arial"/>
                <w:sz w:val="13"/>
                <w:szCs w:val="13"/>
                <w:color w:val="auto"/>
              </w:rPr>
              <w:t>155,057</w:t>
            </w:r>
          </w:p>
        </w:tc>
        <w:tc>
          <w:tcPr>
            <w:tcW w:w="122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3"/>
              <w:spacing w:after="0"/>
              <w:rPr>
                <w:sz w:val="20"/>
                <w:szCs w:val="20"/>
                <w:color w:val="auto"/>
              </w:rPr>
            </w:pPr>
            <w:r>
              <w:rPr>
                <w:rFonts w:ascii="Arial" w:cs="Arial" w:eastAsia="Arial" w:hAnsi="Arial"/>
                <w:sz w:val="13"/>
                <w:szCs w:val="13"/>
                <w:color w:val="auto"/>
              </w:rPr>
              <w:t>302,461</w:t>
            </w:r>
          </w:p>
        </w:tc>
      </w:tr>
      <w:tr>
        <w:trPr>
          <w:trHeight w:val="41"/>
        </w:trPr>
        <w:tc>
          <w:tcPr>
            <w:tcW w:w="1660" w:type="dxa"/>
            <w:vAlign w:val="bottom"/>
            <w:tcBorders>
              <w:bottom w:val="single" w:sz="8" w:color="DFF1FB"/>
            </w:tcBorders>
          </w:tcPr>
          <w:p>
            <w:pPr>
              <w:spacing w:after="0"/>
              <w:rPr>
                <w:sz w:val="3"/>
                <w:szCs w:val="3"/>
                <w:color w:val="auto"/>
              </w:rPr>
            </w:pPr>
          </w:p>
        </w:tc>
        <w:tc>
          <w:tcPr>
            <w:tcW w:w="4660" w:type="dxa"/>
            <w:vAlign w:val="bottom"/>
            <w:tcBorders>
              <w:bottom w:val="single" w:sz="8" w:color="DFF1FB"/>
            </w:tcBorders>
          </w:tcPr>
          <w:p>
            <w:pPr>
              <w:spacing w:after="0"/>
              <w:rPr>
                <w:sz w:val="3"/>
                <w:szCs w:val="3"/>
                <w:color w:val="auto"/>
              </w:rPr>
            </w:pPr>
          </w:p>
        </w:tc>
        <w:tc>
          <w:tcPr>
            <w:tcW w:w="2420" w:type="dxa"/>
            <w:vAlign w:val="bottom"/>
            <w:tcBorders>
              <w:bottom w:val="single" w:sz="8" w:color="DFF1FB"/>
            </w:tcBorders>
          </w:tcPr>
          <w:p>
            <w:pPr>
              <w:spacing w:after="0"/>
              <w:rPr>
                <w:sz w:val="3"/>
                <w:szCs w:val="3"/>
                <w:color w:val="auto"/>
              </w:rPr>
            </w:pPr>
          </w:p>
        </w:tc>
        <w:tc>
          <w:tcPr>
            <w:tcW w:w="760" w:type="dxa"/>
            <w:vAlign w:val="bottom"/>
            <w:tcBorders>
              <w:bottom w:val="single" w:sz="8" w:color="DFF1FB"/>
            </w:tcBorders>
          </w:tcPr>
          <w:p>
            <w:pPr>
              <w:spacing w:after="0"/>
              <w:rPr>
                <w:sz w:val="3"/>
                <w:szCs w:val="3"/>
                <w:color w:val="auto"/>
              </w:rPr>
            </w:pPr>
          </w:p>
        </w:tc>
        <w:tc>
          <w:tcPr>
            <w:tcW w:w="1220" w:type="dxa"/>
            <w:vAlign w:val="bottom"/>
            <w:tcBorders>
              <w:bottom w:val="single" w:sz="8" w:color="DFF1FB"/>
            </w:tcBorders>
          </w:tcPr>
          <w:p>
            <w:pPr>
              <w:spacing w:after="0"/>
              <w:rPr>
                <w:sz w:val="3"/>
                <w:szCs w:val="3"/>
                <w:color w:val="auto"/>
              </w:rPr>
            </w:pPr>
          </w:p>
        </w:tc>
        <w:tc>
          <w:tcPr>
            <w:tcW w:w="700" w:type="dxa"/>
            <w:vAlign w:val="bottom"/>
            <w:tcBorders>
              <w:bottom w:val="single" w:sz="8" w:color="DFF1FB"/>
            </w:tcBorders>
          </w:tcPr>
          <w:p>
            <w:pPr>
              <w:spacing w:after="0"/>
              <w:rPr>
                <w:sz w:val="3"/>
                <w:szCs w:val="3"/>
                <w:color w:val="auto"/>
              </w:rPr>
            </w:pPr>
          </w:p>
        </w:tc>
      </w:tr>
      <w:tr>
        <w:trPr>
          <w:trHeight w:val="195"/>
        </w:trPr>
        <w:tc>
          <w:tcPr>
            <w:tcW w:w="1660" w:type="dxa"/>
            <w:vAlign w:val="bottom"/>
          </w:tcPr>
          <w:p>
            <w:pPr>
              <w:ind w:left="80"/>
              <w:spacing w:after="0"/>
              <w:rPr>
                <w:sz w:val="20"/>
                <w:szCs w:val="20"/>
                <w:color w:val="auto"/>
              </w:rPr>
            </w:pPr>
            <w:r>
              <w:rPr>
                <w:rFonts w:ascii="Arial" w:cs="Arial" w:eastAsia="Arial" w:hAnsi="Arial"/>
                <w:sz w:val="13"/>
                <w:szCs w:val="13"/>
                <w:b w:val="1"/>
                <w:bCs w:val="1"/>
                <w:color w:val="105EAB"/>
              </w:rPr>
              <w:t>Michael L. Eskew</w:t>
            </w:r>
          </w:p>
        </w:tc>
        <w:tc>
          <w:tcPr>
            <w:tcW w:w="4660" w:type="dxa"/>
            <w:vAlign w:val="bottom"/>
          </w:tcPr>
          <w:p>
            <w:pPr>
              <w:ind w:left="360"/>
              <w:spacing w:after="0"/>
              <w:rPr>
                <w:sz w:val="20"/>
                <w:szCs w:val="20"/>
                <w:color w:val="auto"/>
              </w:rPr>
            </w:pPr>
            <w:r>
              <w:rPr>
                <w:rFonts w:ascii="Arial" w:cs="Arial" w:eastAsia="Arial" w:hAnsi="Arial"/>
                <w:sz w:val="13"/>
                <w:szCs w:val="13"/>
                <w:color w:val="auto"/>
              </w:rPr>
              <w:t>Compensation and Succession Committee Chair</w:t>
            </w:r>
          </w:p>
        </w:tc>
        <w:tc>
          <w:tcPr>
            <w:tcW w:w="2420" w:type="dxa"/>
            <w:vAlign w:val="bottom"/>
          </w:tcPr>
          <w:p>
            <w:pPr>
              <w:jc w:val="right"/>
              <w:ind w:right="73"/>
              <w:spacing w:after="0"/>
              <w:rPr>
                <w:sz w:val="20"/>
                <w:szCs w:val="20"/>
                <w:color w:val="auto"/>
              </w:rPr>
            </w:pPr>
            <w:r>
              <w:rPr>
                <w:rFonts w:ascii="Arial" w:cs="Arial" w:eastAsia="Arial" w:hAnsi="Arial"/>
                <w:sz w:val="13"/>
                <w:szCs w:val="13"/>
                <w:color w:val="auto"/>
              </w:rPr>
              <w:t>141,003</w:t>
            </w:r>
          </w:p>
        </w:tc>
        <w:tc>
          <w:tcPr>
            <w:tcW w:w="760" w:type="dxa"/>
            <w:vAlign w:val="bottom"/>
          </w:tcPr>
          <w:p>
            <w:pPr>
              <w:jc w:val="right"/>
              <w:ind w:right="74"/>
              <w:spacing w:after="0"/>
              <w:rPr>
                <w:sz w:val="20"/>
                <w:szCs w:val="20"/>
                <w:color w:val="auto"/>
              </w:rPr>
            </w:pPr>
            <w:r>
              <w:rPr>
                <w:rFonts w:ascii="Arial" w:cs="Arial" w:eastAsia="Arial" w:hAnsi="Arial"/>
                <w:sz w:val="13"/>
                <w:szCs w:val="13"/>
                <w:color w:val="auto"/>
              </w:rPr>
              <w:t>155,057</w:t>
            </w:r>
          </w:p>
        </w:tc>
        <w:tc>
          <w:tcPr>
            <w:tcW w:w="122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3"/>
              <w:spacing w:after="0"/>
              <w:rPr>
                <w:sz w:val="20"/>
                <w:szCs w:val="20"/>
                <w:color w:val="auto"/>
              </w:rPr>
            </w:pPr>
            <w:r>
              <w:rPr>
                <w:rFonts w:ascii="Arial" w:cs="Arial" w:eastAsia="Arial" w:hAnsi="Arial"/>
                <w:sz w:val="13"/>
                <w:szCs w:val="13"/>
                <w:color w:val="auto"/>
              </w:rPr>
              <w:t>296,060</w:t>
            </w:r>
          </w:p>
        </w:tc>
      </w:tr>
      <w:tr>
        <w:trPr>
          <w:trHeight w:val="243"/>
        </w:trPr>
        <w:tc>
          <w:tcPr>
            <w:tcW w:w="1660" w:type="dxa"/>
            <w:vAlign w:val="bottom"/>
          </w:tcPr>
          <w:p>
            <w:pPr>
              <w:spacing w:after="0"/>
              <w:rPr>
                <w:sz w:val="21"/>
                <w:szCs w:val="21"/>
                <w:color w:val="auto"/>
              </w:rPr>
            </w:pPr>
          </w:p>
        </w:tc>
        <w:tc>
          <w:tcPr>
            <w:tcW w:w="4660" w:type="dxa"/>
            <w:vAlign w:val="bottom"/>
          </w:tcPr>
          <w:p>
            <w:pPr>
              <w:ind w:left="360"/>
              <w:spacing w:after="0"/>
              <w:rPr>
                <w:sz w:val="20"/>
                <w:szCs w:val="20"/>
                <w:color w:val="auto"/>
              </w:rPr>
            </w:pPr>
            <w:r>
              <w:rPr>
                <w:rFonts w:ascii="Arial" w:cs="Arial" w:eastAsia="Arial" w:hAnsi="Arial"/>
                <w:sz w:val="13"/>
                <w:szCs w:val="13"/>
                <w:color w:val="auto"/>
              </w:rPr>
              <w:t>(May – December)</w:t>
            </w:r>
          </w:p>
        </w:tc>
        <w:tc>
          <w:tcPr>
            <w:tcW w:w="2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41"/>
        </w:trPr>
        <w:tc>
          <w:tcPr>
            <w:tcW w:w="1660" w:type="dxa"/>
            <w:vAlign w:val="bottom"/>
            <w:tcBorders>
              <w:bottom w:val="single" w:sz="8" w:color="DFF1FB"/>
            </w:tcBorders>
          </w:tcPr>
          <w:p>
            <w:pPr>
              <w:spacing w:after="0"/>
              <w:rPr>
                <w:sz w:val="3"/>
                <w:szCs w:val="3"/>
                <w:color w:val="auto"/>
              </w:rPr>
            </w:pPr>
          </w:p>
        </w:tc>
        <w:tc>
          <w:tcPr>
            <w:tcW w:w="4660" w:type="dxa"/>
            <w:vAlign w:val="bottom"/>
            <w:tcBorders>
              <w:bottom w:val="single" w:sz="8" w:color="DFF1FB"/>
            </w:tcBorders>
          </w:tcPr>
          <w:p>
            <w:pPr>
              <w:spacing w:after="0"/>
              <w:rPr>
                <w:sz w:val="3"/>
                <w:szCs w:val="3"/>
                <w:color w:val="auto"/>
              </w:rPr>
            </w:pPr>
          </w:p>
        </w:tc>
        <w:tc>
          <w:tcPr>
            <w:tcW w:w="2420" w:type="dxa"/>
            <w:vAlign w:val="bottom"/>
            <w:tcBorders>
              <w:bottom w:val="single" w:sz="8" w:color="DFF1FB"/>
            </w:tcBorders>
          </w:tcPr>
          <w:p>
            <w:pPr>
              <w:spacing w:after="0"/>
              <w:rPr>
                <w:sz w:val="3"/>
                <w:szCs w:val="3"/>
                <w:color w:val="auto"/>
              </w:rPr>
            </w:pPr>
          </w:p>
        </w:tc>
        <w:tc>
          <w:tcPr>
            <w:tcW w:w="760" w:type="dxa"/>
            <w:vAlign w:val="bottom"/>
            <w:tcBorders>
              <w:bottom w:val="single" w:sz="8" w:color="DFF1FB"/>
            </w:tcBorders>
          </w:tcPr>
          <w:p>
            <w:pPr>
              <w:spacing w:after="0"/>
              <w:rPr>
                <w:sz w:val="3"/>
                <w:szCs w:val="3"/>
                <w:color w:val="auto"/>
              </w:rPr>
            </w:pPr>
          </w:p>
        </w:tc>
        <w:tc>
          <w:tcPr>
            <w:tcW w:w="1220" w:type="dxa"/>
            <w:vAlign w:val="bottom"/>
            <w:tcBorders>
              <w:bottom w:val="single" w:sz="8" w:color="DFF1FB"/>
            </w:tcBorders>
          </w:tcPr>
          <w:p>
            <w:pPr>
              <w:spacing w:after="0"/>
              <w:rPr>
                <w:sz w:val="3"/>
                <w:szCs w:val="3"/>
                <w:color w:val="auto"/>
              </w:rPr>
            </w:pPr>
          </w:p>
        </w:tc>
        <w:tc>
          <w:tcPr>
            <w:tcW w:w="700" w:type="dxa"/>
            <w:vAlign w:val="bottom"/>
            <w:tcBorders>
              <w:bottom w:val="single" w:sz="8" w:color="DFF1FB"/>
            </w:tcBorders>
          </w:tcPr>
          <w:p>
            <w:pPr>
              <w:spacing w:after="0"/>
              <w:rPr>
                <w:sz w:val="3"/>
                <w:szCs w:val="3"/>
                <w:color w:val="auto"/>
              </w:rPr>
            </w:pPr>
          </w:p>
        </w:tc>
      </w:tr>
      <w:tr>
        <w:trPr>
          <w:trHeight w:val="195"/>
        </w:trPr>
        <w:tc>
          <w:tcPr>
            <w:tcW w:w="1660" w:type="dxa"/>
            <w:vAlign w:val="bottom"/>
          </w:tcPr>
          <w:p>
            <w:pPr>
              <w:ind w:left="80"/>
              <w:spacing w:after="0"/>
              <w:rPr>
                <w:sz w:val="20"/>
                <w:szCs w:val="20"/>
                <w:color w:val="auto"/>
              </w:rPr>
            </w:pPr>
            <w:r>
              <w:rPr>
                <w:rFonts w:ascii="Arial" w:cs="Arial" w:eastAsia="Arial" w:hAnsi="Arial"/>
                <w:sz w:val="13"/>
                <w:szCs w:val="13"/>
                <w:b w:val="1"/>
                <w:bCs w:val="1"/>
                <w:color w:val="105EAB"/>
              </w:rPr>
              <w:t>Margaret M. Keane</w:t>
            </w:r>
          </w:p>
        </w:tc>
        <w:tc>
          <w:tcPr>
            <w:tcW w:w="4660" w:type="dxa"/>
            <w:vAlign w:val="bottom"/>
          </w:tcPr>
          <w:p>
            <w:pPr>
              <w:spacing w:after="0"/>
              <w:rPr>
                <w:sz w:val="16"/>
                <w:szCs w:val="16"/>
                <w:color w:val="auto"/>
              </w:rPr>
            </w:pPr>
          </w:p>
        </w:tc>
        <w:tc>
          <w:tcPr>
            <w:tcW w:w="2420" w:type="dxa"/>
            <w:vAlign w:val="bottom"/>
          </w:tcPr>
          <w:p>
            <w:pPr>
              <w:jc w:val="right"/>
              <w:ind w:right="73"/>
              <w:spacing w:after="0"/>
              <w:rPr>
                <w:sz w:val="20"/>
                <w:szCs w:val="20"/>
                <w:color w:val="auto"/>
              </w:rPr>
            </w:pPr>
            <w:r>
              <w:rPr>
                <w:rFonts w:ascii="Arial" w:cs="Arial" w:eastAsia="Arial" w:hAnsi="Arial"/>
                <w:sz w:val="13"/>
                <w:szCs w:val="13"/>
                <w:color w:val="auto"/>
              </w:rPr>
              <w:t>125,000</w:t>
            </w:r>
          </w:p>
        </w:tc>
        <w:tc>
          <w:tcPr>
            <w:tcW w:w="760" w:type="dxa"/>
            <w:vAlign w:val="bottom"/>
          </w:tcPr>
          <w:p>
            <w:pPr>
              <w:jc w:val="right"/>
              <w:ind w:right="74"/>
              <w:spacing w:after="0"/>
              <w:rPr>
                <w:sz w:val="20"/>
                <w:szCs w:val="20"/>
                <w:color w:val="auto"/>
              </w:rPr>
            </w:pPr>
            <w:r>
              <w:rPr>
                <w:rFonts w:ascii="Arial" w:cs="Arial" w:eastAsia="Arial" w:hAnsi="Arial"/>
                <w:sz w:val="13"/>
                <w:szCs w:val="13"/>
                <w:color w:val="auto"/>
              </w:rPr>
              <w:t>219,663</w:t>
            </w:r>
          </w:p>
        </w:tc>
        <w:tc>
          <w:tcPr>
            <w:tcW w:w="122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3"/>
              <w:spacing w:after="0"/>
              <w:rPr>
                <w:sz w:val="20"/>
                <w:szCs w:val="20"/>
                <w:color w:val="auto"/>
              </w:rPr>
            </w:pPr>
            <w:r>
              <w:rPr>
                <w:rFonts w:ascii="Arial" w:cs="Arial" w:eastAsia="Arial" w:hAnsi="Arial"/>
                <w:sz w:val="13"/>
                <w:szCs w:val="13"/>
                <w:color w:val="auto"/>
              </w:rPr>
              <w:t>344,663</w:t>
            </w:r>
          </w:p>
        </w:tc>
      </w:tr>
      <w:tr>
        <w:trPr>
          <w:trHeight w:val="41"/>
        </w:trPr>
        <w:tc>
          <w:tcPr>
            <w:tcW w:w="1660" w:type="dxa"/>
            <w:vAlign w:val="bottom"/>
            <w:tcBorders>
              <w:bottom w:val="single" w:sz="8" w:color="DFF1FB"/>
            </w:tcBorders>
          </w:tcPr>
          <w:p>
            <w:pPr>
              <w:spacing w:after="0"/>
              <w:rPr>
                <w:sz w:val="3"/>
                <w:szCs w:val="3"/>
                <w:color w:val="auto"/>
              </w:rPr>
            </w:pPr>
          </w:p>
        </w:tc>
        <w:tc>
          <w:tcPr>
            <w:tcW w:w="4660" w:type="dxa"/>
            <w:vAlign w:val="bottom"/>
            <w:tcBorders>
              <w:bottom w:val="single" w:sz="8" w:color="DFF1FB"/>
            </w:tcBorders>
          </w:tcPr>
          <w:p>
            <w:pPr>
              <w:spacing w:after="0"/>
              <w:rPr>
                <w:sz w:val="3"/>
                <w:szCs w:val="3"/>
                <w:color w:val="auto"/>
              </w:rPr>
            </w:pPr>
          </w:p>
        </w:tc>
        <w:tc>
          <w:tcPr>
            <w:tcW w:w="2420" w:type="dxa"/>
            <w:vAlign w:val="bottom"/>
            <w:tcBorders>
              <w:bottom w:val="single" w:sz="8" w:color="DFF1FB"/>
            </w:tcBorders>
          </w:tcPr>
          <w:p>
            <w:pPr>
              <w:spacing w:after="0"/>
              <w:rPr>
                <w:sz w:val="3"/>
                <w:szCs w:val="3"/>
                <w:color w:val="auto"/>
              </w:rPr>
            </w:pPr>
          </w:p>
        </w:tc>
        <w:tc>
          <w:tcPr>
            <w:tcW w:w="760" w:type="dxa"/>
            <w:vAlign w:val="bottom"/>
            <w:tcBorders>
              <w:bottom w:val="single" w:sz="8" w:color="DFF1FB"/>
            </w:tcBorders>
          </w:tcPr>
          <w:p>
            <w:pPr>
              <w:spacing w:after="0"/>
              <w:rPr>
                <w:sz w:val="3"/>
                <w:szCs w:val="3"/>
                <w:color w:val="auto"/>
              </w:rPr>
            </w:pPr>
          </w:p>
        </w:tc>
        <w:tc>
          <w:tcPr>
            <w:tcW w:w="1220" w:type="dxa"/>
            <w:vAlign w:val="bottom"/>
            <w:tcBorders>
              <w:bottom w:val="single" w:sz="8" w:color="DFF1FB"/>
            </w:tcBorders>
          </w:tcPr>
          <w:p>
            <w:pPr>
              <w:spacing w:after="0"/>
              <w:rPr>
                <w:sz w:val="3"/>
                <w:szCs w:val="3"/>
                <w:color w:val="auto"/>
              </w:rPr>
            </w:pPr>
          </w:p>
        </w:tc>
        <w:tc>
          <w:tcPr>
            <w:tcW w:w="700" w:type="dxa"/>
            <w:vAlign w:val="bottom"/>
            <w:tcBorders>
              <w:bottom w:val="single" w:sz="8" w:color="DFF1FB"/>
            </w:tcBorders>
          </w:tcPr>
          <w:p>
            <w:pPr>
              <w:spacing w:after="0"/>
              <w:rPr>
                <w:sz w:val="3"/>
                <w:szCs w:val="3"/>
                <w:color w:val="auto"/>
              </w:rPr>
            </w:pPr>
          </w:p>
        </w:tc>
      </w:tr>
      <w:tr>
        <w:trPr>
          <w:trHeight w:val="195"/>
        </w:trPr>
        <w:tc>
          <w:tcPr>
            <w:tcW w:w="1660" w:type="dxa"/>
            <w:vAlign w:val="bottom"/>
          </w:tcPr>
          <w:p>
            <w:pPr>
              <w:ind w:left="80"/>
              <w:spacing w:after="0"/>
              <w:rPr>
                <w:sz w:val="20"/>
                <w:szCs w:val="20"/>
                <w:color w:val="auto"/>
              </w:rPr>
            </w:pPr>
            <w:r>
              <w:rPr>
                <w:rFonts w:ascii="Arial" w:cs="Arial" w:eastAsia="Arial" w:hAnsi="Arial"/>
                <w:sz w:val="13"/>
                <w:szCs w:val="13"/>
                <w:b w:val="1"/>
                <w:bCs w:val="1"/>
                <w:color w:val="105EAB"/>
              </w:rPr>
              <w:t>Siddharth N. Mehta</w:t>
            </w:r>
          </w:p>
        </w:tc>
        <w:tc>
          <w:tcPr>
            <w:tcW w:w="4660" w:type="dxa"/>
            <w:vAlign w:val="bottom"/>
          </w:tcPr>
          <w:p>
            <w:pPr>
              <w:ind w:left="360"/>
              <w:spacing w:after="0"/>
              <w:rPr>
                <w:sz w:val="20"/>
                <w:szCs w:val="20"/>
                <w:color w:val="auto"/>
              </w:rPr>
            </w:pPr>
            <w:r>
              <w:rPr>
                <w:rFonts w:ascii="Arial" w:cs="Arial" w:eastAsia="Arial" w:hAnsi="Arial"/>
                <w:sz w:val="13"/>
                <w:szCs w:val="13"/>
                <w:color w:val="auto"/>
              </w:rPr>
              <w:t>Risk and Return Committee Chair</w:t>
            </w:r>
          </w:p>
        </w:tc>
        <w:tc>
          <w:tcPr>
            <w:tcW w:w="2420" w:type="dxa"/>
            <w:vAlign w:val="bottom"/>
          </w:tcPr>
          <w:p>
            <w:pPr>
              <w:jc w:val="right"/>
              <w:ind w:right="73"/>
              <w:spacing w:after="0"/>
              <w:rPr>
                <w:sz w:val="20"/>
                <w:szCs w:val="20"/>
                <w:color w:val="auto"/>
              </w:rPr>
            </w:pPr>
            <w:r>
              <w:rPr>
                <w:rFonts w:ascii="Arial" w:cs="Arial" w:eastAsia="Arial" w:hAnsi="Arial"/>
                <w:sz w:val="13"/>
                <w:szCs w:val="13"/>
                <w:color w:val="auto"/>
              </w:rPr>
              <w:t>150,000</w:t>
            </w:r>
          </w:p>
        </w:tc>
        <w:tc>
          <w:tcPr>
            <w:tcW w:w="760" w:type="dxa"/>
            <w:vAlign w:val="bottom"/>
          </w:tcPr>
          <w:p>
            <w:pPr>
              <w:jc w:val="right"/>
              <w:ind w:right="74"/>
              <w:spacing w:after="0"/>
              <w:rPr>
                <w:sz w:val="20"/>
                <w:szCs w:val="20"/>
                <w:color w:val="auto"/>
              </w:rPr>
            </w:pPr>
            <w:r>
              <w:rPr>
                <w:rFonts w:ascii="Arial" w:cs="Arial" w:eastAsia="Arial" w:hAnsi="Arial"/>
                <w:sz w:val="13"/>
                <w:szCs w:val="13"/>
                <w:color w:val="auto"/>
              </w:rPr>
              <w:t>155,057</w:t>
            </w:r>
          </w:p>
        </w:tc>
        <w:tc>
          <w:tcPr>
            <w:tcW w:w="122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3"/>
              <w:spacing w:after="0"/>
              <w:rPr>
                <w:sz w:val="20"/>
                <w:szCs w:val="20"/>
                <w:color w:val="auto"/>
              </w:rPr>
            </w:pPr>
            <w:r>
              <w:rPr>
                <w:rFonts w:ascii="Arial" w:cs="Arial" w:eastAsia="Arial" w:hAnsi="Arial"/>
                <w:sz w:val="13"/>
                <w:szCs w:val="13"/>
                <w:color w:val="auto"/>
              </w:rPr>
              <w:t>305,057</w:t>
            </w:r>
          </w:p>
        </w:tc>
      </w:tr>
      <w:tr>
        <w:trPr>
          <w:trHeight w:val="41"/>
        </w:trPr>
        <w:tc>
          <w:tcPr>
            <w:tcW w:w="1660" w:type="dxa"/>
            <w:vAlign w:val="bottom"/>
            <w:tcBorders>
              <w:bottom w:val="single" w:sz="8" w:color="DFF1FB"/>
            </w:tcBorders>
          </w:tcPr>
          <w:p>
            <w:pPr>
              <w:spacing w:after="0"/>
              <w:rPr>
                <w:sz w:val="3"/>
                <w:szCs w:val="3"/>
                <w:color w:val="auto"/>
              </w:rPr>
            </w:pPr>
          </w:p>
        </w:tc>
        <w:tc>
          <w:tcPr>
            <w:tcW w:w="4660" w:type="dxa"/>
            <w:vAlign w:val="bottom"/>
            <w:tcBorders>
              <w:bottom w:val="single" w:sz="8" w:color="DFF1FB"/>
            </w:tcBorders>
          </w:tcPr>
          <w:p>
            <w:pPr>
              <w:spacing w:after="0"/>
              <w:rPr>
                <w:sz w:val="3"/>
                <w:szCs w:val="3"/>
                <w:color w:val="auto"/>
              </w:rPr>
            </w:pPr>
          </w:p>
        </w:tc>
        <w:tc>
          <w:tcPr>
            <w:tcW w:w="2420" w:type="dxa"/>
            <w:vAlign w:val="bottom"/>
            <w:tcBorders>
              <w:bottom w:val="single" w:sz="8" w:color="DFF1FB"/>
            </w:tcBorders>
          </w:tcPr>
          <w:p>
            <w:pPr>
              <w:spacing w:after="0"/>
              <w:rPr>
                <w:sz w:val="3"/>
                <w:szCs w:val="3"/>
                <w:color w:val="auto"/>
              </w:rPr>
            </w:pPr>
          </w:p>
        </w:tc>
        <w:tc>
          <w:tcPr>
            <w:tcW w:w="760" w:type="dxa"/>
            <w:vAlign w:val="bottom"/>
            <w:tcBorders>
              <w:bottom w:val="single" w:sz="8" w:color="DFF1FB"/>
            </w:tcBorders>
          </w:tcPr>
          <w:p>
            <w:pPr>
              <w:spacing w:after="0"/>
              <w:rPr>
                <w:sz w:val="3"/>
                <w:szCs w:val="3"/>
                <w:color w:val="auto"/>
              </w:rPr>
            </w:pPr>
          </w:p>
        </w:tc>
        <w:tc>
          <w:tcPr>
            <w:tcW w:w="1220" w:type="dxa"/>
            <w:vAlign w:val="bottom"/>
            <w:tcBorders>
              <w:bottom w:val="single" w:sz="8" w:color="DFF1FB"/>
            </w:tcBorders>
          </w:tcPr>
          <w:p>
            <w:pPr>
              <w:spacing w:after="0"/>
              <w:rPr>
                <w:sz w:val="3"/>
                <w:szCs w:val="3"/>
                <w:color w:val="auto"/>
              </w:rPr>
            </w:pPr>
          </w:p>
        </w:tc>
        <w:tc>
          <w:tcPr>
            <w:tcW w:w="700" w:type="dxa"/>
            <w:vAlign w:val="bottom"/>
            <w:tcBorders>
              <w:bottom w:val="single" w:sz="8" w:color="DFF1FB"/>
            </w:tcBorders>
          </w:tcPr>
          <w:p>
            <w:pPr>
              <w:spacing w:after="0"/>
              <w:rPr>
                <w:sz w:val="3"/>
                <w:szCs w:val="3"/>
                <w:color w:val="auto"/>
              </w:rPr>
            </w:pPr>
          </w:p>
        </w:tc>
      </w:tr>
      <w:tr>
        <w:trPr>
          <w:trHeight w:val="195"/>
        </w:trPr>
        <w:tc>
          <w:tcPr>
            <w:tcW w:w="1660" w:type="dxa"/>
            <w:vAlign w:val="bottom"/>
          </w:tcPr>
          <w:p>
            <w:pPr>
              <w:ind w:left="80"/>
              <w:spacing w:after="0"/>
              <w:rPr>
                <w:sz w:val="20"/>
                <w:szCs w:val="20"/>
                <w:color w:val="auto"/>
              </w:rPr>
            </w:pPr>
            <w:r>
              <w:rPr>
                <w:rFonts w:ascii="Arial" w:cs="Arial" w:eastAsia="Arial" w:hAnsi="Arial"/>
                <w:sz w:val="13"/>
                <w:szCs w:val="13"/>
                <w:b w:val="1"/>
                <w:bCs w:val="1"/>
                <w:color w:val="105EAB"/>
              </w:rPr>
              <w:t>Jacques P. Perold</w:t>
            </w:r>
          </w:p>
        </w:tc>
        <w:tc>
          <w:tcPr>
            <w:tcW w:w="4660" w:type="dxa"/>
            <w:vAlign w:val="bottom"/>
          </w:tcPr>
          <w:p>
            <w:pPr>
              <w:spacing w:after="0"/>
              <w:rPr>
                <w:sz w:val="16"/>
                <w:szCs w:val="16"/>
                <w:color w:val="auto"/>
              </w:rPr>
            </w:pPr>
          </w:p>
        </w:tc>
        <w:tc>
          <w:tcPr>
            <w:tcW w:w="2420" w:type="dxa"/>
            <w:vAlign w:val="bottom"/>
          </w:tcPr>
          <w:p>
            <w:pPr>
              <w:jc w:val="right"/>
              <w:ind w:right="73"/>
              <w:spacing w:after="0"/>
              <w:rPr>
                <w:sz w:val="20"/>
                <w:szCs w:val="20"/>
                <w:color w:val="auto"/>
              </w:rPr>
            </w:pPr>
            <w:r>
              <w:rPr>
                <w:rFonts w:ascii="Arial" w:cs="Arial" w:eastAsia="Arial" w:hAnsi="Arial"/>
                <w:sz w:val="13"/>
                <w:szCs w:val="13"/>
                <w:color w:val="auto"/>
              </w:rPr>
              <w:t>125,000</w:t>
            </w:r>
          </w:p>
        </w:tc>
        <w:tc>
          <w:tcPr>
            <w:tcW w:w="760" w:type="dxa"/>
            <w:vAlign w:val="bottom"/>
          </w:tcPr>
          <w:p>
            <w:pPr>
              <w:jc w:val="right"/>
              <w:ind w:right="74"/>
              <w:spacing w:after="0"/>
              <w:rPr>
                <w:sz w:val="20"/>
                <w:szCs w:val="20"/>
                <w:color w:val="auto"/>
              </w:rPr>
            </w:pPr>
            <w:r>
              <w:rPr>
                <w:rFonts w:ascii="Arial" w:cs="Arial" w:eastAsia="Arial" w:hAnsi="Arial"/>
                <w:sz w:val="13"/>
                <w:szCs w:val="13"/>
                <w:color w:val="auto"/>
              </w:rPr>
              <w:t>155,057</w:t>
            </w:r>
          </w:p>
        </w:tc>
        <w:tc>
          <w:tcPr>
            <w:tcW w:w="122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3"/>
              <w:spacing w:after="0"/>
              <w:rPr>
                <w:sz w:val="20"/>
                <w:szCs w:val="20"/>
                <w:color w:val="auto"/>
              </w:rPr>
            </w:pPr>
            <w:r>
              <w:rPr>
                <w:rFonts w:ascii="Arial" w:cs="Arial" w:eastAsia="Arial" w:hAnsi="Arial"/>
                <w:sz w:val="13"/>
                <w:szCs w:val="13"/>
                <w:color w:val="auto"/>
              </w:rPr>
              <w:t>280,057</w:t>
            </w:r>
          </w:p>
        </w:tc>
      </w:tr>
      <w:tr>
        <w:trPr>
          <w:trHeight w:val="41"/>
        </w:trPr>
        <w:tc>
          <w:tcPr>
            <w:tcW w:w="1660" w:type="dxa"/>
            <w:vAlign w:val="bottom"/>
            <w:tcBorders>
              <w:bottom w:val="single" w:sz="8" w:color="DFF1FB"/>
            </w:tcBorders>
          </w:tcPr>
          <w:p>
            <w:pPr>
              <w:spacing w:after="0"/>
              <w:rPr>
                <w:sz w:val="3"/>
                <w:szCs w:val="3"/>
                <w:color w:val="auto"/>
              </w:rPr>
            </w:pPr>
          </w:p>
        </w:tc>
        <w:tc>
          <w:tcPr>
            <w:tcW w:w="4660" w:type="dxa"/>
            <w:vAlign w:val="bottom"/>
            <w:tcBorders>
              <w:bottom w:val="single" w:sz="8" w:color="DFF1FB"/>
            </w:tcBorders>
          </w:tcPr>
          <w:p>
            <w:pPr>
              <w:spacing w:after="0"/>
              <w:rPr>
                <w:sz w:val="3"/>
                <w:szCs w:val="3"/>
                <w:color w:val="auto"/>
              </w:rPr>
            </w:pPr>
          </w:p>
        </w:tc>
        <w:tc>
          <w:tcPr>
            <w:tcW w:w="2420" w:type="dxa"/>
            <w:vAlign w:val="bottom"/>
            <w:tcBorders>
              <w:bottom w:val="single" w:sz="8" w:color="DFF1FB"/>
            </w:tcBorders>
          </w:tcPr>
          <w:p>
            <w:pPr>
              <w:spacing w:after="0"/>
              <w:rPr>
                <w:sz w:val="3"/>
                <w:szCs w:val="3"/>
                <w:color w:val="auto"/>
              </w:rPr>
            </w:pPr>
          </w:p>
        </w:tc>
        <w:tc>
          <w:tcPr>
            <w:tcW w:w="760" w:type="dxa"/>
            <w:vAlign w:val="bottom"/>
            <w:tcBorders>
              <w:bottom w:val="single" w:sz="8" w:color="DFF1FB"/>
            </w:tcBorders>
          </w:tcPr>
          <w:p>
            <w:pPr>
              <w:spacing w:after="0"/>
              <w:rPr>
                <w:sz w:val="3"/>
                <w:szCs w:val="3"/>
                <w:color w:val="auto"/>
              </w:rPr>
            </w:pPr>
          </w:p>
        </w:tc>
        <w:tc>
          <w:tcPr>
            <w:tcW w:w="1220" w:type="dxa"/>
            <w:vAlign w:val="bottom"/>
            <w:tcBorders>
              <w:bottom w:val="single" w:sz="8" w:color="DFF1FB"/>
            </w:tcBorders>
          </w:tcPr>
          <w:p>
            <w:pPr>
              <w:spacing w:after="0"/>
              <w:rPr>
                <w:sz w:val="3"/>
                <w:szCs w:val="3"/>
                <w:color w:val="auto"/>
              </w:rPr>
            </w:pPr>
          </w:p>
        </w:tc>
        <w:tc>
          <w:tcPr>
            <w:tcW w:w="700" w:type="dxa"/>
            <w:vAlign w:val="bottom"/>
            <w:tcBorders>
              <w:bottom w:val="single" w:sz="8" w:color="DFF1FB"/>
            </w:tcBorders>
          </w:tcPr>
          <w:p>
            <w:pPr>
              <w:spacing w:after="0"/>
              <w:rPr>
                <w:sz w:val="3"/>
                <w:szCs w:val="3"/>
                <w:color w:val="auto"/>
              </w:rPr>
            </w:pPr>
          </w:p>
        </w:tc>
      </w:tr>
      <w:tr>
        <w:trPr>
          <w:trHeight w:val="195"/>
        </w:trPr>
        <w:tc>
          <w:tcPr>
            <w:tcW w:w="1660" w:type="dxa"/>
            <w:vAlign w:val="bottom"/>
          </w:tcPr>
          <w:p>
            <w:pPr>
              <w:ind w:left="80"/>
              <w:spacing w:after="0"/>
              <w:rPr>
                <w:sz w:val="20"/>
                <w:szCs w:val="20"/>
                <w:color w:val="auto"/>
              </w:rPr>
            </w:pPr>
            <w:r>
              <w:rPr>
                <w:rFonts w:ascii="Arial" w:cs="Arial" w:eastAsia="Arial" w:hAnsi="Arial"/>
                <w:sz w:val="13"/>
                <w:szCs w:val="13"/>
                <w:b w:val="1"/>
                <w:bCs w:val="1"/>
                <w:color w:val="105EAB"/>
              </w:rPr>
              <w:t>Andrea Redmond</w:t>
            </w:r>
          </w:p>
        </w:tc>
        <w:tc>
          <w:tcPr>
            <w:tcW w:w="4660" w:type="dxa"/>
            <w:vAlign w:val="bottom"/>
          </w:tcPr>
          <w:p>
            <w:pPr>
              <w:ind w:left="360"/>
              <w:spacing w:after="0"/>
              <w:rPr>
                <w:sz w:val="20"/>
                <w:szCs w:val="20"/>
                <w:color w:val="auto"/>
              </w:rPr>
            </w:pPr>
            <w:r>
              <w:rPr>
                <w:rFonts w:ascii="Arial" w:cs="Arial" w:eastAsia="Arial" w:hAnsi="Arial"/>
                <w:sz w:val="13"/>
                <w:szCs w:val="13"/>
                <w:color w:val="auto"/>
              </w:rPr>
              <w:t>Nominating and Governance Committee Chair</w:t>
            </w:r>
          </w:p>
        </w:tc>
        <w:tc>
          <w:tcPr>
            <w:tcW w:w="2420" w:type="dxa"/>
            <w:vAlign w:val="bottom"/>
          </w:tcPr>
          <w:p>
            <w:pPr>
              <w:jc w:val="right"/>
              <w:ind w:right="73"/>
              <w:spacing w:after="0"/>
              <w:rPr>
                <w:sz w:val="20"/>
                <w:szCs w:val="20"/>
                <w:color w:val="auto"/>
              </w:rPr>
            </w:pPr>
            <w:r>
              <w:rPr>
                <w:rFonts w:ascii="Arial" w:cs="Arial" w:eastAsia="Arial" w:hAnsi="Arial"/>
                <w:sz w:val="13"/>
                <w:szCs w:val="13"/>
                <w:color w:val="auto"/>
              </w:rPr>
              <w:t>145,000</w:t>
            </w:r>
          </w:p>
        </w:tc>
        <w:tc>
          <w:tcPr>
            <w:tcW w:w="760" w:type="dxa"/>
            <w:vAlign w:val="bottom"/>
          </w:tcPr>
          <w:p>
            <w:pPr>
              <w:jc w:val="right"/>
              <w:ind w:right="74"/>
              <w:spacing w:after="0"/>
              <w:rPr>
                <w:sz w:val="20"/>
                <w:szCs w:val="20"/>
                <w:color w:val="auto"/>
              </w:rPr>
            </w:pPr>
            <w:r>
              <w:rPr>
                <w:rFonts w:ascii="Arial" w:cs="Arial" w:eastAsia="Arial" w:hAnsi="Arial"/>
                <w:sz w:val="13"/>
                <w:szCs w:val="13"/>
                <w:color w:val="auto"/>
              </w:rPr>
              <w:t>155,057</w:t>
            </w:r>
          </w:p>
        </w:tc>
        <w:tc>
          <w:tcPr>
            <w:tcW w:w="122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3"/>
              <w:spacing w:after="0"/>
              <w:rPr>
                <w:sz w:val="20"/>
                <w:szCs w:val="20"/>
                <w:color w:val="auto"/>
              </w:rPr>
            </w:pPr>
            <w:r>
              <w:rPr>
                <w:rFonts w:ascii="Arial" w:cs="Arial" w:eastAsia="Arial" w:hAnsi="Arial"/>
                <w:sz w:val="13"/>
                <w:szCs w:val="13"/>
                <w:color w:val="auto"/>
              </w:rPr>
              <w:t>300,057</w:t>
            </w:r>
          </w:p>
        </w:tc>
      </w:tr>
      <w:tr>
        <w:trPr>
          <w:trHeight w:val="41"/>
        </w:trPr>
        <w:tc>
          <w:tcPr>
            <w:tcW w:w="1660" w:type="dxa"/>
            <w:vAlign w:val="bottom"/>
            <w:tcBorders>
              <w:bottom w:val="single" w:sz="8" w:color="DFF1FB"/>
            </w:tcBorders>
          </w:tcPr>
          <w:p>
            <w:pPr>
              <w:spacing w:after="0"/>
              <w:rPr>
                <w:sz w:val="3"/>
                <w:szCs w:val="3"/>
                <w:color w:val="auto"/>
              </w:rPr>
            </w:pPr>
          </w:p>
        </w:tc>
        <w:tc>
          <w:tcPr>
            <w:tcW w:w="4660" w:type="dxa"/>
            <w:vAlign w:val="bottom"/>
            <w:tcBorders>
              <w:bottom w:val="single" w:sz="8" w:color="DFF1FB"/>
            </w:tcBorders>
          </w:tcPr>
          <w:p>
            <w:pPr>
              <w:spacing w:after="0"/>
              <w:rPr>
                <w:sz w:val="3"/>
                <w:szCs w:val="3"/>
                <w:color w:val="auto"/>
              </w:rPr>
            </w:pPr>
          </w:p>
        </w:tc>
        <w:tc>
          <w:tcPr>
            <w:tcW w:w="2420" w:type="dxa"/>
            <w:vAlign w:val="bottom"/>
            <w:tcBorders>
              <w:bottom w:val="single" w:sz="8" w:color="DFF1FB"/>
            </w:tcBorders>
          </w:tcPr>
          <w:p>
            <w:pPr>
              <w:spacing w:after="0"/>
              <w:rPr>
                <w:sz w:val="3"/>
                <w:szCs w:val="3"/>
                <w:color w:val="auto"/>
              </w:rPr>
            </w:pPr>
          </w:p>
        </w:tc>
        <w:tc>
          <w:tcPr>
            <w:tcW w:w="760" w:type="dxa"/>
            <w:vAlign w:val="bottom"/>
            <w:tcBorders>
              <w:bottom w:val="single" w:sz="8" w:color="DFF1FB"/>
            </w:tcBorders>
          </w:tcPr>
          <w:p>
            <w:pPr>
              <w:spacing w:after="0"/>
              <w:rPr>
                <w:sz w:val="3"/>
                <w:szCs w:val="3"/>
                <w:color w:val="auto"/>
              </w:rPr>
            </w:pPr>
          </w:p>
        </w:tc>
        <w:tc>
          <w:tcPr>
            <w:tcW w:w="1220" w:type="dxa"/>
            <w:vAlign w:val="bottom"/>
            <w:tcBorders>
              <w:bottom w:val="single" w:sz="8" w:color="DFF1FB"/>
            </w:tcBorders>
          </w:tcPr>
          <w:p>
            <w:pPr>
              <w:spacing w:after="0"/>
              <w:rPr>
                <w:sz w:val="3"/>
                <w:szCs w:val="3"/>
                <w:color w:val="auto"/>
              </w:rPr>
            </w:pPr>
          </w:p>
        </w:tc>
        <w:tc>
          <w:tcPr>
            <w:tcW w:w="700" w:type="dxa"/>
            <w:vAlign w:val="bottom"/>
            <w:tcBorders>
              <w:bottom w:val="single" w:sz="8" w:color="DFF1FB"/>
            </w:tcBorders>
          </w:tcPr>
          <w:p>
            <w:pPr>
              <w:spacing w:after="0"/>
              <w:rPr>
                <w:sz w:val="3"/>
                <w:szCs w:val="3"/>
                <w:color w:val="auto"/>
              </w:rPr>
            </w:pPr>
          </w:p>
        </w:tc>
      </w:tr>
      <w:tr>
        <w:trPr>
          <w:trHeight w:val="195"/>
        </w:trPr>
        <w:tc>
          <w:tcPr>
            <w:tcW w:w="1660" w:type="dxa"/>
            <w:vAlign w:val="bottom"/>
          </w:tcPr>
          <w:p>
            <w:pPr>
              <w:ind w:left="80"/>
              <w:spacing w:after="0"/>
              <w:rPr>
                <w:sz w:val="20"/>
                <w:szCs w:val="20"/>
                <w:color w:val="auto"/>
              </w:rPr>
            </w:pPr>
            <w:r>
              <w:rPr>
                <w:rFonts w:ascii="Arial" w:cs="Arial" w:eastAsia="Arial" w:hAnsi="Arial"/>
                <w:sz w:val="13"/>
                <w:szCs w:val="13"/>
                <w:b w:val="1"/>
                <w:bCs w:val="1"/>
                <w:color w:val="105EAB"/>
              </w:rPr>
              <w:t>John W. Rowe</w:t>
            </w:r>
          </w:p>
        </w:tc>
        <w:tc>
          <w:tcPr>
            <w:tcW w:w="4660" w:type="dxa"/>
            <w:vAlign w:val="bottom"/>
          </w:tcPr>
          <w:p>
            <w:pPr>
              <w:ind w:left="360"/>
              <w:spacing w:after="0"/>
              <w:rPr>
                <w:sz w:val="20"/>
                <w:szCs w:val="20"/>
                <w:color w:val="auto"/>
              </w:rPr>
            </w:pPr>
            <w:r>
              <w:rPr>
                <w:rFonts w:ascii="Arial" w:cs="Arial" w:eastAsia="Arial" w:hAnsi="Arial"/>
                <w:sz w:val="13"/>
                <w:szCs w:val="13"/>
                <w:color w:val="auto"/>
              </w:rPr>
              <w:t>Retired May 2018, Compensation and Succession</w:t>
            </w:r>
          </w:p>
        </w:tc>
        <w:tc>
          <w:tcPr>
            <w:tcW w:w="2420" w:type="dxa"/>
            <w:vAlign w:val="bottom"/>
          </w:tcPr>
          <w:p>
            <w:pPr>
              <w:jc w:val="right"/>
              <w:ind w:right="73"/>
              <w:spacing w:after="0"/>
              <w:rPr>
                <w:sz w:val="20"/>
                <w:szCs w:val="20"/>
                <w:color w:val="auto"/>
              </w:rPr>
            </w:pPr>
            <w:r>
              <w:rPr>
                <w:rFonts w:ascii="Arial" w:cs="Arial" w:eastAsia="Arial" w:hAnsi="Arial"/>
                <w:sz w:val="13"/>
                <w:szCs w:val="13"/>
                <w:color w:val="auto"/>
              </w:rPr>
              <w:t>75,000</w:t>
            </w:r>
          </w:p>
        </w:tc>
        <w:tc>
          <w:tcPr>
            <w:tcW w:w="760" w:type="dxa"/>
            <w:vAlign w:val="bottom"/>
          </w:tcPr>
          <w:p>
            <w:pPr>
              <w:jc w:val="right"/>
              <w:ind w:right="74"/>
              <w:spacing w:after="0"/>
              <w:rPr>
                <w:sz w:val="20"/>
                <w:szCs w:val="20"/>
                <w:color w:val="auto"/>
              </w:rPr>
            </w:pPr>
            <w:r>
              <w:rPr>
                <w:rFonts w:ascii="Arial" w:cs="Arial" w:eastAsia="Arial" w:hAnsi="Arial"/>
                <w:sz w:val="13"/>
                <w:szCs w:val="13"/>
                <w:color w:val="auto"/>
              </w:rPr>
              <w:t>0</w:t>
            </w:r>
          </w:p>
        </w:tc>
        <w:tc>
          <w:tcPr>
            <w:tcW w:w="1220" w:type="dxa"/>
            <w:vAlign w:val="bottom"/>
          </w:tcPr>
          <w:p>
            <w:pPr>
              <w:jc w:val="right"/>
              <w:ind w:right="73"/>
              <w:spacing w:after="0"/>
              <w:rPr>
                <w:sz w:val="20"/>
                <w:szCs w:val="20"/>
                <w:color w:val="auto"/>
              </w:rPr>
            </w:pPr>
            <w:r>
              <w:rPr>
                <w:rFonts w:ascii="Arial" w:cs="Arial" w:eastAsia="Arial" w:hAnsi="Arial"/>
                <w:sz w:val="13"/>
                <w:szCs w:val="13"/>
                <w:color w:val="auto"/>
              </w:rPr>
              <w:t>10,000</w:t>
            </w:r>
          </w:p>
        </w:tc>
        <w:tc>
          <w:tcPr>
            <w:tcW w:w="700" w:type="dxa"/>
            <w:vAlign w:val="bottom"/>
          </w:tcPr>
          <w:p>
            <w:pPr>
              <w:jc w:val="right"/>
              <w:ind w:right="13"/>
              <w:spacing w:after="0"/>
              <w:rPr>
                <w:sz w:val="20"/>
                <w:szCs w:val="20"/>
                <w:color w:val="auto"/>
              </w:rPr>
            </w:pPr>
            <w:r>
              <w:rPr>
                <w:rFonts w:ascii="Arial" w:cs="Arial" w:eastAsia="Arial" w:hAnsi="Arial"/>
                <w:sz w:val="13"/>
                <w:szCs w:val="13"/>
                <w:color w:val="auto"/>
              </w:rPr>
              <w:t>85,000</w:t>
            </w:r>
          </w:p>
        </w:tc>
      </w:tr>
      <w:tr>
        <w:trPr>
          <w:trHeight w:val="243"/>
        </w:trPr>
        <w:tc>
          <w:tcPr>
            <w:tcW w:w="1660" w:type="dxa"/>
            <w:vAlign w:val="bottom"/>
          </w:tcPr>
          <w:p>
            <w:pPr>
              <w:spacing w:after="0"/>
              <w:rPr>
                <w:sz w:val="21"/>
                <w:szCs w:val="21"/>
                <w:color w:val="auto"/>
              </w:rPr>
            </w:pPr>
          </w:p>
        </w:tc>
        <w:tc>
          <w:tcPr>
            <w:tcW w:w="4660" w:type="dxa"/>
            <w:vAlign w:val="bottom"/>
          </w:tcPr>
          <w:p>
            <w:pPr>
              <w:ind w:left="360"/>
              <w:spacing w:after="0"/>
              <w:rPr>
                <w:sz w:val="20"/>
                <w:szCs w:val="20"/>
                <w:color w:val="auto"/>
              </w:rPr>
            </w:pPr>
            <w:r>
              <w:rPr>
                <w:rFonts w:ascii="Arial" w:cs="Arial" w:eastAsia="Arial" w:hAnsi="Arial"/>
                <w:sz w:val="13"/>
                <w:szCs w:val="13"/>
                <w:color w:val="auto"/>
              </w:rPr>
              <w:t>Committee Chair (January – May)</w:t>
            </w:r>
          </w:p>
        </w:tc>
        <w:tc>
          <w:tcPr>
            <w:tcW w:w="2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41"/>
        </w:trPr>
        <w:tc>
          <w:tcPr>
            <w:tcW w:w="1660" w:type="dxa"/>
            <w:vAlign w:val="bottom"/>
            <w:tcBorders>
              <w:bottom w:val="single" w:sz="8" w:color="DFF1FB"/>
            </w:tcBorders>
          </w:tcPr>
          <w:p>
            <w:pPr>
              <w:spacing w:after="0"/>
              <w:rPr>
                <w:sz w:val="3"/>
                <w:szCs w:val="3"/>
                <w:color w:val="auto"/>
              </w:rPr>
            </w:pPr>
          </w:p>
        </w:tc>
        <w:tc>
          <w:tcPr>
            <w:tcW w:w="4660" w:type="dxa"/>
            <w:vAlign w:val="bottom"/>
            <w:tcBorders>
              <w:bottom w:val="single" w:sz="8" w:color="DFF1FB"/>
            </w:tcBorders>
          </w:tcPr>
          <w:p>
            <w:pPr>
              <w:spacing w:after="0"/>
              <w:rPr>
                <w:sz w:val="3"/>
                <w:szCs w:val="3"/>
                <w:color w:val="auto"/>
              </w:rPr>
            </w:pPr>
          </w:p>
        </w:tc>
        <w:tc>
          <w:tcPr>
            <w:tcW w:w="2420" w:type="dxa"/>
            <w:vAlign w:val="bottom"/>
            <w:tcBorders>
              <w:bottom w:val="single" w:sz="8" w:color="DFF1FB"/>
            </w:tcBorders>
          </w:tcPr>
          <w:p>
            <w:pPr>
              <w:spacing w:after="0"/>
              <w:rPr>
                <w:sz w:val="3"/>
                <w:szCs w:val="3"/>
                <w:color w:val="auto"/>
              </w:rPr>
            </w:pPr>
          </w:p>
        </w:tc>
        <w:tc>
          <w:tcPr>
            <w:tcW w:w="760" w:type="dxa"/>
            <w:vAlign w:val="bottom"/>
            <w:tcBorders>
              <w:bottom w:val="single" w:sz="8" w:color="DFF1FB"/>
            </w:tcBorders>
          </w:tcPr>
          <w:p>
            <w:pPr>
              <w:spacing w:after="0"/>
              <w:rPr>
                <w:sz w:val="3"/>
                <w:szCs w:val="3"/>
                <w:color w:val="auto"/>
              </w:rPr>
            </w:pPr>
          </w:p>
        </w:tc>
        <w:tc>
          <w:tcPr>
            <w:tcW w:w="1220" w:type="dxa"/>
            <w:vAlign w:val="bottom"/>
            <w:tcBorders>
              <w:bottom w:val="single" w:sz="8" w:color="DFF1FB"/>
            </w:tcBorders>
          </w:tcPr>
          <w:p>
            <w:pPr>
              <w:spacing w:after="0"/>
              <w:rPr>
                <w:sz w:val="3"/>
                <w:szCs w:val="3"/>
                <w:color w:val="auto"/>
              </w:rPr>
            </w:pPr>
          </w:p>
        </w:tc>
        <w:tc>
          <w:tcPr>
            <w:tcW w:w="700" w:type="dxa"/>
            <w:vAlign w:val="bottom"/>
            <w:tcBorders>
              <w:bottom w:val="single" w:sz="8" w:color="DFF1FB"/>
            </w:tcBorders>
          </w:tcPr>
          <w:p>
            <w:pPr>
              <w:spacing w:after="0"/>
              <w:rPr>
                <w:sz w:val="3"/>
                <w:szCs w:val="3"/>
                <w:color w:val="auto"/>
              </w:rPr>
            </w:pPr>
          </w:p>
        </w:tc>
      </w:tr>
      <w:tr>
        <w:trPr>
          <w:trHeight w:val="195"/>
        </w:trPr>
        <w:tc>
          <w:tcPr>
            <w:tcW w:w="1660" w:type="dxa"/>
            <w:vAlign w:val="bottom"/>
          </w:tcPr>
          <w:p>
            <w:pPr>
              <w:ind w:left="80"/>
              <w:spacing w:after="0"/>
              <w:rPr>
                <w:sz w:val="20"/>
                <w:szCs w:val="20"/>
                <w:color w:val="auto"/>
              </w:rPr>
            </w:pPr>
            <w:r>
              <w:rPr>
                <w:rFonts w:ascii="Arial" w:cs="Arial" w:eastAsia="Arial" w:hAnsi="Arial"/>
                <w:sz w:val="13"/>
                <w:szCs w:val="13"/>
                <w:b w:val="1"/>
                <w:bCs w:val="1"/>
                <w:color w:val="105EAB"/>
              </w:rPr>
              <w:t>Gregg M. Sherrill</w:t>
            </w:r>
          </w:p>
        </w:tc>
        <w:tc>
          <w:tcPr>
            <w:tcW w:w="4660" w:type="dxa"/>
            <w:vAlign w:val="bottom"/>
          </w:tcPr>
          <w:p>
            <w:pPr>
              <w:spacing w:after="0"/>
              <w:rPr>
                <w:sz w:val="16"/>
                <w:szCs w:val="16"/>
                <w:color w:val="auto"/>
              </w:rPr>
            </w:pPr>
          </w:p>
        </w:tc>
        <w:tc>
          <w:tcPr>
            <w:tcW w:w="2420" w:type="dxa"/>
            <w:vAlign w:val="bottom"/>
          </w:tcPr>
          <w:p>
            <w:pPr>
              <w:jc w:val="right"/>
              <w:ind w:right="73"/>
              <w:spacing w:after="0"/>
              <w:rPr>
                <w:sz w:val="20"/>
                <w:szCs w:val="20"/>
                <w:color w:val="auto"/>
              </w:rPr>
            </w:pPr>
            <w:r>
              <w:rPr>
                <w:rFonts w:ascii="Arial" w:cs="Arial" w:eastAsia="Arial" w:hAnsi="Arial"/>
                <w:sz w:val="13"/>
                <w:szCs w:val="13"/>
                <w:color w:val="auto"/>
              </w:rPr>
              <w:t>125,000</w:t>
            </w:r>
          </w:p>
        </w:tc>
        <w:tc>
          <w:tcPr>
            <w:tcW w:w="760" w:type="dxa"/>
            <w:vAlign w:val="bottom"/>
          </w:tcPr>
          <w:p>
            <w:pPr>
              <w:jc w:val="right"/>
              <w:ind w:right="74"/>
              <w:spacing w:after="0"/>
              <w:rPr>
                <w:sz w:val="20"/>
                <w:szCs w:val="20"/>
                <w:color w:val="auto"/>
              </w:rPr>
            </w:pPr>
            <w:r>
              <w:rPr>
                <w:rFonts w:ascii="Arial" w:cs="Arial" w:eastAsia="Arial" w:hAnsi="Arial"/>
                <w:sz w:val="13"/>
                <w:szCs w:val="13"/>
                <w:color w:val="auto"/>
              </w:rPr>
              <w:t>155,057</w:t>
            </w:r>
          </w:p>
        </w:tc>
        <w:tc>
          <w:tcPr>
            <w:tcW w:w="122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3"/>
              <w:spacing w:after="0"/>
              <w:rPr>
                <w:sz w:val="20"/>
                <w:szCs w:val="20"/>
                <w:color w:val="auto"/>
              </w:rPr>
            </w:pPr>
            <w:r>
              <w:rPr>
                <w:rFonts w:ascii="Arial" w:cs="Arial" w:eastAsia="Arial" w:hAnsi="Arial"/>
                <w:sz w:val="13"/>
                <w:szCs w:val="13"/>
                <w:color w:val="auto"/>
              </w:rPr>
              <w:t>280,057</w:t>
            </w:r>
          </w:p>
        </w:tc>
      </w:tr>
      <w:tr>
        <w:trPr>
          <w:trHeight w:val="41"/>
        </w:trPr>
        <w:tc>
          <w:tcPr>
            <w:tcW w:w="1660" w:type="dxa"/>
            <w:vAlign w:val="bottom"/>
            <w:tcBorders>
              <w:bottom w:val="single" w:sz="8" w:color="DFF1FB"/>
            </w:tcBorders>
          </w:tcPr>
          <w:p>
            <w:pPr>
              <w:spacing w:after="0"/>
              <w:rPr>
                <w:sz w:val="3"/>
                <w:szCs w:val="3"/>
                <w:color w:val="auto"/>
              </w:rPr>
            </w:pPr>
          </w:p>
        </w:tc>
        <w:tc>
          <w:tcPr>
            <w:tcW w:w="4660" w:type="dxa"/>
            <w:vAlign w:val="bottom"/>
            <w:tcBorders>
              <w:bottom w:val="single" w:sz="8" w:color="DFF1FB"/>
            </w:tcBorders>
          </w:tcPr>
          <w:p>
            <w:pPr>
              <w:spacing w:after="0"/>
              <w:rPr>
                <w:sz w:val="3"/>
                <w:szCs w:val="3"/>
                <w:color w:val="auto"/>
              </w:rPr>
            </w:pPr>
          </w:p>
        </w:tc>
        <w:tc>
          <w:tcPr>
            <w:tcW w:w="2420" w:type="dxa"/>
            <w:vAlign w:val="bottom"/>
            <w:tcBorders>
              <w:bottom w:val="single" w:sz="8" w:color="DFF1FB"/>
            </w:tcBorders>
          </w:tcPr>
          <w:p>
            <w:pPr>
              <w:spacing w:after="0"/>
              <w:rPr>
                <w:sz w:val="3"/>
                <w:szCs w:val="3"/>
                <w:color w:val="auto"/>
              </w:rPr>
            </w:pPr>
          </w:p>
        </w:tc>
        <w:tc>
          <w:tcPr>
            <w:tcW w:w="760" w:type="dxa"/>
            <w:vAlign w:val="bottom"/>
            <w:tcBorders>
              <w:bottom w:val="single" w:sz="8" w:color="DFF1FB"/>
            </w:tcBorders>
          </w:tcPr>
          <w:p>
            <w:pPr>
              <w:spacing w:after="0"/>
              <w:rPr>
                <w:sz w:val="3"/>
                <w:szCs w:val="3"/>
                <w:color w:val="auto"/>
              </w:rPr>
            </w:pPr>
          </w:p>
        </w:tc>
        <w:tc>
          <w:tcPr>
            <w:tcW w:w="1220" w:type="dxa"/>
            <w:vAlign w:val="bottom"/>
            <w:tcBorders>
              <w:bottom w:val="single" w:sz="8" w:color="DFF1FB"/>
            </w:tcBorders>
          </w:tcPr>
          <w:p>
            <w:pPr>
              <w:spacing w:after="0"/>
              <w:rPr>
                <w:sz w:val="3"/>
                <w:szCs w:val="3"/>
                <w:color w:val="auto"/>
              </w:rPr>
            </w:pPr>
          </w:p>
        </w:tc>
        <w:tc>
          <w:tcPr>
            <w:tcW w:w="700" w:type="dxa"/>
            <w:vAlign w:val="bottom"/>
            <w:tcBorders>
              <w:bottom w:val="single" w:sz="8" w:color="DFF1FB"/>
            </w:tcBorders>
          </w:tcPr>
          <w:p>
            <w:pPr>
              <w:spacing w:after="0"/>
              <w:rPr>
                <w:sz w:val="3"/>
                <w:szCs w:val="3"/>
                <w:color w:val="auto"/>
              </w:rPr>
            </w:pPr>
          </w:p>
        </w:tc>
      </w:tr>
      <w:tr>
        <w:trPr>
          <w:trHeight w:val="195"/>
        </w:trPr>
        <w:tc>
          <w:tcPr>
            <w:tcW w:w="1660" w:type="dxa"/>
            <w:vAlign w:val="bottom"/>
          </w:tcPr>
          <w:p>
            <w:pPr>
              <w:ind w:left="80"/>
              <w:spacing w:after="0"/>
              <w:rPr>
                <w:sz w:val="20"/>
                <w:szCs w:val="20"/>
                <w:color w:val="auto"/>
              </w:rPr>
            </w:pPr>
            <w:r>
              <w:rPr>
                <w:rFonts w:ascii="Arial" w:cs="Arial" w:eastAsia="Arial" w:hAnsi="Arial"/>
                <w:sz w:val="13"/>
                <w:szCs w:val="13"/>
                <w:b w:val="1"/>
                <w:bCs w:val="1"/>
                <w:color w:val="105EAB"/>
              </w:rPr>
              <w:t>Judith A. Sprieser</w:t>
            </w:r>
          </w:p>
        </w:tc>
        <w:tc>
          <w:tcPr>
            <w:tcW w:w="4660" w:type="dxa"/>
            <w:vAlign w:val="bottom"/>
          </w:tcPr>
          <w:p>
            <w:pPr>
              <w:ind w:left="360"/>
              <w:spacing w:after="0"/>
              <w:rPr>
                <w:sz w:val="20"/>
                <w:szCs w:val="20"/>
                <w:color w:val="auto"/>
              </w:rPr>
            </w:pPr>
            <w:r>
              <w:rPr>
                <w:rFonts w:ascii="Arial" w:cs="Arial" w:eastAsia="Arial" w:hAnsi="Arial"/>
                <w:sz w:val="13"/>
                <w:szCs w:val="13"/>
                <w:color w:val="auto"/>
              </w:rPr>
              <w:t>Lead Director</w:t>
            </w:r>
          </w:p>
        </w:tc>
        <w:tc>
          <w:tcPr>
            <w:tcW w:w="2420" w:type="dxa"/>
            <w:vAlign w:val="bottom"/>
          </w:tcPr>
          <w:p>
            <w:pPr>
              <w:jc w:val="right"/>
              <w:ind w:right="73"/>
              <w:spacing w:after="0"/>
              <w:rPr>
                <w:sz w:val="20"/>
                <w:szCs w:val="20"/>
                <w:color w:val="auto"/>
              </w:rPr>
            </w:pPr>
            <w:r>
              <w:rPr>
                <w:rFonts w:ascii="Arial" w:cs="Arial" w:eastAsia="Arial" w:hAnsi="Arial"/>
                <w:sz w:val="13"/>
                <w:szCs w:val="13"/>
                <w:color w:val="auto"/>
              </w:rPr>
              <w:t>175,000</w:t>
            </w:r>
          </w:p>
        </w:tc>
        <w:tc>
          <w:tcPr>
            <w:tcW w:w="760" w:type="dxa"/>
            <w:vAlign w:val="bottom"/>
          </w:tcPr>
          <w:p>
            <w:pPr>
              <w:jc w:val="right"/>
              <w:ind w:right="74"/>
              <w:spacing w:after="0"/>
              <w:rPr>
                <w:sz w:val="20"/>
                <w:szCs w:val="20"/>
                <w:color w:val="auto"/>
              </w:rPr>
            </w:pPr>
            <w:r>
              <w:rPr>
                <w:rFonts w:ascii="Arial" w:cs="Arial" w:eastAsia="Arial" w:hAnsi="Arial"/>
                <w:sz w:val="13"/>
                <w:szCs w:val="13"/>
                <w:color w:val="auto"/>
              </w:rPr>
              <w:t>155,057</w:t>
            </w:r>
          </w:p>
        </w:tc>
        <w:tc>
          <w:tcPr>
            <w:tcW w:w="122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3"/>
              <w:spacing w:after="0"/>
              <w:rPr>
                <w:sz w:val="20"/>
                <w:szCs w:val="20"/>
                <w:color w:val="auto"/>
              </w:rPr>
            </w:pPr>
            <w:r>
              <w:rPr>
                <w:rFonts w:ascii="Arial" w:cs="Arial" w:eastAsia="Arial" w:hAnsi="Arial"/>
                <w:sz w:val="13"/>
                <w:szCs w:val="13"/>
                <w:color w:val="auto"/>
              </w:rPr>
              <w:t>330,057</w:t>
            </w:r>
          </w:p>
        </w:tc>
      </w:tr>
      <w:tr>
        <w:trPr>
          <w:trHeight w:val="41"/>
        </w:trPr>
        <w:tc>
          <w:tcPr>
            <w:tcW w:w="1660" w:type="dxa"/>
            <w:vAlign w:val="bottom"/>
            <w:tcBorders>
              <w:bottom w:val="single" w:sz="8" w:color="DFF1FB"/>
            </w:tcBorders>
          </w:tcPr>
          <w:p>
            <w:pPr>
              <w:spacing w:after="0"/>
              <w:rPr>
                <w:sz w:val="3"/>
                <w:szCs w:val="3"/>
                <w:color w:val="auto"/>
              </w:rPr>
            </w:pPr>
          </w:p>
        </w:tc>
        <w:tc>
          <w:tcPr>
            <w:tcW w:w="4660" w:type="dxa"/>
            <w:vAlign w:val="bottom"/>
            <w:tcBorders>
              <w:bottom w:val="single" w:sz="8" w:color="DFF1FB"/>
            </w:tcBorders>
          </w:tcPr>
          <w:p>
            <w:pPr>
              <w:spacing w:after="0"/>
              <w:rPr>
                <w:sz w:val="3"/>
                <w:szCs w:val="3"/>
                <w:color w:val="auto"/>
              </w:rPr>
            </w:pPr>
          </w:p>
        </w:tc>
        <w:tc>
          <w:tcPr>
            <w:tcW w:w="2420" w:type="dxa"/>
            <w:vAlign w:val="bottom"/>
            <w:tcBorders>
              <w:bottom w:val="single" w:sz="8" w:color="DFF1FB"/>
            </w:tcBorders>
          </w:tcPr>
          <w:p>
            <w:pPr>
              <w:spacing w:after="0"/>
              <w:rPr>
                <w:sz w:val="3"/>
                <w:szCs w:val="3"/>
                <w:color w:val="auto"/>
              </w:rPr>
            </w:pPr>
          </w:p>
        </w:tc>
        <w:tc>
          <w:tcPr>
            <w:tcW w:w="760" w:type="dxa"/>
            <w:vAlign w:val="bottom"/>
            <w:tcBorders>
              <w:bottom w:val="single" w:sz="8" w:color="DFF1FB"/>
            </w:tcBorders>
          </w:tcPr>
          <w:p>
            <w:pPr>
              <w:spacing w:after="0"/>
              <w:rPr>
                <w:sz w:val="3"/>
                <w:szCs w:val="3"/>
                <w:color w:val="auto"/>
              </w:rPr>
            </w:pPr>
          </w:p>
        </w:tc>
        <w:tc>
          <w:tcPr>
            <w:tcW w:w="1220" w:type="dxa"/>
            <w:vAlign w:val="bottom"/>
            <w:tcBorders>
              <w:bottom w:val="single" w:sz="8" w:color="DFF1FB"/>
            </w:tcBorders>
          </w:tcPr>
          <w:p>
            <w:pPr>
              <w:spacing w:after="0"/>
              <w:rPr>
                <w:sz w:val="3"/>
                <w:szCs w:val="3"/>
                <w:color w:val="auto"/>
              </w:rPr>
            </w:pPr>
          </w:p>
        </w:tc>
        <w:tc>
          <w:tcPr>
            <w:tcW w:w="700" w:type="dxa"/>
            <w:vAlign w:val="bottom"/>
            <w:tcBorders>
              <w:bottom w:val="single" w:sz="8" w:color="DFF1FB"/>
            </w:tcBorders>
          </w:tcPr>
          <w:p>
            <w:pPr>
              <w:spacing w:after="0"/>
              <w:rPr>
                <w:sz w:val="3"/>
                <w:szCs w:val="3"/>
                <w:color w:val="auto"/>
              </w:rPr>
            </w:pPr>
          </w:p>
        </w:tc>
      </w:tr>
      <w:tr>
        <w:trPr>
          <w:trHeight w:val="195"/>
        </w:trPr>
        <w:tc>
          <w:tcPr>
            <w:tcW w:w="1660" w:type="dxa"/>
            <w:vAlign w:val="bottom"/>
          </w:tcPr>
          <w:p>
            <w:pPr>
              <w:ind w:left="80"/>
              <w:spacing w:after="0"/>
              <w:rPr>
                <w:sz w:val="20"/>
                <w:szCs w:val="20"/>
                <w:color w:val="auto"/>
              </w:rPr>
            </w:pPr>
            <w:r>
              <w:rPr>
                <w:rFonts w:ascii="Arial" w:cs="Arial" w:eastAsia="Arial" w:hAnsi="Arial"/>
                <w:sz w:val="13"/>
                <w:szCs w:val="13"/>
                <w:b w:val="1"/>
                <w:bCs w:val="1"/>
                <w:color w:val="105EAB"/>
              </w:rPr>
              <w:t>Mary Alice Taylor</w:t>
            </w:r>
          </w:p>
        </w:tc>
        <w:tc>
          <w:tcPr>
            <w:tcW w:w="4660" w:type="dxa"/>
            <w:vAlign w:val="bottom"/>
          </w:tcPr>
          <w:p>
            <w:pPr>
              <w:ind w:left="360"/>
              <w:spacing w:after="0"/>
              <w:rPr>
                <w:sz w:val="20"/>
                <w:szCs w:val="20"/>
                <w:color w:val="auto"/>
              </w:rPr>
            </w:pPr>
            <w:r>
              <w:rPr>
                <w:rFonts w:ascii="Arial" w:cs="Arial" w:eastAsia="Arial" w:hAnsi="Arial"/>
                <w:sz w:val="13"/>
                <w:szCs w:val="13"/>
                <w:color w:val="auto"/>
              </w:rPr>
              <w:t>Retired May 2018, Audit Committee Chair</w:t>
            </w:r>
          </w:p>
        </w:tc>
        <w:tc>
          <w:tcPr>
            <w:tcW w:w="2420" w:type="dxa"/>
            <w:vAlign w:val="bottom"/>
          </w:tcPr>
          <w:p>
            <w:pPr>
              <w:jc w:val="right"/>
              <w:ind w:right="73"/>
              <w:spacing w:after="0"/>
              <w:rPr>
                <w:sz w:val="20"/>
                <w:szCs w:val="20"/>
                <w:color w:val="auto"/>
              </w:rPr>
            </w:pPr>
            <w:r>
              <w:rPr>
                <w:rFonts w:ascii="Arial" w:cs="Arial" w:eastAsia="Arial" w:hAnsi="Arial"/>
                <w:sz w:val="13"/>
                <w:szCs w:val="13"/>
                <w:color w:val="auto"/>
              </w:rPr>
              <w:t>80,000</w:t>
            </w:r>
          </w:p>
        </w:tc>
        <w:tc>
          <w:tcPr>
            <w:tcW w:w="760" w:type="dxa"/>
            <w:vAlign w:val="bottom"/>
          </w:tcPr>
          <w:p>
            <w:pPr>
              <w:jc w:val="right"/>
              <w:ind w:right="74"/>
              <w:spacing w:after="0"/>
              <w:rPr>
                <w:sz w:val="20"/>
                <w:szCs w:val="20"/>
                <w:color w:val="auto"/>
              </w:rPr>
            </w:pPr>
            <w:r>
              <w:rPr>
                <w:rFonts w:ascii="Arial" w:cs="Arial" w:eastAsia="Arial" w:hAnsi="Arial"/>
                <w:sz w:val="13"/>
                <w:szCs w:val="13"/>
                <w:color w:val="auto"/>
              </w:rPr>
              <w:t>0</w:t>
            </w:r>
          </w:p>
        </w:tc>
        <w:tc>
          <w:tcPr>
            <w:tcW w:w="1220" w:type="dxa"/>
            <w:vAlign w:val="bottom"/>
          </w:tcPr>
          <w:p>
            <w:pPr>
              <w:jc w:val="right"/>
              <w:ind w:right="73"/>
              <w:spacing w:after="0"/>
              <w:rPr>
                <w:sz w:val="20"/>
                <w:szCs w:val="20"/>
                <w:color w:val="auto"/>
              </w:rPr>
            </w:pPr>
            <w:r>
              <w:rPr>
                <w:rFonts w:ascii="Arial" w:cs="Arial" w:eastAsia="Arial" w:hAnsi="Arial"/>
                <w:sz w:val="13"/>
                <w:szCs w:val="13"/>
                <w:color w:val="auto"/>
              </w:rPr>
              <w:t>10,000</w:t>
            </w:r>
          </w:p>
        </w:tc>
        <w:tc>
          <w:tcPr>
            <w:tcW w:w="700" w:type="dxa"/>
            <w:vAlign w:val="bottom"/>
          </w:tcPr>
          <w:p>
            <w:pPr>
              <w:jc w:val="right"/>
              <w:ind w:right="13"/>
              <w:spacing w:after="0"/>
              <w:rPr>
                <w:sz w:val="20"/>
                <w:szCs w:val="20"/>
                <w:color w:val="auto"/>
              </w:rPr>
            </w:pPr>
            <w:r>
              <w:rPr>
                <w:rFonts w:ascii="Arial" w:cs="Arial" w:eastAsia="Arial" w:hAnsi="Arial"/>
                <w:sz w:val="13"/>
                <w:szCs w:val="13"/>
                <w:color w:val="auto"/>
              </w:rPr>
              <w:t>90,000</w:t>
            </w:r>
          </w:p>
        </w:tc>
      </w:tr>
      <w:tr>
        <w:trPr>
          <w:trHeight w:val="243"/>
        </w:trPr>
        <w:tc>
          <w:tcPr>
            <w:tcW w:w="1660" w:type="dxa"/>
            <w:vAlign w:val="bottom"/>
          </w:tcPr>
          <w:p>
            <w:pPr>
              <w:spacing w:after="0"/>
              <w:rPr>
                <w:sz w:val="21"/>
                <w:szCs w:val="21"/>
                <w:color w:val="auto"/>
              </w:rPr>
            </w:pPr>
          </w:p>
        </w:tc>
        <w:tc>
          <w:tcPr>
            <w:tcW w:w="4660" w:type="dxa"/>
            <w:vAlign w:val="bottom"/>
          </w:tcPr>
          <w:p>
            <w:pPr>
              <w:ind w:left="360"/>
              <w:spacing w:after="0"/>
              <w:rPr>
                <w:sz w:val="20"/>
                <w:szCs w:val="20"/>
                <w:color w:val="auto"/>
              </w:rPr>
            </w:pPr>
            <w:r>
              <w:rPr>
                <w:rFonts w:ascii="Arial" w:cs="Arial" w:eastAsia="Arial" w:hAnsi="Arial"/>
                <w:sz w:val="13"/>
                <w:szCs w:val="13"/>
                <w:color w:val="auto"/>
              </w:rPr>
              <w:t>(January – May)</w:t>
            </w:r>
          </w:p>
        </w:tc>
        <w:tc>
          <w:tcPr>
            <w:tcW w:w="2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41"/>
        </w:trPr>
        <w:tc>
          <w:tcPr>
            <w:tcW w:w="1660" w:type="dxa"/>
            <w:vAlign w:val="bottom"/>
            <w:tcBorders>
              <w:bottom w:val="single" w:sz="8" w:color="DFF1FB"/>
            </w:tcBorders>
          </w:tcPr>
          <w:p>
            <w:pPr>
              <w:spacing w:after="0"/>
              <w:rPr>
                <w:sz w:val="3"/>
                <w:szCs w:val="3"/>
                <w:color w:val="auto"/>
              </w:rPr>
            </w:pPr>
          </w:p>
        </w:tc>
        <w:tc>
          <w:tcPr>
            <w:tcW w:w="4660" w:type="dxa"/>
            <w:vAlign w:val="bottom"/>
            <w:tcBorders>
              <w:bottom w:val="single" w:sz="8" w:color="DFF1FB"/>
            </w:tcBorders>
          </w:tcPr>
          <w:p>
            <w:pPr>
              <w:spacing w:after="0"/>
              <w:rPr>
                <w:sz w:val="3"/>
                <w:szCs w:val="3"/>
                <w:color w:val="auto"/>
              </w:rPr>
            </w:pPr>
          </w:p>
        </w:tc>
        <w:tc>
          <w:tcPr>
            <w:tcW w:w="2420" w:type="dxa"/>
            <w:vAlign w:val="bottom"/>
            <w:tcBorders>
              <w:bottom w:val="single" w:sz="8" w:color="DFF1FB"/>
            </w:tcBorders>
          </w:tcPr>
          <w:p>
            <w:pPr>
              <w:spacing w:after="0"/>
              <w:rPr>
                <w:sz w:val="3"/>
                <w:szCs w:val="3"/>
                <w:color w:val="auto"/>
              </w:rPr>
            </w:pPr>
          </w:p>
        </w:tc>
        <w:tc>
          <w:tcPr>
            <w:tcW w:w="760" w:type="dxa"/>
            <w:vAlign w:val="bottom"/>
            <w:tcBorders>
              <w:bottom w:val="single" w:sz="8" w:color="DFF1FB"/>
            </w:tcBorders>
          </w:tcPr>
          <w:p>
            <w:pPr>
              <w:spacing w:after="0"/>
              <w:rPr>
                <w:sz w:val="3"/>
                <w:szCs w:val="3"/>
                <w:color w:val="auto"/>
              </w:rPr>
            </w:pPr>
          </w:p>
        </w:tc>
        <w:tc>
          <w:tcPr>
            <w:tcW w:w="1220" w:type="dxa"/>
            <w:vAlign w:val="bottom"/>
            <w:tcBorders>
              <w:bottom w:val="single" w:sz="8" w:color="DFF1FB"/>
            </w:tcBorders>
          </w:tcPr>
          <w:p>
            <w:pPr>
              <w:spacing w:after="0"/>
              <w:rPr>
                <w:sz w:val="3"/>
                <w:szCs w:val="3"/>
                <w:color w:val="auto"/>
              </w:rPr>
            </w:pPr>
          </w:p>
        </w:tc>
        <w:tc>
          <w:tcPr>
            <w:tcW w:w="700" w:type="dxa"/>
            <w:vAlign w:val="bottom"/>
            <w:tcBorders>
              <w:bottom w:val="single" w:sz="8" w:color="DFF1FB"/>
            </w:tcBorders>
          </w:tcPr>
          <w:p>
            <w:pPr>
              <w:spacing w:after="0"/>
              <w:rPr>
                <w:sz w:val="3"/>
                <w:szCs w:val="3"/>
                <w:color w:val="auto"/>
              </w:rPr>
            </w:pPr>
          </w:p>
        </w:tc>
      </w:tr>
      <w:tr>
        <w:trPr>
          <w:trHeight w:val="195"/>
        </w:trPr>
        <w:tc>
          <w:tcPr>
            <w:tcW w:w="1660" w:type="dxa"/>
            <w:vAlign w:val="bottom"/>
          </w:tcPr>
          <w:p>
            <w:pPr>
              <w:ind w:left="80"/>
              <w:spacing w:after="0"/>
              <w:rPr>
                <w:sz w:val="20"/>
                <w:szCs w:val="20"/>
                <w:color w:val="auto"/>
              </w:rPr>
            </w:pPr>
            <w:r>
              <w:rPr>
                <w:rFonts w:ascii="Arial" w:cs="Arial" w:eastAsia="Arial" w:hAnsi="Arial"/>
                <w:sz w:val="13"/>
                <w:szCs w:val="13"/>
                <w:b w:val="1"/>
                <w:bCs w:val="1"/>
                <w:color w:val="105EAB"/>
              </w:rPr>
              <w:t>Perry M. Traquina</w:t>
            </w:r>
          </w:p>
        </w:tc>
        <w:tc>
          <w:tcPr>
            <w:tcW w:w="4660" w:type="dxa"/>
            <w:vAlign w:val="bottom"/>
          </w:tcPr>
          <w:p>
            <w:pPr>
              <w:spacing w:after="0"/>
              <w:rPr>
                <w:sz w:val="16"/>
                <w:szCs w:val="16"/>
                <w:color w:val="auto"/>
              </w:rPr>
            </w:pPr>
          </w:p>
        </w:tc>
        <w:tc>
          <w:tcPr>
            <w:tcW w:w="2420" w:type="dxa"/>
            <w:vAlign w:val="bottom"/>
          </w:tcPr>
          <w:p>
            <w:pPr>
              <w:jc w:val="right"/>
              <w:ind w:right="73"/>
              <w:spacing w:after="0"/>
              <w:rPr>
                <w:sz w:val="20"/>
                <w:szCs w:val="20"/>
                <w:color w:val="auto"/>
              </w:rPr>
            </w:pPr>
            <w:r>
              <w:rPr>
                <w:rFonts w:ascii="Arial" w:cs="Arial" w:eastAsia="Arial" w:hAnsi="Arial"/>
                <w:sz w:val="13"/>
                <w:szCs w:val="13"/>
                <w:color w:val="auto"/>
              </w:rPr>
              <w:t>125,000</w:t>
            </w:r>
          </w:p>
        </w:tc>
        <w:tc>
          <w:tcPr>
            <w:tcW w:w="760" w:type="dxa"/>
            <w:vAlign w:val="bottom"/>
          </w:tcPr>
          <w:p>
            <w:pPr>
              <w:jc w:val="right"/>
              <w:ind w:right="74"/>
              <w:spacing w:after="0"/>
              <w:rPr>
                <w:sz w:val="20"/>
                <w:szCs w:val="20"/>
                <w:color w:val="auto"/>
              </w:rPr>
            </w:pPr>
            <w:r>
              <w:rPr>
                <w:rFonts w:ascii="Arial" w:cs="Arial" w:eastAsia="Arial" w:hAnsi="Arial"/>
                <w:sz w:val="13"/>
                <w:szCs w:val="13"/>
                <w:color w:val="auto"/>
              </w:rPr>
              <w:t>155,057</w:t>
            </w:r>
          </w:p>
        </w:tc>
        <w:tc>
          <w:tcPr>
            <w:tcW w:w="122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3"/>
              <w:spacing w:after="0"/>
              <w:rPr>
                <w:sz w:val="20"/>
                <w:szCs w:val="20"/>
                <w:color w:val="auto"/>
              </w:rPr>
            </w:pPr>
            <w:r>
              <w:rPr>
                <w:rFonts w:ascii="Arial" w:cs="Arial" w:eastAsia="Arial" w:hAnsi="Arial"/>
                <w:sz w:val="13"/>
                <w:szCs w:val="13"/>
                <w:color w:val="auto"/>
              </w:rPr>
              <w:t>280,057</w:t>
            </w:r>
          </w:p>
        </w:tc>
      </w:tr>
      <w:tr>
        <w:trPr>
          <w:trHeight w:val="48"/>
        </w:trPr>
        <w:tc>
          <w:tcPr>
            <w:tcW w:w="1660" w:type="dxa"/>
            <w:vAlign w:val="bottom"/>
            <w:tcBorders>
              <w:bottom w:val="single" w:sz="8" w:color="105EAB"/>
            </w:tcBorders>
          </w:tcPr>
          <w:p>
            <w:pPr>
              <w:spacing w:after="0"/>
              <w:rPr>
                <w:sz w:val="4"/>
                <w:szCs w:val="4"/>
                <w:color w:val="auto"/>
              </w:rPr>
            </w:pPr>
          </w:p>
        </w:tc>
        <w:tc>
          <w:tcPr>
            <w:tcW w:w="4660" w:type="dxa"/>
            <w:vAlign w:val="bottom"/>
            <w:tcBorders>
              <w:bottom w:val="single" w:sz="8" w:color="105EAB"/>
            </w:tcBorders>
          </w:tcPr>
          <w:p>
            <w:pPr>
              <w:spacing w:after="0"/>
              <w:rPr>
                <w:sz w:val="4"/>
                <w:szCs w:val="4"/>
                <w:color w:val="auto"/>
              </w:rPr>
            </w:pPr>
          </w:p>
        </w:tc>
        <w:tc>
          <w:tcPr>
            <w:tcW w:w="2420" w:type="dxa"/>
            <w:vAlign w:val="bottom"/>
            <w:tcBorders>
              <w:bottom w:val="single" w:sz="8" w:color="105EAB"/>
            </w:tcBorders>
          </w:tcPr>
          <w:p>
            <w:pPr>
              <w:spacing w:after="0"/>
              <w:rPr>
                <w:sz w:val="4"/>
                <w:szCs w:val="4"/>
                <w:color w:val="auto"/>
              </w:rPr>
            </w:pPr>
          </w:p>
        </w:tc>
        <w:tc>
          <w:tcPr>
            <w:tcW w:w="760" w:type="dxa"/>
            <w:vAlign w:val="bottom"/>
            <w:tcBorders>
              <w:bottom w:val="single" w:sz="8" w:color="105EAB"/>
            </w:tcBorders>
          </w:tcPr>
          <w:p>
            <w:pPr>
              <w:spacing w:after="0"/>
              <w:rPr>
                <w:sz w:val="4"/>
                <w:szCs w:val="4"/>
                <w:color w:val="auto"/>
              </w:rPr>
            </w:pPr>
          </w:p>
        </w:tc>
        <w:tc>
          <w:tcPr>
            <w:tcW w:w="1220" w:type="dxa"/>
            <w:vAlign w:val="bottom"/>
            <w:tcBorders>
              <w:bottom w:val="single" w:sz="8" w:color="105EAB"/>
            </w:tcBorders>
          </w:tcPr>
          <w:p>
            <w:pPr>
              <w:spacing w:after="0"/>
              <w:rPr>
                <w:sz w:val="4"/>
                <w:szCs w:val="4"/>
                <w:color w:val="auto"/>
              </w:rPr>
            </w:pPr>
          </w:p>
        </w:tc>
        <w:tc>
          <w:tcPr>
            <w:tcW w:w="700" w:type="dxa"/>
            <w:vAlign w:val="bottom"/>
            <w:tcBorders>
              <w:bottom w:val="single" w:sz="8" w:color="105EAB"/>
            </w:tcBorders>
          </w:tcPr>
          <w:p>
            <w:pPr>
              <w:spacing w:after="0"/>
              <w:rPr>
                <w:sz w:val="4"/>
                <w:szCs w:val="4"/>
                <w:color w:val="auto"/>
              </w:rPr>
            </w:pPr>
          </w:p>
        </w:tc>
      </w:tr>
    </w:tbl>
    <w:p>
      <w:pPr>
        <w:spacing w:after="0" w:line="107" w:lineRule="exact"/>
        <w:rPr>
          <w:sz w:val="20"/>
          <w:szCs w:val="20"/>
          <w:color w:val="auto"/>
        </w:rPr>
      </w:pPr>
    </w:p>
    <w:p>
      <w:pPr>
        <w:ind w:left="300" w:right="60" w:hanging="292"/>
        <w:spacing w:after="0" w:line="241" w:lineRule="auto"/>
        <w:tabs>
          <w:tab w:leader="none" w:pos="300" w:val="left"/>
        </w:tabs>
        <w:numPr>
          <w:ilvl w:val="0"/>
          <w:numId w:val="132"/>
        </w:numPr>
        <w:rPr>
          <w:rFonts w:ascii="Arial" w:cs="Arial" w:eastAsia="Arial" w:hAnsi="Arial"/>
          <w:sz w:val="11"/>
          <w:szCs w:val="11"/>
          <w:color w:val="auto"/>
        </w:rPr>
      </w:pPr>
      <w:r>
        <w:rPr>
          <w:rFonts w:ascii="Arial" w:cs="Arial" w:eastAsia="Arial" w:hAnsi="Arial"/>
          <w:sz w:val="13"/>
          <w:szCs w:val="13"/>
          <w:color w:val="auto"/>
        </w:rPr>
        <w:t>Under the 2017 Equity Compensation Plan for Non-Employee Directors, directors may elect to receive Allstate common stock in lieu of cash compensation. In 2018, Margaret Keane elected to receive 50% of her retainer in stock and 50% in cash. Also, under Allstate’s Deferred Compensation Plan for Non-Employee Directors, directors may elect to defer their retainers to an account that is credited or debited, as applicable, based on (a) the fair market value of, and dividends paid on, Allstate common shares (common share units); (b) an average interest rate calculated on 90-day dealer commercial paper; (c) S&amp;P 500 Index, with dividends reinvested; or (d) a money market fund. No director has voting or investment powers in common share units, which are payable solely in cash. Subject to certain restrictions, amounts deferred under the plan, together with earnings thereon, may be transferred between accounts and are distributed after the director leaves the Board in a lump sum or over a period not in excess of ten years in accordance with the director’s instructions. For 2018, Messrs. Eskew and Traquina elected to defer their cash retainer into common share units. The accumulated amount of Allstate common share units as of December 31, 2018, for any directors previously electing to defer their cash retainer, is reflected in the table below.</w:t>
      </w:r>
    </w:p>
    <w:p>
      <w:pPr>
        <w:spacing w:after="0" w:line="212" w:lineRule="exact"/>
        <w:rPr>
          <w:sz w:val="20"/>
          <w:szCs w:val="20"/>
          <w:color w:val="auto"/>
        </w:rPr>
      </w:pPr>
    </w:p>
    <w:tbl>
      <w:tblPr>
        <w:tblLayout w:type="fixed"/>
        <w:tblInd w:w="280" w:type="dxa"/>
        <w:tblCellMar>
          <w:top w:w="0" w:type="dxa"/>
          <w:left w:w="0" w:type="dxa"/>
          <w:bottom w:w="0" w:type="dxa"/>
          <w:right w:w="0" w:type="dxa"/>
        </w:tblCellMar>
      </w:tblPr>
      <w:tr>
        <w:trPr>
          <w:trHeight w:val="149"/>
        </w:trPr>
        <w:tc>
          <w:tcPr>
            <w:tcW w:w="7840" w:type="dxa"/>
            <w:vAlign w:val="bottom"/>
          </w:tcPr>
          <w:p>
            <w:pPr>
              <w:spacing w:after="0"/>
              <w:rPr>
                <w:sz w:val="12"/>
                <w:szCs w:val="12"/>
                <w:color w:val="auto"/>
              </w:rPr>
            </w:pPr>
          </w:p>
        </w:tc>
        <w:tc>
          <w:tcPr>
            <w:tcW w:w="3300" w:type="dxa"/>
            <w:vAlign w:val="bottom"/>
          </w:tcPr>
          <w:p>
            <w:pPr>
              <w:jc w:val="right"/>
              <w:ind w:right="13"/>
              <w:spacing w:after="0"/>
              <w:rPr>
                <w:sz w:val="20"/>
                <w:szCs w:val="20"/>
                <w:color w:val="auto"/>
              </w:rPr>
            </w:pPr>
            <w:r>
              <w:rPr>
                <w:rFonts w:ascii="Arial" w:cs="Arial" w:eastAsia="Arial" w:hAnsi="Arial"/>
                <w:sz w:val="13"/>
                <w:szCs w:val="13"/>
                <w:b w:val="1"/>
                <w:bCs w:val="1"/>
                <w:color w:val="105EAB"/>
              </w:rPr>
              <w:t>Allstate</w:t>
            </w:r>
          </w:p>
        </w:tc>
      </w:tr>
      <w:tr>
        <w:trPr>
          <w:trHeight w:val="148"/>
        </w:trPr>
        <w:tc>
          <w:tcPr>
            <w:tcW w:w="7840" w:type="dxa"/>
            <w:vAlign w:val="bottom"/>
          </w:tcPr>
          <w:p>
            <w:pPr>
              <w:spacing w:after="0"/>
              <w:rPr>
                <w:sz w:val="12"/>
                <w:szCs w:val="12"/>
                <w:color w:val="auto"/>
              </w:rPr>
            </w:pPr>
          </w:p>
        </w:tc>
        <w:tc>
          <w:tcPr>
            <w:tcW w:w="3300" w:type="dxa"/>
            <w:vAlign w:val="bottom"/>
          </w:tcPr>
          <w:p>
            <w:pPr>
              <w:jc w:val="right"/>
              <w:ind w:right="13"/>
              <w:spacing w:after="0" w:line="149" w:lineRule="exact"/>
              <w:rPr>
                <w:sz w:val="20"/>
                <w:szCs w:val="20"/>
                <w:color w:val="auto"/>
              </w:rPr>
            </w:pPr>
            <w:r>
              <w:rPr>
                <w:rFonts w:ascii="Arial" w:cs="Arial" w:eastAsia="Arial" w:hAnsi="Arial"/>
                <w:sz w:val="13"/>
                <w:szCs w:val="13"/>
                <w:b w:val="1"/>
                <w:bCs w:val="1"/>
                <w:color w:val="105EAB"/>
              </w:rPr>
              <w:t>Common</w:t>
            </w:r>
          </w:p>
        </w:tc>
      </w:tr>
      <w:tr>
        <w:trPr>
          <w:trHeight w:val="148"/>
        </w:trPr>
        <w:tc>
          <w:tcPr>
            <w:tcW w:w="7840" w:type="dxa"/>
            <w:vAlign w:val="bottom"/>
          </w:tcPr>
          <w:p>
            <w:pPr>
              <w:spacing w:after="0"/>
              <w:rPr>
                <w:sz w:val="12"/>
                <w:szCs w:val="12"/>
                <w:color w:val="auto"/>
              </w:rPr>
            </w:pPr>
          </w:p>
        </w:tc>
        <w:tc>
          <w:tcPr>
            <w:tcW w:w="3300" w:type="dxa"/>
            <w:vAlign w:val="bottom"/>
          </w:tcPr>
          <w:p>
            <w:pPr>
              <w:jc w:val="right"/>
              <w:ind w:right="13"/>
              <w:spacing w:after="0" w:line="149" w:lineRule="exact"/>
              <w:rPr>
                <w:sz w:val="20"/>
                <w:szCs w:val="20"/>
                <w:color w:val="auto"/>
              </w:rPr>
            </w:pPr>
            <w:r>
              <w:rPr>
                <w:rFonts w:ascii="Arial" w:cs="Arial" w:eastAsia="Arial" w:hAnsi="Arial"/>
                <w:sz w:val="13"/>
                <w:szCs w:val="13"/>
                <w:b w:val="1"/>
                <w:bCs w:val="1"/>
                <w:color w:val="105EAB"/>
              </w:rPr>
              <w:t>Share Units</w:t>
            </w:r>
          </w:p>
        </w:tc>
      </w:tr>
      <w:tr>
        <w:trPr>
          <w:trHeight w:val="172"/>
        </w:trPr>
        <w:tc>
          <w:tcPr>
            <w:tcW w:w="7840" w:type="dxa"/>
            <w:vAlign w:val="bottom"/>
            <w:tcBorders>
              <w:bottom w:val="single" w:sz="8" w:color="105EAB"/>
            </w:tcBorders>
          </w:tcPr>
          <w:p>
            <w:pPr>
              <w:ind w:left="60"/>
              <w:spacing w:after="0"/>
              <w:rPr>
                <w:sz w:val="20"/>
                <w:szCs w:val="20"/>
                <w:color w:val="auto"/>
              </w:rPr>
            </w:pPr>
            <w:r>
              <w:rPr>
                <w:rFonts w:ascii="Arial" w:cs="Arial" w:eastAsia="Arial" w:hAnsi="Arial"/>
                <w:sz w:val="13"/>
                <w:szCs w:val="13"/>
                <w:b w:val="1"/>
                <w:bCs w:val="1"/>
                <w:color w:val="105EAB"/>
              </w:rPr>
              <w:t>Amounts Deferred under Deferred Compensation Plan for Non-Employee Directors</w:t>
            </w:r>
          </w:p>
        </w:tc>
        <w:tc>
          <w:tcPr>
            <w:tcW w:w="3300" w:type="dxa"/>
            <w:vAlign w:val="bottom"/>
            <w:tcBorders>
              <w:bottom w:val="single" w:sz="8" w:color="105EAB"/>
            </w:tcBorders>
          </w:tcPr>
          <w:p>
            <w:pPr>
              <w:jc w:val="right"/>
              <w:ind w:right="13"/>
              <w:spacing w:after="0"/>
              <w:rPr>
                <w:sz w:val="20"/>
                <w:szCs w:val="20"/>
                <w:color w:val="auto"/>
              </w:rPr>
            </w:pPr>
            <w:r>
              <w:rPr>
                <w:rFonts w:ascii="Arial" w:cs="Arial" w:eastAsia="Arial" w:hAnsi="Arial"/>
                <w:sz w:val="13"/>
                <w:szCs w:val="13"/>
                <w:b w:val="1"/>
                <w:bCs w:val="1"/>
                <w:color w:val="105EAB"/>
              </w:rPr>
              <w:t>(#)</w:t>
            </w:r>
          </w:p>
        </w:tc>
      </w:tr>
      <w:tr>
        <w:trPr>
          <w:trHeight w:val="202"/>
        </w:trPr>
        <w:tc>
          <w:tcPr>
            <w:tcW w:w="7840" w:type="dxa"/>
            <w:vAlign w:val="bottom"/>
          </w:tcPr>
          <w:p>
            <w:pPr>
              <w:ind w:left="60"/>
              <w:spacing w:after="0"/>
              <w:rPr>
                <w:sz w:val="20"/>
                <w:szCs w:val="20"/>
                <w:color w:val="auto"/>
              </w:rPr>
            </w:pPr>
            <w:r>
              <w:rPr>
                <w:rFonts w:ascii="Arial" w:cs="Arial" w:eastAsia="Arial" w:hAnsi="Arial"/>
                <w:sz w:val="13"/>
                <w:szCs w:val="13"/>
                <w:color w:val="auto"/>
              </w:rPr>
              <w:t>Mr. Eskew</w:t>
            </w:r>
          </w:p>
        </w:tc>
        <w:tc>
          <w:tcPr>
            <w:tcW w:w="3300" w:type="dxa"/>
            <w:vAlign w:val="bottom"/>
          </w:tcPr>
          <w:p>
            <w:pPr>
              <w:jc w:val="right"/>
              <w:ind w:right="13"/>
              <w:spacing w:after="0"/>
              <w:rPr>
                <w:sz w:val="20"/>
                <w:szCs w:val="20"/>
                <w:color w:val="auto"/>
              </w:rPr>
            </w:pPr>
            <w:r>
              <w:rPr>
                <w:rFonts w:ascii="Arial" w:cs="Arial" w:eastAsia="Arial" w:hAnsi="Arial"/>
                <w:sz w:val="13"/>
                <w:szCs w:val="13"/>
                <w:color w:val="auto"/>
              </w:rPr>
              <w:t>7,051</w:t>
            </w:r>
          </w:p>
        </w:tc>
      </w:tr>
      <w:tr>
        <w:trPr>
          <w:trHeight w:val="41"/>
        </w:trPr>
        <w:tc>
          <w:tcPr>
            <w:tcW w:w="7840" w:type="dxa"/>
            <w:vAlign w:val="bottom"/>
            <w:tcBorders>
              <w:bottom w:val="single" w:sz="8" w:color="DFF1FB"/>
            </w:tcBorders>
          </w:tcPr>
          <w:p>
            <w:pPr>
              <w:spacing w:after="0"/>
              <w:rPr>
                <w:sz w:val="3"/>
                <w:szCs w:val="3"/>
                <w:color w:val="auto"/>
              </w:rPr>
            </w:pPr>
          </w:p>
        </w:tc>
        <w:tc>
          <w:tcPr>
            <w:tcW w:w="3300" w:type="dxa"/>
            <w:vAlign w:val="bottom"/>
            <w:tcBorders>
              <w:bottom w:val="single" w:sz="8" w:color="DFF1FB"/>
            </w:tcBorders>
          </w:tcPr>
          <w:p>
            <w:pPr>
              <w:spacing w:after="0"/>
              <w:rPr>
                <w:sz w:val="3"/>
                <w:szCs w:val="3"/>
                <w:color w:val="auto"/>
              </w:rPr>
            </w:pPr>
          </w:p>
        </w:tc>
      </w:tr>
      <w:tr>
        <w:trPr>
          <w:trHeight w:val="195"/>
        </w:trPr>
        <w:tc>
          <w:tcPr>
            <w:tcW w:w="7840" w:type="dxa"/>
            <w:vAlign w:val="bottom"/>
          </w:tcPr>
          <w:p>
            <w:pPr>
              <w:ind w:left="60"/>
              <w:spacing w:after="0"/>
              <w:rPr>
                <w:sz w:val="20"/>
                <w:szCs w:val="20"/>
                <w:color w:val="auto"/>
              </w:rPr>
            </w:pPr>
            <w:r>
              <w:rPr>
                <w:rFonts w:ascii="Arial" w:cs="Arial" w:eastAsia="Arial" w:hAnsi="Arial"/>
                <w:sz w:val="13"/>
                <w:szCs w:val="13"/>
                <w:color w:val="auto"/>
              </w:rPr>
              <w:t>Mr. Traquina</w:t>
            </w:r>
          </w:p>
        </w:tc>
        <w:tc>
          <w:tcPr>
            <w:tcW w:w="3300" w:type="dxa"/>
            <w:vAlign w:val="bottom"/>
          </w:tcPr>
          <w:p>
            <w:pPr>
              <w:jc w:val="right"/>
              <w:ind w:right="13"/>
              <w:spacing w:after="0"/>
              <w:rPr>
                <w:sz w:val="20"/>
                <w:szCs w:val="20"/>
                <w:color w:val="auto"/>
              </w:rPr>
            </w:pPr>
            <w:r>
              <w:rPr>
                <w:rFonts w:ascii="Arial" w:cs="Arial" w:eastAsia="Arial" w:hAnsi="Arial"/>
                <w:sz w:val="13"/>
                <w:szCs w:val="13"/>
                <w:color w:val="auto"/>
              </w:rPr>
              <w:t>2,844</w:t>
            </w:r>
          </w:p>
        </w:tc>
      </w:tr>
      <w:tr>
        <w:trPr>
          <w:trHeight w:val="48"/>
        </w:trPr>
        <w:tc>
          <w:tcPr>
            <w:tcW w:w="7840" w:type="dxa"/>
            <w:vAlign w:val="bottom"/>
            <w:tcBorders>
              <w:bottom w:val="single" w:sz="8" w:color="105EAB"/>
            </w:tcBorders>
          </w:tcPr>
          <w:p>
            <w:pPr>
              <w:spacing w:after="0"/>
              <w:rPr>
                <w:sz w:val="4"/>
                <w:szCs w:val="4"/>
                <w:color w:val="auto"/>
              </w:rPr>
            </w:pPr>
          </w:p>
        </w:tc>
        <w:tc>
          <w:tcPr>
            <w:tcW w:w="3300" w:type="dxa"/>
            <w:vAlign w:val="bottom"/>
            <w:tcBorders>
              <w:bottom w:val="single" w:sz="8" w:color="105EAB"/>
            </w:tcBorders>
          </w:tcPr>
          <w:p>
            <w:pPr>
              <w:spacing w:after="0"/>
              <w:rPr>
                <w:sz w:val="4"/>
                <w:szCs w:val="4"/>
                <w:color w:val="auto"/>
              </w:rPr>
            </w:pPr>
          </w:p>
        </w:tc>
      </w:tr>
    </w:tbl>
    <w:p>
      <w:pPr>
        <w:spacing w:after="0" w:line="107" w:lineRule="exact"/>
        <w:rPr>
          <w:sz w:val="20"/>
          <w:szCs w:val="20"/>
          <w:color w:val="auto"/>
        </w:rPr>
      </w:pPr>
    </w:p>
    <w:p>
      <w:pPr>
        <w:ind w:left="300" w:right="40" w:hanging="292"/>
        <w:spacing w:after="0" w:line="243" w:lineRule="auto"/>
        <w:tabs>
          <w:tab w:leader="none" w:pos="300" w:val="left"/>
        </w:tabs>
        <w:numPr>
          <w:ilvl w:val="0"/>
          <w:numId w:val="133"/>
        </w:numPr>
        <w:rPr>
          <w:rFonts w:ascii="Arial" w:cs="Arial" w:eastAsia="Arial" w:hAnsi="Arial"/>
          <w:sz w:val="11"/>
          <w:szCs w:val="11"/>
          <w:color w:val="auto"/>
        </w:rPr>
      </w:pPr>
      <w:r>
        <w:rPr>
          <w:rFonts w:ascii="Arial" w:cs="Arial" w:eastAsia="Arial" w:hAnsi="Arial"/>
          <w:sz w:val="13"/>
          <w:szCs w:val="13"/>
          <w:color w:val="auto"/>
        </w:rPr>
        <w:t>Grant date fair value for restricted stock units granted in 2018 is based on the final closing price of Allstate common stock on the grant dates, which in part also reflects the payment of expected future dividend equivalent rights. (See note 18 to our audited financial statements for 2018.) Ms. Keane received a prorated award when she joined the Board in 2018. The final grant date closing price was $93.86, except with respect to the prorated award granted to Ms. Keane, which was $104.71. The values were computed in accordance with Financial Accounting Standards Board Accounting Standards Codification Topic 718. Each restricted stock unit entitles the director to receive one share of Allstate common stock on the conversion date (see footnote 3).</w:t>
      </w:r>
    </w:p>
    <w:p>
      <w:pPr>
        <w:spacing w:after="0" w:line="352" w:lineRule="exact"/>
        <w:rPr>
          <w:sz w:val="20"/>
          <w:szCs w:val="20"/>
          <w:color w:val="auto"/>
        </w:rPr>
      </w:pPr>
    </w:p>
    <w:p>
      <w:pPr>
        <w:ind w:left="460" w:hanging="452"/>
        <w:spacing w:after="0"/>
        <w:tabs>
          <w:tab w:leader="none" w:pos="460" w:val="left"/>
        </w:tabs>
        <w:numPr>
          <w:ilvl w:val="0"/>
          <w:numId w:val="134"/>
        </w:numPr>
        <w:rPr>
          <w:rFonts w:ascii="Arial" w:cs="Arial" w:eastAsia="Arial" w:hAnsi="Arial"/>
          <w:sz w:val="13"/>
          <w:szCs w:val="13"/>
          <w:b w:val="1"/>
          <w:bCs w:val="1"/>
          <w:color w:val="105EAB"/>
        </w:rPr>
      </w:pPr>
      <w:r>
        <w:rPr>
          <w:rFonts w:ascii="Arial" w:cs="Arial" w:eastAsia="Arial" w:hAnsi="Arial"/>
          <w:sz w:val="13"/>
          <w:szCs w:val="13"/>
          <w:color w:val="105EAB"/>
        </w:rPr>
        <w:t>www.allstateproxy.com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134620</wp:posOffset>
            </wp:positionV>
            <wp:extent cx="7268210" cy="209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ind w:left="8280"/>
        <w:spacing w:after="0"/>
        <w:rPr>
          <w:sz w:val="20"/>
          <w:szCs w:val="20"/>
          <w:color w:val="auto"/>
        </w:rPr>
      </w:pPr>
      <w:r>
        <w:rPr>
          <w:rFonts w:ascii="Arial" w:cs="Arial" w:eastAsia="Arial" w:hAnsi="Arial"/>
          <w:sz w:val="13"/>
          <w:szCs w:val="13"/>
          <w:b w:val="1"/>
          <w:bCs w:val="1"/>
          <w:color w:val="auto"/>
        </w:rPr>
        <w:t xml:space="preserve">Director Compensation </w:t>
      </w:r>
      <w:r>
        <w:rPr>
          <w:rFonts w:ascii="Arial" w:cs="Arial" w:eastAsia="Arial" w:hAnsi="Arial"/>
          <w:sz w:val="13"/>
          <w:szCs w:val="13"/>
          <w:b w:val="1"/>
          <w:bCs w:val="1"/>
          <w:color w:val="105EAB"/>
        </w:rPr>
        <w:t>| Corporate Governance</w:t>
      </w:r>
    </w:p>
    <w:p>
      <w:pPr>
        <w:spacing w:after="0" w:line="231" w:lineRule="exact"/>
        <w:rPr>
          <w:sz w:val="20"/>
          <w:szCs w:val="20"/>
          <w:color w:val="auto"/>
        </w:rPr>
      </w:pPr>
    </w:p>
    <w:p>
      <w:pPr>
        <w:ind w:left="300" w:right="440" w:hanging="292"/>
        <w:spacing w:after="0" w:line="258" w:lineRule="auto"/>
        <w:tabs>
          <w:tab w:leader="none" w:pos="300" w:val="left"/>
        </w:tabs>
        <w:numPr>
          <w:ilvl w:val="0"/>
          <w:numId w:val="135"/>
        </w:numPr>
        <w:rPr>
          <w:rFonts w:ascii="Arial" w:cs="Arial" w:eastAsia="Arial" w:hAnsi="Arial"/>
          <w:sz w:val="11"/>
          <w:szCs w:val="11"/>
          <w:color w:val="auto"/>
        </w:rPr>
      </w:pPr>
      <w:r>
        <w:rPr>
          <w:rFonts w:ascii="Arial" w:cs="Arial" w:eastAsia="Arial" w:hAnsi="Arial"/>
          <w:sz w:val="13"/>
          <w:szCs w:val="13"/>
          <w:color w:val="auto"/>
        </w:rPr>
        <w:t>The following table provides outstanding restricted stock units as of December 31, 2018, for each director. The value of the restricted stock units is based on the closing price of our common stock of $82.63 on December 31, 2018.</w:t>
      </w:r>
    </w:p>
    <w:p>
      <w:pPr>
        <w:spacing w:after="0" w:line="228" w:lineRule="exact"/>
        <w:rPr>
          <w:sz w:val="20"/>
          <w:szCs w:val="20"/>
          <w:color w:val="auto"/>
        </w:rPr>
      </w:pPr>
    </w:p>
    <w:tbl>
      <w:tblPr>
        <w:tblLayout w:type="fixed"/>
        <w:tblInd w:w="280" w:type="dxa"/>
        <w:tblCellMar>
          <w:top w:w="0" w:type="dxa"/>
          <w:left w:w="0" w:type="dxa"/>
          <w:bottom w:w="0" w:type="dxa"/>
          <w:right w:w="0" w:type="dxa"/>
        </w:tblCellMar>
      </w:tblPr>
      <w:tr>
        <w:trPr>
          <w:trHeight w:val="149"/>
        </w:trPr>
        <w:tc>
          <w:tcPr>
            <w:tcW w:w="512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1140" w:type="dxa"/>
            <w:vAlign w:val="bottom"/>
          </w:tcPr>
          <w:p>
            <w:pPr>
              <w:jc w:val="right"/>
              <w:ind w:right="73"/>
              <w:spacing w:after="0"/>
              <w:rPr>
                <w:sz w:val="20"/>
                <w:szCs w:val="20"/>
                <w:color w:val="auto"/>
              </w:rPr>
            </w:pPr>
            <w:r>
              <w:rPr>
                <w:rFonts w:ascii="Arial" w:cs="Arial" w:eastAsia="Arial" w:hAnsi="Arial"/>
                <w:sz w:val="13"/>
                <w:szCs w:val="13"/>
                <w:b w:val="1"/>
                <w:bCs w:val="1"/>
                <w:color w:val="1041AB"/>
              </w:rPr>
              <w:t>Value of</w:t>
            </w:r>
          </w:p>
        </w:tc>
        <w:tc>
          <w:tcPr>
            <w:tcW w:w="840" w:type="dxa"/>
            <w:vAlign w:val="bottom"/>
          </w:tcPr>
          <w:p>
            <w:pPr>
              <w:spacing w:after="0"/>
              <w:rPr>
                <w:sz w:val="13"/>
                <w:szCs w:val="13"/>
                <w:color w:val="auto"/>
              </w:rPr>
            </w:pPr>
          </w:p>
        </w:tc>
      </w:tr>
      <w:tr>
        <w:trPr>
          <w:trHeight w:val="148"/>
        </w:trPr>
        <w:tc>
          <w:tcPr>
            <w:tcW w:w="51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140" w:type="dxa"/>
            <w:vAlign w:val="bottom"/>
          </w:tcPr>
          <w:p>
            <w:pPr>
              <w:jc w:val="right"/>
              <w:ind w:right="73"/>
              <w:spacing w:after="0" w:line="149" w:lineRule="exact"/>
              <w:rPr>
                <w:sz w:val="20"/>
                <w:szCs w:val="20"/>
                <w:color w:val="auto"/>
              </w:rPr>
            </w:pPr>
            <w:r>
              <w:rPr>
                <w:rFonts w:ascii="Arial" w:cs="Arial" w:eastAsia="Arial" w:hAnsi="Arial"/>
                <w:sz w:val="13"/>
                <w:szCs w:val="13"/>
                <w:b w:val="1"/>
                <w:bCs w:val="1"/>
                <w:color w:val="1041AB"/>
              </w:rPr>
              <w:t>Restricted</w:t>
            </w:r>
          </w:p>
        </w:tc>
        <w:tc>
          <w:tcPr>
            <w:tcW w:w="840" w:type="dxa"/>
            <w:vAlign w:val="bottom"/>
          </w:tcPr>
          <w:p>
            <w:pPr>
              <w:jc w:val="right"/>
              <w:ind w:right="13"/>
              <w:spacing w:after="0" w:line="149" w:lineRule="exact"/>
              <w:rPr>
                <w:sz w:val="20"/>
                <w:szCs w:val="20"/>
                <w:color w:val="auto"/>
              </w:rPr>
            </w:pPr>
            <w:r>
              <w:rPr>
                <w:rFonts w:ascii="Arial" w:cs="Arial" w:eastAsia="Arial" w:hAnsi="Arial"/>
                <w:sz w:val="13"/>
                <w:szCs w:val="13"/>
                <w:b w:val="1"/>
                <w:bCs w:val="1"/>
                <w:color w:val="1041AB"/>
              </w:rPr>
              <w:t>Multiple</w:t>
            </w:r>
          </w:p>
        </w:tc>
      </w:tr>
      <w:tr>
        <w:trPr>
          <w:trHeight w:val="148"/>
        </w:trPr>
        <w:tc>
          <w:tcPr>
            <w:tcW w:w="5120" w:type="dxa"/>
            <w:vAlign w:val="bottom"/>
          </w:tcPr>
          <w:p>
            <w:pPr>
              <w:spacing w:after="0"/>
              <w:rPr>
                <w:sz w:val="12"/>
                <w:szCs w:val="12"/>
                <w:color w:val="auto"/>
              </w:rPr>
            </w:pPr>
          </w:p>
        </w:tc>
        <w:tc>
          <w:tcPr>
            <w:tcW w:w="4040" w:type="dxa"/>
            <w:vAlign w:val="bottom"/>
          </w:tcPr>
          <w:p>
            <w:pPr>
              <w:jc w:val="right"/>
              <w:ind w:right="93"/>
              <w:spacing w:after="0" w:line="149" w:lineRule="exact"/>
              <w:rPr>
                <w:sz w:val="20"/>
                <w:szCs w:val="20"/>
                <w:color w:val="auto"/>
              </w:rPr>
            </w:pPr>
            <w:r>
              <w:rPr>
                <w:rFonts w:ascii="Arial" w:cs="Arial" w:eastAsia="Arial" w:hAnsi="Arial"/>
                <w:sz w:val="13"/>
                <w:szCs w:val="13"/>
                <w:b w:val="1"/>
                <w:bCs w:val="1"/>
                <w:color w:val="1041AB"/>
              </w:rPr>
              <w:t>Restricted</w:t>
            </w:r>
          </w:p>
        </w:tc>
        <w:tc>
          <w:tcPr>
            <w:tcW w:w="1140" w:type="dxa"/>
            <w:vAlign w:val="bottom"/>
          </w:tcPr>
          <w:p>
            <w:pPr>
              <w:jc w:val="right"/>
              <w:ind w:right="73"/>
              <w:spacing w:after="0" w:line="149" w:lineRule="exact"/>
              <w:rPr>
                <w:sz w:val="20"/>
                <w:szCs w:val="20"/>
                <w:color w:val="auto"/>
              </w:rPr>
            </w:pPr>
            <w:r>
              <w:rPr>
                <w:rFonts w:ascii="Arial" w:cs="Arial" w:eastAsia="Arial" w:hAnsi="Arial"/>
                <w:sz w:val="13"/>
                <w:szCs w:val="13"/>
                <w:b w:val="1"/>
                <w:bCs w:val="1"/>
                <w:color w:val="1041AB"/>
              </w:rPr>
              <w:t>Stock Units</w:t>
            </w:r>
          </w:p>
        </w:tc>
        <w:tc>
          <w:tcPr>
            <w:tcW w:w="840" w:type="dxa"/>
            <w:vAlign w:val="bottom"/>
          </w:tcPr>
          <w:p>
            <w:pPr>
              <w:jc w:val="right"/>
              <w:ind w:right="13"/>
              <w:spacing w:after="0" w:line="149" w:lineRule="exact"/>
              <w:rPr>
                <w:sz w:val="20"/>
                <w:szCs w:val="20"/>
                <w:color w:val="auto"/>
              </w:rPr>
            </w:pPr>
            <w:r>
              <w:rPr>
                <w:rFonts w:ascii="Arial" w:cs="Arial" w:eastAsia="Arial" w:hAnsi="Arial"/>
                <w:sz w:val="13"/>
                <w:szCs w:val="13"/>
                <w:b w:val="1"/>
                <w:bCs w:val="1"/>
                <w:color w:val="1041AB"/>
              </w:rPr>
              <w:t>of Annual</w:t>
            </w:r>
          </w:p>
        </w:tc>
      </w:tr>
      <w:tr>
        <w:trPr>
          <w:trHeight w:val="148"/>
        </w:trPr>
        <w:tc>
          <w:tcPr>
            <w:tcW w:w="5120" w:type="dxa"/>
            <w:vAlign w:val="bottom"/>
          </w:tcPr>
          <w:p>
            <w:pPr>
              <w:spacing w:after="0"/>
              <w:rPr>
                <w:sz w:val="12"/>
                <w:szCs w:val="12"/>
                <w:color w:val="auto"/>
              </w:rPr>
            </w:pPr>
          </w:p>
        </w:tc>
        <w:tc>
          <w:tcPr>
            <w:tcW w:w="4040" w:type="dxa"/>
            <w:vAlign w:val="bottom"/>
          </w:tcPr>
          <w:p>
            <w:pPr>
              <w:jc w:val="right"/>
              <w:ind w:right="93"/>
              <w:spacing w:after="0" w:line="149" w:lineRule="exact"/>
              <w:rPr>
                <w:sz w:val="20"/>
                <w:szCs w:val="20"/>
                <w:color w:val="auto"/>
              </w:rPr>
            </w:pPr>
            <w:r>
              <w:rPr>
                <w:rFonts w:ascii="Arial" w:cs="Arial" w:eastAsia="Arial" w:hAnsi="Arial"/>
                <w:sz w:val="13"/>
                <w:szCs w:val="13"/>
                <w:b w:val="1"/>
                <w:bCs w:val="1"/>
                <w:color w:val="1041AB"/>
              </w:rPr>
              <w:t>Stock Units</w:t>
            </w:r>
          </w:p>
        </w:tc>
        <w:tc>
          <w:tcPr>
            <w:tcW w:w="1140" w:type="dxa"/>
            <w:vAlign w:val="bottom"/>
          </w:tcPr>
          <w:p>
            <w:pPr>
              <w:jc w:val="right"/>
              <w:ind w:right="73"/>
              <w:spacing w:after="0" w:line="149" w:lineRule="exact"/>
              <w:rPr>
                <w:sz w:val="20"/>
                <w:szCs w:val="20"/>
                <w:color w:val="auto"/>
              </w:rPr>
            </w:pPr>
            <w:r>
              <w:rPr>
                <w:rFonts w:ascii="Arial" w:cs="Arial" w:eastAsia="Arial" w:hAnsi="Arial"/>
                <w:sz w:val="13"/>
                <w:szCs w:val="13"/>
                <w:b w:val="1"/>
                <w:bCs w:val="1"/>
                <w:color w:val="1041AB"/>
              </w:rPr>
              <w:t>as of 12/31/18</w:t>
            </w:r>
          </w:p>
        </w:tc>
        <w:tc>
          <w:tcPr>
            <w:tcW w:w="840" w:type="dxa"/>
            <w:vAlign w:val="bottom"/>
          </w:tcPr>
          <w:p>
            <w:pPr>
              <w:jc w:val="right"/>
              <w:ind w:right="13"/>
              <w:spacing w:after="0" w:line="149" w:lineRule="exact"/>
              <w:rPr>
                <w:sz w:val="20"/>
                <w:szCs w:val="20"/>
                <w:color w:val="auto"/>
              </w:rPr>
            </w:pPr>
            <w:r>
              <w:rPr>
                <w:rFonts w:ascii="Arial" w:cs="Arial" w:eastAsia="Arial" w:hAnsi="Arial"/>
                <w:sz w:val="13"/>
                <w:szCs w:val="13"/>
                <w:b w:val="1"/>
                <w:bCs w:val="1"/>
                <w:color w:val="1041AB"/>
              </w:rPr>
              <w:t>Cash</w:t>
            </w:r>
          </w:p>
        </w:tc>
      </w:tr>
      <w:tr>
        <w:trPr>
          <w:trHeight w:val="199"/>
        </w:trPr>
        <w:tc>
          <w:tcPr>
            <w:tcW w:w="5120" w:type="dxa"/>
            <w:vAlign w:val="bottom"/>
            <w:tcBorders>
              <w:bottom w:val="single" w:sz="8" w:color="1041AB"/>
            </w:tcBorders>
          </w:tcPr>
          <w:p>
            <w:pPr>
              <w:ind w:left="60"/>
              <w:spacing w:after="0"/>
              <w:rPr>
                <w:sz w:val="20"/>
                <w:szCs w:val="20"/>
                <w:color w:val="auto"/>
              </w:rPr>
            </w:pPr>
            <w:r>
              <w:rPr>
                <w:rFonts w:ascii="Arial" w:cs="Arial" w:eastAsia="Arial" w:hAnsi="Arial"/>
                <w:sz w:val="13"/>
                <w:szCs w:val="13"/>
                <w:b w:val="1"/>
                <w:bCs w:val="1"/>
                <w:color w:val="1041AB"/>
              </w:rPr>
              <w:t>Name</w:t>
            </w:r>
          </w:p>
        </w:tc>
        <w:tc>
          <w:tcPr>
            <w:tcW w:w="4040" w:type="dxa"/>
            <w:vAlign w:val="bottom"/>
            <w:tcBorders>
              <w:bottom w:val="single" w:sz="8" w:color="1041AB"/>
            </w:tcBorders>
          </w:tcPr>
          <w:p>
            <w:pPr>
              <w:jc w:val="right"/>
              <w:ind w:right="93"/>
              <w:spacing w:after="0"/>
              <w:rPr>
                <w:sz w:val="20"/>
                <w:szCs w:val="20"/>
                <w:color w:val="auto"/>
              </w:rPr>
            </w:pPr>
            <w:r>
              <w:rPr>
                <w:rFonts w:ascii="Arial" w:cs="Arial" w:eastAsia="Arial" w:hAnsi="Arial"/>
                <w:sz w:val="13"/>
                <w:szCs w:val="13"/>
                <w:b w:val="1"/>
                <w:bCs w:val="1"/>
                <w:color w:val="1041AB"/>
              </w:rPr>
              <w:t>(#)</w:t>
            </w:r>
          </w:p>
        </w:tc>
        <w:tc>
          <w:tcPr>
            <w:tcW w:w="1140" w:type="dxa"/>
            <w:vAlign w:val="bottom"/>
            <w:tcBorders>
              <w:bottom w:val="single" w:sz="8" w:color="1041AB"/>
            </w:tcBorders>
          </w:tcPr>
          <w:p>
            <w:pPr>
              <w:jc w:val="right"/>
              <w:ind w:right="73"/>
              <w:spacing w:after="0"/>
              <w:rPr>
                <w:sz w:val="20"/>
                <w:szCs w:val="20"/>
                <w:color w:val="auto"/>
              </w:rPr>
            </w:pPr>
            <w:r>
              <w:rPr>
                <w:rFonts w:ascii="Arial" w:cs="Arial" w:eastAsia="Arial" w:hAnsi="Arial"/>
                <w:sz w:val="13"/>
                <w:szCs w:val="13"/>
                <w:b w:val="1"/>
                <w:bCs w:val="1"/>
                <w:color w:val="1041AB"/>
              </w:rPr>
              <w:t>($)</w:t>
            </w:r>
          </w:p>
        </w:tc>
        <w:tc>
          <w:tcPr>
            <w:tcW w:w="840" w:type="dxa"/>
            <w:vAlign w:val="bottom"/>
            <w:tcBorders>
              <w:bottom w:val="single" w:sz="8" w:color="1041AB"/>
            </w:tcBorders>
          </w:tcPr>
          <w:p>
            <w:pPr>
              <w:jc w:val="right"/>
              <w:ind w:right="13"/>
              <w:spacing w:after="0"/>
              <w:rPr>
                <w:sz w:val="20"/>
                <w:szCs w:val="20"/>
                <w:color w:val="auto"/>
              </w:rPr>
            </w:pPr>
            <w:r>
              <w:rPr>
                <w:rFonts w:ascii="Arial" w:cs="Arial" w:eastAsia="Arial" w:hAnsi="Arial"/>
                <w:sz w:val="13"/>
                <w:szCs w:val="13"/>
                <w:b w:val="1"/>
                <w:bCs w:val="1"/>
                <w:color w:val="1041AB"/>
              </w:rPr>
              <w:t>Retainer</w:t>
            </w:r>
          </w:p>
        </w:tc>
      </w:tr>
      <w:tr>
        <w:trPr>
          <w:trHeight w:val="202"/>
        </w:trPr>
        <w:tc>
          <w:tcPr>
            <w:tcW w:w="5120" w:type="dxa"/>
            <w:vAlign w:val="bottom"/>
          </w:tcPr>
          <w:p>
            <w:pPr>
              <w:ind w:left="60"/>
              <w:spacing w:after="0"/>
              <w:rPr>
                <w:sz w:val="20"/>
                <w:szCs w:val="20"/>
                <w:color w:val="auto"/>
              </w:rPr>
            </w:pPr>
            <w:r>
              <w:rPr>
                <w:rFonts w:ascii="Arial" w:cs="Arial" w:eastAsia="Arial" w:hAnsi="Arial"/>
                <w:sz w:val="13"/>
                <w:szCs w:val="13"/>
                <w:b w:val="1"/>
                <w:bCs w:val="1"/>
                <w:color w:val="1041AB"/>
              </w:rPr>
              <w:t>Mr. Crawford</w:t>
            </w:r>
          </w:p>
        </w:tc>
        <w:tc>
          <w:tcPr>
            <w:tcW w:w="4040" w:type="dxa"/>
            <w:vAlign w:val="bottom"/>
          </w:tcPr>
          <w:p>
            <w:pPr>
              <w:jc w:val="right"/>
              <w:ind w:right="93"/>
              <w:spacing w:after="0"/>
              <w:rPr>
                <w:sz w:val="20"/>
                <w:szCs w:val="20"/>
                <w:color w:val="auto"/>
              </w:rPr>
            </w:pPr>
            <w:r>
              <w:rPr>
                <w:rFonts w:ascii="Arial" w:cs="Arial" w:eastAsia="Arial" w:hAnsi="Arial"/>
                <w:sz w:val="13"/>
                <w:szCs w:val="13"/>
                <w:color w:val="auto"/>
              </w:rPr>
              <w:t>14,718</w:t>
            </w:r>
          </w:p>
        </w:tc>
        <w:tc>
          <w:tcPr>
            <w:tcW w:w="1140" w:type="dxa"/>
            <w:vAlign w:val="bottom"/>
          </w:tcPr>
          <w:p>
            <w:pPr>
              <w:jc w:val="right"/>
              <w:ind w:right="73"/>
              <w:spacing w:after="0"/>
              <w:rPr>
                <w:sz w:val="20"/>
                <w:szCs w:val="20"/>
                <w:color w:val="auto"/>
              </w:rPr>
            </w:pPr>
            <w:r>
              <w:rPr>
                <w:rFonts w:ascii="Arial" w:cs="Arial" w:eastAsia="Arial" w:hAnsi="Arial"/>
                <w:sz w:val="13"/>
                <w:szCs w:val="13"/>
                <w:color w:val="auto"/>
              </w:rPr>
              <w:t>1,216,148</w:t>
            </w:r>
          </w:p>
        </w:tc>
        <w:tc>
          <w:tcPr>
            <w:tcW w:w="840" w:type="dxa"/>
            <w:vAlign w:val="bottom"/>
          </w:tcPr>
          <w:p>
            <w:pPr>
              <w:jc w:val="right"/>
              <w:ind w:right="13"/>
              <w:spacing w:after="0"/>
              <w:rPr>
                <w:sz w:val="20"/>
                <w:szCs w:val="20"/>
                <w:color w:val="auto"/>
              </w:rPr>
            </w:pPr>
            <w:r>
              <w:rPr>
                <w:rFonts w:ascii="Arial" w:cs="Arial" w:eastAsia="Arial" w:hAnsi="Arial"/>
                <w:sz w:val="13"/>
                <w:szCs w:val="13"/>
                <w:color w:val="auto"/>
              </w:rPr>
              <w:t>9.7</w:t>
            </w:r>
          </w:p>
        </w:tc>
      </w:tr>
      <w:tr>
        <w:trPr>
          <w:trHeight w:val="41"/>
        </w:trPr>
        <w:tc>
          <w:tcPr>
            <w:tcW w:w="5120" w:type="dxa"/>
            <w:vAlign w:val="bottom"/>
            <w:tcBorders>
              <w:bottom w:val="single" w:sz="8" w:color="E9F1FB"/>
            </w:tcBorders>
          </w:tcPr>
          <w:p>
            <w:pPr>
              <w:spacing w:after="0"/>
              <w:rPr>
                <w:sz w:val="3"/>
                <w:szCs w:val="3"/>
                <w:color w:val="auto"/>
              </w:rPr>
            </w:pPr>
          </w:p>
        </w:tc>
        <w:tc>
          <w:tcPr>
            <w:tcW w:w="4040" w:type="dxa"/>
            <w:vAlign w:val="bottom"/>
            <w:tcBorders>
              <w:bottom w:val="single" w:sz="8" w:color="E9F1FB"/>
            </w:tcBorders>
          </w:tcPr>
          <w:p>
            <w:pPr>
              <w:spacing w:after="0"/>
              <w:rPr>
                <w:sz w:val="3"/>
                <w:szCs w:val="3"/>
                <w:color w:val="auto"/>
              </w:rPr>
            </w:pPr>
          </w:p>
        </w:tc>
        <w:tc>
          <w:tcPr>
            <w:tcW w:w="1140" w:type="dxa"/>
            <w:vAlign w:val="bottom"/>
            <w:tcBorders>
              <w:bottom w:val="single" w:sz="8" w:color="E9F1FB"/>
            </w:tcBorders>
          </w:tcPr>
          <w:p>
            <w:pPr>
              <w:spacing w:after="0"/>
              <w:rPr>
                <w:sz w:val="3"/>
                <w:szCs w:val="3"/>
                <w:color w:val="auto"/>
              </w:rPr>
            </w:pPr>
          </w:p>
        </w:tc>
        <w:tc>
          <w:tcPr>
            <w:tcW w:w="840" w:type="dxa"/>
            <w:vAlign w:val="bottom"/>
            <w:tcBorders>
              <w:bottom w:val="single" w:sz="8" w:color="E9F1FB"/>
            </w:tcBorders>
          </w:tcPr>
          <w:p>
            <w:pPr>
              <w:spacing w:after="0"/>
              <w:rPr>
                <w:sz w:val="3"/>
                <w:szCs w:val="3"/>
                <w:color w:val="auto"/>
              </w:rPr>
            </w:pPr>
          </w:p>
        </w:tc>
      </w:tr>
      <w:tr>
        <w:trPr>
          <w:trHeight w:val="195"/>
        </w:trPr>
        <w:tc>
          <w:tcPr>
            <w:tcW w:w="5120" w:type="dxa"/>
            <w:vAlign w:val="bottom"/>
          </w:tcPr>
          <w:p>
            <w:pPr>
              <w:ind w:left="60"/>
              <w:spacing w:after="0"/>
              <w:rPr>
                <w:sz w:val="20"/>
                <w:szCs w:val="20"/>
                <w:color w:val="auto"/>
              </w:rPr>
            </w:pPr>
            <w:r>
              <w:rPr>
                <w:rFonts w:ascii="Arial" w:cs="Arial" w:eastAsia="Arial" w:hAnsi="Arial"/>
                <w:sz w:val="13"/>
                <w:szCs w:val="13"/>
                <w:b w:val="1"/>
                <w:bCs w:val="1"/>
                <w:color w:val="1041AB"/>
              </w:rPr>
              <w:t>Mr. Eskew</w:t>
            </w:r>
          </w:p>
        </w:tc>
        <w:tc>
          <w:tcPr>
            <w:tcW w:w="4040" w:type="dxa"/>
            <w:vAlign w:val="bottom"/>
          </w:tcPr>
          <w:p>
            <w:pPr>
              <w:jc w:val="right"/>
              <w:ind w:right="93"/>
              <w:spacing w:after="0"/>
              <w:rPr>
                <w:sz w:val="20"/>
                <w:szCs w:val="20"/>
                <w:color w:val="auto"/>
              </w:rPr>
            </w:pPr>
            <w:r>
              <w:rPr>
                <w:rFonts w:ascii="Arial" w:cs="Arial" w:eastAsia="Arial" w:hAnsi="Arial"/>
                <w:sz w:val="13"/>
                <w:szCs w:val="13"/>
                <w:color w:val="auto"/>
              </w:rPr>
              <w:t>10,057</w:t>
            </w:r>
          </w:p>
        </w:tc>
        <w:tc>
          <w:tcPr>
            <w:tcW w:w="1140" w:type="dxa"/>
            <w:vAlign w:val="bottom"/>
          </w:tcPr>
          <w:p>
            <w:pPr>
              <w:jc w:val="right"/>
              <w:ind w:right="73"/>
              <w:spacing w:after="0"/>
              <w:rPr>
                <w:sz w:val="20"/>
                <w:szCs w:val="20"/>
                <w:color w:val="auto"/>
              </w:rPr>
            </w:pPr>
            <w:r>
              <w:rPr>
                <w:rFonts w:ascii="Arial" w:cs="Arial" w:eastAsia="Arial" w:hAnsi="Arial"/>
                <w:sz w:val="13"/>
                <w:szCs w:val="13"/>
                <w:color w:val="auto"/>
              </w:rPr>
              <w:t>831,010</w:t>
            </w:r>
          </w:p>
        </w:tc>
        <w:tc>
          <w:tcPr>
            <w:tcW w:w="840" w:type="dxa"/>
            <w:vAlign w:val="bottom"/>
          </w:tcPr>
          <w:p>
            <w:pPr>
              <w:jc w:val="right"/>
              <w:ind w:right="13"/>
              <w:spacing w:after="0"/>
              <w:rPr>
                <w:sz w:val="20"/>
                <w:szCs w:val="20"/>
                <w:color w:val="auto"/>
              </w:rPr>
            </w:pPr>
            <w:r>
              <w:rPr>
                <w:rFonts w:ascii="Arial" w:cs="Arial" w:eastAsia="Arial" w:hAnsi="Arial"/>
                <w:sz w:val="13"/>
                <w:szCs w:val="13"/>
                <w:color w:val="auto"/>
              </w:rPr>
              <w:t>6.6</w:t>
            </w:r>
          </w:p>
        </w:tc>
      </w:tr>
      <w:tr>
        <w:trPr>
          <w:trHeight w:val="41"/>
        </w:trPr>
        <w:tc>
          <w:tcPr>
            <w:tcW w:w="5120" w:type="dxa"/>
            <w:vAlign w:val="bottom"/>
            <w:tcBorders>
              <w:bottom w:val="single" w:sz="8" w:color="E9F1FB"/>
            </w:tcBorders>
          </w:tcPr>
          <w:p>
            <w:pPr>
              <w:spacing w:after="0"/>
              <w:rPr>
                <w:sz w:val="3"/>
                <w:szCs w:val="3"/>
                <w:color w:val="auto"/>
              </w:rPr>
            </w:pPr>
          </w:p>
        </w:tc>
        <w:tc>
          <w:tcPr>
            <w:tcW w:w="4040" w:type="dxa"/>
            <w:vAlign w:val="bottom"/>
            <w:tcBorders>
              <w:bottom w:val="single" w:sz="8" w:color="E9F1FB"/>
            </w:tcBorders>
          </w:tcPr>
          <w:p>
            <w:pPr>
              <w:spacing w:after="0"/>
              <w:rPr>
                <w:sz w:val="3"/>
                <w:szCs w:val="3"/>
                <w:color w:val="auto"/>
              </w:rPr>
            </w:pPr>
          </w:p>
        </w:tc>
        <w:tc>
          <w:tcPr>
            <w:tcW w:w="1140" w:type="dxa"/>
            <w:vAlign w:val="bottom"/>
            <w:tcBorders>
              <w:bottom w:val="single" w:sz="8" w:color="E9F1FB"/>
            </w:tcBorders>
          </w:tcPr>
          <w:p>
            <w:pPr>
              <w:spacing w:after="0"/>
              <w:rPr>
                <w:sz w:val="3"/>
                <w:szCs w:val="3"/>
                <w:color w:val="auto"/>
              </w:rPr>
            </w:pPr>
          </w:p>
        </w:tc>
        <w:tc>
          <w:tcPr>
            <w:tcW w:w="840" w:type="dxa"/>
            <w:vAlign w:val="bottom"/>
            <w:tcBorders>
              <w:bottom w:val="single" w:sz="8" w:color="E9F1FB"/>
            </w:tcBorders>
          </w:tcPr>
          <w:p>
            <w:pPr>
              <w:spacing w:after="0"/>
              <w:rPr>
                <w:sz w:val="3"/>
                <w:szCs w:val="3"/>
                <w:color w:val="auto"/>
              </w:rPr>
            </w:pPr>
          </w:p>
        </w:tc>
      </w:tr>
      <w:tr>
        <w:trPr>
          <w:trHeight w:val="195"/>
        </w:trPr>
        <w:tc>
          <w:tcPr>
            <w:tcW w:w="5120" w:type="dxa"/>
            <w:vAlign w:val="bottom"/>
          </w:tcPr>
          <w:p>
            <w:pPr>
              <w:ind w:left="60"/>
              <w:spacing w:after="0"/>
              <w:rPr>
                <w:sz w:val="20"/>
                <w:szCs w:val="20"/>
                <w:color w:val="auto"/>
              </w:rPr>
            </w:pPr>
            <w:r>
              <w:rPr>
                <w:rFonts w:ascii="Arial" w:cs="Arial" w:eastAsia="Arial" w:hAnsi="Arial"/>
                <w:sz w:val="13"/>
                <w:szCs w:val="13"/>
                <w:b w:val="1"/>
                <w:bCs w:val="1"/>
                <w:color w:val="1041AB"/>
              </w:rPr>
              <w:t>Ms. Keane</w:t>
            </w:r>
          </w:p>
        </w:tc>
        <w:tc>
          <w:tcPr>
            <w:tcW w:w="4040" w:type="dxa"/>
            <w:vAlign w:val="bottom"/>
          </w:tcPr>
          <w:p>
            <w:pPr>
              <w:jc w:val="right"/>
              <w:ind w:right="93"/>
              <w:spacing w:after="0"/>
              <w:rPr>
                <w:sz w:val="20"/>
                <w:szCs w:val="20"/>
                <w:color w:val="auto"/>
              </w:rPr>
            </w:pPr>
            <w:r>
              <w:rPr>
                <w:rFonts w:ascii="Arial" w:cs="Arial" w:eastAsia="Arial" w:hAnsi="Arial"/>
                <w:sz w:val="13"/>
                <w:szCs w:val="13"/>
                <w:color w:val="auto"/>
              </w:rPr>
              <w:t>2,269</w:t>
            </w:r>
          </w:p>
        </w:tc>
        <w:tc>
          <w:tcPr>
            <w:tcW w:w="1140" w:type="dxa"/>
            <w:vAlign w:val="bottom"/>
          </w:tcPr>
          <w:p>
            <w:pPr>
              <w:jc w:val="right"/>
              <w:ind w:right="73"/>
              <w:spacing w:after="0"/>
              <w:rPr>
                <w:sz w:val="20"/>
                <w:szCs w:val="20"/>
                <w:color w:val="auto"/>
              </w:rPr>
            </w:pPr>
            <w:r>
              <w:rPr>
                <w:rFonts w:ascii="Arial" w:cs="Arial" w:eastAsia="Arial" w:hAnsi="Arial"/>
                <w:sz w:val="13"/>
                <w:szCs w:val="13"/>
                <w:color w:val="auto"/>
              </w:rPr>
              <w:t>187,487</w:t>
            </w:r>
          </w:p>
        </w:tc>
        <w:tc>
          <w:tcPr>
            <w:tcW w:w="840" w:type="dxa"/>
            <w:vAlign w:val="bottom"/>
          </w:tcPr>
          <w:p>
            <w:pPr>
              <w:jc w:val="right"/>
              <w:ind w:right="13"/>
              <w:spacing w:after="0"/>
              <w:rPr>
                <w:sz w:val="20"/>
                <w:szCs w:val="20"/>
                <w:color w:val="auto"/>
              </w:rPr>
            </w:pPr>
            <w:r>
              <w:rPr>
                <w:rFonts w:ascii="Arial" w:cs="Arial" w:eastAsia="Arial" w:hAnsi="Arial"/>
                <w:sz w:val="13"/>
                <w:szCs w:val="13"/>
                <w:color w:val="auto"/>
              </w:rPr>
              <w:t>1.5</w:t>
            </w:r>
          </w:p>
        </w:tc>
      </w:tr>
      <w:tr>
        <w:trPr>
          <w:trHeight w:val="41"/>
        </w:trPr>
        <w:tc>
          <w:tcPr>
            <w:tcW w:w="5120" w:type="dxa"/>
            <w:vAlign w:val="bottom"/>
            <w:tcBorders>
              <w:bottom w:val="single" w:sz="8" w:color="E9F1FB"/>
            </w:tcBorders>
          </w:tcPr>
          <w:p>
            <w:pPr>
              <w:spacing w:after="0"/>
              <w:rPr>
                <w:sz w:val="3"/>
                <w:szCs w:val="3"/>
                <w:color w:val="auto"/>
              </w:rPr>
            </w:pPr>
          </w:p>
        </w:tc>
        <w:tc>
          <w:tcPr>
            <w:tcW w:w="4040" w:type="dxa"/>
            <w:vAlign w:val="bottom"/>
            <w:tcBorders>
              <w:bottom w:val="single" w:sz="8" w:color="E9F1FB"/>
            </w:tcBorders>
          </w:tcPr>
          <w:p>
            <w:pPr>
              <w:spacing w:after="0"/>
              <w:rPr>
                <w:sz w:val="3"/>
                <w:szCs w:val="3"/>
                <w:color w:val="auto"/>
              </w:rPr>
            </w:pPr>
          </w:p>
        </w:tc>
        <w:tc>
          <w:tcPr>
            <w:tcW w:w="1140" w:type="dxa"/>
            <w:vAlign w:val="bottom"/>
            <w:tcBorders>
              <w:bottom w:val="single" w:sz="8" w:color="E9F1FB"/>
            </w:tcBorders>
          </w:tcPr>
          <w:p>
            <w:pPr>
              <w:spacing w:after="0"/>
              <w:rPr>
                <w:sz w:val="3"/>
                <w:szCs w:val="3"/>
                <w:color w:val="auto"/>
              </w:rPr>
            </w:pPr>
          </w:p>
        </w:tc>
        <w:tc>
          <w:tcPr>
            <w:tcW w:w="840" w:type="dxa"/>
            <w:vAlign w:val="bottom"/>
            <w:tcBorders>
              <w:bottom w:val="single" w:sz="8" w:color="E9F1FB"/>
            </w:tcBorders>
          </w:tcPr>
          <w:p>
            <w:pPr>
              <w:spacing w:after="0"/>
              <w:rPr>
                <w:sz w:val="3"/>
                <w:szCs w:val="3"/>
                <w:color w:val="auto"/>
              </w:rPr>
            </w:pPr>
          </w:p>
        </w:tc>
      </w:tr>
      <w:tr>
        <w:trPr>
          <w:trHeight w:val="195"/>
        </w:trPr>
        <w:tc>
          <w:tcPr>
            <w:tcW w:w="5120" w:type="dxa"/>
            <w:vAlign w:val="bottom"/>
          </w:tcPr>
          <w:p>
            <w:pPr>
              <w:ind w:left="60"/>
              <w:spacing w:after="0"/>
              <w:rPr>
                <w:sz w:val="20"/>
                <w:szCs w:val="20"/>
                <w:color w:val="auto"/>
              </w:rPr>
            </w:pPr>
            <w:r>
              <w:rPr>
                <w:rFonts w:ascii="Arial" w:cs="Arial" w:eastAsia="Arial" w:hAnsi="Arial"/>
                <w:sz w:val="13"/>
                <w:szCs w:val="13"/>
                <w:b w:val="1"/>
                <w:bCs w:val="1"/>
                <w:color w:val="1041AB"/>
              </w:rPr>
              <w:t>Mr. Mehta</w:t>
            </w:r>
          </w:p>
        </w:tc>
        <w:tc>
          <w:tcPr>
            <w:tcW w:w="4040" w:type="dxa"/>
            <w:vAlign w:val="bottom"/>
          </w:tcPr>
          <w:p>
            <w:pPr>
              <w:jc w:val="right"/>
              <w:ind w:right="93"/>
              <w:spacing w:after="0"/>
              <w:rPr>
                <w:sz w:val="20"/>
                <w:szCs w:val="20"/>
                <w:color w:val="auto"/>
              </w:rPr>
            </w:pPr>
            <w:r>
              <w:rPr>
                <w:rFonts w:ascii="Arial" w:cs="Arial" w:eastAsia="Arial" w:hAnsi="Arial"/>
                <w:sz w:val="13"/>
                <w:szCs w:val="13"/>
                <w:color w:val="auto"/>
              </w:rPr>
              <w:t>11,196</w:t>
            </w:r>
          </w:p>
        </w:tc>
        <w:tc>
          <w:tcPr>
            <w:tcW w:w="1140" w:type="dxa"/>
            <w:vAlign w:val="bottom"/>
          </w:tcPr>
          <w:p>
            <w:pPr>
              <w:jc w:val="right"/>
              <w:ind w:right="73"/>
              <w:spacing w:after="0"/>
              <w:rPr>
                <w:sz w:val="20"/>
                <w:szCs w:val="20"/>
                <w:color w:val="auto"/>
              </w:rPr>
            </w:pPr>
            <w:r>
              <w:rPr>
                <w:rFonts w:ascii="Arial" w:cs="Arial" w:eastAsia="Arial" w:hAnsi="Arial"/>
                <w:sz w:val="13"/>
                <w:szCs w:val="13"/>
                <w:color w:val="auto"/>
              </w:rPr>
              <w:t>925,125</w:t>
            </w:r>
          </w:p>
        </w:tc>
        <w:tc>
          <w:tcPr>
            <w:tcW w:w="840" w:type="dxa"/>
            <w:vAlign w:val="bottom"/>
          </w:tcPr>
          <w:p>
            <w:pPr>
              <w:jc w:val="right"/>
              <w:ind w:right="13"/>
              <w:spacing w:after="0"/>
              <w:rPr>
                <w:sz w:val="20"/>
                <w:szCs w:val="20"/>
                <w:color w:val="auto"/>
              </w:rPr>
            </w:pPr>
            <w:r>
              <w:rPr>
                <w:rFonts w:ascii="Arial" w:cs="Arial" w:eastAsia="Arial" w:hAnsi="Arial"/>
                <w:sz w:val="13"/>
                <w:szCs w:val="13"/>
                <w:color w:val="auto"/>
              </w:rPr>
              <w:t>7.4</w:t>
            </w:r>
          </w:p>
        </w:tc>
      </w:tr>
      <w:tr>
        <w:trPr>
          <w:trHeight w:val="41"/>
        </w:trPr>
        <w:tc>
          <w:tcPr>
            <w:tcW w:w="5120" w:type="dxa"/>
            <w:vAlign w:val="bottom"/>
            <w:tcBorders>
              <w:bottom w:val="single" w:sz="8" w:color="E9F1FB"/>
            </w:tcBorders>
          </w:tcPr>
          <w:p>
            <w:pPr>
              <w:spacing w:after="0"/>
              <w:rPr>
                <w:sz w:val="3"/>
                <w:szCs w:val="3"/>
                <w:color w:val="auto"/>
              </w:rPr>
            </w:pPr>
          </w:p>
        </w:tc>
        <w:tc>
          <w:tcPr>
            <w:tcW w:w="4040" w:type="dxa"/>
            <w:vAlign w:val="bottom"/>
            <w:tcBorders>
              <w:bottom w:val="single" w:sz="8" w:color="E9F1FB"/>
            </w:tcBorders>
          </w:tcPr>
          <w:p>
            <w:pPr>
              <w:spacing w:after="0"/>
              <w:rPr>
                <w:sz w:val="3"/>
                <w:szCs w:val="3"/>
                <w:color w:val="auto"/>
              </w:rPr>
            </w:pPr>
          </w:p>
        </w:tc>
        <w:tc>
          <w:tcPr>
            <w:tcW w:w="1140" w:type="dxa"/>
            <w:vAlign w:val="bottom"/>
            <w:tcBorders>
              <w:bottom w:val="single" w:sz="8" w:color="E9F1FB"/>
            </w:tcBorders>
          </w:tcPr>
          <w:p>
            <w:pPr>
              <w:spacing w:after="0"/>
              <w:rPr>
                <w:sz w:val="3"/>
                <w:szCs w:val="3"/>
                <w:color w:val="auto"/>
              </w:rPr>
            </w:pPr>
          </w:p>
        </w:tc>
        <w:tc>
          <w:tcPr>
            <w:tcW w:w="840" w:type="dxa"/>
            <w:vAlign w:val="bottom"/>
            <w:tcBorders>
              <w:bottom w:val="single" w:sz="8" w:color="E9F1FB"/>
            </w:tcBorders>
          </w:tcPr>
          <w:p>
            <w:pPr>
              <w:spacing w:after="0"/>
              <w:rPr>
                <w:sz w:val="3"/>
                <w:szCs w:val="3"/>
                <w:color w:val="auto"/>
              </w:rPr>
            </w:pPr>
          </w:p>
        </w:tc>
      </w:tr>
      <w:tr>
        <w:trPr>
          <w:trHeight w:val="195"/>
        </w:trPr>
        <w:tc>
          <w:tcPr>
            <w:tcW w:w="5120" w:type="dxa"/>
            <w:vAlign w:val="bottom"/>
          </w:tcPr>
          <w:p>
            <w:pPr>
              <w:ind w:left="60"/>
              <w:spacing w:after="0"/>
              <w:rPr>
                <w:sz w:val="20"/>
                <w:szCs w:val="20"/>
                <w:color w:val="auto"/>
              </w:rPr>
            </w:pPr>
            <w:r>
              <w:rPr>
                <w:rFonts w:ascii="Arial" w:cs="Arial" w:eastAsia="Arial" w:hAnsi="Arial"/>
                <w:sz w:val="13"/>
                <w:szCs w:val="13"/>
                <w:b w:val="1"/>
                <w:bCs w:val="1"/>
                <w:color w:val="1041AB"/>
              </w:rPr>
              <w:t>Mr. Perold</w:t>
            </w:r>
          </w:p>
        </w:tc>
        <w:tc>
          <w:tcPr>
            <w:tcW w:w="4040" w:type="dxa"/>
            <w:vAlign w:val="bottom"/>
          </w:tcPr>
          <w:p>
            <w:pPr>
              <w:jc w:val="right"/>
              <w:ind w:right="93"/>
              <w:spacing w:after="0"/>
              <w:rPr>
                <w:sz w:val="20"/>
                <w:szCs w:val="20"/>
                <w:color w:val="auto"/>
              </w:rPr>
            </w:pPr>
            <w:r>
              <w:rPr>
                <w:rFonts w:ascii="Arial" w:cs="Arial" w:eastAsia="Arial" w:hAnsi="Arial"/>
                <w:sz w:val="13"/>
                <w:szCs w:val="13"/>
                <w:color w:val="auto"/>
              </w:rPr>
              <w:t>6,842</w:t>
            </w:r>
          </w:p>
        </w:tc>
        <w:tc>
          <w:tcPr>
            <w:tcW w:w="1140" w:type="dxa"/>
            <w:vAlign w:val="bottom"/>
          </w:tcPr>
          <w:p>
            <w:pPr>
              <w:jc w:val="right"/>
              <w:ind w:right="73"/>
              <w:spacing w:after="0"/>
              <w:rPr>
                <w:sz w:val="20"/>
                <w:szCs w:val="20"/>
                <w:color w:val="auto"/>
              </w:rPr>
            </w:pPr>
            <w:r>
              <w:rPr>
                <w:rFonts w:ascii="Arial" w:cs="Arial" w:eastAsia="Arial" w:hAnsi="Arial"/>
                <w:sz w:val="13"/>
                <w:szCs w:val="13"/>
                <w:color w:val="auto"/>
              </w:rPr>
              <w:t>565,354</w:t>
            </w:r>
          </w:p>
        </w:tc>
        <w:tc>
          <w:tcPr>
            <w:tcW w:w="840" w:type="dxa"/>
            <w:vAlign w:val="bottom"/>
          </w:tcPr>
          <w:p>
            <w:pPr>
              <w:jc w:val="right"/>
              <w:ind w:right="13"/>
              <w:spacing w:after="0"/>
              <w:rPr>
                <w:sz w:val="20"/>
                <w:szCs w:val="20"/>
                <w:color w:val="auto"/>
              </w:rPr>
            </w:pPr>
            <w:r>
              <w:rPr>
                <w:rFonts w:ascii="Arial" w:cs="Arial" w:eastAsia="Arial" w:hAnsi="Arial"/>
                <w:sz w:val="13"/>
                <w:szCs w:val="13"/>
                <w:color w:val="auto"/>
              </w:rPr>
              <w:t>4.5</w:t>
            </w:r>
          </w:p>
        </w:tc>
      </w:tr>
      <w:tr>
        <w:trPr>
          <w:trHeight w:val="41"/>
        </w:trPr>
        <w:tc>
          <w:tcPr>
            <w:tcW w:w="5120" w:type="dxa"/>
            <w:vAlign w:val="bottom"/>
            <w:tcBorders>
              <w:bottom w:val="single" w:sz="8" w:color="E9F1FB"/>
            </w:tcBorders>
          </w:tcPr>
          <w:p>
            <w:pPr>
              <w:spacing w:after="0"/>
              <w:rPr>
                <w:sz w:val="3"/>
                <w:szCs w:val="3"/>
                <w:color w:val="auto"/>
              </w:rPr>
            </w:pPr>
          </w:p>
        </w:tc>
        <w:tc>
          <w:tcPr>
            <w:tcW w:w="4040" w:type="dxa"/>
            <w:vAlign w:val="bottom"/>
            <w:tcBorders>
              <w:bottom w:val="single" w:sz="8" w:color="E9F1FB"/>
            </w:tcBorders>
          </w:tcPr>
          <w:p>
            <w:pPr>
              <w:spacing w:after="0"/>
              <w:rPr>
                <w:sz w:val="3"/>
                <w:szCs w:val="3"/>
                <w:color w:val="auto"/>
              </w:rPr>
            </w:pPr>
          </w:p>
        </w:tc>
        <w:tc>
          <w:tcPr>
            <w:tcW w:w="1140" w:type="dxa"/>
            <w:vAlign w:val="bottom"/>
            <w:tcBorders>
              <w:bottom w:val="single" w:sz="8" w:color="E9F1FB"/>
            </w:tcBorders>
          </w:tcPr>
          <w:p>
            <w:pPr>
              <w:spacing w:after="0"/>
              <w:rPr>
                <w:sz w:val="3"/>
                <w:szCs w:val="3"/>
                <w:color w:val="auto"/>
              </w:rPr>
            </w:pPr>
          </w:p>
        </w:tc>
        <w:tc>
          <w:tcPr>
            <w:tcW w:w="840" w:type="dxa"/>
            <w:vAlign w:val="bottom"/>
            <w:tcBorders>
              <w:bottom w:val="single" w:sz="8" w:color="E9F1FB"/>
            </w:tcBorders>
          </w:tcPr>
          <w:p>
            <w:pPr>
              <w:spacing w:after="0"/>
              <w:rPr>
                <w:sz w:val="3"/>
                <w:szCs w:val="3"/>
                <w:color w:val="auto"/>
              </w:rPr>
            </w:pPr>
          </w:p>
        </w:tc>
      </w:tr>
      <w:tr>
        <w:trPr>
          <w:trHeight w:val="195"/>
        </w:trPr>
        <w:tc>
          <w:tcPr>
            <w:tcW w:w="5120" w:type="dxa"/>
            <w:vAlign w:val="bottom"/>
          </w:tcPr>
          <w:p>
            <w:pPr>
              <w:ind w:left="60"/>
              <w:spacing w:after="0"/>
              <w:rPr>
                <w:sz w:val="20"/>
                <w:szCs w:val="20"/>
                <w:color w:val="auto"/>
              </w:rPr>
            </w:pPr>
            <w:r>
              <w:rPr>
                <w:rFonts w:ascii="Arial" w:cs="Arial" w:eastAsia="Arial" w:hAnsi="Arial"/>
                <w:sz w:val="13"/>
                <w:szCs w:val="13"/>
                <w:b w:val="1"/>
                <w:bCs w:val="1"/>
                <w:color w:val="1041AB"/>
              </w:rPr>
              <w:t>Ms. Redmond</w:t>
            </w:r>
          </w:p>
        </w:tc>
        <w:tc>
          <w:tcPr>
            <w:tcW w:w="4040" w:type="dxa"/>
            <w:vAlign w:val="bottom"/>
          </w:tcPr>
          <w:p>
            <w:pPr>
              <w:jc w:val="right"/>
              <w:ind w:right="93"/>
              <w:spacing w:after="0"/>
              <w:rPr>
                <w:sz w:val="20"/>
                <w:szCs w:val="20"/>
                <w:color w:val="auto"/>
              </w:rPr>
            </w:pPr>
            <w:r>
              <w:rPr>
                <w:rFonts w:ascii="Arial" w:cs="Arial" w:eastAsia="Arial" w:hAnsi="Arial"/>
                <w:sz w:val="13"/>
                <w:szCs w:val="13"/>
                <w:color w:val="auto"/>
              </w:rPr>
              <w:t>30,190</w:t>
            </w:r>
          </w:p>
        </w:tc>
        <w:tc>
          <w:tcPr>
            <w:tcW w:w="1140" w:type="dxa"/>
            <w:vAlign w:val="bottom"/>
          </w:tcPr>
          <w:p>
            <w:pPr>
              <w:jc w:val="right"/>
              <w:ind w:right="73"/>
              <w:spacing w:after="0"/>
              <w:rPr>
                <w:sz w:val="20"/>
                <w:szCs w:val="20"/>
                <w:color w:val="auto"/>
              </w:rPr>
            </w:pPr>
            <w:r>
              <w:rPr>
                <w:rFonts w:ascii="Arial" w:cs="Arial" w:eastAsia="Arial" w:hAnsi="Arial"/>
                <w:sz w:val="13"/>
                <w:szCs w:val="13"/>
                <w:color w:val="auto"/>
              </w:rPr>
              <w:t>2,494,600</w:t>
            </w:r>
          </w:p>
        </w:tc>
        <w:tc>
          <w:tcPr>
            <w:tcW w:w="840" w:type="dxa"/>
            <w:vAlign w:val="bottom"/>
          </w:tcPr>
          <w:p>
            <w:pPr>
              <w:jc w:val="right"/>
              <w:ind w:right="13"/>
              <w:spacing w:after="0"/>
              <w:rPr>
                <w:sz w:val="20"/>
                <w:szCs w:val="20"/>
                <w:color w:val="auto"/>
              </w:rPr>
            </w:pPr>
            <w:r>
              <w:rPr>
                <w:rFonts w:ascii="Arial" w:cs="Arial" w:eastAsia="Arial" w:hAnsi="Arial"/>
                <w:sz w:val="13"/>
                <w:szCs w:val="13"/>
                <w:color w:val="auto"/>
              </w:rPr>
              <w:t>20.0</w:t>
            </w:r>
          </w:p>
        </w:tc>
      </w:tr>
      <w:tr>
        <w:trPr>
          <w:trHeight w:val="41"/>
        </w:trPr>
        <w:tc>
          <w:tcPr>
            <w:tcW w:w="5120" w:type="dxa"/>
            <w:vAlign w:val="bottom"/>
            <w:tcBorders>
              <w:bottom w:val="single" w:sz="8" w:color="E9F1FB"/>
            </w:tcBorders>
          </w:tcPr>
          <w:p>
            <w:pPr>
              <w:spacing w:after="0"/>
              <w:rPr>
                <w:sz w:val="3"/>
                <w:szCs w:val="3"/>
                <w:color w:val="auto"/>
              </w:rPr>
            </w:pPr>
          </w:p>
        </w:tc>
        <w:tc>
          <w:tcPr>
            <w:tcW w:w="4040" w:type="dxa"/>
            <w:vAlign w:val="bottom"/>
            <w:tcBorders>
              <w:bottom w:val="single" w:sz="8" w:color="E9F1FB"/>
            </w:tcBorders>
          </w:tcPr>
          <w:p>
            <w:pPr>
              <w:spacing w:after="0"/>
              <w:rPr>
                <w:sz w:val="3"/>
                <w:szCs w:val="3"/>
                <w:color w:val="auto"/>
              </w:rPr>
            </w:pPr>
          </w:p>
        </w:tc>
        <w:tc>
          <w:tcPr>
            <w:tcW w:w="1140" w:type="dxa"/>
            <w:vAlign w:val="bottom"/>
            <w:tcBorders>
              <w:bottom w:val="single" w:sz="8" w:color="E9F1FB"/>
            </w:tcBorders>
          </w:tcPr>
          <w:p>
            <w:pPr>
              <w:spacing w:after="0"/>
              <w:rPr>
                <w:sz w:val="3"/>
                <w:szCs w:val="3"/>
                <w:color w:val="auto"/>
              </w:rPr>
            </w:pPr>
          </w:p>
        </w:tc>
        <w:tc>
          <w:tcPr>
            <w:tcW w:w="840" w:type="dxa"/>
            <w:vAlign w:val="bottom"/>
            <w:tcBorders>
              <w:bottom w:val="single" w:sz="8" w:color="E9F1FB"/>
            </w:tcBorders>
          </w:tcPr>
          <w:p>
            <w:pPr>
              <w:spacing w:after="0"/>
              <w:rPr>
                <w:sz w:val="3"/>
                <w:szCs w:val="3"/>
                <w:color w:val="auto"/>
              </w:rPr>
            </w:pPr>
          </w:p>
        </w:tc>
      </w:tr>
      <w:tr>
        <w:trPr>
          <w:trHeight w:val="195"/>
        </w:trPr>
        <w:tc>
          <w:tcPr>
            <w:tcW w:w="5120" w:type="dxa"/>
            <w:vAlign w:val="bottom"/>
          </w:tcPr>
          <w:p>
            <w:pPr>
              <w:ind w:left="60"/>
              <w:spacing w:after="0"/>
              <w:rPr>
                <w:sz w:val="20"/>
                <w:szCs w:val="20"/>
                <w:color w:val="auto"/>
              </w:rPr>
            </w:pPr>
            <w:r>
              <w:rPr>
                <w:rFonts w:ascii="Arial" w:cs="Arial" w:eastAsia="Arial" w:hAnsi="Arial"/>
                <w:sz w:val="13"/>
                <w:szCs w:val="13"/>
                <w:b w:val="1"/>
                <w:bCs w:val="1"/>
                <w:color w:val="1041AB"/>
              </w:rPr>
              <w:t xml:space="preserve">Mr. Rowe </w:t>
            </w:r>
            <w:r>
              <w:rPr>
                <w:rFonts w:ascii="Arial" w:cs="Arial" w:eastAsia="Arial" w:hAnsi="Arial"/>
                <w:sz w:val="13"/>
                <w:szCs w:val="13"/>
                <w:color w:val="000000"/>
              </w:rPr>
              <w:t>(Retired May 2018)</w:t>
            </w:r>
          </w:p>
        </w:tc>
        <w:tc>
          <w:tcPr>
            <w:tcW w:w="4040" w:type="dxa"/>
            <w:vAlign w:val="bottom"/>
          </w:tcPr>
          <w:p>
            <w:pPr>
              <w:jc w:val="right"/>
              <w:ind w:right="93"/>
              <w:spacing w:after="0"/>
              <w:rPr>
                <w:sz w:val="20"/>
                <w:szCs w:val="20"/>
                <w:color w:val="auto"/>
              </w:rPr>
            </w:pPr>
            <w:r>
              <w:rPr>
                <w:rFonts w:ascii="Arial" w:cs="Arial" w:eastAsia="Arial" w:hAnsi="Arial"/>
                <w:sz w:val="13"/>
                <w:szCs w:val="13"/>
                <w:color w:val="auto"/>
              </w:rPr>
              <w:t>0</w:t>
            </w:r>
          </w:p>
        </w:tc>
        <w:tc>
          <w:tcPr>
            <w:tcW w:w="114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3"/>
              <w:spacing w:after="0"/>
              <w:rPr>
                <w:sz w:val="20"/>
                <w:szCs w:val="20"/>
                <w:color w:val="auto"/>
              </w:rPr>
            </w:pPr>
            <w:r>
              <w:rPr>
                <w:rFonts w:ascii="Arial" w:cs="Arial" w:eastAsia="Arial" w:hAnsi="Arial"/>
                <w:sz w:val="13"/>
                <w:szCs w:val="13"/>
                <w:color w:val="auto"/>
              </w:rPr>
              <w:t>—</w:t>
            </w:r>
          </w:p>
        </w:tc>
      </w:tr>
      <w:tr>
        <w:trPr>
          <w:trHeight w:val="41"/>
        </w:trPr>
        <w:tc>
          <w:tcPr>
            <w:tcW w:w="5120" w:type="dxa"/>
            <w:vAlign w:val="bottom"/>
            <w:tcBorders>
              <w:bottom w:val="single" w:sz="8" w:color="E9F1FB"/>
            </w:tcBorders>
          </w:tcPr>
          <w:p>
            <w:pPr>
              <w:spacing w:after="0"/>
              <w:rPr>
                <w:sz w:val="3"/>
                <w:szCs w:val="3"/>
                <w:color w:val="auto"/>
              </w:rPr>
            </w:pPr>
          </w:p>
        </w:tc>
        <w:tc>
          <w:tcPr>
            <w:tcW w:w="4040" w:type="dxa"/>
            <w:vAlign w:val="bottom"/>
            <w:tcBorders>
              <w:bottom w:val="single" w:sz="8" w:color="E9F1FB"/>
            </w:tcBorders>
          </w:tcPr>
          <w:p>
            <w:pPr>
              <w:spacing w:after="0"/>
              <w:rPr>
                <w:sz w:val="3"/>
                <w:szCs w:val="3"/>
                <w:color w:val="auto"/>
              </w:rPr>
            </w:pPr>
          </w:p>
        </w:tc>
        <w:tc>
          <w:tcPr>
            <w:tcW w:w="1140" w:type="dxa"/>
            <w:vAlign w:val="bottom"/>
            <w:tcBorders>
              <w:bottom w:val="single" w:sz="8" w:color="E9F1FB"/>
            </w:tcBorders>
          </w:tcPr>
          <w:p>
            <w:pPr>
              <w:spacing w:after="0"/>
              <w:rPr>
                <w:sz w:val="3"/>
                <w:szCs w:val="3"/>
                <w:color w:val="auto"/>
              </w:rPr>
            </w:pPr>
          </w:p>
        </w:tc>
        <w:tc>
          <w:tcPr>
            <w:tcW w:w="840" w:type="dxa"/>
            <w:vAlign w:val="bottom"/>
            <w:tcBorders>
              <w:bottom w:val="single" w:sz="8" w:color="E9F1FB"/>
            </w:tcBorders>
          </w:tcPr>
          <w:p>
            <w:pPr>
              <w:spacing w:after="0"/>
              <w:rPr>
                <w:sz w:val="3"/>
                <w:szCs w:val="3"/>
                <w:color w:val="auto"/>
              </w:rPr>
            </w:pPr>
          </w:p>
        </w:tc>
      </w:tr>
      <w:tr>
        <w:trPr>
          <w:trHeight w:val="195"/>
        </w:trPr>
        <w:tc>
          <w:tcPr>
            <w:tcW w:w="5120" w:type="dxa"/>
            <w:vAlign w:val="bottom"/>
          </w:tcPr>
          <w:p>
            <w:pPr>
              <w:ind w:left="60"/>
              <w:spacing w:after="0"/>
              <w:rPr>
                <w:sz w:val="20"/>
                <w:szCs w:val="20"/>
                <w:color w:val="auto"/>
              </w:rPr>
            </w:pPr>
            <w:r>
              <w:rPr>
                <w:rFonts w:ascii="Arial" w:cs="Arial" w:eastAsia="Arial" w:hAnsi="Arial"/>
                <w:sz w:val="13"/>
                <w:szCs w:val="13"/>
                <w:b w:val="1"/>
                <w:bCs w:val="1"/>
                <w:color w:val="1041AB"/>
              </w:rPr>
              <w:t>Mr. Sherrill</w:t>
            </w:r>
          </w:p>
        </w:tc>
        <w:tc>
          <w:tcPr>
            <w:tcW w:w="4040" w:type="dxa"/>
            <w:vAlign w:val="bottom"/>
          </w:tcPr>
          <w:p>
            <w:pPr>
              <w:jc w:val="right"/>
              <w:ind w:right="93"/>
              <w:spacing w:after="0"/>
              <w:rPr>
                <w:sz w:val="20"/>
                <w:szCs w:val="20"/>
                <w:color w:val="auto"/>
              </w:rPr>
            </w:pPr>
            <w:r>
              <w:rPr>
                <w:rFonts w:ascii="Arial" w:cs="Arial" w:eastAsia="Arial" w:hAnsi="Arial"/>
                <w:sz w:val="13"/>
                <w:szCs w:val="13"/>
                <w:color w:val="auto"/>
              </w:rPr>
              <w:t>2,777</w:t>
            </w:r>
          </w:p>
        </w:tc>
        <w:tc>
          <w:tcPr>
            <w:tcW w:w="1140" w:type="dxa"/>
            <w:vAlign w:val="bottom"/>
          </w:tcPr>
          <w:p>
            <w:pPr>
              <w:jc w:val="right"/>
              <w:ind w:right="73"/>
              <w:spacing w:after="0"/>
              <w:rPr>
                <w:sz w:val="20"/>
                <w:szCs w:val="20"/>
                <w:color w:val="auto"/>
              </w:rPr>
            </w:pPr>
            <w:r>
              <w:rPr>
                <w:rFonts w:ascii="Arial" w:cs="Arial" w:eastAsia="Arial" w:hAnsi="Arial"/>
                <w:sz w:val="13"/>
                <w:szCs w:val="13"/>
                <w:color w:val="auto"/>
              </w:rPr>
              <w:t>229,464</w:t>
            </w:r>
          </w:p>
        </w:tc>
        <w:tc>
          <w:tcPr>
            <w:tcW w:w="840" w:type="dxa"/>
            <w:vAlign w:val="bottom"/>
          </w:tcPr>
          <w:p>
            <w:pPr>
              <w:jc w:val="right"/>
              <w:ind w:right="13"/>
              <w:spacing w:after="0"/>
              <w:rPr>
                <w:sz w:val="20"/>
                <w:szCs w:val="20"/>
                <w:color w:val="auto"/>
              </w:rPr>
            </w:pPr>
            <w:r>
              <w:rPr>
                <w:rFonts w:ascii="Arial" w:cs="Arial" w:eastAsia="Arial" w:hAnsi="Arial"/>
                <w:sz w:val="13"/>
                <w:szCs w:val="13"/>
                <w:color w:val="auto"/>
              </w:rPr>
              <w:t>1.8</w:t>
            </w:r>
          </w:p>
        </w:tc>
      </w:tr>
      <w:tr>
        <w:trPr>
          <w:trHeight w:val="41"/>
        </w:trPr>
        <w:tc>
          <w:tcPr>
            <w:tcW w:w="5120" w:type="dxa"/>
            <w:vAlign w:val="bottom"/>
            <w:tcBorders>
              <w:bottom w:val="single" w:sz="8" w:color="E9F1FB"/>
            </w:tcBorders>
          </w:tcPr>
          <w:p>
            <w:pPr>
              <w:spacing w:after="0"/>
              <w:rPr>
                <w:sz w:val="3"/>
                <w:szCs w:val="3"/>
                <w:color w:val="auto"/>
              </w:rPr>
            </w:pPr>
          </w:p>
        </w:tc>
        <w:tc>
          <w:tcPr>
            <w:tcW w:w="4040" w:type="dxa"/>
            <w:vAlign w:val="bottom"/>
            <w:tcBorders>
              <w:bottom w:val="single" w:sz="8" w:color="E9F1FB"/>
            </w:tcBorders>
          </w:tcPr>
          <w:p>
            <w:pPr>
              <w:spacing w:after="0"/>
              <w:rPr>
                <w:sz w:val="3"/>
                <w:szCs w:val="3"/>
                <w:color w:val="auto"/>
              </w:rPr>
            </w:pPr>
          </w:p>
        </w:tc>
        <w:tc>
          <w:tcPr>
            <w:tcW w:w="1140" w:type="dxa"/>
            <w:vAlign w:val="bottom"/>
            <w:tcBorders>
              <w:bottom w:val="single" w:sz="8" w:color="E9F1FB"/>
            </w:tcBorders>
          </w:tcPr>
          <w:p>
            <w:pPr>
              <w:spacing w:after="0"/>
              <w:rPr>
                <w:sz w:val="3"/>
                <w:szCs w:val="3"/>
                <w:color w:val="auto"/>
              </w:rPr>
            </w:pPr>
          </w:p>
        </w:tc>
        <w:tc>
          <w:tcPr>
            <w:tcW w:w="840" w:type="dxa"/>
            <w:vAlign w:val="bottom"/>
            <w:tcBorders>
              <w:bottom w:val="single" w:sz="8" w:color="E9F1FB"/>
            </w:tcBorders>
          </w:tcPr>
          <w:p>
            <w:pPr>
              <w:spacing w:after="0"/>
              <w:rPr>
                <w:sz w:val="3"/>
                <w:szCs w:val="3"/>
                <w:color w:val="auto"/>
              </w:rPr>
            </w:pPr>
          </w:p>
        </w:tc>
      </w:tr>
      <w:tr>
        <w:trPr>
          <w:trHeight w:val="195"/>
        </w:trPr>
        <w:tc>
          <w:tcPr>
            <w:tcW w:w="5120" w:type="dxa"/>
            <w:vAlign w:val="bottom"/>
          </w:tcPr>
          <w:p>
            <w:pPr>
              <w:ind w:left="60"/>
              <w:spacing w:after="0"/>
              <w:rPr>
                <w:sz w:val="20"/>
                <w:szCs w:val="20"/>
                <w:color w:val="auto"/>
              </w:rPr>
            </w:pPr>
            <w:r>
              <w:rPr>
                <w:rFonts w:ascii="Arial" w:cs="Arial" w:eastAsia="Arial" w:hAnsi="Arial"/>
                <w:sz w:val="13"/>
                <w:szCs w:val="13"/>
                <w:b w:val="1"/>
                <w:bCs w:val="1"/>
                <w:color w:val="1041AB"/>
              </w:rPr>
              <w:t>Ms. Sprieser</w:t>
            </w:r>
          </w:p>
        </w:tc>
        <w:tc>
          <w:tcPr>
            <w:tcW w:w="4040" w:type="dxa"/>
            <w:vAlign w:val="bottom"/>
          </w:tcPr>
          <w:p>
            <w:pPr>
              <w:jc w:val="right"/>
              <w:ind w:right="93"/>
              <w:spacing w:after="0"/>
              <w:rPr>
                <w:sz w:val="20"/>
                <w:szCs w:val="20"/>
                <w:color w:val="auto"/>
              </w:rPr>
            </w:pPr>
            <w:r>
              <w:rPr>
                <w:rFonts w:ascii="Arial" w:cs="Arial" w:eastAsia="Arial" w:hAnsi="Arial"/>
                <w:sz w:val="13"/>
                <w:szCs w:val="13"/>
                <w:color w:val="auto"/>
              </w:rPr>
              <w:t>43,848</w:t>
            </w:r>
          </w:p>
        </w:tc>
        <w:tc>
          <w:tcPr>
            <w:tcW w:w="1140" w:type="dxa"/>
            <w:vAlign w:val="bottom"/>
          </w:tcPr>
          <w:p>
            <w:pPr>
              <w:jc w:val="right"/>
              <w:ind w:right="73"/>
              <w:spacing w:after="0"/>
              <w:rPr>
                <w:sz w:val="20"/>
                <w:szCs w:val="20"/>
                <w:color w:val="auto"/>
              </w:rPr>
            </w:pPr>
            <w:r>
              <w:rPr>
                <w:rFonts w:ascii="Arial" w:cs="Arial" w:eastAsia="Arial" w:hAnsi="Arial"/>
                <w:sz w:val="13"/>
                <w:szCs w:val="13"/>
                <w:color w:val="auto"/>
              </w:rPr>
              <w:t>3,623,160</w:t>
            </w:r>
          </w:p>
        </w:tc>
        <w:tc>
          <w:tcPr>
            <w:tcW w:w="840" w:type="dxa"/>
            <w:vAlign w:val="bottom"/>
          </w:tcPr>
          <w:p>
            <w:pPr>
              <w:jc w:val="right"/>
              <w:ind w:right="13"/>
              <w:spacing w:after="0"/>
              <w:rPr>
                <w:sz w:val="20"/>
                <w:szCs w:val="20"/>
                <w:color w:val="auto"/>
              </w:rPr>
            </w:pPr>
            <w:r>
              <w:rPr>
                <w:rFonts w:ascii="Arial" w:cs="Arial" w:eastAsia="Arial" w:hAnsi="Arial"/>
                <w:sz w:val="13"/>
                <w:szCs w:val="13"/>
                <w:color w:val="auto"/>
              </w:rPr>
              <w:t>29.0</w:t>
            </w:r>
          </w:p>
        </w:tc>
      </w:tr>
      <w:tr>
        <w:trPr>
          <w:trHeight w:val="41"/>
        </w:trPr>
        <w:tc>
          <w:tcPr>
            <w:tcW w:w="5120" w:type="dxa"/>
            <w:vAlign w:val="bottom"/>
            <w:tcBorders>
              <w:bottom w:val="single" w:sz="8" w:color="E9F1FB"/>
            </w:tcBorders>
          </w:tcPr>
          <w:p>
            <w:pPr>
              <w:spacing w:after="0"/>
              <w:rPr>
                <w:sz w:val="3"/>
                <w:szCs w:val="3"/>
                <w:color w:val="auto"/>
              </w:rPr>
            </w:pPr>
          </w:p>
        </w:tc>
        <w:tc>
          <w:tcPr>
            <w:tcW w:w="4040" w:type="dxa"/>
            <w:vAlign w:val="bottom"/>
            <w:tcBorders>
              <w:bottom w:val="single" w:sz="8" w:color="E9F1FB"/>
            </w:tcBorders>
          </w:tcPr>
          <w:p>
            <w:pPr>
              <w:spacing w:after="0"/>
              <w:rPr>
                <w:sz w:val="3"/>
                <w:szCs w:val="3"/>
                <w:color w:val="auto"/>
              </w:rPr>
            </w:pPr>
          </w:p>
        </w:tc>
        <w:tc>
          <w:tcPr>
            <w:tcW w:w="1140" w:type="dxa"/>
            <w:vAlign w:val="bottom"/>
            <w:tcBorders>
              <w:bottom w:val="single" w:sz="8" w:color="E9F1FB"/>
            </w:tcBorders>
          </w:tcPr>
          <w:p>
            <w:pPr>
              <w:spacing w:after="0"/>
              <w:rPr>
                <w:sz w:val="3"/>
                <w:szCs w:val="3"/>
                <w:color w:val="auto"/>
              </w:rPr>
            </w:pPr>
          </w:p>
        </w:tc>
        <w:tc>
          <w:tcPr>
            <w:tcW w:w="840" w:type="dxa"/>
            <w:vAlign w:val="bottom"/>
            <w:tcBorders>
              <w:bottom w:val="single" w:sz="8" w:color="E9F1FB"/>
            </w:tcBorders>
          </w:tcPr>
          <w:p>
            <w:pPr>
              <w:spacing w:after="0"/>
              <w:rPr>
                <w:sz w:val="3"/>
                <w:szCs w:val="3"/>
                <w:color w:val="auto"/>
              </w:rPr>
            </w:pPr>
          </w:p>
        </w:tc>
      </w:tr>
      <w:tr>
        <w:trPr>
          <w:trHeight w:val="195"/>
        </w:trPr>
        <w:tc>
          <w:tcPr>
            <w:tcW w:w="5120" w:type="dxa"/>
            <w:vAlign w:val="bottom"/>
          </w:tcPr>
          <w:p>
            <w:pPr>
              <w:ind w:left="60"/>
              <w:spacing w:after="0"/>
              <w:rPr>
                <w:sz w:val="20"/>
                <w:szCs w:val="20"/>
                <w:color w:val="auto"/>
              </w:rPr>
            </w:pPr>
            <w:r>
              <w:rPr>
                <w:rFonts w:ascii="Arial" w:cs="Arial" w:eastAsia="Arial" w:hAnsi="Arial"/>
                <w:sz w:val="13"/>
                <w:szCs w:val="13"/>
                <w:b w:val="1"/>
                <w:bCs w:val="1"/>
                <w:color w:val="1041AB"/>
              </w:rPr>
              <w:t xml:space="preserve">Mrs. Taylor </w:t>
            </w:r>
            <w:r>
              <w:rPr>
                <w:rFonts w:ascii="Arial" w:cs="Arial" w:eastAsia="Arial" w:hAnsi="Arial"/>
                <w:sz w:val="13"/>
                <w:szCs w:val="13"/>
                <w:color w:val="000000"/>
              </w:rPr>
              <w:t>(Retired May 2018)</w:t>
            </w:r>
          </w:p>
        </w:tc>
        <w:tc>
          <w:tcPr>
            <w:tcW w:w="4040" w:type="dxa"/>
            <w:vAlign w:val="bottom"/>
          </w:tcPr>
          <w:p>
            <w:pPr>
              <w:jc w:val="right"/>
              <w:ind w:right="93"/>
              <w:spacing w:after="0"/>
              <w:rPr>
                <w:sz w:val="20"/>
                <w:szCs w:val="20"/>
                <w:color w:val="auto"/>
              </w:rPr>
            </w:pPr>
            <w:r>
              <w:rPr>
                <w:rFonts w:ascii="Arial" w:cs="Arial" w:eastAsia="Arial" w:hAnsi="Arial"/>
                <w:sz w:val="13"/>
                <w:szCs w:val="13"/>
                <w:color w:val="auto"/>
              </w:rPr>
              <w:t>8,000</w:t>
            </w:r>
          </w:p>
        </w:tc>
        <w:tc>
          <w:tcPr>
            <w:tcW w:w="1140" w:type="dxa"/>
            <w:vAlign w:val="bottom"/>
          </w:tcPr>
          <w:p>
            <w:pPr>
              <w:jc w:val="right"/>
              <w:ind w:right="73"/>
              <w:spacing w:after="0"/>
              <w:rPr>
                <w:sz w:val="20"/>
                <w:szCs w:val="20"/>
                <w:color w:val="auto"/>
              </w:rPr>
            </w:pPr>
            <w:r>
              <w:rPr>
                <w:rFonts w:ascii="Arial" w:cs="Arial" w:eastAsia="Arial" w:hAnsi="Arial"/>
                <w:sz w:val="13"/>
                <w:szCs w:val="13"/>
                <w:color w:val="auto"/>
              </w:rPr>
              <w:t>661,040</w:t>
            </w:r>
          </w:p>
        </w:tc>
        <w:tc>
          <w:tcPr>
            <w:tcW w:w="840" w:type="dxa"/>
            <w:vAlign w:val="bottom"/>
          </w:tcPr>
          <w:p>
            <w:pPr>
              <w:jc w:val="right"/>
              <w:ind w:right="13"/>
              <w:spacing w:after="0"/>
              <w:rPr>
                <w:sz w:val="20"/>
                <w:szCs w:val="20"/>
                <w:color w:val="auto"/>
              </w:rPr>
            </w:pPr>
            <w:r>
              <w:rPr>
                <w:rFonts w:ascii="Arial" w:cs="Arial" w:eastAsia="Arial" w:hAnsi="Arial"/>
                <w:sz w:val="13"/>
                <w:szCs w:val="13"/>
                <w:color w:val="auto"/>
              </w:rPr>
              <w:t>—</w:t>
            </w:r>
          </w:p>
        </w:tc>
      </w:tr>
      <w:tr>
        <w:trPr>
          <w:trHeight w:val="41"/>
        </w:trPr>
        <w:tc>
          <w:tcPr>
            <w:tcW w:w="5120" w:type="dxa"/>
            <w:vAlign w:val="bottom"/>
            <w:tcBorders>
              <w:bottom w:val="single" w:sz="8" w:color="E9F1FB"/>
            </w:tcBorders>
          </w:tcPr>
          <w:p>
            <w:pPr>
              <w:spacing w:after="0"/>
              <w:rPr>
                <w:sz w:val="3"/>
                <w:szCs w:val="3"/>
                <w:color w:val="auto"/>
              </w:rPr>
            </w:pPr>
          </w:p>
        </w:tc>
        <w:tc>
          <w:tcPr>
            <w:tcW w:w="4040" w:type="dxa"/>
            <w:vAlign w:val="bottom"/>
            <w:tcBorders>
              <w:bottom w:val="single" w:sz="8" w:color="E9F1FB"/>
            </w:tcBorders>
          </w:tcPr>
          <w:p>
            <w:pPr>
              <w:spacing w:after="0"/>
              <w:rPr>
                <w:sz w:val="3"/>
                <w:szCs w:val="3"/>
                <w:color w:val="auto"/>
              </w:rPr>
            </w:pPr>
          </w:p>
        </w:tc>
        <w:tc>
          <w:tcPr>
            <w:tcW w:w="1140" w:type="dxa"/>
            <w:vAlign w:val="bottom"/>
            <w:tcBorders>
              <w:bottom w:val="single" w:sz="8" w:color="E9F1FB"/>
            </w:tcBorders>
          </w:tcPr>
          <w:p>
            <w:pPr>
              <w:spacing w:after="0"/>
              <w:rPr>
                <w:sz w:val="3"/>
                <w:szCs w:val="3"/>
                <w:color w:val="auto"/>
              </w:rPr>
            </w:pPr>
          </w:p>
        </w:tc>
        <w:tc>
          <w:tcPr>
            <w:tcW w:w="840" w:type="dxa"/>
            <w:vAlign w:val="bottom"/>
            <w:tcBorders>
              <w:bottom w:val="single" w:sz="8" w:color="E9F1FB"/>
            </w:tcBorders>
          </w:tcPr>
          <w:p>
            <w:pPr>
              <w:spacing w:after="0"/>
              <w:rPr>
                <w:sz w:val="3"/>
                <w:szCs w:val="3"/>
                <w:color w:val="auto"/>
              </w:rPr>
            </w:pPr>
          </w:p>
        </w:tc>
      </w:tr>
      <w:tr>
        <w:trPr>
          <w:trHeight w:val="195"/>
        </w:trPr>
        <w:tc>
          <w:tcPr>
            <w:tcW w:w="5120" w:type="dxa"/>
            <w:vAlign w:val="bottom"/>
          </w:tcPr>
          <w:p>
            <w:pPr>
              <w:ind w:left="60"/>
              <w:spacing w:after="0"/>
              <w:rPr>
                <w:sz w:val="20"/>
                <w:szCs w:val="20"/>
                <w:color w:val="auto"/>
              </w:rPr>
            </w:pPr>
            <w:r>
              <w:rPr>
                <w:rFonts w:ascii="Arial" w:cs="Arial" w:eastAsia="Arial" w:hAnsi="Arial"/>
                <w:sz w:val="13"/>
                <w:szCs w:val="13"/>
                <w:b w:val="1"/>
                <w:bCs w:val="1"/>
                <w:color w:val="1041AB"/>
              </w:rPr>
              <w:t>Mr. Traquina</w:t>
            </w:r>
          </w:p>
        </w:tc>
        <w:tc>
          <w:tcPr>
            <w:tcW w:w="4040" w:type="dxa"/>
            <w:vAlign w:val="bottom"/>
          </w:tcPr>
          <w:p>
            <w:pPr>
              <w:jc w:val="right"/>
              <w:ind w:right="93"/>
              <w:spacing w:after="0"/>
              <w:rPr>
                <w:sz w:val="20"/>
                <w:szCs w:val="20"/>
                <w:color w:val="auto"/>
              </w:rPr>
            </w:pPr>
            <w:r>
              <w:rPr>
                <w:rFonts w:ascii="Arial" w:cs="Arial" w:eastAsia="Arial" w:hAnsi="Arial"/>
                <w:sz w:val="13"/>
                <w:szCs w:val="13"/>
                <w:color w:val="auto"/>
              </w:rPr>
              <w:t>5,401</w:t>
            </w:r>
          </w:p>
        </w:tc>
        <w:tc>
          <w:tcPr>
            <w:tcW w:w="1140" w:type="dxa"/>
            <w:vAlign w:val="bottom"/>
          </w:tcPr>
          <w:p>
            <w:pPr>
              <w:jc w:val="right"/>
              <w:ind w:right="73"/>
              <w:spacing w:after="0"/>
              <w:rPr>
                <w:sz w:val="20"/>
                <w:szCs w:val="20"/>
                <w:color w:val="auto"/>
              </w:rPr>
            </w:pPr>
            <w:r>
              <w:rPr>
                <w:rFonts w:ascii="Arial" w:cs="Arial" w:eastAsia="Arial" w:hAnsi="Arial"/>
                <w:sz w:val="13"/>
                <w:szCs w:val="13"/>
                <w:color w:val="auto"/>
              </w:rPr>
              <w:t>446,285</w:t>
            </w:r>
          </w:p>
        </w:tc>
        <w:tc>
          <w:tcPr>
            <w:tcW w:w="840" w:type="dxa"/>
            <w:vAlign w:val="bottom"/>
          </w:tcPr>
          <w:p>
            <w:pPr>
              <w:jc w:val="right"/>
              <w:ind w:right="13"/>
              <w:spacing w:after="0"/>
              <w:rPr>
                <w:sz w:val="20"/>
                <w:szCs w:val="20"/>
                <w:color w:val="auto"/>
              </w:rPr>
            </w:pPr>
            <w:r>
              <w:rPr>
                <w:rFonts w:ascii="Arial" w:cs="Arial" w:eastAsia="Arial" w:hAnsi="Arial"/>
                <w:sz w:val="13"/>
                <w:szCs w:val="13"/>
                <w:color w:val="auto"/>
              </w:rPr>
              <w:t>3.6</w:t>
            </w:r>
          </w:p>
        </w:tc>
      </w:tr>
      <w:tr>
        <w:trPr>
          <w:trHeight w:val="48"/>
        </w:trPr>
        <w:tc>
          <w:tcPr>
            <w:tcW w:w="5120" w:type="dxa"/>
            <w:vAlign w:val="bottom"/>
            <w:tcBorders>
              <w:bottom w:val="single" w:sz="8" w:color="1041AB"/>
            </w:tcBorders>
          </w:tcPr>
          <w:p>
            <w:pPr>
              <w:spacing w:after="0"/>
              <w:rPr>
                <w:sz w:val="4"/>
                <w:szCs w:val="4"/>
                <w:color w:val="auto"/>
              </w:rPr>
            </w:pPr>
          </w:p>
        </w:tc>
        <w:tc>
          <w:tcPr>
            <w:tcW w:w="4040" w:type="dxa"/>
            <w:vAlign w:val="bottom"/>
            <w:tcBorders>
              <w:bottom w:val="single" w:sz="8" w:color="1041AB"/>
            </w:tcBorders>
          </w:tcPr>
          <w:p>
            <w:pPr>
              <w:spacing w:after="0"/>
              <w:rPr>
                <w:sz w:val="4"/>
                <w:szCs w:val="4"/>
                <w:color w:val="auto"/>
              </w:rPr>
            </w:pPr>
          </w:p>
        </w:tc>
        <w:tc>
          <w:tcPr>
            <w:tcW w:w="1140" w:type="dxa"/>
            <w:vAlign w:val="bottom"/>
            <w:tcBorders>
              <w:bottom w:val="single" w:sz="8" w:color="1041AB"/>
            </w:tcBorders>
          </w:tcPr>
          <w:p>
            <w:pPr>
              <w:spacing w:after="0"/>
              <w:rPr>
                <w:sz w:val="4"/>
                <w:szCs w:val="4"/>
                <w:color w:val="auto"/>
              </w:rPr>
            </w:pPr>
          </w:p>
        </w:tc>
        <w:tc>
          <w:tcPr>
            <w:tcW w:w="840" w:type="dxa"/>
            <w:vAlign w:val="bottom"/>
            <w:tcBorders>
              <w:bottom w:val="single" w:sz="8" w:color="1041AB"/>
            </w:tcBorders>
          </w:tcPr>
          <w:p>
            <w:pPr>
              <w:spacing w:after="0"/>
              <w:rPr>
                <w:sz w:val="4"/>
                <w:szCs w:val="4"/>
                <w:color w:val="auto"/>
              </w:rPr>
            </w:pPr>
          </w:p>
        </w:tc>
      </w:tr>
    </w:tbl>
    <w:p>
      <w:pPr>
        <w:spacing w:after="0" w:line="107" w:lineRule="exact"/>
        <w:rPr>
          <w:sz w:val="20"/>
          <w:szCs w:val="20"/>
          <w:color w:val="auto"/>
        </w:rPr>
      </w:pPr>
    </w:p>
    <w:p>
      <w:pPr>
        <w:ind w:left="300" w:right="100"/>
        <w:spacing w:after="0" w:line="241" w:lineRule="auto"/>
        <w:rPr>
          <w:sz w:val="20"/>
          <w:szCs w:val="20"/>
          <w:color w:val="auto"/>
        </w:rPr>
      </w:pPr>
      <w:r>
        <w:rPr>
          <w:rFonts w:ascii="Arial" w:cs="Arial" w:eastAsia="Arial" w:hAnsi="Arial"/>
          <w:sz w:val="13"/>
          <w:szCs w:val="13"/>
          <w:color w:val="auto"/>
        </w:rPr>
        <w:t>Restricted stock unit awards granted before September 15, 2008, convert into common stock one year after termination of Board service. Restricted stock unit awards granted on or after September 15, 2008, and before June 1, 2016, convert into common stock upon termination of Board service. Restricted stock units granted on or after June 1, 2016, convert into common stock on the earlier of the third anniversary of the date of grant or upon termination of Board service. Directors had the option to defer the conversion of the restricted stock units granted on June 1, 2016, for ten years from the date of grant or the later of termination of Board service or June 1, 2024. The conversion of restricted stock units granted after June 1, 2016, may be deferred for ten years or until termination of Board service. In addition to the conversion periods described above, restricted stock units will convert upon death or disability. Each restricted stock unit includes a dividend equivalent right that entitles the director to receive a payment equal to regular cash dividends paid on Allstate common stock. Under the terms of the restricted stock unit awards, directors have only the rights of general unsecured creditors of Allstate and no rights as stockholders until delivery of the underlying shares.</w:t>
      </w:r>
    </w:p>
    <w:p>
      <w:pPr>
        <w:spacing w:after="0" w:line="204" w:lineRule="exact"/>
        <w:rPr>
          <w:sz w:val="20"/>
          <w:szCs w:val="20"/>
          <w:color w:val="auto"/>
        </w:rPr>
      </w:pPr>
    </w:p>
    <w:p>
      <w:pPr>
        <w:ind w:left="300" w:right="60"/>
        <w:spacing w:after="0" w:line="258" w:lineRule="auto"/>
        <w:rPr>
          <w:sz w:val="20"/>
          <w:szCs w:val="20"/>
          <w:color w:val="auto"/>
        </w:rPr>
      </w:pPr>
      <w:r>
        <w:rPr>
          <w:rFonts w:ascii="Arial" w:cs="Arial" w:eastAsia="Arial" w:hAnsi="Arial"/>
          <w:sz w:val="13"/>
          <w:szCs w:val="13"/>
          <w:color w:val="auto"/>
        </w:rPr>
        <w:t>Non-employee directors do not receive stock options as part of their compensation as a result of a policy change effective on June 1, 2009. There were no outstanding stock options as of year-end 2018.</w:t>
      </w:r>
    </w:p>
    <w:p>
      <w:pPr>
        <w:spacing w:after="0" w:line="83" w:lineRule="exact"/>
        <w:rPr>
          <w:sz w:val="20"/>
          <w:szCs w:val="20"/>
          <w:color w:val="auto"/>
        </w:rPr>
      </w:pPr>
    </w:p>
    <w:p>
      <w:pPr>
        <w:ind w:left="300" w:hanging="292"/>
        <w:spacing w:after="0"/>
        <w:tabs>
          <w:tab w:leader="none" w:pos="300" w:val="left"/>
        </w:tabs>
        <w:numPr>
          <w:ilvl w:val="0"/>
          <w:numId w:val="136"/>
        </w:numPr>
        <w:rPr>
          <w:rFonts w:ascii="Arial" w:cs="Arial" w:eastAsia="Arial" w:hAnsi="Arial"/>
          <w:sz w:val="11"/>
          <w:szCs w:val="11"/>
          <w:color w:val="auto"/>
        </w:rPr>
      </w:pPr>
      <w:r>
        <w:rPr>
          <w:rFonts w:ascii="Arial" w:cs="Arial" w:eastAsia="Arial" w:hAnsi="Arial"/>
          <w:sz w:val="13"/>
          <w:szCs w:val="13"/>
          <w:color w:val="auto"/>
        </w:rPr>
        <w:t>The $10,000 represents a charitable contribution made by Allstate to an entity selected by each of Mr. Rowe and Mrs. Taylor upon their retirement from the Board.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1120" w:type="dxa"/>
            <w:vAlign w:val="bottom"/>
          </w:tcPr>
          <w:p>
            <w:pPr>
              <w:ind w:left="9640"/>
              <w:spacing w:after="0"/>
              <w:rPr>
                <w:sz w:val="20"/>
                <w:szCs w:val="20"/>
                <w:color w:val="auto"/>
              </w:rPr>
            </w:pPr>
            <w:r>
              <w:rPr>
                <w:rFonts w:ascii="Arial" w:cs="Arial" w:eastAsia="Arial" w:hAnsi="Arial"/>
                <w:sz w:val="13"/>
                <w:szCs w:val="13"/>
                <w:color w:val="105EAB"/>
              </w:rPr>
              <w:t>2019 Proxy Statement</w:t>
            </w:r>
          </w:p>
        </w:tc>
        <w:tc>
          <w:tcPr>
            <w:tcW w:w="320" w:type="dxa"/>
            <w:vAlign w:val="bottom"/>
          </w:tcPr>
          <w:p>
            <w:pPr>
              <w:jc w:val="right"/>
              <w:spacing w:after="0"/>
              <w:rPr>
                <w:sz w:val="20"/>
                <w:szCs w:val="20"/>
                <w:color w:val="auto"/>
              </w:rPr>
            </w:pPr>
            <w:r>
              <w:rPr>
                <w:rFonts w:ascii="Arial" w:cs="Arial" w:eastAsia="Arial" w:hAnsi="Arial"/>
                <w:sz w:val="13"/>
                <w:szCs w:val="13"/>
                <w:b w:val="1"/>
                <w:bCs w:val="1"/>
                <w:color w:val="105EAB"/>
              </w:rPr>
              <w:t>33</w:t>
            </w:r>
          </w:p>
        </w:tc>
      </w:tr>
      <w:tr>
        <w:trPr>
          <w:trHeight w:val="213"/>
        </w:trPr>
        <w:tc>
          <w:tcPr>
            <w:tcW w:w="1112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-13970</wp:posOffset>
            </wp:positionV>
            <wp:extent cx="1270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169" w:lineRule="exact"/>
        <w:rPr>
          <w:sz w:val="20"/>
          <w:szCs w:val="20"/>
          <w:color w:val="auto"/>
        </w:rPr>
      </w:pPr>
    </w:p>
    <w:p>
      <w:pPr>
        <w:spacing w:after="0"/>
        <w:rPr>
          <w:sz w:val="20"/>
          <w:szCs w:val="20"/>
          <w:color w:val="auto"/>
        </w:rPr>
      </w:pPr>
      <w:r>
        <w:rPr>
          <w:rFonts w:ascii="Arial" w:cs="Arial" w:eastAsia="Arial" w:hAnsi="Arial"/>
          <w:sz w:val="50"/>
          <w:szCs w:val="50"/>
          <w:b w:val="1"/>
          <w:bCs w:val="1"/>
          <w:color w:val="105EAB"/>
        </w:rPr>
        <w:t>Executive Compensation</w:t>
      </w:r>
    </w:p>
    <w:p>
      <w:pPr>
        <w:spacing w:after="0" w:line="262" w:lineRule="exact"/>
        <w:rPr>
          <w:sz w:val="20"/>
          <w:szCs w:val="20"/>
          <w:color w:val="auto"/>
        </w:rPr>
      </w:pPr>
    </w:p>
    <w:tbl>
      <w:tblPr>
        <w:tblLayout w:type="fixed"/>
        <w:tblInd w:w="10" w:type="dxa"/>
        <w:tblCellMar>
          <w:top w:w="0" w:type="dxa"/>
          <w:left w:w="0" w:type="dxa"/>
          <w:bottom w:w="0" w:type="dxa"/>
          <w:right w:w="0" w:type="dxa"/>
        </w:tblCellMar>
      </w:tblPr>
      <w:tr>
        <w:trPr>
          <w:trHeight w:val="291"/>
        </w:trPr>
        <w:tc>
          <w:tcPr>
            <w:tcW w:w="940" w:type="dxa"/>
            <w:vAlign w:val="bottom"/>
            <w:tcBorders>
              <w:top w:val="single" w:sz="8" w:color="39B6E9"/>
              <w:left w:val="single" w:sz="8" w:color="39B6E9"/>
            </w:tcBorders>
          </w:tcPr>
          <w:p>
            <w:pPr>
              <w:ind w:left="140"/>
              <w:spacing w:after="0"/>
              <w:rPr>
                <w:sz w:val="20"/>
                <w:szCs w:val="20"/>
                <w:color w:val="auto"/>
              </w:rPr>
            </w:pPr>
            <w:r>
              <w:rPr>
                <w:rFonts w:ascii="Arial" w:cs="Arial" w:eastAsia="Arial" w:hAnsi="Arial"/>
                <w:sz w:val="13"/>
                <w:szCs w:val="13"/>
                <w:color w:val="39B6E9"/>
              </w:rPr>
              <w:t>PROPOSAL</w:t>
            </w:r>
          </w:p>
        </w:tc>
        <w:tc>
          <w:tcPr>
            <w:tcW w:w="660" w:type="dxa"/>
            <w:vAlign w:val="bottom"/>
            <w:tcBorders>
              <w:top w:val="single" w:sz="8" w:color="39B6E9"/>
              <w:right w:val="single" w:sz="8" w:color="39B6E9"/>
            </w:tcBorders>
            <w:vMerge w:val="restart"/>
          </w:tcPr>
          <w:p>
            <w:pPr>
              <w:jc w:val="right"/>
              <w:ind w:right="30"/>
              <w:spacing w:after="0"/>
              <w:rPr>
                <w:sz w:val="20"/>
                <w:szCs w:val="20"/>
                <w:color w:val="auto"/>
              </w:rPr>
            </w:pPr>
            <w:r>
              <w:rPr>
                <w:rFonts w:ascii="Arial" w:cs="Arial" w:eastAsia="Arial" w:hAnsi="Arial"/>
                <w:sz w:val="54"/>
                <w:szCs w:val="54"/>
                <w:b w:val="1"/>
                <w:bCs w:val="1"/>
                <w:color w:val="39B6E9"/>
              </w:rPr>
              <w:t>2</w:t>
            </w:r>
          </w:p>
        </w:tc>
        <w:tc>
          <w:tcPr>
            <w:tcW w:w="100" w:type="dxa"/>
            <w:vAlign w:val="bottom"/>
          </w:tcPr>
          <w:p>
            <w:pPr>
              <w:spacing w:after="0"/>
              <w:rPr>
                <w:sz w:val="24"/>
                <w:szCs w:val="24"/>
                <w:color w:val="auto"/>
              </w:rPr>
            </w:pPr>
          </w:p>
        </w:tc>
        <w:tc>
          <w:tcPr>
            <w:tcW w:w="6640" w:type="dxa"/>
            <w:vAlign w:val="bottom"/>
            <w:tcBorders>
              <w:top w:val="single" w:sz="8" w:color="39B6E9"/>
              <w:right w:val="single" w:sz="8" w:color="39B6E9"/>
            </w:tcBorders>
          </w:tcPr>
          <w:p>
            <w:pPr>
              <w:ind w:left="60"/>
              <w:spacing w:after="0"/>
              <w:rPr>
                <w:sz w:val="20"/>
                <w:szCs w:val="20"/>
                <w:color w:val="auto"/>
              </w:rPr>
            </w:pPr>
            <w:r>
              <w:rPr>
                <w:rFonts w:ascii="Arial" w:cs="Arial" w:eastAsia="Arial" w:hAnsi="Arial"/>
                <w:sz w:val="22"/>
                <w:szCs w:val="22"/>
                <w:b w:val="1"/>
                <w:bCs w:val="1"/>
                <w:color w:val="39B6E9"/>
                <w:w w:val="99"/>
              </w:rPr>
              <w:t>Say-on-Pay: Advisory Vote on the Compensation of the Named</w:t>
            </w:r>
          </w:p>
        </w:tc>
        <w:tc>
          <w:tcPr>
            <w:tcW w:w="0" w:type="dxa"/>
            <w:vAlign w:val="bottom"/>
          </w:tcPr>
          <w:p>
            <w:pPr>
              <w:spacing w:after="0"/>
              <w:rPr>
                <w:sz w:val="1"/>
                <w:szCs w:val="1"/>
                <w:color w:val="auto"/>
              </w:rPr>
            </w:pPr>
          </w:p>
        </w:tc>
      </w:tr>
      <w:tr>
        <w:trPr>
          <w:trHeight w:val="343"/>
        </w:trPr>
        <w:tc>
          <w:tcPr>
            <w:tcW w:w="940" w:type="dxa"/>
            <w:vAlign w:val="bottom"/>
            <w:tcBorders>
              <w:left w:val="single" w:sz="8" w:color="39B6E9"/>
            </w:tcBorders>
          </w:tcPr>
          <w:p>
            <w:pPr>
              <w:spacing w:after="0"/>
              <w:rPr>
                <w:sz w:val="24"/>
                <w:szCs w:val="24"/>
                <w:color w:val="auto"/>
              </w:rPr>
            </w:pPr>
          </w:p>
        </w:tc>
        <w:tc>
          <w:tcPr>
            <w:tcW w:w="660" w:type="dxa"/>
            <w:vAlign w:val="bottom"/>
            <w:tcBorders>
              <w:right w:val="single" w:sz="8" w:color="39B6E9"/>
            </w:tcBorders>
            <w:vMerge w:val="continue"/>
          </w:tcPr>
          <w:p>
            <w:pPr>
              <w:spacing w:after="0"/>
              <w:rPr>
                <w:sz w:val="24"/>
                <w:szCs w:val="24"/>
                <w:color w:val="auto"/>
              </w:rPr>
            </w:pPr>
          </w:p>
        </w:tc>
        <w:tc>
          <w:tcPr>
            <w:tcW w:w="100" w:type="dxa"/>
            <w:vAlign w:val="bottom"/>
          </w:tcPr>
          <w:p>
            <w:pPr>
              <w:spacing w:after="0"/>
              <w:rPr>
                <w:sz w:val="24"/>
                <w:szCs w:val="24"/>
                <w:color w:val="auto"/>
              </w:rPr>
            </w:pPr>
          </w:p>
        </w:tc>
        <w:tc>
          <w:tcPr>
            <w:tcW w:w="6640" w:type="dxa"/>
            <w:vAlign w:val="bottom"/>
            <w:tcBorders>
              <w:right w:val="single" w:sz="8" w:color="39B6E9"/>
            </w:tcBorders>
          </w:tcPr>
          <w:p>
            <w:pPr>
              <w:ind w:left="60"/>
              <w:spacing w:after="0"/>
              <w:rPr>
                <w:sz w:val="20"/>
                <w:szCs w:val="20"/>
                <w:color w:val="auto"/>
              </w:rPr>
            </w:pPr>
            <w:r>
              <w:rPr>
                <w:rFonts w:ascii="Arial" w:cs="Arial" w:eastAsia="Arial" w:hAnsi="Arial"/>
                <w:sz w:val="22"/>
                <w:szCs w:val="22"/>
                <w:b w:val="1"/>
                <w:bCs w:val="1"/>
                <w:color w:val="39B6E9"/>
              </w:rPr>
              <w:t>Executives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51065" cy="3810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1065" cy="381000"/>
                    </a:xfrm>
                    <a:prstGeom prst="rect">
                      <a:avLst/>
                    </a:prstGeom>
                    <a:noFill/>
                  </pic:spPr>
                </pic:pic>
              </a:graphicData>
            </a:graphic>
          </wp:anchor>
        </w:drawing>
      </w:r>
    </w:p>
    <w:p>
      <w:pPr>
        <w:spacing w:after="0" w:line="167"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105EAB"/>
        </w:rPr>
        <w:t xml:space="preserve">The Board recommends a vote </w:t>
      </w:r>
      <w:r>
        <w:rPr>
          <w:rFonts w:ascii="Arial" w:cs="Arial" w:eastAsia="Arial" w:hAnsi="Arial"/>
          <w:sz w:val="20"/>
          <w:szCs w:val="20"/>
          <w:b w:val="1"/>
          <w:bCs w:val="1"/>
          <w:color w:val="5CA34F"/>
        </w:rPr>
        <w:t>FOR</w:t>
      </w:r>
      <w:r>
        <w:rPr>
          <w:rFonts w:ascii="Arial" w:cs="Arial" w:eastAsia="Arial" w:hAnsi="Arial"/>
          <w:sz w:val="20"/>
          <w:szCs w:val="20"/>
          <w:b w:val="1"/>
          <w:bCs w:val="1"/>
          <w:color w:val="105EAB"/>
        </w:rPr>
        <w:t xml:space="preserve"> this proposal. </w:t>
      </w:r>
      <w:r>
        <w:rPr>
          <w:sz w:val="1"/>
          <w:szCs w:val="1"/>
          <w:color w:val="auto"/>
        </w:rPr>
        <w:drawing>
          <wp:inline distT="0" distB="0" distL="0" distR="0">
            <wp:extent cx="205740" cy="213995"/>
            <wp:effectExtent l="0" t="0" r="0" b="0"/>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05740" cy="213995"/>
                    </a:xfrm>
                    <a:prstGeom prst="rect">
                      <a:avLst/>
                    </a:prstGeom>
                    <a:noFill/>
                    <a:ln>
                      <a:noFill/>
                    </a:ln>
                  </pic:spPr>
                </pic:pic>
              </a:graphicData>
            </a:graphic>
          </wp:inline>
        </w:drawing>
      </w:r>
    </w:p>
    <w:p>
      <w:pPr>
        <w:spacing w:after="0" w:line="354"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We conduct a say-on-pay vote every year at the annual meeting. While the vote is non-binding, the Board and the compensation and succession committee (the “committee” as referenced throughout the Compensation Discussion and Analysis and Executive Compensation sections) consider the results as part of their annual evaluation of our executive compensation program.</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You may vote to approve or not approve the following advisory resolution on the executive compensation of the named executives:</w:t>
      </w:r>
    </w:p>
    <w:p>
      <w:pPr>
        <w:spacing w:after="0" w:line="211"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RESOLVED, on an advisory basis, the stockholders of The Allstate Corporation approve the compensation of the named executives, as disclosed pursuant to the compensation disclosure rules of the SEC, including the Compensation Discussion and Analysis and accompanying tables and narrative on pages 34-69 of the Notice of 2019 Annual Meeting and Proxy Statement.</w:t>
      </w:r>
    </w:p>
    <w:p>
      <w:pPr>
        <w:spacing w:after="0" w:line="175" w:lineRule="exact"/>
        <w:rPr>
          <w:sz w:val="20"/>
          <w:szCs w:val="20"/>
          <w:color w:val="auto"/>
        </w:rPr>
      </w:pPr>
    </w:p>
    <w:p>
      <w:pPr>
        <w:spacing w:after="0"/>
        <w:rPr>
          <w:sz w:val="20"/>
          <w:szCs w:val="20"/>
          <w:color w:val="auto"/>
        </w:rPr>
      </w:pPr>
      <w:r>
        <w:rPr>
          <w:rFonts w:ascii="Arial" w:cs="Arial" w:eastAsia="Arial" w:hAnsi="Arial"/>
          <w:sz w:val="31"/>
          <w:szCs w:val="31"/>
          <w:b w:val="1"/>
          <w:bCs w:val="1"/>
          <w:color w:val="959595"/>
        </w:rPr>
        <w:t>Compensation Discussion and Analysis</w:t>
      </w:r>
    </w:p>
    <w:p>
      <w:pPr>
        <w:spacing w:after="0" w:line="224" w:lineRule="exact"/>
        <w:rPr>
          <w:sz w:val="20"/>
          <w:szCs w:val="20"/>
          <w:color w:val="auto"/>
        </w:rPr>
      </w:pPr>
    </w:p>
    <w:p>
      <w:pPr>
        <w:spacing w:after="0"/>
        <w:rPr>
          <w:sz w:val="20"/>
          <w:szCs w:val="20"/>
          <w:color w:val="auto"/>
        </w:rPr>
      </w:pPr>
      <w:r>
        <w:rPr>
          <w:rFonts w:ascii="Arial" w:cs="Arial" w:eastAsia="Arial" w:hAnsi="Arial"/>
          <w:sz w:val="25"/>
          <w:szCs w:val="25"/>
          <w:b w:val="1"/>
          <w:bCs w:val="1"/>
          <w:color w:val="1041AB"/>
        </w:rPr>
        <w:t>Executive Overview</w:t>
      </w:r>
    </w:p>
    <w:p>
      <w:pPr>
        <w:spacing w:after="0" w:line="259" w:lineRule="exact"/>
        <w:rPr>
          <w:sz w:val="20"/>
          <w:szCs w:val="20"/>
          <w:color w:val="auto"/>
        </w:rPr>
      </w:pPr>
    </w:p>
    <w:p>
      <w:pPr>
        <w:ind w:right="520"/>
        <w:spacing w:after="0" w:line="265" w:lineRule="auto"/>
        <w:rPr>
          <w:sz w:val="20"/>
          <w:szCs w:val="20"/>
          <w:color w:val="auto"/>
        </w:rPr>
      </w:pPr>
      <w:r>
        <w:rPr>
          <w:rFonts w:ascii="Arial" w:cs="Arial" w:eastAsia="Arial" w:hAnsi="Arial"/>
          <w:sz w:val="18"/>
          <w:szCs w:val="18"/>
          <w:color w:val="auto"/>
        </w:rPr>
        <w:t>Our Compensation Discussion and Analysis describes Allstate’s executive compensation program, including total 2018 compensation for our named executives listed below</w:t>
      </w:r>
      <w:r>
        <w:rPr>
          <w:rFonts w:ascii="Arial" w:cs="Arial" w:eastAsia="Arial" w:hAnsi="Arial"/>
          <w:sz w:val="29"/>
          <w:szCs w:val="29"/>
          <w:color w:val="auto"/>
          <w:vertAlign w:val="superscript"/>
        </w:rPr>
        <w:t>(1)</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24662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320" w:type="dxa"/>
            <w:vAlign w:val="bottom"/>
            <w:tcBorders>
              <w:right w:val="single" w:sz="8" w:color="959595"/>
            </w:tcBorders>
          </w:tcPr>
          <w:p>
            <w:pPr>
              <w:ind w:left="80"/>
              <w:spacing w:after="0"/>
              <w:rPr>
                <w:sz w:val="20"/>
                <w:szCs w:val="20"/>
                <w:color w:val="auto"/>
              </w:rPr>
            </w:pPr>
            <w:r>
              <w:rPr>
                <w:rFonts w:ascii="Arial" w:cs="Arial" w:eastAsia="Arial" w:hAnsi="Arial"/>
                <w:sz w:val="13"/>
                <w:szCs w:val="13"/>
                <w:b w:val="1"/>
                <w:bCs w:val="1"/>
                <w:color w:val="1041AB"/>
              </w:rPr>
              <w:t>THOMAS J. WILSON</w:t>
            </w:r>
          </w:p>
        </w:tc>
        <w:tc>
          <w:tcPr>
            <w:tcW w:w="2280" w:type="dxa"/>
            <w:vAlign w:val="bottom"/>
            <w:tcBorders>
              <w:right w:val="single" w:sz="8" w:color="959595"/>
            </w:tcBorders>
          </w:tcPr>
          <w:p>
            <w:pPr>
              <w:ind w:left="60"/>
              <w:spacing w:after="0"/>
              <w:rPr>
                <w:sz w:val="20"/>
                <w:szCs w:val="20"/>
                <w:color w:val="auto"/>
              </w:rPr>
            </w:pPr>
            <w:r>
              <w:rPr>
                <w:rFonts w:ascii="Arial" w:cs="Arial" w:eastAsia="Arial" w:hAnsi="Arial"/>
                <w:sz w:val="13"/>
                <w:szCs w:val="13"/>
                <w:b w:val="1"/>
                <w:bCs w:val="1"/>
                <w:color w:val="1041AB"/>
              </w:rPr>
              <w:t>MARIO RIZZO</w:t>
            </w:r>
          </w:p>
        </w:tc>
        <w:tc>
          <w:tcPr>
            <w:tcW w:w="2280" w:type="dxa"/>
            <w:vAlign w:val="bottom"/>
            <w:tcBorders>
              <w:right w:val="single" w:sz="8" w:color="959595"/>
            </w:tcBorders>
          </w:tcPr>
          <w:p>
            <w:pPr>
              <w:ind w:left="60"/>
              <w:spacing w:after="0"/>
              <w:rPr>
                <w:sz w:val="20"/>
                <w:szCs w:val="20"/>
                <w:color w:val="auto"/>
              </w:rPr>
            </w:pPr>
            <w:r>
              <w:rPr>
                <w:rFonts w:ascii="Arial" w:cs="Arial" w:eastAsia="Arial" w:hAnsi="Arial"/>
                <w:sz w:val="13"/>
                <w:szCs w:val="13"/>
                <w:b w:val="1"/>
                <w:bCs w:val="1"/>
                <w:color w:val="1041AB"/>
              </w:rPr>
              <w:t>JOHN E. DUGENSKE</w:t>
            </w:r>
          </w:p>
        </w:tc>
        <w:tc>
          <w:tcPr>
            <w:tcW w:w="2280" w:type="dxa"/>
            <w:vAlign w:val="bottom"/>
            <w:tcBorders>
              <w:right w:val="single" w:sz="8" w:color="959595"/>
            </w:tcBorders>
          </w:tcPr>
          <w:p>
            <w:pPr>
              <w:ind w:left="60"/>
              <w:spacing w:after="0"/>
              <w:rPr>
                <w:sz w:val="20"/>
                <w:szCs w:val="20"/>
                <w:color w:val="auto"/>
              </w:rPr>
            </w:pPr>
            <w:r>
              <w:rPr>
                <w:rFonts w:ascii="Arial" w:cs="Arial" w:eastAsia="Arial" w:hAnsi="Arial"/>
                <w:sz w:val="13"/>
                <w:szCs w:val="13"/>
                <w:b w:val="1"/>
                <w:bCs w:val="1"/>
                <w:color w:val="1041AB"/>
              </w:rPr>
              <w:t>GLENN T. SHAPIRO</w:t>
            </w:r>
          </w:p>
        </w:tc>
        <w:tc>
          <w:tcPr>
            <w:tcW w:w="2260" w:type="dxa"/>
            <w:vAlign w:val="bottom"/>
          </w:tcPr>
          <w:p>
            <w:pPr>
              <w:ind w:left="60"/>
              <w:spacing w:after="0"/>
              <w:rPr>
                <w:sz w:val="20"/>
                <w:szCs w:val="20"/>
                <w:color w:val="auto"/>
              </w:rPr>
            </w:pPr>
            <w:r>
              <w:rPr>
                <w:rFonts w:ascii="Arial" w:cs="Arial" w:eastAsia="Arial" w:hAnsi="Arial"/>
                <w:sz w:val="13"/>
                <w:szCs w:val="13"/>
                <w:b w:val="1"/>
                <w:bCs w:val="1"/>
                <w:color w:val="1041AB"/>
              </w:rPr>
              <w:t>STEVEN E. SHEBIK</w:t>
            </w:r>
          </w:p>
        </w:tc>
      </w:tr>
      <w:tr>
        <w:trPr>
          <w:trHeight w:val="186"/>
        </w:trPr>
        <w:tc>
          <w:tcPr>
            <w:tcW w:w="2320" w:type="dxa"/>
            <w:vAlign w:val="bottom"/>
            <w:tcBorders>
              <w:right w:val="single" w:sz="8" w:color="959595"/>
            </w:tcBorders>
          </w:tcPr>
          <w:p>
            <w:pPr>
              <w:ind w:left="80"/>
              <w:spacing w:after="0"/>
              <w:rPr>
                <w:sz w:val="20"/>
                <w:szCs w:val="20"/>
                <w:color w:val="auto"/>
              </w:rPr>
            </w:pPr>
            <w:r>
              <w:rPr>
                <w:rFonts w:ascii="Arial" w:cs="Arial" w:eastAsia="Arial" w:hAnsi="Arial"/>
                <w:sz w:val="13"/>
                <w:szCs w:val="13"/>
                <w:b w:val="1"/>
                <w:bCs w:val="1"/>
                <w:color w:val="39B6E9"/>
              </w:rPr>
              <w:t>Chair, President, and Chief</w:t>
            </w:r>
          </w:p>
        </w:tc>
        <w:tc>
          <w:tcPr>
            <w:tcW w:w="2280" w:type="dxa"/>
            <w:vAlign w:val="bottom"/>
            <w:tcBorders>
              <w:right w:val="single" w:sz="8" w:color="959595"/>
            </w:tcBorders>
          </w:tcPr>
          <w:p>
            <w:pPr>
              <w:ind w:left="60"/>
              <w:spacing w:after="0"/>
              <w:rPr>
                <w:sz w:val="20"/>
                <w:szCs w:val="20"/>
                <w:color w:val="auto"/>
              </w:rPr>
            </w:pPr>
            <w:r>
              <w:rPr>
                <w:rFonts w:ascii="Arial" w:cs="Arial" w:eastAsia="Arial" w:hAnsi="Arial"/>
                <w:sz w:val="13"/>
                <w:szCs w:val="13"/>
                <w:b w:val="1"/>
                <w:bCs w:val="1"/>
                <w:color w:val="39B6E9"/>
              </w:rPr>
              <w:t>Executive Vice President and</w:t>
            </w:r>
          </w:p>
        </w:tc>
        <w:tc>
          <w:tcPr>
            <w:tcW w:w="2280" w:type="dxa"/>
            <w:vAlign w:val="bottom"/>
            <w:tcBorders>
              <w:right w:val="single" w:sz="8" w:color="959595"/>
            </w:tcBorders>
          </w:tcPr>
          <w:p>
            <w:pPr>
              <w:ind w:left="60"/>
              <w:spacing w:after="0"/>
              <w:rPr>
                <w:sz w:val="20"/>
                <w:szCs w:val="20"/>
                <w:color w:val="auto"/>
              </w:rPr>
            </w:pPr>
            <w:r>
              <w:rPr>
                <w:rFonts w:ascii="Arial" w:cs="Arial" w:eastAsia="Arial" w:hAnsi="Arial"/>
                <w:sz w:val="13"/>
                <w:szCs w:val="13"/>
                <w:b w:val="1"/>
                <w:bCs w:val="1"/>
                <w:color w:val="39B6E9"/>
              </w:rPr>
              <w:t>Executive Vice President and</w:t>
            </w:r>
          </w:p>
        </w:tc>
        <w:tc>
          <w:tcPr>
            <w:tcW w:w="2280" w:type="dxa"/>
            <w:vAlign w:val="bottom"/>
            <w:tcBorders>
              <w:right w:val="single" w:sz="8" w:color="959595"/>
            </w:tcBorders>
          </w:tcPr>
          <w:p>
            <w:pPr>
              <w:ind w:left="60"/>
              <w:spacing w:after="0"/>
              <w:rPr>
                <w:sz w:val="20"/>
                <w:szCs w:val="20"/>
                <w:color w:val="auto"/>
              </w:rPr>
            </w:pPr>
            <w:r>
              <w:rPr>
                <w:rFonts w:ascii="Arial" w:cs="Arial" w:eastAsia="Arial" w:hAnsi="Arial"/>
                <w:sz w:val="13"/>
                <w:szCs w:val="13"/>
                <w:b w:val="1"/>
                <w:bCs w:val="1"/>
                <w:color w:val="39B6E9"/>
              </w:rPr>
              <w:t>President, Allstate Personal</w:t>
            </w:r>
          </w:p>
        </w:tc>
        <w:tc>
          <w:tcPr>
            <w:tcW w:w="2260" w:type="dxa"/>
            <w:vAlign w:val="bottom"/>
          </w:tcPr>
          <w:p>
            <w:pPr>
              <w:ind w:left="60"/>
              <w:spacing w:after="0"/>
              <w:rPr>
                <w:sz w:val="20"/>
                <w:szCs w:val="20"/>
                <w:color w:val="auto"/>
              </w:rPr>
            </w:pPr>
            <w:r>
              <w:rPr>
                <w:rFonts w:ascii="Arial" w:cs="Arial" w:eastAsia="Arial" w:hAnsi="Arial"/>
                <w:sz w:val="13"/>
                <w:szCs w:val="13"/>
                <w:b w:val="1"/>
                <w:bCs w:val="1"/>
                <w:color w:val="39B6E9"/>
              </w:rPr>
              <w:t>Vice Chair</w:t>
            </w:r>
          </w:p>
        </w:tc>
      </w:tr>
      <w:tr>
        <w:trPr>
          <w:trHeight w:val="148"/>
        </w:trPr>
        <w:tc>
          <w:tcPr>
            <w:tcW w:w="2320" w:type="dxa"/>
            <w:vAlign w:val="bottom"/>
            <w:tcBorders>
              <w:right w:val="single" w:sz="8" w:color="959595"/>
            </w:tcBorders>
          </w:tcPr>
          <w:p>
            <w:pPr>
              <w:ind w:left="80"/>
              <w:spacing w:after="0" w:line="149" w:lineRule="exact"/>
              <w:rPr>
                <w:sz w:val="20"/>
                <w:szCs w:val="20"/>
                <w:color w:val="auto"/>
              </w:rPr>
            </w:pPr>
            <w:r>
              <w:rPr>
                <w:rFonts w:ascii="Arial" w:cs="Arial" w:eastAsia="Arial" w:hAnsi="Arial"/>
                <w:sz w:val="13"/>
                <w:szCs w:val="13"/>
                <w:b w:val="1"/>
                <w:bCs w:val="1"/>
                <w:color w:val="39B6E9"/>
              </w:rPr>
              <w:t>Executive Officer (CEO)</w:t>
            </w:r>
          </w:p>
        </w:tc>
        <w:tc>
          <w:tcPr>
            <w:tcW w:w="2280" w:type="dxa"/>
            <w:vAlign w:val="bottom"/>
            <w:tcBorders>
              <w:right w:val="single" w:sz="8" w:color="959595"/>
            </w:tcBorders>
          </w:tcPr>
          <w:p>
            <w:pPr>
              <w:ind w:left="60"/>
              <w:spacing w:after="0" w:line="149" w:lineRule="exact"/>
              <w:rPr>
                <w:sz w:val="20"/>
                <w:szCs w:val="20"/>
                <w:color w:val="auto"/>
              </w:rPr>
            </w:pPr>
            <w:r>
              <w:rPr>
                <w:rFonts w:ascii="Arial" w:cs="Arial" w:eastAsia="Arial" w:hAnsi="Arial"/>
                <w:sz w:val="13"/>
                <w:szCs w:val="13"/>
                <w:b w:val="1"/>
                <w:bCs w:val="1"/>
                <w:color w:val="39B6E9"/>
              </w:rPr>
              <w:t>Chief Financial Officer (CFO)</w:t>
            </w:r>
          </w:p>
        </w:tc>
        <w:tc>
          <w:tcPr>
            <w:tcW w:w="2280" w:type="dxa"/>
            <w:vAlign w:val="bottom"/>
            <w:tcBorders>
              <w:right w:val="single" w:sz="8" w:color="959595"/>
            </w:tcBorders>
          </w:tcPr>
          <w:p>
            <w:pPr>
              <w:ind w:left="60"/>
              <w:spacing w:after="0" w:line="149" w:lineRule="exact"/>
              <w:rPr>
                <w:sz w:val="20"/>
                <w:szCs w:val="20"/>
                <w:color w:val="auto"/>
              </w:rPr>
            </w:pPr>
            <w:r>
              <w:rPr>
                <w:rFonts w:ascii="Arial" w:cs="Arial" w:eastAsia="Arial" w:hAnsi="Arial"/>
                <w:sz w:val="13"/>
                <w:szCs w:val="13"/>
                <w:b w:val="1"/>
                <w:bCs w:val="1"/>
                <w:color w:val="39B6E9"/>
              </w:rPr>
              <w:t>Chief Investment and Corporate</w:t>
            </w:r>
          </w:p>
        </w:tc>
        <w:tc>
          <w:tcPr>
            <w:tcW w:w="2280" w:type="dxa"/>
            <w:vAlign w:val="bottom"/>
            <w:tcBorders>
              <w:right w:val="single" w:sz="8" w:color="959595"/>
            </w:tcBorders>
          </w:tcPr>
          <w:p>
            <w:pPr>
              <w:ind w:left="60"/>
              <w:spacing w:after="0" w:line="149" w:lineRule="exact"/>
              <w:rPr>
                <w:sz w:val="20"/>
                <w:szCs w:val="20"/>
                <w:color w:val="auto"/>
              </w:rPr>
            </w:pPr>
            <w:r>
              <w:rPr>
                <w:rFonts w:ascii="Arial" w:cs="Arial" w:eastAsia="Arial" w:hAnsi="Arial"/>
                <w:sz w:val="13"/>
                <w:szCs w:val="13"/>
                <w:b w:val="1"/>
                <w:bCs w:val="1"/>
                <w:color w:val="39B6E9"/>
              </w:rPr>
              <w:t>Lines</w:t>
            </w:r>
          </w:p>
        </w:tc>
        <w:tc>
          <w:tcPr>
            <w:tcW w:w="2260" w:type="dxa"/>
            <w:vAlign w:val="bottom"/>
          </w:tcPr>
          <w:p>
            <w:pPr>
              <w:spacing w:after="0"/>
              <w:rPr>
                <w:sz w:val="12"/>
                <w:szCs w:val="12"/>
                <w:color w:val="auto"/>
              </w:rPr>
            </w:pPr>
          </w:p>
        </w:tc>
      </w:tr>
      <w:tr>
        <w:trPr>
          <w:trHeight w:val="165"/>
        </w:trPr>
        <w:tc>
          <w:tcPr>
            <w:tcW w:w="2320" w:type="dxa"/>
            <w:vAlign w:val="bottom"/>
            <w:tcBorders>
              <w:right w:val="single" w:sz="8" w:color="959595"/>
            </w:tcBorders>
          </w:tcPr>
          <w:p>
            <w:pPr>
              <w:spacing w:after="0"/>
              <w:rPr>
                <w:sz w:val="14"/>
                <w:szCs w:val="14"/>
                <w:color w:val="auto"/>
              </w:rPr>
            </w:pPr>
          </w:p>
        </w:tc>
        <w:tc>
          <w:tcPr>
            <w:tcW w:w="2280" w:type="dxa"/>
            <w:vAlign w:val="bottom"/>
            <w:tcBorders>
              <w:right w:val="single" w:sz="8" w:color="959595"/>
            </w:tcBorders>
          </w:tcPr>
          <w:p>
            <w:pPr>
              <w:spacing w:after="0"/>
              <w:rPr>
                <w:sz w:val="14"/>
                <w:szCs w:val="14"/>
                <w:color w:val="auto"/>
              </w:rPr>
            </w:pPr>
          </w:p>
        </w:tc>
        <w:tc>
          <w:tcPr>
            <w:tcW w:w="2280" w:type="dxa"/>
            <w:vAlign w:val="bottom"/>
            <w:tcBorders>
              <w:right w:val="single" w:sz="8" w:color="959595"/>
            </w:tcBorders>
          </w:tcPr>
          <w:p>
            <w:pPr>
              <w:ind w:left="60"/>
              <w:spacing w:after="0"/>
              <w:rPr>
                <w:sz w:val="20"/>
                <w:szCs w:val="20"/>
                <w:color w:val="auto"/>
              </w:rPr>
            </w:pPr>
            <w:r>
              <w:rPr>
                <w:rFonts w:ascii="Arial" w:cs="Arial" w:eastAsia="Arial" w:hAnsi="Arial"/>
                <w:sz w:val="13"/>
                <w:szCs w:val="13"/>
                <w:b w:val="1"/>
                <w:bCs w:val="1"/>
                <w:color w:val="39B6E9"/>
              </w:rPr>
              <w:t>Strategy Officer</w:t>
            </w:r>
          </w:p>
        </w:tc>
        <w:tc>
          <w:tcPr>
            <w:tcW w:w="2280" w:type="dxa"/>
            <w:vAlign w:val="bottom"/>
            <w:tcBorders>
              <w:right w:val="single" w:sz="8" w:color="959595"/>
            </w:tcBorders>
          </w:tcPr>
          <w:p>
            <w:pPr>
              <w:spacing w:after="0"/>
              <w:rPr>
                <w:sz w:val="14"/>
                <w:szCs w:val="14"/>
                <w:color w:val="auto"/>
              </w:rPr>
            </w:pPr>
          </w:p>
        </w:tc>
        <w:tc>
          <w:tcPr>
            <w:tcW w:w="2260" w:type="dxa"/>
            <w:vAlign w:val="bottom"/>
          </w:tcPr>
          <w:p>
            <w:pPr>
              <w:spacing w:after="0"/>
              <w:rPr>
                <w:sz w:val="14"/>
                <w:szCs w:val="14"/>
                <w:color w:val="auto"/>
              </w:rPr>
            </w:pPr>
          </w:p>
        </w:tc>
      </w:tr>
      <w:tr>
        <w:trPr>
          <w:trHeight w:val="108"/>
        </w:trPr>
        <w:tc>
          <w:tcPr>
            <w:tcW w:w="2320" w:type="dxa"/>
            <w:vAlign w:val="bottom"/>
            <w:tcBorders>
              <w:bottom w:val="single" w:sz="8" w:color="39B6E9"/>
            </w:tcBorders>
          </w:tcPr>
          <w:p>
            <w:pPr>
              <w:spacing w:after="0"/>
              <w:rPr>
                <w:sz w:val="9"/>
                <w:szCs w:val="9"/>
                <w:color w:val="auto"/>
              </w:rPr>
            </w:pPr>
          </w:p>
        </w:tc>
        <w:tc>
          <w:tcPr>
            <w:tcW w:w="2280" w:type="dxa"/>
            <w:vAlign w:val="bottom"/>
            <w:tcBorders>
              <w:bottom w:val="single" w:sz="8" w:color="39B6E9"/>
            </w:tcBorders>
          </w:tcPr>
          <w:p>
            <w:pPr>
              <w:spacing w:after="0"/>
              <w:rPr>
                <w:sz w:val="9"/>
                <w:szCs w:val="9"/>
                <w:color w:val="auto"/>
              </w:rPr>
            </w:pPr>
          </w:p>
        </w:tc>
        <w:tc>
          <w:tcPr>
            <w:tcW w:w="2280" w:type="dxa"/>
            <w:vAlign w:val="bottom"/>
            <w:tcBorders>
              <w:bottom w:val="single" w:sz="8" w:color="39B6E9"/>
            </w:tcBorders>
          </w:tcPr>
          <w:p>
            <w:pPr>
              <w:spacing w:after="0"/>
              <w:rPr>
                <w:sz w:val="9"/>
                <w:szCs w:val="9"/>
                <w:color w:val="auto"/>
              </w:rPr>
            </w:pPr>
          </w:p>
        </w:tc>
        <w:tc>
          <w:tcPr>
            <w:tcW w:w="2280" w:type="dxa"/>
            <w:vAlign w:val="bottom"/>
            <w:tcBorders>
              <w:bottom w:val="single" w:sz="8" w:color="39B6E9"/>
            </w:tcBorders>
          </w:tcPr>
          <w:p>
            <w:pPr>
              <w:spacing w:after="0"/>
              <w:rPr>
                <w:sz w:val="9"/>
                <w:szCs w:val="9"/>
                <w:color w:val="auto"/>
              </w:rPr>
            </w:pPr>
          </w:p>
        </w:tc>
        <w:tc>
          <w:tcPr>
            <w:tcW w:w="2260" w:type="dxa"/>
            <w:vAlign w:val="bottom"/>
            <w:tcBorders>
              <w:bottom w:val="single" w:sz="8" w:color="39B6E9"/>
            </w:tcBorders>
          </w:tcPr>
          <w:p>
            <w:pPr>
              <w:spacing w:after="0"/>
              <w:rPr>
                <w:sz w:val="9"/>
                <w:szCs w:val="9"/>
                <w:color w:val="auto"/>
              </w:rPr>
            </w:pPr>
          </w:p>
        </w:tc>
      </w:tr>
    </w:tbl>
    <w:p>
      <w:pPr>
        <w:spacing w:after="0" w:line="30" w:lineRule="exact"/>
        <w:rPr>
          <w:sz w:val="20"/>
          <w:szCs w:val="20"/>
          <w:color w:val="auto"/>
        </w:rPr>
      </w:pPr>
    </w:p>
    <w:p>
      <w:pPr>
        <w:ind w:left="300" w:hanging="292"/>
        <w:spacing w:after="0"/>
        <w:tabs>
          <w:tab w:leader="none" w:pos="300" w:val="left"/>
        </w:tabs>
        <w:numPr>
          <w:ilvl w:val="0"/>
          <w:numId w:val="137"/>
        </w:numPr>
        <w:rPr>
          <w:rFonts w:ascii="Arial" w:cs="Arial" w:eastAsia="Arial" w:hAnsi="Arial"/>
          <w:sz w:val="22"/>
          <w:szCs w:val="22"/>
          <w:color w:val="auto"/>
          <w:vertAlign w:val="superscript"/>
        </w:rPr>
      </w:pPr>
      <w:r>
        <w:rPr>
          <w:rFonts w:ascii="Arial" w:cs="Arial" w:eastAsia="Arial" w:hAnsi="Arial"/>
          <w:sz w:val="13"/>
          <w:szCs w:val="13"/>
          <w:color w:val="auto"/>
        </w:rPr>
        <w:t>See Appendix C for a full list of Allstate’s executive officers.</w:t>
      </w:r>
    </w:p>
    <w:p>
      <w:pPr>
        <w:spacing w:after="0" w:line="202" w:lineRule="exact"/>
        <w:rPr>
          <w:sz w:val="20"/>
          <w:szCs w:val="20"/>
          <w:color w:val="auto"/>
        </w:rPr>
      </w:pPr>
    </w:p>
    <w:p>
      <w:pPr>
        <w:ind w:left="460" w:hanging="452"/>
        <w:spacing w:after="0"/>
        <w:tabs>
          <w:tab w:leader="none" w:pos="460" w:val="left"/>
        </w:tabs>
        <w:numPr>
          <w:ilvl w:val="0"/>
          <w:numId w:val="138"/>
        </w:numPr>
        <w:rPr>
          <w:rFonts w:ascii="Arial" w:cs="Arial" w:eastAsia="Arial" w:hAnsi="Arial"/>
          <w:sz w:val="13"/>
          <w:szCs w:val="13"/>
          <w:b w:val="1"/>
          <w:bCs w:val="1"/>
          <w:color w:val="105EAB"/>
        </w:rPr>
      </w:pPr>
      <w:r>
        <w:rPr>
          <w:rFonts w:ascii="Arial" w:cs="Arial" w:eastAsia="Arial" w:hAnsi="Arial"/>
          <w:sz w:val="13"/>
          <w:szCs w:val="13"/>
          <w:color w:val="105EAB"/>
        </w:rPr>
        <w:t>www.allstateproxy.com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134620</wp:posOffset>
            </wp:positionV>
            <wp:extent cx="7268210" cy="209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jc w:val="right"/>
        <w:ind w:right="20"/>
        <w:spacing w:after="0"/>
        <w:rPr>
          <w:sz w:val="20"/>
          <w:szCs w:val="20"/>
          <w:color w:val="auto"/>
        </w:rPr>
      </w:pPr>
      <w:r>
        <w:rPr>
          <w:rFonts w:ascii="Arial" w:cs="Arial" w:eastAsia="Arial" w:hAnsi="Arial"/>
          <w:sz w:val="13"/>
          <w:szCs w:val="13"/>
          <w:b w:val="1"/>
          <w:bCs w:val="1"/>
          <w:color w:val="auto"/>
        </w:rPr>
        <w:t xml:space="preserve">Compensation Discussion and Analysis </w:t>
      </w:r>
      <w:r>
        <w:rPr>
          <w:rFonts w:ascii="Arial" w:cs="Arial" w:eastAsia="Arial" w:hAnsi="Arial"/>
          <w:sz w:val="13"/>
          <w:szCs w:val="13"/>
          <w:b w:val="1"/>
          <w:bCs w:val="1"/>
          <w:color w:val="105EAB"/>
        </w:rPr>
        <w:t>| Executive Compensation</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39B6E9"/>
        </w:rPr>
        <w:t>Business Highlights</w:t>
      </w:r>
    </w:p>
    <w:p>
      <w:pPr>
        <w:sectPr>
          <w:pgSz w:w="11900" w:h="16838" w:orient="portrait"/>
          <w:cols w:equalWidth="0" w:num="1">
            <w:col w:w="11440"/>
          </w:cols>
          <w:pgMar w:left="240" w:top="121" w:right="219" w:bottom="1440" w:gutter="0" w:footer="0" w:header="0"/>
        </w:sectPr>
      </w:pPr>
    </w:p>
    <w:p>
      <w:pPr>
        <w:spacing w:after="0" w:line="23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 2018, Allstate delivered strong results and implemented multiple initiatives to drive long-term profitable growth. Our management team continued to advance all five Operating Priorities: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7246620" cy="17989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46620" cy="17989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Arial" w:cs="Arial" w:eastAsia="Arial" w:hAnsi="Arial"/>
          <w:sz w:val="36"/>
          <w:szCs w:val="36"/>
          <w:b w:val="1"/>
          <w:bCs w:val="1"/>
          <w:color w:val="39B6E9"/>
        </w:rPr>
        <w:t>$2.8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75565</wp:posOffset>
            </wp:positionV>
            <wp:extent cx="2758440" cy="3600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758440" cy="360045"/>
                    </a:xfrm>
                    <a:prstGeom prst="rect">
                      <a:avLst/>
                    </a:prstGeom>
                    <a:noFill/>
                  </pic:spPr>
                </pic:pic>
              </a:graphicData>
            </a:graphic>
          </wp:anchor>
        </w:drawing>
      </w:r>
    </w:p>
    <w:p>
      <w:pPr>
        <w:spacing w:after="0" w:line="183" w:lineRule="exact"/>
        <w:rPr>
          <w:sz w:val="20"/>
          <w:szCs w:val="20"/>
          <w:color w:val="auto"/>
        </w:rPr>
      </w:pPr>
    </w:p>
    <w:p>
      <w:pPr>
        <w:ind w:right="580"/>
        <w:spacing w:after="0" w:line="298" w:lineRule="auto"/>
        <w:rPr>
          <w:sz w:val="20"/>
          <w:szCs w:val="20"/>
          <w:color w:val="auto"/>
        </w:rPr>
      </w:pPr>
      <w:r>
        <w:rPr>
          <w:rFonts w:ascii="Arial" w:cs="Arial" w:eastAsia="Arial" w:hAnsi="Arial"/>
          <w:sz w:val="16"/>
          <w:szCs w:val="16"/>
          <w:color w:val="1041AB"/>
        </w:rPr>
        <w:t>Distributed to stockholders in cash through stock repurchases and common stock dividends</w:t>
      </w:r>
    </w:p>
    <w:p>
      <w:pPr>
        <w:spacing w:after="0" w:line="200" w:lineRule="exact"/>
        <w:rPr>
          <w:sz w:val="20"/>
          <w:szCs w:val="20"/>
          <w:color w:val="auto"/>
        </w:rPr>
      </w:pPr>
    </w:p>
    <w:p>
      <w:pPr>
        <w:sectPr>
          <w:pgSz w:w="11900" w:h="16838" w:orient="portrait"/>
          <w:cols w:equalWidth="0" w:num="2">
            <w:col w:w="6560" w:space="520"/>
            <w:col w:w="4360"/>
          </w:cols>
          <w:pgMar w:left="240" w:top="121" w:right="219" w:bottom="1440" w:gutter="0" w:footer="0" w:header="0"/>
          <w:type w:val="continuous"/>
        </w:sectPr>
      </w:pPr>
    </w:p>
    <w:p>
      <w:pPr>
        <w:spacing w:after="0" w:line="173" w:lineRule="exact"/>
        <w:rPr>
          <w:sz w:val="20"/>
          <w:szCs w:val="20"/>
          <w:color w:val="auto"/>
        </w:rPr>
      </w:pPr>
    </w:p>
    <w:p>
      <w:pPr>
        <w:ind w:left="80"/>
        <w:spacing w:after="0"/>
        <w:tabs>
          <w:tab w:leader="none" w:pos="1700" w:val="left"/>
        </w:tabs>
        <w:rPr>
          <w:sz w:val="20"/>
          <w:szCs w:val="20"/>
          <w:color w:val="auto"/>
        </w:rPr>
      </w:pPr>
      <w:r>
        <w:rPr>
          <w:rFonts w:ascii="Arial" w:cs="Arial" w:eastAsia="Arial" w:hAnsi="Arial"/>
          <w:sz w:val="13"/>
          <w:szCs w:val="13"/>
          <w:b w:val="1"/>
          <w:bCs w:val="1"/>
          <w:color w:val="1041AB"/>
        </w:rPr>
        <w:t>Operating Priorities</w:t>
      </w:r>
      <w:r>
        <w:rPr>
          <w:sz w:val="20"/>
          <w:szCs w:val="20"/>
          <w:color w:val="auto"/>
        </w:rPr>
        <w:tab/>
      </w:r>
      <w:r>
        <w:rPr>
          <w:rFonts w:ascii="Arial" w:cs="Arial" w:eastAsia="Arial" w:hAnsi="Arial"/>
          <w:sz w:val="13"/>
          <w:szCs w:val="13"/>
          <w:b w:val="1"/>
          <w:bCs w:val="1"/>
          <w:color w:val="1041AB"/>
        </w:rPr>
        <w:t>Results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560" w:type="dxa"/>
            <w:vAlign w:val="bottom"/>
          </w:tcPr>
          <w:p>
            <w:pPr>
              <w:ind w:left="80"/>
              <w:spacing w:after="0"/>
              <w:rPr>
                <w:sz w:val="20"/>
                <w:szCs w:val="20"/>
                <w:color w:val="auto"/>
              </w:rPr>
            </w:pPr>
            <w:r>
              <w:rPr>
                <w:rFonts w:ascii="Arial" w:cs="Arial" w:eastAsia="Arial" w:hAnsi="Arial"/>
                <w:sz w:val="13"/>
                <w:szCs w:val="13"/>
                <w:b w:val="1"/>
                <w:bCs w:val="1"/>
                <w:color w:val="1041AB"/>
              </w:rPr>
              <w:t>Better serve</w:t>
            </w:r>
          </w:p>
        </w:tc>
        <w:tc>
          <w:tcPr>
            <w:tcW w:w="9860" w:type="dxa"/>
            <w:vAlign w:val="bottom"/>
          </w:tcPr>
          <w:p>
            <w:pPr>
              <w:ind w:left="140"/>
              <w:spacing w:after="0"/>
              <w:rPr>
                <w:sz w:val="20"/>
                <w:szCs w:val="20"/>
                <w:color w:val="auto"/>
              </w:rPr>
            </w:pPr>
            <w:r>
              <w:rPr>
                <w:rFonts w:ascii="Arial" w:cs="Arial" w:eastAsia="Arial" w:hAnsi="Arial"/>
                <w:sz w:val="17"/>
                <w:szCs w:val="17"/>
                <w:color w:val="105EAB"/>
              </w:rPr>
              <w:t xml:space="preserve">►  </w:t>
            </w:r>
            <w:r>
              <w:rPr>
                <w:rFonts w:ascii="Arial" w:cs="Arial" w:eastAsia="Arial" w:hAnsi="Arial"/>
                <w:sz w:val="17"/>
                <w:szCs w:val="17"/>
                <w:color w:val="000000"/>
              </w:rPr>
              <w:t>Net Promoter Score increased for all major businesses</w:t>
            </w:r>
          </w:p>
        </w:tc>
        <w:tc>
          <w:tcPr>
            <w:tcW w:w="0" w:type="dxa"/>
            <w:vAlign w:val="bottom"/>
          </w:tcPr>
          <w:p>
            <w:pPr>
              <w:spacing w:after="0"/>
              <w:rPr>
                <w:sz w:val="1"/>
                <w:szCs w:val="1"/>
                <w:color w:val="auto"/>
              </w:rPr>
            </w:pPr>
          </w:p>
        </w:tc>
      </w:tr>
      <w:tr>
        <w:trPr>
          <w:trHeight w:val="178"/>
        </w:trPr>
        <w:tc>
          <w:tcPr>
            <w:tcW w:w="1560" w:type="dxa"/>
            <w:vAlign w:val="bottom"/>
          </w:tcPr>
          <w:p>
            <w:pPr>
              <w:ind w:left="80"/>
              <w:spacing w:after="0"/>
              <w:rPr>
                <w:sz w:val="20"/>
                <w:szCs w:val="20"/>
                <w:color w:val="auto"/>
              </w:rPr>
            </w:pPr>
            <w:r>
              <w:rPr>
                <w:rFonts w:ascii="Arial" w:cs="Arial" w:eastAsia="Arial" w:hAnsi="Arial"/>
                <w:sz w:val="13"/>
                <w:szCs w:val="13"/>
                <w:b w:val="1"/>
                <w:bCs w:val="1"/>
                <w:color w:val="1041AB"/>
              </w:rPr>
              <w:t>customers</w:t>
            </w:r>
          </w:p>
        </w:tc>
        <w:tc>
          <w:tcPr>
            <w:tcW w:w="9860" w:type="dxa"/>
            <w:vAlign w:val="bottom"/>
            <w:vMerge w:val="restart"/>
          </w:tcPr>
          <w:p>
            <w:pPr>
              <w:ind w:left="140"/>
              <w:spacing w:after="0"/>
              <w:rPr>
                <w:sz w:val="20"/>
                <w:szCs w:val="20"/>
                <w:color w:val="auto"/>
              </w:rPr>
            </w:pPr>
            <w:r>
              <w:rPr>
                <w:rFonts w:ascii="Arial" w:cs="Arial" w:eastAsia="Arial" w:hAnsi="Arial"/>
                <w:sz w:val="17"/>
                <w:szCs w:val="17"/>
                <w:color w:val="105EAB"/>
              </w:rPr>
              <w:t xml:space="preserve">►  </w:t>
            </w:r>
            <w:r>
              <w:rPr>
                <w:rFonts w:ascii="Arial" w:cs="Arial" w:eastAsia="Arial" w:hAnsi="Arial"/>
                <w:sz w:val="17"/>
                <w:szCs w:val="17"/>
                <w:color w:val="000000"/>
              </w:rPr>
              <w:t>Renewal ratio improved across Allstate, Esurance, and Encompass brands</w:t>
            </w:r>
          </w:p>
        </w:tc>
        <w:tc>
          <w:tcPr>
            <w:tcW w:w="0" w:type="dxa"/>
            <w:vAlign w:val="bottom"/>
          </w:tcPr>
          <w:p>
            <w:pPr>
              <w:spacing w:after="0"/>
              <w:rPr>
                <w:sz w:val="1"/>
                <w:szCs w:val="1"/>
                <w:color w:val="auto"/>
              </w:rPr>
            </w:pPr>
          </w:p>
        </w:tc>
      </w:tr>
      <w:tr>
        <w:trPr>
          <w:trHeight w:val="85"/>
        </w:trPr>
        <w:tc>
          <w:tcPr>
            <w:tcW w:w="1560" w:type="dxa"/>
            <w:vAlign w:val="bottom"/>
            <w:tcBorders>
              <w:bottom w:val="single" w:sz="8" w:color="1041AB"/>
            </w:tcBorders>
          </w:tcPr>
          <w:p>
            <w:pPr>
              <w:spacing w:after="0"/>
              <w:rPr>
                <w:sz w:val="7"/>
                <w:szCs w:val="7"/>
                <w:color w:val="auto"/>
              </w:rPr>
            </w:pPr>
          </w:p>
        </w:tc>
        <w:tc>
          <w:tcPr>
            <w:tcW w:w="9860" w:type="dxa"/>
            <w:vAlign w:val="bottom"/>
            <w:tcBorders>
              <w:bottom w:val="single" w:sz="8" w:color="1041AB"/>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9"/>
        </w:trPr>
        <w:tc>
          <w:tcPr>
            <w:tcW w:w="1560" w:type="dxa"/>
            <w:vAlign w:val="bottom"/>
          </w:tcPr>
          <w:p>
            <w:pPr>
              <w:ind w:left="80"/>
              <w:spacing w:after="0"/>
              <w:rPr>
                <w:sz w:val="20"/>
                <w:szCs w:val="20"/>
                <w:color w:val="auto"/>
              </w:rPr>
            </w:pPr>
            <w:r>
              <w:rPr>
                <w:rFonts w:ascii="Arial" w:cs="Arial" w:eastAsia="Arial" w:hAnsi="Arial"/>
                <w:sz w:val="13"/>
                <w:szCs w:val="13"/>
                <w:b w:val="1"/>
                <w:bCs w:val="1"/>
                <w:color w:val="1041AB"/>
              </w:rPr>
              <w:t>Achieve target</w:t>
            </w:r>
          </w:p>
        </w:tc>
        <w:tc>
          <w:tcPr>
            <w:tcW w:w="9860" w:type="dxa"/>
            <w:vAlign w:val="bottom"/>
            <w:vMerge w:val="restart"/>
          </w:tcPr>
          <w:p>
            <w:pPr>
              <w:ind w:left="140"/>
              <w:spacing w:after="0"/>
              <w:rPr>
                <w:sz w:val="20"/>
                <w:szCs w:val="20"/>
                <w:color w:val="auto"/>
              </w:rPr>
            </w:pPr>
            <w:r>
              <w:rPr>
                <w:rFonts w:ascii="Arial" w:cs="Arial" w:eastAsia="Arial" w:hAnsi="Arial"/>
                <w:sz w:val="17"/>
                <w:szCs w:val="17"/>
                <w:color w:val="105EAB"/>
              </w:rPr>
              <w:t xml:space="preserve">►  </w:t>
            </w:r>
            <w:r>
              <w:rPr>
                <w:rFonts w:ascii="Arial" w:cs="Arial" w:eastAsia="Arial" w:hAnsi="Arial"/>
                <w:sz w:val="17"/>
                <w:szCs w:val="17"/>
                <w:color w:val="000000"/>
              </w:rPr>
              <w:t>Adjusted net income return on common shareholders’ equity* of 14.8% for 2018</w:t>
            </w:r>
          </w:p>
        </w:tc>
        <w:tc>
          <w:tcPr>
            <w:tcW w:w="0" w:type="dxa"/>
            <w:vAlign w:val="bottom"/>
          </w:tcPr>
          <w:p>
            <w:pPr>
              <w:spacing w:after="0"/>
              <w:rPr>
                <w:sz w:val="1"/>
                <w:szCs w:val="1"/>
                <w:color w:val="auto"/>
              </w:rPr>
            </w:pPr>
          </w:p>
        </w:tc>
      </w:tr>
      <w:tr>
        <w:trPr>
          <w:trHeight w:val="152"/>
        </w:trPr>
        <w:tc>
          <w:tcPr>
            <w:tcW w:w="1560" w:type="dxa"/>
            <w:vAlign w:val="bottom"/>
          </w:tcPr>
          <w:p>
            <w:pPr>
              <w:ind w:left="80"/>
              <w:spacing w:after="0"/>
              <w:rPr>
                <w:sz w:val="20"/>
                <w:szCs w:val="20"/>
                <w:color w:val="auto"/>
              </w:rPr>
            </w:pPr>
            <w:r>
              <w:rPr>
                <w:rFonts w:ascii="Arial" w:cs="Arial" w:eastAsia="Arial" w:hAnsi="Arial"/>
                <w:sz w:val="13"/>
                <w:szCs w:val="13"/>
                <w:b w:val="1"/>
                <w:bCs w:val="1"/>
                <w:color w:val="1041AB"/>
              </w:rPr>
              <w:t>economic returns on</w:t>
            </w:r>
          </w:p>
        </w:tc>
        <w:tc>
          <w:tcPr>
            <w:tcW w:w="9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560" w:type="dxa"/>
            <w:vAlign w:val="bottom"/>
            <w:tcBorders>
              <w:bottom w:val="single" w:sz="8" w:color="1041AB"/>
            </w:tcBorders>
          </w:tcPr>
          <w:p>
            <w:pPr>
              <w:ind w:left="80"/>
              <w:spacing w:after="0"/>
              <w:rPr>
                <w:sz w:val="20"/>
                <w:szCs w:val="20"/>
                <w:color w:val="auto"/>
              </w:rPr>
            </w:pPr>
            <w:r>
              <w:rPr>
                <w:rFonts w:ascii="Arial" w:cs="Arial" w:eastAsia="Arial" w:hAnsi="Arial"/>
                <w:sz w:val="13"/>
                <w:szCs w:val="13"/>
                <w:b w:val="1"/>
                <w:bCs w:val="1"/>
                <w:color w:val="1041AB"/>
              </w:rPr>
              <w:t>capital</w:t>
            </w:r>
          </w:p>
        </w:tc>
        <w:tc>
          <w:tcPr>
            <w:tcW w:w="9860" w:type="dxa"/>
            <w:vAlign w:val="bottom"/>
            <w:tcBorders>
              <w:bottom w:val="single" w:sz="8" w:color="1041AB"/>
            </w:tcBorders>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1560" w:type="dxa"/>
            <w:vAlign w:val="bottom"/>
          </w:tcPr>
          <w:p>
            <w:pPr>
              <w:ind w:left="80"/>
              <w:spacing w:after="0"/>
              <w:rPr>
                <w:sz w:val="20"/>
                <w:szCs w:val="20"/>
                <w:color w:val="auto"/>
              </w:rPr>
            </w:pPr>
            <w:r>
              <w:rPr>
                <w:rFonts w:ascii="Arial" w:cs="Arial" w:eastAsia="Arial" w:hAnsi="Arial"/>
                <w:sz w:val="13"/>
                <w:szCs w:val="13"/>
                <w:b w:val="1"/>
                <w:bCs w:val="1"/>
                <w:color w:val="1041AB"/>
              </w:rPr>
              <w:t>Grow customer base</w:t>
            </w:r>
          </w:p>
        </w:tc>
        <w:tc>
          <w:tcPr>
            <w:tcW w:w="9860" w:type="dxa"/>
            <w:vAlign w:val="bottom"/>
          </w:tcPr>
          <w:p>
            <w:pPr>
              <w:ind w:left="140"/>
              <w:spacing w:after="0"/>
              <w:rPr>
                <w:sz w:val="20"/>
                <w:szCs w:val="20"/>
                <w:color w:val="auto"/>
              </w:rPr>
            </w:pPr>
            <w:r>
              <w:rPr>
                <w:rFonts w:ascii="Arial" w:cs="Arial" w:eastAsia="Arial" w:hAnsi="Arial"/>
                <w:sz w:val="17"/>
                <w:szCs w:val="17"/>
                <w:color w:val="105EAB"/>
              </w:rPr>
              <w:t xml:space="preserve">►  </w:t>
            </w:r>
            <w:r>
              <w:rPr>
                <w:rFonts w:ascii="Arial" w:cs="Arial" w:eastAsia="Arial" w:hAnsi="Arial"/>
                <w:sz w:val="17"/>
                <w:szCs w:val="17"/>
                <w:color w:val="000000"/>
              </w:rPr>
              <w:t>Policy growth accelerated for Allstate and Esurance property-liability businesses</w:t>
            </w:r>
          </w:p>
        </w:tc>
        <w:tc>
          <w:tcPr>
            <w:tcW w:w="0" w:type="dxa"/>
            <w:vAlign w:val="bottom"/>
          </w:tcPr>
          <w:p>
            <w:pPr>
              <w:spacing w:after="0"/>
              <w:rPr>
                <w:sz w:val="1"/>
                <w:szCs w:val="1"/>
                <w:color w:val="auto"/>
              </w:rPr>
            </w:pPr>
          </w:p>
        </w:tc>
      </w:tr>
      <w:tr>
        <w:trPr>
          <w:trHeight w:val="220"/>
        </w:trPr>
        <w:tc>
          <w:tcPr>
            <w:tcW w:w="1560" w:type="dxa"/>
            <w:vAlign w:val="bottom"/>
            <w:tcBorders>
              <w:bottom w:val="single" w:sz="8" w:color="1041AB"/>
            </w:tcBorders>
          </w:tcPr>
          <w:p>
            <w:pPr>
              <w:spacing w:after="0"/>
              <w:rPr>
                <w:sz w:val="19"/>
                <w:szCs w:val="19"/>
                <w:color w:val="auto"/>
              </w:rPr>
            </w:pPr>
          </w:p>
        </w:tc>
        <w:tc>
          <w:tcPr>
            <w:tcW w:w="9860" w:type="dxa"/>
            <w:vAlign w:val="bottom"/>
            <w:tcBorders>
              <w:bottom w:val="single" w:sz="8" w:color="1041AB"/>
            </w:tcBorders>
          </w:tcPr>
          <w:p>
            <w:pPr>
              <w:ind w:left="140"/>
              <w:spacing w:after="0"/>
              <w:rPr>
                <w:sz w:val="20"/>
                <w:szCs w:val="20"/>
                <w:color w:val="auto"/>
              </w:rPr>
            </w:pPr>
            <w:r>
              <w:rPr>
                <w:rFonts w:ascii="Arial" w:cs="Arial" w:eastAsia="Arial" w:hAnsi="Arial"/>
                <w:sz w:val="17"/>
                <w:szCs w:val="17"/>
                <w:color w:val="105EAB"/>
              </w:rPr>
              <w:t xml:space="preserve">►  </w:t>
            </w:r>
            <w:r>
              <w:rPr>
                <w:rFonts w:ascii="Arial" w:cs="Arial" w:eastAsia="Arial" w:hAnsi="Arial"/>
                <w:sz w:val="17"/>
                <w:szCs w:val="17"/>
                <w:color w:val="000000"/>
              </w:rPr>
              <w:t>SquareTrade policies grew 29.9 million, or 77.1%, compared to the prior year</w:t>
            </w:r>
          </w:p>
        </w:tc>
        <w:tc>
          <w:tcPr>
            <w:tcW w:w="0" w:type="dxa"/>
            <w:vAlign w:val="bottom"/>
          </w:tcPr>
          <w:p>
            <w:pPr>
              <w:spacing w:after="0"/>
              <w:rPr>
                <w:sz w:val="1"/>
                <w:szCs w:val="1"/>
                <w:color w:val="auto"/>
              </w:rPr>
            </w:pPr>
          </w:p>
        </w:tc>
      </w:tr>
      <w:tr>
        <w:trPr>
          <w:trHeight w:val="189"/>
        </w:trPr>
        <w:tc>
          <w:tcPr>
            <w:tcW w:w="1560" w:type="dxa"/>
            <w:vAlign w:val="bottom"/>
          </w:tcPr>
          <w:p>
            <w:pPr>
              <w:ind w:left="80"/>
              <w:spacing w:after="0"/>
              <w:rPr>
                <w:sz w:val="20"/>
                <w:szCs w:val="20"/>
                <w:color w:val="auto"/>
              </w:rPr>
            </w:pPr>
            <w:r>
              <w:rPr>
                <w:rFonts w:ascii="Arial" w:cs="Arial" w:eastAsia="Arial" w:hAnsi="Arial"/>
                <w:sz w:val="13"/>
                <w:szCs w:val="13"/>
                <w:b w:val="1"/>
                <w:bCs w:val="1"/>
                <w:color w:val="1041AB"/>
              </w:rPr>
              <w:t>Proactively manage</w:t>
            </w:r>
          </w:p>
        </w:tc>
        <w:tc>
          <w:tcPr>
            <w:tcW w:w="9860" w:type="dxa"/>
            <w:vAlign w:val="bottom"/>
          </w:tcPr>
          <w:p>
            <w:pPr>
              <w:ind w:left="140"/>
              <w:spacing w:after="0" w:line="189" w:lineRule="exact"/>
              <w:rPr>
                <w:sz w:val="20"/>
                <w:szCs w:val="20"/>
                <w:color w:val="auto"/>
              </w:rPr>
            </w:pPr>
            <w:r>
              <w:rPr>
                <w:rFonts w:ascii="Arial" w:cs="Arial" w:eastAsia="Arial" w:hAnsi="Arial"/>
                <w:sz w:val="17"/>
                <w:szCs w:val="17"/>
                <w:color w:val="105EAB"/>
              </w:rPr>
              <w:t xml:space="preserve">►  </w:t>
            </w:r>
            <w:r>
              <w:rPr>
                <w:rFonts w:ascii="Arial" w:cs="Arial" w:eastAsia="Arial" w:hAnsi="Arial"/>
                <w:sz w:val="17"/>
                <w:szCs w:val="17"/>
                <w:color w:val="000000"/>
              </w:rPr>
              <w:t>Net investment income of $3.2 billion in 2018, and total return on $81 billion investment portfolio of 0.8%</w:t>
            </w:r>
          </w:p>
        </w:tc>
        <w:tc>
          <w:tcPr>
            <w:tcW w:w="0" w:type="dxa"/>
            <w:vAlign w:val="bottom"/>
          </w:tcPr>
          <w:p>
            <w:pPr>
              <w:spacing w:after="0"/>
              <w:rPr>
                <w:sz w:val="1"/>
                <w:szCs w:val="1"/>
                <w:color w:val="auto"/>
              </w:rPr>
            </w:pPr>
          </w:p>
        </w:tc>
      </w:tr>
      <w:tr>
        <w:trPr>
          <w:trHeight w:val="162"/>
        </w:trPr>
        <w:tc>
          <w:tcPr>
            <w:tcW w:w="1560" w:type="dxa"/>
            <w:vAlign w:val="bottom"/>
            <w:tcBorders>
              <w:bottom w:val="single" w:sz="8" w:color="1041AB"/>
            </w:tcBorders>
          </w:tcPr>
          <w:p>
            <w:pPr>
              <w:ind w:left="80"/>
              <w:spacing w:after="0"/>
              <w:rPr>
                <w:sz w:val="20"/>
                <w:szCs w:val="20"/>
                <w:color w:val="auto"/>
              </w:rPr>
            </w:pPr>
            <w:r>
              <w:rPr>
                <w:rFonts w:ascii="Arial" w:cs="Arial" w:eastAsia="Arial" w:hAnsi="Arial"/>
                <w:sz w:val="13"/>
                <w:szCs w:val="13"/>
                <w:b w:val="1"/>
                <w:bCs w:val="1"/>
                <w:color w:val="1041AB"/>
              </w:rPr>
              <w:t>investments</w:t>
            </w:r>
          </w:p>
        </w:tc>
        <w:tc>
          <w:tcPr>
            <w:tcW w:w="9860" w:type="dxa"/>
            <w:vAlign w:val="bottom"/>
            <w:tcBorders>
              <w:bottom w:val="single" w:sz="8" w:color="1041AB"/>
            </w:tcBorders>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560" w:type="dxa"/>
            <w:vAlign w:val="bottom"/>
          </w:tcPr>
          <w:p>
            <w:pPr>
              <w:ind w:left="80"/>
              <w:spacing w:after="0"/>
              <w:rPr>
                <w:sz w:val="20"/>
                <w:szCs w:val="20"/>
                <w:color w:val="auto"/>
              </w:rPr>
            </w:pPr>
            <w:r>
              <w:rPr>
                <w:rFonts w:ascii="Arial" w:cs="Arial" w:eastAsia="Arial" w:hAnsi="Arial"/>
                <w:sz w:val="13"/>
                <w:szCs w:val="13"/>
                <w:b w:val="1"/>
                <w:bCs w:val="1"/>
                <w:color w:val="1041AB"/>
              </w:rPr>
              <w:t>Build long-term</w:t>
            </w:r>
          </w:p>
        </w:tc>
        <w:tc>
          <w:tcPr>
            <w:tcW w:w="9860" w:type="dxa"/>
            <w:vAlign w:val="bottom"/>
          </w:tcPr>
          <w:p>
            <w:pPr>
              <w:ind w:left="140"/>
              <w:spacing w:after="0" w:line="182" w:lineRule="exact"/>
              <w:rPr>
                <w:sz w:val="20"/>
                <w:szCs w:val="20"/>
                <w:color w:val="auto"/>
              </w:rPr>
            </w:pPr>
            <w:r>
              <w:rPr>
                <w:rFonts w:ascii="Arial" w:cs="Arial" w:eastAsia="Arial" w:hAnsi="Arial"/>
                <w:sz w:val="17"/>
                <w:szCs w:val="17"/>
                <w:color w:val="105EAB"/>
              </w:rPr>
              <w:t xml:space="preserve">►  </w:t>
            </w:r>
            <w:r>
              <w:rPr>
                <w:rFonts w:ascii="Arial" w:cs="Arial" w:eastAsia="Arial" w:hAnsi="Arial"/>
                <w:sz w:val="17"/>
                <w:szCs w:val="17"/>
                <w:color w:val="000000"/>
              </w:rPr>
              <w:t>Expanded telematics offerings, Arity collecting 10 billion miles of data per month</w:t>
            </w:r>
          </w:p>
        </w:tc>
        <w:tc>
          <w:tcPr>
            <w:tcW w:w="0" w:type="dxa"/>
            <w:vAlign w:val="bottom"/>
          </w:tcPr>
          <w:p>
            <w:pPr>
              <w:spacing w:after="0"/>
              <w:rPr>
                <w:sz w:val="1"/>
                <w:szCs w:val="1"/>
                <w:color w:val="auto"/>
              </w:rPr>
            </w:pPr>
          </w:p>
        </w:tc>
      </w:tr>
      <w:tr>
        <w:trPr>
          <w:trHeight w:val="178"/>
        </w:trPr>
        <w:tc>
          <w:tcPr>
            <w:tcW w:w="1560" w:type="dxa"/>
            <w:vAlign w:val="bottom"/>
          </w:tcPr>
          <w:p>
            <w:pPr>
              <w:ind w:left="80"/>
              <w:spacing w:after="0"/>
              <w:rPr>
                <w:sz w:val="20"/>
                <w:szCs w:val="20"/>
                <w:color w:val="auto"/>
              </w:rPr>
            </w:pPr>
            <w:r>
              <w:rPr>
                <w:rFonts w:ascii="Arial" w:cs="Arial" w:eastAsia="Arial" w:hAnsi="Arial"/>
                <w:sz w:val="13"/>
                <w:szCs w:val="13"/>
                <w:b w:val="1"/>
                <w:bCs w:val="1"/>
                <w:color w:val="1041AB"/>
              </w:rPr>
              <w:t>growth platforms</w:t>
            </w:r>
          </w:p>
        </w:tc>
        <w:tc>
          <w:tcPr>
            <w:tcW w:w="9860" w:type="dxa"/>
            <w:vAlign w:val="bottom"/>
            <w:vMerge w:val="restart"/>
          </w:tcPr>
          <w:p>
            <w:pPr>
              <w:ind w:left="140"/>
              <w:spacing w:after="0"/>
              <w:rPr>
                <w:sz w:val="20"/>
                <w:szCs w:val="20"/>
                <w:color w:val="auto"/>
              </w:rPr>
            </w:pPr>
            <w:r>
              <w:rPr>
                <w:rFonts w:ascii="Arial" w:cs="Arial" w:eastAsia="Arial" w:hAnsi="Arial"/>
                <w:sz w:val="17"/>
                <w:szCs w:val="17"/>
                <w:color w:val="105EAB"/>
              </w:rPr>
              <w:t xml:space="preserve">►  </w:t>
            </w:r>
            <w:r>
              <w:rPr>
                <w:rFonts w:ascii="Arial" w:cs="Arial" w:eastAsia="Arial" w:hAnsi="Arial"/>
                <w:sz w:val="17"/>
                <w:szCs w:val="17"/>
                <w:color w:val="000000"/>
              </w:rPr>
              <w:t>SquareTrade continued its rapid growth, adding a leading U.S. retailer during the year</w:t>
            </w:r>
          </w:p>
        </w:tc>
        <w:tc>
          <w:tcPr>
            <w:tcW w:w="0" w:type="dxa"/>
            <w:vAlign w:val="bottom"/>
          </w:tcPr>
          <w:p>
            <w:pPr>
              <w:spacing w:after="0"/>
              <w:rPr>
                <w:sz w:val="1"/>
                <w:szCs w:val="1"/>
                <w:color w:val="auto"/>
              </w:rPr>
            </w:pPr>
          </w:p>
        </w:tc>
      </w:tr>
      <w:tr>
        <w:trPr>
          <w:trHeight w:val="68"/>
        </w:trPr>
        <w:tc>
          <w:tcPr>
            <w:tcW w:w="1560" w:type="dxa"/>
            <w:vAlign w:val="bottom"/>
          </w:tcPr>
          <w:p>
            <w:pPr>
              <w:spacing w:after="0"/>
              <w:rPr>
                <w:sz w:val="5"/>
                <w:szCs w:val="5"/>
                <w:color w:val="auto"/>
              </w:rPr>
            </w:pPr>
          </w:p>
        </w:tc>
        <w:tc>
          <w:tcPr>
            <w:tcW w:w="9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ind w:left="2000" w:hanging="297"/>
        <w:spacing w:after="0"/>
        <w:tabs>
          <w:tab w:leader="none" w:pos="2000" w:val="left"/>
        </w:tabs>
        <w:numPr>
          <w:ilvl w:val="1"/>
          <w:numId w:val="139"/>
        </w:numPr>
        <w:rPr>
          <w:rFonts w:ascii="Arial" w:cs="Arial" w:eastAsia="Arial" w:hAnsi="Arial"/>
          <w:sz w:val="17"/>
          <w:szCs w:val="17"/>
          <w:color w:val="105EAB"/>
        </w:rPr>
      </w:pPr>
      <w:r>
        <w:rPr>
          <w:rFonts w:ascii="Arial" w:cs="Arial" w:eastAsia="Arial" w:hAnsi="Arial"/>
          <w:sz w:val="18"/>
          <w:szCs w:val="18"/>
          <w:color w:val="auto"/>
        </w:rPr>
        <w:t>Acquired InfoArmor, a fast-growing identity protection provider</w:t>
      </w:r>
    </w:p>
    <w:p>
      <w:pPr>
        <w:spacing w:after="0" w:line="153" w:lineRule="exact"/>
        <w:rPr>
          <w:rFonts w:ascii="Arial" w:cs="Arial" w:eastAsia="Arial" w:hAnsi="Arial"/>
          <w:sz w:val="17"/>
          <w:szCs w:val="17"/>
          <w:color w:val="105EAB"/>
        </w:rPr>
      </w:pPr>
    </w:p>
    <w:p>
      <w:pPr>
        <w:ind w:left="220" w:right="320" w:hanging="202"/>
        <w:spacing w:after="0" w:line="258" w:lineRule="auto"/>
        <w:rPr>
          <w:rFonts w:ascii="Arial" w:cs="Arial" w:eastAsia="Arial" w:hAnsi="Arial"/>
          <w:sz w:val="17"/>
          <w:szCs w:val="17"/>
          <w:color w:val="105EAB"/>
        </w:rPr>
      </w:pPr>
      <w:r>
        <w:rPr>
          <w:rFonts w:ascii="Arial" w:cs="Arial" w:eastAsia="Arial" w:hAnsi="Arial"/>
          <w:sz w:val="13"/>
          <w:szCs w:val="13"/>
          <w:color w:val="auto"/>
        </w:rPr>
        <w:t>* Measures used in this proxy statement that are not based on generally accepted accounting principles (“non-GAAP”) are denoted with an asterisk (*). These measures are defined and reconciled to the most directly comparable GAAP measures in Appendix A.</w:t>
      </w:r>
    </w:p>
    <w:p>
      <w:pPr>
        <w:spacing w:after="0" w:line="195"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Allstate’s one, three, and five-year total shareholder return was -19.5%, 40.7%, and 66.2%, respectively. The following chart shows Allstate’s total shareholder return over one, three and five years relative to the market cap weighted average of the peer group used for 2018 compensation benchmarking (identified on page 48).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1041AB"/>
        </w:rPr>
        <w:t>COMPARISON OF TOTAL SHAREHOLDER RETURN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5687695" cy="19615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687695" cy="1961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00" w:hanging="292"/>
        <w:spacing w:after="0"/>
        <w:tabs>
          <w:tab w:leader="none" w:pos="300" w:val="left"/>
        </w:tabs>
        <w:numPr>
          <w:ilvl w:val="0"/>
          <w:numId w:val="140"/>
        </w:numPr>
        <w:rPr>
          <w:rFonts w:ascii="Arial" w:cs="Arial" w:eastAsia="Arial" w:hAnsi="Arial"/>
          <w:sz w:val="22"/>
          <w:szCs w:val="22"/>
          <w:color w:val="auto"/>
          <w:vertAlign w:val="superscript"/>
        </w:rPr>
      </w:pPr>
      <w:r>
        <w:rPr>
          <w:rFonts w:ascii="Arial" w:cs="Arial" w:eastAsia="Arial" w:hAnsi="Arial"/>
          <w:sz w:val="13"/>
          <w:szCs w:val="13"/>
          <w:color w:val="auto"/>
        </w:rPr>
        <w:t>Market Cap Weighted Average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1120" w:type="dxa"/>
            <w:vAlign w:val="bottom"/>
          </w:tcPr>
          <w:p>
            <w:pPr>
              <w:ind w:left="9640"/>
              <w:spacing w:after="0"/>
              <w:rPr>
                <w:sz w:val="20"/>
                <w:szCs w:val="20"/>
                <w:color w:val="auto"/>
              </w:rPr>
            </w:pPr>
            <w:r>
              <w:rPr>
                <w:rFonts w:ascii="Arial" w:cs="Arial" w:eastAsia="Arial" w:hAnsi="Arial"/>
                <w:sz w:val="13"/>
                <w:szCs w:val="13"/>
                <w:color w:val="105EAB"/>
              </w:rPr>
              <w:t>2019 Proxy Statement</w:t>
            </w:r>
          </w:p>
        </w:tc>
        <w:tc>
          <w:tcPr>
            <w:tcW w:w="320" w:type="dxa"/>
            <w:vAlign w:val="bottom"/>
          </w:tcPr>
          <w:p>
            <w:pPr>
              <w:jc w:val="right"/>
              <w:spacing w:after="0"/>
              <w:rPr>
                <w:sz w:val="20"/>
                <w:szCs w:val="20"/>
                <w:color w:val="auto"/>
              </w:rPr>
            </w:pPr>
            <w:r>
              <w:rPr>
                <w:rFonts w:ascii="Arial" w:cs="Arial" w:eastAsia="Arial" w:hAnsi="Arial"/>
                <w:sz w:val="13"/>
                <w:szCs w:val="13"/>
                <w:b w:val="1"/>
                <w:bCs w:val="1"/>
                <w:color w:val="105EAB"/>
              </w:rPr>
              <w:t>35</w:t>
            </w:r>
          </w:p>
        </w:tc>
      </w:tr>
      <w:tr>
        <w:trPr>
          <w:trHeight w:val="213"/>
        </w:trPr>
        <w:tc>
          <w:tcPr>
            <w:tcW w:w="1112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-13970</wp:posOffset>
            </wp:positionV>
            <wp:extent cx="1270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b w:val="1"/>
          <w:bCs w:val="1"/>
          <w:color w:val="105EAB"/>
        </w:rPr>
        <w:t xml:space="preserve">Executive Compensation | </w:t>
      </w:r>
      <w:r>
        <w:rPr>
          <w:rFonts w:ascii="Arial" w:cs="Arial" w:eastAsia="Arial" w:hAnsi="Arial"/>
          <w:sz w:val="13"/>
          <w:szCs w:val="13"/>
          <w:b w:val="1"/>
          <w:bCs w:val="1"/>
          <w:color w:val="000000"/>
        </w:rPr>
        <w:t>Compensation Discussion and Analysis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39B6E9"/>
        </w:rPr>
        <w:t>Compensation Highlights</w:t>
      </w:r>
    </w:p>
    <w:p>
      <w:pPr>
        <w:spacing w:after="0" w:line="21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105EAB"/>
        </w:rPr>
        <w:t>Compensation Governance</w:t>
      </w:r>
    </w:p>
    <w:p>
      <w:pPr>
        <w:spacing w:after="0" w:line="233" w:lineRule="exact"/>
        <w:rPr>
          <w:sz w:val="20"/>
          <w:szCs w:val="20"/>
          <w:color w:val="auto"/>
        </w:rPr>
      </w:pPr>
    </w:p>
    <w:p>
      <w:pPr>
        <w:jc w:val="both"/>
        <w:ind w:left="560"/>
        <w:spacing w:after="0" w:line="281" w:lineRule="auto"/>
        <w:rPr>
          <w:sz w:val="20"/>
          <w:szCs w:val="20"/>
          <w:color w:val="auto"/>
        </w:rPr>
      </w:pPr>
      <w:r>
        <w:rPr>
          <w:rFonts w:ascii="Arial" w:cs="Arial" w:eastAsia="Arial" w:hAnsi="Arial"/>
          <w:sz w:val="16"/>
          <w:szCs w:val="16"/>
          <w:color w:val="auto"/>
        </w:rPr>
        <w:t xml:space="preserve">Allstate’s executive compensation program includes industry best practices with a focus on </w:t>
      </w:r>
      <w:r>
        <w:rPr>
          <w:rFonts w:ascii="Arial" w:cs="Arial" w:eastAsia="Arial" w:hAnsi="Arial"/>
          <w:sz w:val="16"/>
          <w:szCs w:val="16"/>
          <w:b w:val="1"/>
          <w:bCs w:val="1"/>
          <w:color w:val="auto"/>
        </w:rPr>
        <w:t>pay for performance</w:t>
      </w:r>
      <w:r>
        <w:rPr>
          <w:rFonts w:ascii="Arial" w:cs="Arial" w:eastAsia="Arial" w:hAnsi="Arial"/>
          <w:sz w:val="16"/>
          <w:szCs w:val="16"/>
          <w:color w:val="auto"/>
        </w:rPr>
        <w:t xml:space="preserve"> and a </w:t>
      </w:r>
      <w:r>
        <w:rPr>
          <w:rFonts w:ascii="Arial" w:cs="Arial" w:eastAsia="Arial" w:hAnsi="Arial"/>
          <w:sz w:val="16"/>
          <w:szCs w:val="16"/>
          <w:b w:val="1"/>
          <w:bCs w:val="1"/>
          <w:color w:val="auto"/>
        </w:rPr>
        <w:t>strong link</w:t>
      </w:r>
      <w:r>
        <w:rPr>
          <w:rFonts w:ascii="Arial" w:cs="Arial" w:eastAsia="Arial" w:hAnsi="Arial"/>
          <w:sz w:val="16"/>
          <w:szCs w:val="16"/>
          <w:color w:val="auto"/>
        </w:rPr>
        <w:t xml:space="preserve"> </w:t>
      </w:r>
      <w:r>
        <w:rPr>
          <w:rFonts w:ascii="Arial" w:cs="Arial" w:eastAsia="Arial" w:hAnsi="Arial"/>
          <w:sz w:val="16"/>
          <w:szCs w:val="16"/>
          <w:b w:val="1"/>
          <w:bCs w:val="1"/>
          <w:color w:val="auto"/>
        </w:rPr>
        <w:t>between performance measures and strategic objectives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299720" cy="15430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99720" cy="154305"/>
                    </a:xfrm>
                    <a:prstGeom prst="rect">
                      <a:avLst/>
                    </a:prstGeom>
                    <a:noFill/>
                  </pic:spPr>
                </pic:pic>
              </a:graphicData>
            </a:graphic>
          </wp:anchor>
        </w:drawing>
      </w:r>
    </w:p>
    <w:p>
      <w:pPr>
        <w:spacing w:after="0" w:line="157" w:lineRule="exact"/>
        <w:rPr>
          <w:sz w:val="20"/>
          <w:szCs w:val="20"/>
          <w:color w:val="auto"/>
        </w:rPr>
      </w:pPr>
    </w:p>
    <w:p>
      <w:pPr>
        <w:ind w:left="560" w:right="60"/>
        <w:spacing w:after="0" w:line="239" w:lineRule="auto"/>
        <w:rPr>
          <w:sz w:val="20"/>
          <w:szCs w:val="20"/>
          <w:color w:val="auto"/>
        </w:rPr>
      </w:pPr>
      <w:r>
        <w:rPr>
          <w:rFonts w:ascii="Arial" w:cs="Arial" w:eastAsia="Arial" w:hAnsi="Arial"/>
          <w:sz w:val="18"/>
          <w:szCs w:val="18"/>
          <w:color w:val="auto"/>
        </w:rPr>
        <w:t>Allstate added a one-year minimum equity vesting provision in its equity compensation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147320</wp:posOffset>
            </wp:positionV>
            <wp:extent cx="329755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297555" cy="8255"/>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105EAB"/>
        </w:rPr>
        <w:t>Comparison with Peers</w:t>
      </w:r>
    </w:p>
    <w:p>
      <w:pPr>
        <w:spacing w:after="0" w:line="215" w:lineRule="exact"/>
        <w:rPr>
          <w:sz w:val="20"/>
          <w:szCs w:val="20"/>
          <w:color w:val="auto"/>
        </w:rPr>
      </w:pPr>
    </w:p>
    <w:p>
      <w:pPr>
        <w:ind w:left="560" w:right="40"/>
        <w:spacing w:after="0" w:line="218" w:lineRule="auto"/>
        <w:rPr>
          <w:sz w:val="20"/>
          <w:szCs w:val="20"/>
          <w:color w:val="auto"/>
        </w:rPr>
      </w:pPr>
      <w:r>
        <w:rPr>
          <w:rFonts w:ascii="Arial" w:cs="Arial" w:eastAsia="Arial" w:hAnsi="Arial"/>
          <w:sz w:val="17"/>
          <w:szCs w:val="17"/>
          <w:color w:val="auto"/>
        </w:rPr>
        <w:t xml:space="preserve">The committee uses the </w:t>
      </w:r>
      <w:r>
        <w:rPr>
          <w:rFonts w:ascii="Arial" w:cs="Arial" w:eastAsia="Arial" w:hAnsi="Arial"/>
          <w:sz w:val="17"/>
          <w:szCs w:val="17"/>
          <w:b w:val="1"/>
          <w:bCs w:val="1"/>
          <w:color w:val="auto"/>
        </w:rPr>
        <w:t>50</w:t>
      </w:r>
      <w:r>
        <w:rPr>
          <w:rFonts w:ascii="Arial" w:cs="Arial" w:eastAsia="Arial" w:hAnsi="Arial"/>
          <w:sz w:val="28"/>
          <w:szCs w:val="28"/>
          <w:b w:val="1"/>
          <w:bCs w:val="1"/>
          <w:color w:val="auto"/>
          <w:vertAlign w:val="superscript"/>
        </w:rPr>
        <w:t>th</w:t>
      </w:r>
      <w:r>
        <w:rPr>
          <w:rFonts w:ascii="Arial" w:cs="Arial" w:eastAsia="Arial" w:hAnsi="Arial"/>
          <w:sz w:val="17"/>
          <w:szCs w:val="17"/>
          <w:color w:val="auto"/>
        </w:rPr>
        <w:t xml:space="preserve"> </w:t>
      </w:r>
      <w:r>
        <w:rPr>
          <w:rFonts w:ascii="Arial" w:cs="Arial" w:eastAsia="Arial" w:hAnsi="Arial"/>
          <w:sz w:val="17"/>
          <w:szCs w:val="17"/>
          <w:b w:val="1"/>
          <w:bCs w:val="1"/>
          <w:color w:val="auto"/>
        </w:rPr>
        <w:t>percentile of our peer companies</w:t>
      </w:r>
      <w:r>
        <w:rPr>
          <w:rFonts w:ascii="Arial" w:cs="Arial" w:eastAsia="Arial" w:hAnsi="Arial"/>
          <w:sz w:val="17"/>
          <w:szCs w:val="17"/>
          <w:color w:val="auto"/>
        </w:rPr>
        <w:t xml:space="preserve"> as a guideline when setting total target direct compensation.</w:t>
      </w:r>
    </w:p>
    <w:p>
      <w:pPr>
        <w:spacing w:after="0" w:line="341" w:lineRule="exact"/>
        <w:rPr>
          <w:sz w:val="20"/>
          <w:szCs w:val="20"/>
          <w:color w:val="auto"/>
        </w:rPr>
      </w:pPr>
    </w:p>
    <w:p>
      <w:pPr>
        <w:spacing w:after="0"/>
        <w:rPr>
          <w:sz w:val="20"/>
          <w:szCs w:val="20"/>
          <w:color w:val="auto"/>
        </w:rPr>
      </w:pPr>
      <w:r>
        <w:rPr>
          <w:rFonts w:ascii="Arial" w:cs="Arial" w:eastAsia="Arial" w:hAnsi="Arial"/>
          <w:sz w:val="20"/>
          <w:szCs w:val="20"/>
          <w:b w:val="1"/>
          <w:bCs w:val="1"/>
          <w:color w:val="39B6E9"/>
        </w:rPr>
        <w:t>Alignment of Pay with Performance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105EAB"/>
        </w:rPr>
        <w:t>ANNUAL CASH INCENTIVE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5764530" cy="22186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764530" cy="22186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105EAB"/>
        </w:rPr>
        <w:t>Shareholder Feedback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-118745</wp:posOffset>
            </wp:positionV>
            <wp:extent cx="8255" cy="20129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255" cy="2012950"/>
                    </a:xfrm>
                    <a:prstGeom prst="rect">
                      <a:avLst/>
                    </a:prstGeom>
                    <a:noFill/>
                  </pic:spPr>
                </pic:pic>
              </a:graphicData>
            </a:graphic>
          </wp:anchor>
        </w:drawing>
      </w:r>
    </w:p>
    <w:p>
      <w:pPr>
        <w:spacing w:after="0" w:line="21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 xml:space="preserve">The Board considers feedback from shareholders on matters including compensation. At our last shareholder meeting, </w:t>
      </w:r>
      <w:r>
        <w:rPr>
          <w:rFonts w:ascii="Arial" w:cs="Arial" w:eastAsia="Arial" w:hAnsi="Arial"/>
          <w:sz w:val="18"/>
          <w:szCs w:val="18"/>
          <w:b w:val="1"/>
          <w:bCs w:val="1"/>
          <w:color w:val="auto"/>
        </w:rPr>
        <w:t>93% of</w:t>
      </w:r>
      <w:r>
        <w:rPr>
          <w:rFonts w:ascii="Arial" w:cs="Arial" w:eastAsia="Arial" w:hAnsi="Arial"/>
          <w:sz w:val="18"/>
          <w:szCs w:val="18"/>
          <w:color w:val="auto"/>
        </w:rPr>
        <w:t xml:space="preserve"> </w:t>
      </w:r>
      <w:r>
        <w:rPr>
          <w:rFonts w:ascii="Arial" w:cs="Arial" w:eastAsia="Arial" w:hAnsi="Arial"/>
          <w:sz w:val="18"/>
          <w:szCs w:val="18"/>
          <w:b w:val="1"/>
          <w:bCs w:val="1"/>
          <w:color w:val="auto"/>
        </w:rPr>
        <w:t>votes cast supported our executive compensation program</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committee considered the vote results, investor input, and current market practices and determined that no significant changes should be made to the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156210</wp:posOffset>
            </wp:positionV>
            <wp:extent cx="337502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375025" cy="825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105EAB"/>
        </w:rPr>
        <w:t>Independent Consultant</w:t>
      </w:r>
    </w:p>
    <w:p>
      <w:pPr>
        <w:spacing w:after="0" w:line="211" w:lineRule="exact"/>
        <w:rPr>
          <w:sz w:val="20"/>
          <w:szCs w:val="20"/>
          <w:color w:val="auto"/>
        </w:rPr>
      </w:pPr>
    </w:p>
    <w:p>
      <w:pPr>
        <w:ind w:right="80"/>
        <w:spacing w:after="0" w:line="249" w:lineRule="auto"/>
        <w:rPr>
          <w:sz w:val="20"/>
          <w:szCs w:val="20"/>
          <w:color w:val="auto"/>
        </w:rPr>
      </w:pPr>
      <w:r>
        <w:rPr>
          <w:rFonts w:ascii="Arial" w:cs="Arial" w:eastAsia="Arial" w:hAnsi="Arial"/>
          <w:sz w:val="18"/>
          <w:szCs w:val="18"/>
          <w:color w:val="auto"/>
        </w:rPr>
        <w:t xml:space="preserve">An independent compensation consultant provides </w:t>
      </w:r>
      <w:r>
        <w:rPr>
          <w:rFonts w:ascii="Arial" w:cs="Arial" w:eastAsia="Arial" w:hAnsi="Arial"/>
          <w:sz w:val="18"/>
          <w:szCs w:val="18"/>
          <w:b w:val="1"/>
          <w:bCs w:val="1"/>
          <w:color w:val="auto"/>
        </w:rPr>
        <w:t>advice on</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incentive design </w:t>
      </w:r>
      <w:r>
        <w:rPr>
          <w:rFonts w:ascii="Arial" w:cs="Arial" w:eastAsia="Arial" w:hAnsi="Arial"/>
          <w:sz w:val="18"/>
          <w:szCs w:val="18"/>
          <w:color w:val="auto"/>
        </w:rPr>
        <w:t>and the overall executive compensation program</w:t>
      </w:r>
      <w:r>
        <w:rPr>
          <w:rFonts w:ascii="Arial" w:cs="Arial" w:eastAsia="Arial" w:hAnsi="Arial"/>
          <w:sz w:val="18"/>
          <w:szCs w:val="18"/>
          <w:b w:val="1"/>
          <w:bCs w:val="1"/>
          <w:color w:val="auto"/>
        </w:rPr>
        <w:t xml:space="preserve"> </w:t>
      </w:r>
      <w:r>
        <w:rPr>
          <w:rFonts w:ascii="Arial" w:cs="Arial" w:eastAsia="Arial" w:hAnsi="Arial"/>
          <w:sz w:val="18"/>
          <w:szCs w:val="18"/>
          <w:color w:val="auto"/>
        </w:rPr>
        <w:t>and pay levels.</w:t>
      </w:r>
    </w:p>
    <w:p>
      <w:pPr>
        <w:spacing w:after="0" w:line="1017" w:lineRule="exact"/>
        <w:rPr>
          <w:sz w:val="20"/>
          <w:szCs w:val="20"/>
          <w:color w:val="auto"/>
        </w:rPr>
      </w:pPr>
    </w:p>
    <w:p>
      <w:pPr>
        <w:sectPr>
          <w:pgSz w:w="11900" w:h="16838" w:orient="portrait"/>
          <w:cols w:equalWidth="0" w:num="2">
            <w:col w:w="5660" w:space="440"/>
            <w:col w:w="5280"/>
          </w:cols>
          <w:pgMar w:left="240" w:top="121"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00" w:hanging="292"/>
        <w:spacing w:after="0"/>
        <w:tabs>
          <w:tab w:leader="none" w:pos="300" w:val="left"/>
        </w:tabs>
        <w:numPr>
          <w:ilvl w:val="0"/>
          <w:numId w:val="141"/>
        </w:numPr>
        <w:rPr>
          <w:rFonts w:ascii="Arial" w:cs="Arial" w:eastAsia="Arial" w:hAnsi="Arial"/>
          <w:sz w:val="22"/>
          <w:szCs w:val="22"/>
          <w:color w:val="auto"/>
          <w:vertAlign w:val="superscript"/>
        </w:rPr>
      </w:pPr>
      <w:r>
        <w:rPr>
          <w:rFonts w:ascii="Arial" w:cs="Arial" w:eastAsia="Arial" w:hAnsi="Arial"/>
          <w:sz w:val="13"/>
          <w:szCs w:val="13"/>
          <w:color w:val="auto"/>
        </w:rPr>
        <w:t>For a description of how these measures are determined, see pages 67-68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105EAB"/>
        </w:rPr>
        <w:t>AIP % OF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5764530" cy="153352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764530" cy="1533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60" w:hanging="452"/>
        <w:spacing w:after="0"/>
        <w:tabs>
          <w:tab w:leader="none" w:pos="460" w:val="left"/>
        </w:tabs>
        <w:numPr>
          <w:ilvl w:val="0"/>
          <w:numId w:val="142"/>
        </w:numPr>
        <w:rPr>
          <w:rFonts w:ascii="Arial" w:cs="Arial" w:eastAsia="Arial" w:hAnsi="Arial"/>
          <w:sz w:val="13"/>
          <w:szCs w:val="13"/>
          <w:b w:val="1"/>
          <w:bCs w:val="1"/>
          <w:color w:val="105EAB"/>
        </w:rPr>
      </w:pPr>
      <w:r>
        <w:rPr>
          <w:rFonts w:ascii="Arial" w:cs="Arial" w:eastAsia="Arial" w:hAnsi="Arial"/>
          <w:sz w:val="13"/>
          <w:szCs w:val="13"/>
          <w:color w:val="105EAB"/>
        </w:rPr>
        <w:t>www.allstateproxy.com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134620</wp:posOffset>
            </wp:positionV>
            <wp:extent cx="7268210" cy="209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jc w:val="right"/>
        <w:ind w:right="20"/>
        <w:spacing w:after="0"/>
        <w:rPr>
          <w:sz w:val="20"/>
          <w:szCs w:val="20"/>
          <w:color w:val="auto"/>
        </w:rPr>
      </w:pPr>
      <w:r>
        <w:rPr>
          <w:rFonts w:ascii="Arial" w:cs="Arial" w:eastAsia="Arial" w:hAnsi="Arial"/>
          <w:sz w:val="13"/>
          <w:szCs w:val="13"/>
          <w:b w:val="1"/>
          <w:bCs w:val="1"/>
          <w:color w:val="auto"/>
        </w:rPr>
        <w:t xml:space="preserve">Compensation Discussion and Analysis </w:t>
      </w:r>
      <w:r>
        <w:rPr>
          <w:rFonts w:ascii="Arial" w:cs="Arial" w:eastAsia="Arial" w:hAnsi="Arial"/>
          <w:sz w:val="13"/>
          <w:szCs w:val="13"/>
          <w:b w:val="1"/>
          <w:bCs w:val="1"/>
          <w:color w:val="105EAB"/>
        </w:rPr>
        <w:t>| Executive Compensation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105EAB"/>
        </w:rPr>
        <w:t>2016-2018 PERFORMANCE STOCK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5250815" cy="208978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250815" cy="2089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300" w:hanging="292"/>
        <w:spacing w:after="0"/>
        <w:tabs>
          <w:tab w:leader="none" w:pos="300" w:val="left"/>
        </w:tabs>
        <w:numPr>
          <w:ilvl w:val="0"/>
          <w:numId w:val="143"/>
        </w:numPr>
        <w:rPr>
          <w:rFonts w:ascii="Arial" w:cs="Arial" w:eastAsia="Arial" w:hAnsi="Arial"/>
          <w:sz w:val="11"/>
          <w:szCs w:val="11"/>
          <w:color w:val="auto"/>
        </w:rPr>
      </w:pPr>
      <w:r>
        <w:rPr>
          <w:rFonts w:ascii="Arial" w:cs="Arial" w:eastAsia="Arial" w:hAnsi="Arial"/>
          <w:sz w:val="13"/>
          <w:szCs w:val="13"/>
          <w:color w:val="auto"/>
        </w:rPr>
        <w:t>For a description of how these measures are determined, see page 69</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959595"/>
        </w:rPr>
        <w:t>2018 Compensation Mix</w:t>
      </w:r>
    </w:p>
    <w:p>
      <w:pPr>
        <w:spacing w:after="0" w:line="233"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committee designs the executive compensation program to award pay in accordance with corporate, business unit and individual performance. A large percentage of total target compensation is at risk through long-term equity awards and annual cash incentive awards. These awards are linked to performance measures that correlate with long-term stockholder value creation. The mix of target total direct compensation for 2018 for our CEO and the average of our other named executives is shown in the chart below.</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105EAB"/>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5387975" cy="101917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387975" cy="1019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105EAB"/>
        </w:rPr>
        <w:t>OTHER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5422265" cy="95948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422265" cy="959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1120" w:type="dxa"/>
            <w:vAlign w:val="bottom"/>
          </w:tcPr>
          <w:p>
            <w:pPr>
              <w:ind w:left="9640"/>
              <w:spacing w:after="0"/>
              <w:rPr>
                <w:sz w:val="20"/>
                <w:szCs w:val="20"/>
                <w:color w:val="auto"/>
              </w:rPr>
            </w:pPr>
            <w:r>
              <w:rPr>
                <w:rFonts w:ascii="Arial" w:cs="Arial" w:eastAsia="Arial" w:hAnsi="Arial"/>
                <w:sz w:val="13"/>
                <w:szCs w:val="13"/>
                <w:color w:val="105EAB"/>
              </w:rPr>
              <w:t>2019 Proxy Statement</w:t>
            </w:r>
          </w:p>
        </w:tc>
        <w:tc>
          <w:tcPr>
            <w:tcW w:w="320" w:type="dxa"/>
            <w:vAlign w:val="bottom"/>
          </w:tcPr>
          <w:p>
            <w:pPr>
              <w:jc w:val="right"/>
              <w:spacing w:after="0"/>
              <w:rPr>
                <w:sz w:val="20"/>
                <w:szCs w:val="20"/>
                <w:color w:val="auto"/>
              </w:rPr>
            </w:pPr>
            <w:r>
              <w:rPr>
                <w:rFonts w:ascii="Arial" w:cs="Arial" w:eastAsia="Arial" w:hAnsi="Arial"/>
                <w:sz w:val="13"/>
                <w:szCs w:val="13"/>
                <w:b w:val="1"/>
                <w:bCs w:val="1"/>
                <w:color w:val="105EAB"/>
              </w:rPr>
              <w:t>37</w:t>
            </w:r>
          </w:p>
        </w:tc>
      </w:tr>
      <w:tr>
        <w:trPr>
          <w:trHeight w:val="213"/>
        </w:trPr>
        <w:tc>
          <w:tcPr>
            <w:tcW w:w="1112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-13970</wp:posOffset>
            </wp:positionV>
            <wp:extent cx="1270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b w:val="1"/>
          <w:bCs w:val="1"/>
          <w:color w:val="105EAB"/>
        </w:rPr>
        <w:t xml:space="preserve">Executive Compensation | </w:t>
      </w:r>
      <w:r>
        <w:rPr>
          <w:rFonts w:ascii="Arial" w:cs="Arial" w:eastAsia="Arial" w:hAnsi="Arial"/>
          <w:sz w:val="13"/>
          <w:szCs w:val="13"/>
          <w:b w:val="1"/>
          <w:bCs w:val="1"/>
          <w:color w:val="000000"/>
        </w:rPr>
        <w:t>Compensation Discussion and Analysis</w:t>
      </w:r>
    </w:p>
    <w:p>
      <w:pPr>
        <w:spacing w:after="0" w:line="201" w:lineRule="exact"/>
        <w:rPr>
          <w:sz w:val="20"/>
          <w:szCs w:val="20"/>
          <w:color w:val="auto"/>
        </w:rPr>
      </w:pPr>
    </w:p>
    <w:p>
      <w:pPr>
        <w:spacing w:after="0"/>
        <w:rPr>
          <w:sz w:val="20"/>
          <w:szCs w:val="20"/>
          <w:color w:val="auto"/>
        </w:rPr>
      </w:pPr>
      <w:r>
        <w:rPr>
          <w:rFonts w:ascii="Arial" w:cs="Arial" w:eastAsia="Arial" w:hAnsi="Arial"/>
          <w:sz w:val="25"/>
          <w:szCs w:val="25"/>
          <w:b w:val="1"/>
          <w:bCs w:val="1"/>
          <w:color w:val="105EAB"/>
        </w:rPr>
        <w:t>Allstate’s Executive Compensation Principles</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Allstate’s executive compensation program is designed to ensure that the interests of our executives are aligned with our shareholders: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4580" w:type="dxa"/>
            <w:vAlign w:val="bottom"/>
            <w:tcBorders>
              <w:top w:val="single" w:sz="8" w:color="39B6E9"/>
            </w:tcBorders>
            <w:vMerge w:val="restart"/>
          </w:tcPr>
          <w:p>
            <w:pPr>
              <w:spacing w:after="0"/>
              <w:rPr>
                <w:sz w:val="20"/>
                <w:szCs w:val="20"/>
                <w:color w:val="auto"/>
              </w:rPr>
            </w:pPr>
            <w:r>
              <w:rPr>
                <w:rFonts w:ascii="Arial" w:cs="Arial" w:eastAsia="Arial" w:hAnsi="Arial"/>
                <w:sz w:val="18"/>
                <w:szCs w:val="18"/>
                <w:b w:val="1"/>
                <w:bCs w:val="1"/>
                <w:color w:val="105EAB"/>
              </w:rPr>
              <w:t>We Pay for Performance</w:t>
            </w:r>
          </w:p>
        </w:tc>
        <w:tc>
          <w:tcPr>
            <w:tcW w:w="20" w:type="dxa"/>
            <w:vAlign w:val="bottom"/>
            <w:tcBorders>
              <w:top w:val="single" w:sz="8" w:color="39B6E9"/>
            </w:tcBorders>
          </w:tcPr>
          <w:p>
            <w:pPr>
              <w:spacing w:after="0"/>
              <w:rPr>
                <w:sz w:val="12"/>
                <w:szCs w:val="12"/>
                <w:color w:val="auto"/>
              </w:rPr>
            </w:pPr>
          </w:p>
        </w:tc>
        <w:tc>
          <w:tcPr>
            <w:tcW w:w="6820" w:type="dxa"/>
            <w:vAlign w:val="bottom"/>
            <w:tcBorders>
              <w:top w:val="single" w:sz="8" w:color="39B6E9"/>
              <w:right w:val="single" w:sz="8" w:color="39B6E9"/>
            </w:tcBorders>
            <w:vMerge w:val="restart"/>
          </w:tcPr>
          <w:p>
            <w:pPr>
              <w:ind w:left="80"/>
              <w:spacing w:after="0"/>
              <w:rPr>
                <w:sz w:val="20"/>
                <w:szCs w:val="20"/>
                <w:color w:val="auto"/>
              </w:rPr>
            </w:pPr>
            <w:r>
              <w:rPr>
                <w:rFonts w:ascii="Arial" w:cs="Arial" w:eastAsia="Arial" w:hAnsi="Arial"/>
                <w:sz w:val="18"/>
                <w:szCs w:val="18"/>
                <w:b w:val="1"/>
                <w:bCs w:val="1"/>
                <w:color w:val="105EAB"/>
              </w:rPr>
              <w:t>We Establish a Strong Link Between Performance Measures and Strategic</w:t>
            </w:r>
          </w:p>
        </w:tc>
        <w:tc>
          <w:tcPr>
            <w:tcW w:w="0" w:type="dxa"/>
            <w:vAlign w:val="bottom"/>
          </w:tcPr>
          <w:p>
            <w:pPr>
              <w:spacing w:after="0"/>
              <w:rPr>
                <w:sz w:val="1"/>
                <w:szCs w:val="1"/>
                <w:color w:val="auto"/>
              </w:rPr>
            </w:pPr>
          </w:p>
        </w:tc>
      </w:tr>
      <w:tr>
        <w:trPr>
          <w:trHeight w:val="184"/>
        </w:trPr>
        <w:tc>
          <w:tcPr>
            <w:tcW w:w="4580" w:type="dxa"/>
            <w:vAlign w:val="bottom"/>
            <w:vMerge w:val="continue"/>
          </w:tcPr>
          <w:p>
            <w:pPr>
              <w:spacing w:after="0"/>
              <w:rPr>
                <w:sz w:val="15"/>
                <w:szCs w:val="15"/>
                <w:color w:val="auto"/>
              </w:rPr>
            </w:pPr>
          </w:p>
        </w:tc>
        <w:tc>
          <w:tcPr>
            <w:tcW w:w="20" w:type="dxa"/>
            <w:vAlign w:val="bottom"/>
            <w:shd w:val="clear" w:color="auto" w:fill="959595"/>
          </w:tcPr>
          <w:p>
            <w:pPr>
              <w:spacing w:after="0"/>
              <w:rPr>
                <w:sz w:val="15"/>
                <w:szCs w:val="15"/>
                <w:color w:val="auto"/>
              </w:rPr>
            </w:pPr>
          </w:p>
        </w:tc>
        <w:tc>
          <w:tcPr>
            <w:tcW w:w="6820" w:type="dxa"/>
            <w:vAlign w:val="bottom"/>
            <w:tcBorders>
              <w:right w:val="single" w:sz="8" w:color="39B6E9"/>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4580" w:type="dxa"/>
            <w:vAlign w:val="bottom"/>
          </w:tcPr>
          <w:p>
            <w:pPr>
              <w:spacing w:after="0"/>
              <w:rPr>
                <w:sz w:val="20"/>
                <w:szCs w:val="20"/>
                <w:color w:val="auto"/>
              </w:rPr>
            </w:pPr>
          </w:p>
        </w:tc>
        <w:tc>
          <w:tcPr>
            <w:tcW w:w="20" w:type="dxa"/>
            <w:vAlign w:val="bottom"/>
            <w:shd w:val="clear" w:color="auto" w:fill="959595"/>
          </w:tcPr>
          <w:p>
            <w:pPr>
              <w:spacing w:after="0"/>
              <w:rPr>
                <w:sz w:val="20"/>
                <w:szCs w:val="20"/>
                <w:color w:val="auto"/>
              </w:rPr>
            </w:pPr>
          </w:p>
        </w:tc>
        <w:tc>
          <w:tcPr>
            <w:tcW w:w="6820" w:type="dxa"/>
            <w:vAlign w:val="bottom"/>
            <w:tcBorders>
              <w:right w:val="single" w:sz="8" w:color="39B6E9"/>
            </w:tcBorders>
          </w:tcPr>
          <w:p>
            <w:pPr>
              <w:ind w:left="80"/>
              <w:spacing w:after="0"/>
              <w:rPr>
                <w:sz w:val="20"/>
                <w:szCs w:val="20"/>
                <w:color w:val="auto"/>
              </w:rPr>
            </w:pPr>
            <w:r>
              <w:rPr>
                <w:rFonts w:ascii="Arial" w:cs="Arial" w:eastAsia="Arial" w:hAnsi="Arial"/>
                <w:sz w:val="18"/>
                <w:szCs w:val="18"/>
                <w:b w:val="1"/>
                <w:bCs w:val="1"/>
                <w:color w:val="105EAB"/>
              </w:rPr>
              <w:t>Objectives</w:t>
            </w:r>
          </w:p>
        </w:tc>
        <w:tc>
          <w:tcPr>
            <w:tcW w:w="0" w:type="dxa"/>
            <w:vAlign w:val="bottom"/>
          </w:tcPr>
          <w:p>
            <w:pPr>
              <w:spacing w:after="0"/>
              <w:rPr>
                <w:sz w:val="1"/>
                <w:szCs w:val="1"/>
                <w:color w:val="auto"/>
              </w:rPr>
            </w:pPr>
          </w:p>
        </w:tc>
      </w:tr>
      <w:tr>
        <w:trPr>
          <w:trHeight w:val="207"/>
        </w:trPr>
        <w:tc>
          <w:tcPr>
            <w:tcW w:w="4580" w:type="dxa"/>
            <w:vAlign w:val="bottom"/>
          </w:tcPr>
          <w:p>
            <w:pPr>
              <w:spacing w:after="0"/>
              <w:rPr>
                <w:sz w:val="20"/>
                <w:szCs w:val="20"/>
                <w:color w:val="auto"/>
              </w:rPr>
            </w:pPr>
            <w:r>
              <w:rPr>
                <w:rFonts w:ascii="Arial" w:cs="Arial" w:eastAsia="Arial" w:hAnsi="Arial"/>
                <w:sz w:val="18"/>
                <w:szCs w:val="18"/>
                <w:color w:val="auto"/>
                <w:w w:val="98"/>
              </w:rPr>
              <w:t>The majority of our CEO’s and other NEOs’ compensation</w:t>
            </w:r>
          </w:p>
        </w:tc>
        <w:tc>
          <w:tcPr>
            <w:tcW w:w="20" w:type="dxa"/>
            <w:vAlign w:val="bottom"/>
            <w:shd w:val="clear" w:color="auto" w:fill="959595"/>
          </w:tcPr>
          <w:p>
            <w:pPr>
              <w:spacing w:after="0"/>
              <w:rPr>
                <w:sz w:val="18"/>
                <w:szCs w:val="18"/>
                <w:color w:val="auto"/>
              </w:rPr>
            </w:pPr>
          </w:p>
        </w:tc>
        <w:tc>
          <w:tcPr>
            <w:tcW w:w="6820" w:type="dxa"/>
            <w:vAlign w:val="bottom"/>
            <w:tcBorders>
              <w:right w:val="single" w:sz="8" w:color="39B6E9"/>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580" w:type="dxa"/>
            <w:vAlign w:val="bottom"/>
          </w:tcPr>
          <w:p>
            <w:pPr>
              <w:spacing w:after="0" w:line="202" w:lineRule="exact"/>
              <w:rPr>
                <w:sz w:val="20"/>
                <w:szCs w:val="20"/>
                <w:color w:val="auto"/>
              </w:rPr>
            </w:pPr>
            <w:r>
              <w:rPr>
                <w:rFonts w:ascii="Arial" w:cs="Arial" w:eastAsia="Arial" w:hAnsi="Arial"/>
                <w:sz w:val="18"/>
                <w:szCs w:val="18"/>
                <w:color w:val="auto"/>
              </w:rPr>
              <w:t>opportunity is at-risk and based on measurable</w:t>
            </w:r>
          </w:p>
        </w:tc>
        <w:tc>
          <w:tcPr>
            <w:tcW w:w="20" w:type="dxa"/>
            <w:vAlign w:val="bottom"/>
            <w:shd w:val="clear" w:color="auto" w:fill="959595"/>
          </w:tcPr>
          <w:p>
            <w:pPr>
              <w:spacing w:after="0"/>
              <w:rPr>
                <w:sz w:val="17"/>
                <w:szCs w:val="17"/>
                <w:color w:val="auto"/>
              </w:rPr>
            </w:pPr>
          </w:p>
        </w:tc>
        <w:tc>
          <w:tcPr>
            <w:tcW w:w="6820" w:type="dxa"/>
            <w:vAlign w:val="bottom"/>
            <w:tcBorders>
              <w:right w:val="single" w:sz="8" w:color="39B6E9"/>
            </w:tcBorders>
          </w:tcPr>
          <w:p>
            <w:pPr>
              <w:ind w:left="80"/>
              <w:spacing w:after="0" w:line="202" w:lineRule="exact"/>
              <w:rPr>
                <w:sz w:val="20"/>
                <w:szCs w:val="20"/>
                <w:color w:val="auto"/>
              </w:rPr>
            </w:pPr>
            <w:r>
              <w:rPr>
                <w:rFonts w:ascii="Arial" w:cs="Arial" w:eastAsia="Arial" w:hAnsi="Arial"/>
                <w:sz w:val="18"/>
                <w:szCs w:val="18"/>
                <w:color w:val="auto"/>
                <w:w w:val="98"/>
              </w:rPr>
              <w:t>Performance measures are linked to operating priorities designed to create long-term</w:t>
            </w:r>
          </w:p>
        </w:tc>
        <w:tc>
          <w:tcPr>
            <w:tcW w:w="0" w:type="dxa"/>
            <w:vAlign w:val="bottom"/>
          </w:tcPr>
          <w:p>
            <w:pPr>
              <w:spacing w:after="0"/>
              <w:rPr>
                <w:sz w:val="1"/>
                <w:szCs w:val="1"/>
                <w:color w:val="auto"/>
              </w:rPr>
            </w:pPr>
          </w:p>
        </w:tc>
      </w:tr>
      <w:tr>
        <w:trPr>
          <w:trHeight w:val="199"/>
        </w:trPr>
        <w:tc>
          <w:tcPr>
            <w:tcW w:w="4580" w:type="dxa"/>
            <w:vAlign w:val="bottom"/>
          </w:tcPr>
          <w:p>
            <w:pPr>
              <w:spacing w:after="0" w:line="199" w:lineRule="exact"/>
              <w:rPr>
                <w:sz w:val="20"/>
                <w:szCs w:val="20"/>
                <w:color w:val="auto"/>
              </w:rPr>
            </w:pPr>
            <w:r>
              <w:rPr>
                <w:rFonts w:ascii="Arial" w:cs="Arial" w:eastAsia="Arial" w:hAnsi="Arial"/>
                <w:sz w:val="18"/>
                <w:szCs w:val="18"/>
                <w:color w:val="auto"/>
              </w:rPr>
              <w:t>performance goals.</w:t>
            </w:r>
          </w:p>
        </w:tc>
        <w:tc>
          <w:tcPr>
            <w:tcW w:w="20" w:type="dxa"/>
            <w:vAlign w:val="bottom"/>
            <w:shd w:val="clear" w:color="auto" w:fill="959595"/>
          </w:tcPr>
          <w:p>
            <w:pPr>
              <w:spacing w:after="0"/>
              <w:rPr>
                <w:sz w:val="17"/>
                <w:szCs w:val="17"/>
                <w:color w:val="auto"/>
              </w:rPr>
            </w:pPr>
          </w:p>
        </w:tc>
        <w:tc>
          <w:tcPr>
            <w:tcW w:w="6820" w:type="dxa"/>
            <w:vAlign w:val="bottom"/>
            <w:tcBorders>
              <w:right w:val="single" w:sz="8" w:color="39B6E9"/>
            </w:tcBorders>
          </w:tcPr>
          <w:p>
            <w:pPr>
              <w:ind w:left="80"/>
              <w:spacing w:after="0" w:line="199" w:lineRule="exact"/>
              <w:rPr>
                <w:sz w:val="20"/>
                <w:szCs w:val="20"/>
                <w:color w:val="auto"/>
              </w:rPr>
            </w:pPr>
            <w:r>
              <w:rPr>
                <w:rFonts w:ascii="Arial" w:cs="Arial" w:eastAsia="Arial" w:hAnsi="Arial"/>
                <w:sz w:val="18"/>
                <w:szCs w:val="18"/>
                <w:color w:val="auto"/>
              </w:rPr>
              <w:t>stockholder value.</w:t>
            </w:r>
          </w:p>
        </w:tc>
        <w:tc>
          <w:tcPr>
            <w:tcW w:w="0" w:type="dxa"/>
            <w:vAlign w:val="bottom"/>
          </w:tcPr>
          <w:p>
            <w:pPr>
              <w:spacing w:after="0"/>
              <w:rPr>
                <w:sz w:val="1"/>
                <w:szCs w:val="1"/>
                <w:color w:val="auto"/>
              </w:rPr>
            </w:pPr>
          </w:p>
        </w:tc>
      </w:tr>
      <w:tr>
        <w:trPr>
          <w:trHeight w:val="135"/>
        </w:trPr>
        <w:tc>
          <w:tcPr>
            <w:tcW w:w="4580" w:type="dxa"/>
            <w:vAlign w:val="bottom"/>
            <w:tcBorders>
              <w:bottom w:val="single" w:sz="8" w:color="39B6E9"/>
            </w:tcBorders>
          </w:tcPr>
          <w:p>
            <w:pPr>
              <w:spacing w:after="0"/>
              <w:rPr>
                <w:sz w:val="11"/>
                <w:szCs w:val="11"/>
                <w:color w:val="auto"/>
              </w:rPr>
            </w:pPr>
          </w:p>
        </w:tc>
        <w:tc>
          <w:tcPr>
            <w:tcW w:w="20" w:type="dxa"/>
            <w:vAlign w:val="bottom"/>
            <w:tcBorders>
              <w:bottom w:val="single" w:sz="8" w:color="39B6E9"/>
            </w:tcBorders>
          </w:tcPr>
          <w:p>
            <w:pPr>
              <w:spacing w:after="0"/>
              <w:rPr>
                <w:sz w:val="11"/>
                <w:szCs w:val="11"/>
                <w:color w:val="auto"/>
              </w:rPr>
            </w:pPr>
          </w:p>
        </w:tc>
        <w:tc>
          <w:tcPr>
            <w:tcW w:w="6820" w:type="dxa"/>
            <w:vAlign w:val="bottom"/>
            <w:tcBorders>
              <w:bottom w:val="single" w:sz="8" w:color="39B6E9"/>
              <w:right w:val="single" w:sz="8" w:color="39B6E9"/>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Moreover, our program adheres to high standards of compensation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wp:posOffset>
            </wp:positionH>
            <wp:positionV relativeFrom="paragraph">
              <wp:posOffset>132080</wp:posOffset>
            </wp:positionV>
            <wp:extent cx="196850" cy="17970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96850" cy="179705"/>
                    </a:xfrm>
                    <a:prstGeom prst="rect">
                      <a:avLst/>
                    </a:prstGeom>
                    <a:noFill/>
                  </pic:spPr>
                </pic:pic>
              </a:graphicData>
            </a:graphic>
          </wp:anchor>
        </w:drawing>
        <w:drawing>
          <wp:anchor simplePos="0" relativeHeight="251657728" behindDoc="1" locked="0" layoutInCell="0" allowOverlap="1">
            <wp:simplePos x="0" y="0"/>
            <wp:positionH relativeFrom="column">
              <wp:posOffset>4150995</wp:posOffset>
            </wp:positionH>
            <wp:positionV relativeFrom="paragraph">
              <wp:posOffset>132080</wp:posOffset>
            </wp:positionV>
            <wp:extent cx="188595" cy="17970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88595" cy="17970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tbl>
      <w:tblPr>
        <w:tblLayout w:type="fixed"/>
        <w:tblInd w:w="500" w:type="dxa"/>
        <w:tblCellMar>
          <w:top w:w="0" w:type="dxa"/>
          <w:left w:w="0" w:type="dxa"/>
          <w:bottom w:w="0" w:type="dxa"/>
          <w:right w:w="0" w:type="dxa"/>
        </w:tblCellMar>
      </w:tblPr>
      <w:tr>
        <w:trPr>
          <w:trHeight w:val="221"/>
        </w:trPr>
        <w:tc>
          <w:tcPr>
            <w:tcW w:w="5760" w:type="dxa"/>
            <w:vAlign w:val="bottom"/>
            <w:gridSpan w:val="2"/>
          </w:tcPr>
          <w:p>
            <w:pPr>
              <w:ind w:left="160"/>
              <w:spacing w:after="0"/>
              <w:rPr>
                <w:sz w:val="20"/>
                <w:szCs w:val="20"/>
                <w:color w:val="auto"/>
              </w:rPr>
            </w:pPr>
            <w:r>
              <w:rPr>
                <w:rFonts w:ascii="Arial" w:cs="Arial" w:eastAsia="Arial" w:hAnsi="Arial"/>
                <w:sz w:val="18"/>
                <w:szCs w:val="18"/>
                <w:b w:val="1"/>
                <w:bCs w:val="1"/>
                <w:color w:val="105EAB"/>
              </w:rPr>
              <w:t>What We Do</w:t>
            </w:r>
          </w:p>
        </w:tc>
        <w:tc>
          <w:tcPr>
            <w:tcW w:w="5160" w:type="dxa"/>
            <w:vAlign w:val="bottom"/>
            <w:gridSpan w:val="2"/>
          </w:tcPr>
          <w:p>
            <w:pPr>
              <w:ind w:left="280"/>
              <w:spacing w:after="0"/>
              <w:rPr>
                <w:sz w:val="20"/>
                <w:szCs w:val="20"/>
                <w:color w:val="auto"/>
              </w:rPr>
            </w:pPr>
            <w:r>
              <w:rPr>
                <w:rFonts w:ascii="Arial" w:cs="Arial" w:eastAsia="Arial" w:hAnsi="Arial"/>
                <w:sz w:val="18"/>
                <w:szCs w:val="18"/>
                <w:b w:val="1"/>
                <w:bCs w:val="1"/>
                <w:color w:val="959595"/>
              </w:rPr>
              <w:t>What We Do Not Do</w:t>
            </w:r>
          </w:p>
        </w:tc>
      </w:tr>
      <w:tr>
        <w:trPr>
          <w:trHeight w:val="307"/>
        </w:trPr>
        <w:tc>
          <w:tcPr>
            <w:tcW w:w="5760" w:type="dxa"/>
            <w:vAlign w:val="bottom"/>
            <w:tcBorders>
              <w:top w:val="single" w:sz="8" w:color="105EAB"/>
            </w:tcBorders>
            <w:gridSpan w:val="2"/>
          </w:tcPr>
          <w:p>
            <w:pPr>
              <w:ind w:left="300"/>
              <w:spacing w:after="0"/>
              <w:rPr>
                <w:sz w:val="20"/>
                <w:szCs w:val="20"/>
                <w:color w:val="auto"/>
              </w:rPr>
            </w:pPr>
            <w:r>
              <w:rPr>
                <w:rFonts w:ascii="Arial" w:cs="Arial" w:eastAsia="Arial" w:hAnsi="Arial"/>
                <w:sz w:val="17"/>
                <w:szCs w:val="17"/>
                <w:color w:val="5CA34F"/>
              </w:rPr>
              <w:t xml:space="preserve">+  </w:t>
            </w:r>
            <w:r>
              <w:rPr>
                <w:rFonts w:ascii="Arial" w:cs="Arial" w:eastAsia="Arial" w:hAnsi="Arial"/>
                <w:sz w:val="17"/>
                <w:szCs w:val="17"/>
                <w:color w:val="105EAB"/>
              </w:rPr>
              <w:t>Benchmark to Peers of Similar Industry, Size and Business</w:t>
            </w:r>
          </w:p>
        </w:tc>
        <w:tc>
          <w:tcPr>
            <w:tcW w:w="280" w:type="dxa"/>
            <w:vAlign w:val="bottom"/>
          </w:tcPr>
          <w:p>
            <w:pPr>
              <w:spacing w:after="0"/>
              <w:rPr>
                <w:sz w:val="24"/>
                <w:szCs w:val="24"/>
                <w:color w:val="auto"/>
              </w:rPr>
            </w:pPr>
          </w:p>
        </w:tc>
        <w:tc>
          <w:tcPr>
            <w:tcW w:w="4880" w:type="dxa"/>
            <w:vAlign w:val="bottom"/>
            <w:tcBorders>
              <w:top w:val="single" w:sz="8" w:color="959595"/>
            </w:tcBorders>
          </w:tcPr>
          <w:p>
            <w:pPr>
              <w:ind w:left="160"/>
              <w:spacing w:after="0"/>
              <w:rPr>
                <w:sz w:val="20"/>
                <w:szCs w:val="20"/>
                <w:color w:val="auto"/>
              </w:rPr>
            </w:pPr>
            <w:r>
              <w:rPr>
                <w:rFonts w:ascii="Arial" w:cs="Arial" w:eastAsia="Arial" w:hAnsi="Arial"/>
                <w:sz w:val="13"/>
                <w:szCs w:val="13"/>
                <w:color w:val="E35E5E"/>
              </w:rPr>
              <w:t xml:space="preserve">–  </w:t>
            </w:r>
            <w:r>
              <w:rPr>
                <w:rFonts w:ascii="Arial" w:cs="Arial" w:eastAsia="Arial" w:hAnsi="Arial"/>
                <w:sz w:val="17"/>
                <w:szCs w:val="17"/>
                <w:color w:val="000000"/>
              </w:rPr>
              <w:t>No Employment Agreements for Executive Officers.</w:t>
            </w:r>
          </w:p>
        </w:tc>
      </w:tr>
      <w:tr>
        <w:trPr>
          <w:trHeight w:val="202"/>
        </w:trPr>
        <w:tc>
          <w:tcPr>
            <w:tcW w:w="460" w:type="dxa"/>
            <w:vAlign w:val="bottom"/>
          </w:tcPr>
          <w:p>
            <w:pPr>
              <w:spacing w:after="0"/>
              <w:rPr>
                <w:sz w:val="17"/>
                <w:szCs w:val="17"/>
                <w:color w:val="auto"/>
              </w:rPr>
            </w:pPr>
          </w:p>
        </w:tc>
        <w:tc>
          <w:tcPr>
            <w:tcW w:w="5300" w:type="dxa"/>
            <w:vAlign w:val="bottom"/>
          </w:tcPr>
          <w:p>
            <w:pPr>
              <w:ind w:left="80"/>
              <w:spacing w:after="0" w:line="202" w:lineRule="exact"/>
              <w:rPr>
                <w:sz w:val="20"/>
                <w:szCs w:val="20"/>
                <w:color w:val="auto"/>
              </w:rPr>
            </w:pPr>
            <w:r>
              <w:rPr>
                <w:rFonts w:ascii="Arial" w:cs="Arial" w:eastAsia="Arial" w:hAnsi="Arial"/>
                <w:sz w:val="18"/>
                <w:szCs w:val="18"/>
                <w:color w:val="105EAB"/>
              </w:rPr>
              <w:t>Complexity.</w:t>
            </w:r>
          </w:p>
        </w:tc>
        <w:tc>
          <w:tcPr>
            <w:tcW w:w="280" w:type="dxa"/>
            <w:vAlign w:val="bottom"/>
          </w:tcPr>
          <w:p>
            <w:pPr>
              <w:spacing w:after="0"/>
              <w:rPr>
                <w:sz w:val="17"/>
                <w:szCs w:val="17"/>
                <w:color w:val="auto"/>
              </w:rPr>
            </w:pPr>
          </w:p>
        </w:tc>
        <w:tc>
          <w:tcPr>
            <w:tcW w:w="4880" w:type="dxa"/>
            <w:vAlign w:val="bottom"/>
          </w:tcPr>
          <w:p>
            <w:pPr>
              <w:ind w:left="160"/>
              <w:spacing w:after="0"/>
              <w:rPr>
                <w:sz w:val="20"/>
                <w:szCs w:val="20"/>
                <w:color w:val="auto"/>
              </w:rPr>
            </w:pPr>
            <w:r>
              <w:rPr>
                <w:rFonts w:ascii="Arial" w:cs="Arial" w:eastAsia="Arial" w:hAnsi="Arial"/>
                <w:sz w:val="13"/>
                <w:szCs w:val="13"/>
                <w:color w:val="E35E5E"/>
              </w:rPr>
              <w:t xml:space="preserve">–  </w:t>
            </w:r>
            <w:r>
              <w:rPr>
                <w:rFonts w:ascii="Arial" w:cs="Arial" w:eastAsia="Arial" w:hAnsi="Arial"/>
                <w:sz w:val="17"/>
                <w:szCs w:val="17"/>
                <w:color w:val="000000"/>
              </w:rPr>
              <w:t>No Guaranteed Annual Salary Increases or Bonuses.</w:t>
            </w:r>
          </w:p>
        </w:tc>
      </w:tr>
      <w:tr>
        <w:trPr>
          <w:trHeight w:val="202"/>
        </w:trPr>
        <w:tc>
          <w:tcPr>
            <w:tcW w:w="5760" w:type="dxa"/>
            <w:vAlign w:val="bottom"/>
            <w:gridSpan w:val="2"/>
          </w:tcPr>
          <w:p>
            <w:pPr>
              <w:ind w:left="300"/>
              <w:spacing w:after="0"/>
              <w:rPr>
                <w:sz w:val="20"/>
                <w:szCs w:val="20"/>
                <w:color w:val="auto"/>
              </w:rPr>
            </w:pPr>
            <w:r>
              <w:rPr>
                <w:rFonts w:ascii="Arial" w:cs="Arial" w:eastAsia="Arial" w:hAnsi="Arial"/>
                <w:sz w:val="17"/>
                <w:szCs w:val="17"/>
                <w:color w:val="5CA34F"/>
              </w:rPr>
              <w:t xml:space="preserve">+  </w:t>
            </w:r>
            <w:r>
              <w:rPr>
                <w:rFonts w:ascii="Arial" w:cs="Arial" w:eastAsia="Arial" w:hAnsi="Arial"/>
                <w:sz w:val="17"/>
                <w:szCs w:val="17"/>
                <w:color w:val="105EAB"/>
              </w:rPr>
              <w:t>Target Pay at 50th Percentile of Peers.</w:t>
            </w:r>
          </w:p>
        </w:tc>
        <w:tc>
          <w:tcPr>
            <w:tcW w:w="280" w:type="dxa"/>
            <w:vAlign w:val="bottom"/>
          </w:tcPr>
          <w:p>
            <w:pPr>
              <w:spacing w:after="0"/>
              <w:rPr>
                <w:sz w:val="17"/>
                <w:szCs w:val="17"/>
                <w:color w:val="auto"/>
              </w:rPr>
            </w:pPr>
          </w:p>
        </w:tc>
        <w:tc>
          <w:tcPr>
            <w:tcW w:w="4880" w:type="dxa"/>
            <w:vAlign w:val="bottom"/>
          </w:tcPr>
          <w:p>
            <w:pPr>
              <w:ind w:left="160"/>
              <w:spacing w:after="0"/>
              <w:rPr>
                <w:sz w:val="20"/>
                <w:szCs w:val="20"/>
                <w:color w:val="auto"/>
              </w:rPr>
            </w:pPr>
            <w:r>
              <w:rPr>
                <w:rFonts w:ascii="Arial" w:cs="Arial" w:eastAsia="Arial" w:hAnsi="Arial"/>
                <w:sz w:val="13"/>
                <w:szCs w:val="13"/>
                <w:color w:val="E35E5E"/>
              </w:rPr>
              <w:t xml:space="preserve">–  </w:t>
            </w:r>
            <w:r>
              <w:rPr>
                <w:rFonts w:ascii="Arial" w:cs="Arial" w:eastAsia="Arial" w:hAnsi="Arial"/>
                <w:sz w:val="17"/>
                <w:szCs w:val="17"/>
                <w:color w:val="000000"/>
              </w:rPr>
              <w:t>No Special Tax Gross Ups.</w:t>
            </w:r>
          </w:p>
        </w:tc>
      </w:tr>
      <w:tr>
        <w:trPr>
          <w:trHeight w:val="202"/>
        </w:trPr>
        <w:tc>
          <w:tcPr>
            <w:tcW w:w="460" w:type="dxa"/>
            <w:vAlign w:val="bottom"/>
          </w:tcPr>
          <w:p>
            <w:pPr>
              <w:ind w:left="300"/>
              <w:spacing w:after="0"/>
              <w:rPr>
                <w:sz w:val="20"/>
                <w:szCs w:val="20"/>
                <w:color w:val="auto"/>
              </w:rPr>
            </w:pPr>
            <w:r>
              <w:rPr>
                <w:rFonts w:ascii="Arial" w:cs="Arial" w:eastAsia="Arial" w:hAnsi="Arial"/>
                <w:sz w:val="17"/>
                <w:szCs w:val="17"/>
                <w:color w:val="5CA34F"/>
              </w:rPr>
              <w:t>+</w:t>
            </w:r>
          </w:p>
        </w:tc>
        <w:tc>
          <w:tcPr>
            <w:tcW w:w="5300" w:type="dxa"/>
            <w:vAlign w:val="bottom"/>
          </w:tcPr>
          <w:p>
            <w:pPr>
              <w:ind w:left="60"/>
              <w:spacing w:after="0" w:line="202" w:lineRule="exact"/>
              <w:rPr>
                <w:sz w:val="20"/>
                <w:szCs w:val="20"/>
                <w:color w:val="auto"/>
              </w:rPr>
            </w:pPr>
            <w:r>
              <w:rPr>
                <w:rFonts w:ascii="Arial" w:cs="Arial" w:eastAsia="Arial" w:hAnsi="Arial"/>
                <w:sz w:val="18"/>
                <w:szCs w:val="18"/>
                <w:color w:val="105EAB"/>
              </w:rPr>
              <w:t>Independent Compensation Consultant.</w:t>
            </w:r>
          </w:p>
        </w:tc>
        <w:tc>
          <w:tcPr>
            <w:tcW w:w="280" w:type="dxa"/>
            <w:vAlign w:val="bottom"/>
          </w:tcPr>
          <w:p>
            <w:pPr>
              <w:spacing w:after="0"/>
              <w:rPr>
                <w:sz w:val="17"/>
                <w:szCs w:val="17"/>
                <w:color w:val="auto"/>
              </w:rPr>
            </w:pPr>
          </w:p>
        </w:tc>
        <w:tc>
          <w:tcPr>
            <w:tcW w:w="4880" w:type="dxa"/>
            <w:vAlign w:val="bottom"/>
          </w:tcPr>
          <w:p>
            <w:pPr>
              <w:ind w:left="160"/>
              <w:spacing w:after="0"/>
              <w:rPr>
                <w:sz w:val="20"/>
                <w:szCs w:val="20"/>
                <w:color w:val="auto"/>
              </w:rPr>
            </w:pPr>
            <w:r>
              <w:rPr>
                <w:rFonts w:ascii="Arial" w:cs="Arial" w:eastAsia="Arial" w:hAnsi="Arial"/>
                <w:sz w:val="13"/>
                <w:szCs w:val="13"/>
                <w:color w:val="E35E5E"/>
              </w:rPr>
              <w:t xml:space="preserve">–  </w:t>
            </w:r>
            <w:r>
              <w:rPr>
                <w:rFonts w:ascii="Arial" w:cs="Arial" w:eastAsia="Arial" w:hAnsi="Arial"/>
                <w:sz w:val="17"/>
                <w:szCs w:val="17"/>
                <w:color w:val="000000"/>
              </w:rPr>
              <w:t>No Repricing or Exchange of Underwater Stock</w:t>
            </w:r>
          </w:p>
        </w:tc>
      </w:tr>
      <w:tr>
        <w:trPr>
          <w:trHeight w:val="202"/>
        </w:trPr>
        <w:tc>
          <w:tcPr>
            <w:tcW w:w="460" w:type="dxa"/>
            <w:vAlign w:val="bottom"/>
          </w:tcPr>
          <w:p>
            <w:pPr>
              <w:ind w:left="300"/>
              <w:spacing w:after="0"/>
              <w:rPr>
                <w:sz w:val="20"/>
                <w:szCs w:val="20"/>
                <w:color w:val="auto"/>
              </w:rPr>
            </w:pPr>
            <w:r>
              <w:rPr>
                <w:rFonts w:ascii="Arial" w:cs="Arial" w:eastAsia="Arial" w:hAnsi="Arial"/>
                <w:sz w:val="17"/>
                <w:szCs w:val="17"/>
                <w:color w:val="5CA34F"/>
              </w:rPr>
              <w:t>+</w:t>
            </w:r>
          </w:p>
        </w:tc>
        <w:tc>
          <w:tcPr>
            <w:tcW w:w="5300" w:type="dxa"/>
            <w:vAlign w:val="bottom"/>
          </w:tcPr>
          <w:p>
            <w:pPr>
              <w:ind w:left="60"/>
              <w:spacing w:after="0" w:line="202" w:lineRule="exact"/>
              <w:rPr>
                <w:sz w:val="20"/>
                <w:szCs w:val="20"/>
                <w:color w:val="auto"/>
              </w:rPr>
            </w:pPr>
            <w:r>
              <w:rPr>
                <w:rFonts w:ascii="Arial" w:cs="Arial" w:eastAsia="Arial" w:hAnsi="Arial"/>
                <w:sz w:val="18"/>
                <w:szCs w:val="18"/>
                <w:color w:val="105EAB"/>
              </w:rPr>
              <w:t>Moderate Change-in-Control Benefits.</w:t>
            </w:r>
          </w:p>
        </w:tc>
        <w:tc>
          <w:tcPr>
            <w:tcW w:w="280" w:type="dxa"/>
            <w:vAlign w:val="bottom"/>
          </w:tcPr>
          <w:p>
            <w:pPr>
              <w:spacing w:after="0"/>
              <w:rPr>
                <w:sz w:val="17"/>
                <w:szCs w:val="17"/>
                <w:color w:val="auto"/>
              </w:rPr>
            </w:pPr>
          </w:p>
        </w:tc>
        <w:tc>
          <w:tcPr>
            <w:tcW w:w="4880" w:type="dxa"/>
            <w:vAlign w:val="bottom"/>
          </w:tcPr>
          <w:p>
            <w:pPr>
              <w:ind w:left="380"/>
              <w:spacing w:after="0" w:line="202" w:lineRule="exact"/>
              <w:rPr>
                <w:sz w:val="20"/>
                <w:szCs w:val="20"/>
                <w:color w:val="auto"/>
              </w:rPr>
            </w:pPr>
            <w:r>
              <w:rPr>
                <w:rFonts w:ascii="Arial" w:cs="Arial" w:eastAsia="Arial" w:hAnsi="Arial"/>
                <w:sz w:val="18"/>
                <w:szCs w:val="18"/>
                <w:color w:val="auto"/>
              </w:rPr>
              <w:t>Options.</w:t>
            </w:r>
          </w:p>
        </w:tc>
      </w:tr>
      <w:tr>
        <w:trPr>
          <w:trHeight w:val="202"/>
        </w:trPr>
        <w:tc>
          <w:tcPr>
            <w:tcW w:w="5760" w:type="dxa"/>
            <w:vAlign w:val="bottom"/>
            <w:gridSpan w:val="2"/>
          </w:tcPr>
          <w:p>
            <w:pPr>
              <w:ind w:left="300"/>
              <w:spacing w:after="0"/>
              <w:rPr>
                <w:sz w:val="20"/>
                <w:szCs w:val="20"/>
                <w:color w:val="auto"/>
              </w:rPr>
            </w:pPr>
            <w:r>
              <w:rPr>
                <w:rFonts w:ascii="Arial" w:cs="Arial" w:eastAsia="Arial" w:hAnsi="Arial"/>
                <w:sz w:val="17"/>
                <w:szCs w:val="17"/>
                <w:color w:val="5CA34F"/>
              </w:rPr>
              <w:t xml:space="preserve">+  </w:t>
            </w:r>
            <w:r>
              <w:rPr>
                <w:rFonts w:ascii="Arial" w:cs="Arial" w:eastAsia="Arial" w:hAnsi="Arial"/>
                <w:sz w:val="17"/>
                <w:szCs w:val="17"/>
                <w:color w:val="105EAB"/>
              </w:rPr>
              <w:t>Double Trigger in the Event of a Change in Control.</w:t>
            </w:r>
          </w:p>
        </w:tc>
        <w:tc>
          <w:tcPr>
            <w:tcW w:w="280" w:type="dxa"/>
            <w:vAlign w:val="bottom"/>
          </w:tcPr>
          <w:p>
            <w:pPr>
              <w:spacing w:after="0"/>
              <w:rPr>
                <w:sz w:val="17"/>
                <w:szCs w:val="17"/>
                <w:color w:val="auto"/>
              </w:rPr>
            </w:pPr>
          </w:p>
        </w:tc>
        <w:tc>
          <w:tcPr>
            <w:tcW w:w="4880" w:type="dxa"/>
            <w:vAlign w:val="bottom"/>
          </w:tcPr>
          <w:p>
            <w:pPr>
              <w:ind w:left="160"/>
              <w:spacing w:after="0"/>
              <w:rPr>
                <w:sz w:val="20"/>
                <w:szCs w:val="20"/>
                <w:color w:val="auto"/>
              </w:rPr>
            </w:pPr>
            <w:r>
              <w:rPr>
                <w:rFonts w:ascii="Arial" w:cs="Arial" w:eastAsia="Arial" w:hAnsi="Arial"/>
                <w:sz w:val="13"/>
                <w:szCs w:val="13"/>
                <w:color w:val="E35E5E"/>
              </w:rPr>
              <w:t xml:space="preserve">–  </w:t>
            </w:r>
            <w:r>
              <w:rPr>
                <w:rFonts w:ascii="Arial" w:cs="Arial" w:eastAsia="Arial" w:hAnsi="Arial"/>
                <w:sz w:val="17"/>
                <w:szCs w:val="17"/>
                <w:color w:val="000000"/>
              </w:rPr>
              <w:t>No Plans that Encourage Excessive Risk-Taking.</w:t>
            </w:r>
          </w:p>
        </w:tc>
      </w:tr>
      <w:tr>
        <w:trPr>
          <w:trHeight w:val="202"/>
        </w:trPr>
        <w:tc>
          <w:tcPr>
            <w:tcW w:w="5760" w:type="dxa"/>
            <w:vAlign w:val="bottom"/>
            <w:gridSpan w:val="2"/>
          </w:tcPr>
          <w:p>
            <w:pPr>
              <w:ind w:left="300"/>
              <w:spacing w:after="0"/>
              <w:rPr>
                <w:sz w:val="20"/>
                <w:szCs w:val="20"/>
                <w:color w:val="auto"/>
              </w:rPr>
            </w:pPr>
            <w:r>
              <w:rPr>
                <w:rFonts w:ascii="Arial" w:cs="Arial" w:eastAsia="Arial" w:hAnsi="Arial"/>
                <w:sz w:val="17"/>
                <w:szCs w:val="17"/>
                <w:color w:val="5CA34F"/>
              </w:rPr>
              <w:t xml:space="preserve">+  </w:t>
            </w:r>
            <w:r>
              <w:rPr>
                <w:rFonts w:ascii="Arial" w:cs="Arial" w:eastAsia="Arial" w:hAnsi="Arial"/>
                <w:sz w:val="17"/>
                <w:szCs w:val="17"/>
                <w:color w:val="105EAB"/>
              </w:rPr>
              <w:t>Maximum Payout Caps for Annual Cash Incentive Compensation</w:t>
            </w:r>
          </w:p>
        </w:tc>
        <w:tc>
          <w:tcPr>
            <w:tcW w:w="280" w:type="dxa"/>
            <w:vAlign w:val="bottom"/>
          </w:tcPr>
          <w:p>
            <w:pPr>
              <w:spacing w:after="0"/>
              <w:rPr>
                <w:sz w:val="17"/>
                <w:szCs w:val="17"/>
                <w:color w:val="auto"/>
              </w:rPr>
            </w:pPr>
          </w:p>
        </w:tc>
        <w:tc>
          <w:tcPr>
            <w:tcW w:w="4880" w:type="dxa"/>
            <w:vAlign w:val="bottom"/>
          </w:tcPr>
          <w:p>
            <w:pPr>
              <w:ind w:left="160"/>
              <w:spacing w:after="0"/>
              <w:rPr>
                <w:sz w:val="20"/>
                <w:szCs w:val="20"/>
                <w:color w:val="auto"/>
              </w:rPr>
            </w:pPr>
            <w:r>
              <w:rPr>
                <w:rFonts w:ascii="Arial" w:cs="Arial" w:eastAsia="Arial" w:hAnsi="Arial"/>
                <w:sz w:val="13"/>
                <w:szCs w:val="13"/>
                <w:color w:val="E35E5E"/>
              </w:rPr>
              <w:t xml:space="preserve">–  </w:t>
            </w:r>
            <w:r>
              <w:rPr>
                <w:rFonts w:ascii="Arial" w:cs="Arial" w:eastAsia="Arial" w:hAnsi="Arial"/>
                <w:sz w:val="17"/>
                <w:szCs w:val="17"/>
                <w:color w:val="000000"/>
              </w:rPr>
              <w:t>No Hedging or Pledging of Allstate Securities.</w:t>
            </w:r>
          </w:p>
        </w:tc>
      </w:tr>
      <w:tr>
        <w:trPr>
          <w:trHeight w:val="202"/>
        </w:trPr>
        <w:tc>
          <w:tcPr>
            <w:tcW w:w="460" w:type="dxa"/>
            <w:vAlign w:val="bottom"/>
          </w:tcPr>
          <w:p>
            <w:pPr>
              <w:spacing w:after="0"/>
              <w:rPr>
                <w:sz w:val="17"/>
                <w:szCs w:val="17"/>
                <w:color w:val="auto"/>
              </w:rPr>
            </w:pPr>
          </w:p>
        </w:tc>
        <w:tc>
          <w:tcPr>
            <w:tcW w:w="5300" w:type="dxa"/>
            <w:vAlign w:val="bottom"/>
          </w:tcPr>
          <w:p>
            <w:pPr>
              <w:ind w:left="80"/>
              <w:spacing w:after="0" w:line="202" w:lineRule="exact"/>
              <w:rPr>
                <w:sz w:val="20"/>
                <w:szCs w:val="20"/>
                <w:color w:val="auto"/>
              </w:rPr>
            </w:pPr>
            <w:r>
              <w:rPr>
                <w:rFonts w:ascii="Arial" w:cs="Arial" w:eastAsia="Arial" w:hAnsi="Arial"/>
                <w:sz w:val="18"/>
                <w:szCs w:val="18"/>
                <w:color w:val="105EAB"/>
              </w:rPr>
              <w:t>and Performance Stock Awards (“PSAs”).</w:t>
            </w:r>
          </w:p>
        </w:tc>
        <w:tc>
          <w:tcPr>
            <w:tcW w:w="280" w:type="dxa"/>
            <w:vAlign w:val="bottom"/>
          </w:tcPr>
          <w:p>
            <w:pPr>
              <w:spacing w:after="0"/>
              <w:rPr>
                <w:sz w:val="17"/>
                <w:szCs w:val="17"/>
                <w:color w:val="auto"/>
              </w:rPr>
            </w:pPr>
          </w:p>
        </w:tc>
        <w:tc>
          <w:tcPr>
            <w:tcW w:w="4880" w:type="dxa"/>
            <w:vAlign w:val="bottom"/>
          </w:tcPr>
          <w:p>
            <w:pPr>
              <w:ind w:left="160"/>
              <w:spacing w:after="0"/>
              <w:rPr>
                <w:sz w:val="20"/>
                <w:szCs w:val="20"/>
                <w:color w:val="auto"/>
              </w:rPr>
            </w:pPr>
            <w:r>
              <w:rPr>
                <w:rFonts w:ascii="Arial" w:cs="Arial" w:eastAsia="Arial" w:hAnsi="Arial"/>
                <w:sz w:val="13"/>
                <w:szCs w:val="13"/>
                <w:color w:val="E35E5E"/>
              </w:rPr>
              <w:t xml:space="preserve">–  </w:t>
            </w:r>
            <w:r>
              <w:rPr>
                <w:rFonts w:ascii="Arial" w:cs="Arial" w:eastAsia="Arial" w:hAnsi="Arial"/>
                <w:sz w:val="17"/>
                <w:szCs w:val="17"/>
                <w:color w:val="000000"/>
              </w:rPr>
              <w:t>No Inclusion of Equity Awards in Pension Calculations.</w:t>
            </w:r>
          </w:p>
        </w:tc>
      </w:tr>
      <w:tr>
        <w:trPr>
          <w:trHeight w:val="202"/>
        </w:trPr>
        <w:tc>
          <w:tcPr>
            <w:tcW w:w="5760" w:type="dxa"/>
            <w:vAlign w:val="bottom"/>
            <w:gridSpan w:val="2"/>
          </w:tcPr>
          <w:p>
            <w:pPr>
              <w:ind w:left="300"/>
              <w:spacing w:after="0"/>
              <w:rPr>
                <w:sz w:val="20"/>
                <w:szCs w:val="20"/>
                <w:color w:val="auto"/>
              </w:rPr>
            </w:pPr>
            <w:r>
              <w:rPr>
                <w:rFonts w:ascii="Arial" w:cs="Arial" w:eastAsia="Arial" w:hAnsi="Arial"/>
                <w:sz w:val="17"/>
                <w:szCs w:val="17"/>
                <w:color w:val="5CA34F"/>
              </w:rPr>
              <w:t xml:space="preserve">+  </w:t>
            </w:r>
            <w:r>
              <w:rPr>
                <w:rFonts w:ascii="Arial" w:cs="Arial" w:eastAsia="Arial" w:hAnsi="Arial"/>
                <w:sz w:val="17"/>
                <w:szCs w:val="17"/>
                <w:color w:val="105EAB"/>
              </w:rPr>
              <w:t>Robust Equity Ownership Requirements.</w:t>
            </w:r>
          </w:p>
        </w:tc>
        <w:tc>
          <w:tcPr>
            <w:tcW w:w="280" w:type="dxa"/>
            <w:vAlign w:val="bottom"/>
          </w:tcPr>
          <w:p>
            <w:pPr>
              <w:spacing w:after="0"/>
              <w:rPr>
                <w:sz w:val="17"/>
                <w:szCs w:val="17"/>
                <w:color w:val="auto"/>
              </w:rPr>
            </w:pPr>
          </w:p>
        </w:tc>
        <w:tc>
          <w:tcPr>
            <w:tcW w:w="4880" w:type="dxa"/>
            <w:vAlign w:val="bottom"/>
          </w:tcPr>
          <w:p>
            <w:pPr>
              <w:ind w:left="160"/>
              <w:spacing w:after="0"/>
              <w:rPr>
                <w:sz w:val="20"/>
                <w:szCs w:val="20"/>
                <w:color w:val="auto"/>
              </w:rPr>
            </w:pPr>
            <w:r>
              <w:rPr>
                <w:rFonts w:ascii="Arial" w:cs="Arial" w:eastAsia="Arial" w:hAnsi="Arial"/>
                <w:sz w:val="13"/>
                <w:szCs w:val="13"/>
                <w:color w:val="E35E5E"/>
              </w:rPr>
              <w:t xml:space="preserve">–  </w:t>
            </w:r>
            <w:r>
              <w:rPr>
                <w:rFonts w:ascii="Arial" w:cs="Arial" w:eastAsia="Arial" w:hAnsi="Arial"/>
                <w:sz w:val="17"/>
                <w:szCs w:val="17"/>
                <w:color w:val="000000"/>
              </w:rPr>
              <w:t>No Dividends Paid on Unvested PSAs.</w:t>
            </w:r>
          </w:p>
        </w:tc>
      </w:tr>
      <w:tr>
        <w:trPr>
          <w:trHeight w:val="202"/>
        </w:trPr>
        <w:tc>
          <w:tcPr>
            <w:tcW w:w="5760" w:type="dxa"/>
            <w:vAlign w:val="bottom"/>
            <w:gridSpan w:val="2"/>
          </w:tcPr>
          <w:p>
            <w:pPr>
              <w:ind w:left="300"/>
              <w:spacing w:after="0"/>
              <w:rPr>
                <w:sz w:val="20"/>
                <w:szCs w:val="20"/>
                <w:color w:val="auto"/>
              </w:rPr>
            </w:pPr>
            <w:r>
              <w:rPr>
                <w:rFonts w:ascii="Arial" w:cs="Arial" w:eastAsia="Arial" w:hAnsi="Arial"/>
                <w:sz w:val="17"/>
                <w:szCs w:val="17"/>
                <w:color w:val="5CA34F"/>
              </w:rPr>
              <w:t xml:space="preserve">+  </w:t>
            </w:r>
            <w:r>
              <w:rPr>
                <w:rFonts w:ascii="Arial" w:cs="Arial" w:eastAsia="Arial" w:hAnsi="Arial"/>
                <w:sz w:val="17"/>
                <w:szCs w:val="17"/>
                <w:color w:val="105EAB"/>
              </w:rPr>
              <w:t>Clawback of Certain Compensation if Restatement Resulting from</w:t>
            </w:r>
          </w:p>
        </w:tc>
        <w:tc>
          <w:tcPr>
            <w:tcW w:w="280" w:type="dxa"/>
            <w:vAlign w:val="bottom"/>
          </w:tcPr>
          <w:p>
            <w:pPr>
              <w:spacing w:after="0"/>
              <w:rPr>
                <w:sz w:val="17"/>
                <w:szCs w:val="17"/>
                <w:color w:val="auto"/>
              </w:rPr>
            </w:pPr>
          </w:p>
        </w:tc>
        <w:tc>
          <w:tcPr>
            <w:tcW w:w="4880" w:type="dxa"/>
            <w:vAlign w:val="bottom"/>
          </w:tcPr>
          <w:p>
            <w:pPr>
              <w:ind w:left="160"/>
              <w:spacing w:after="0"/>
              <w:rPr>
                <w:sz w:val="20"/>
                <w:szCs w:val="20"/>
                <w:color w:val="auto"/>
              </w:rPr>
            </w:pPr>
            <w:r>
              <w:rPr>
                <w:rFonts w:ascii="Arial" w:cs="Arial" w:eastAsia="Arial" w:hAnsi="Arial"/>
                <w:sz w:val="13"/>
                <w:szCs w:val="13"/>
                <w:color w:val="E35E5E"/>
              </w:rPr>
              <w:t xml:space="preserve">–  </w:t>
            </w:r>
            <w:r>
              <w:rPr>
                <w:rFonts w:ascii="Arial" w:cs="Arial" w:eastAsia="Arial" w:hAnsi="Arial"/>
                <w:sz w:val="17"/>
                <w:szCs w:val="17"/>
                <w:color w:val="000000"/>
              </w:rPr>
              <w:t>No Excessive Perks.</w:t>
            </w:r>
          </w:p>
        </w:tc>
      </w:tr>
      <w:tr>
        <w:trPr>
          <w:trHeight w:val="202"/>
        </w:trPr>
        <w:tc>
          <w:tcPr>
            <w:tcW w:w="460" w:type="dxa"/>
            <w:vAlign w:val="bottom"/>
          </w:tcPr>
          <w:p>
            <w:pPr>
              <w:spacing w:after="0"/>
              <w:rPr>
                <w:sz w:val="17"/>
                <w:szCs w:val="17"/>
                <w:color w:val="auto"/>
              </w:rPr>
            </w:pPr>
          </w:p>
        </w:tc>
        <w:tc>
          <w:tcPr>
            <w:tcW w:w="5300" w:type="dxa"/>
            <w:vAlign w:val="bottom"/>
          </w:tcPr>
          <w:p>
            <w:pPr>
              <w:ind w:left="80"/>
              <w:spacing w:after="0" w:line="202" w:lineRule="exact"/>
              <w:rPr>
                <w:sz w:val="20"/>
                <w:szCs w:val="20"/>
                <w:color w:val="auto"/>
              </w:rPr>
            </w:pPr>
            <w:r>
              <w:rPr>
                <w:rFonts w:ascii="Arial" w:cs="Arial" w:eastAsia="Arial" w:hAnsi="Arial"/>
                <w:sz w:val="18"/>
                <w:szCs w:val="18"/>
                <w:color w:val="105EAB"/>
              </w:rPr>
              <w:t>Fraud or Intentional Misconduct or Non-Competition or Non-</w:t>
            </w:r>
          </w:p>
        </w:tc>
        <w:tc>
          <w:tcPr>
            <w:tcW w:w="280" w:type="dxa"/>
            <w:vAlign w:val="bottom"/>
          </w:tcPr>
          <w:p>
            <w:pPr>
              <w:spacing w:after="0"/>
              <w:rPr>
                <w:sz w:val="17"/>
                <w:szCs w:val="17"/>
                <w:color w:val="auto"/>
              </w:rPr>
            </w:pPr>
          </w:p>
        </w:tc>
        <w:tc>
          <w:tcPr>
            <w:tcW w:w="4880" w:type="dxa"/>
            <w:vAlign w:val="bottom"/>
          </w:tcPr>
          <w:p>
            <w:pPr>
              <w:spacing w:after="0"/>
              <w:rPr>
                <w:sz w:val="17"/>
                <w:szCs w:val="17"/>
                <w:color w:val="auto"/>
              </w:rPr>
            </w:pPr>
          </w:p>
        </w:tc>
      </w:tr>
      <w:tr>
        <w:trPr>
          <w:trHeight w:val="202"/>
        </w:trPr>
        <w:tc>
          <w:tcPr>
            <w:tcW w:w="460" w:type="dxa"/>
            <w:vAlign w:val="bottom"/>
          </w:tcPr>
          <w:p>
            <w:pPr>
              <w:spacing w:after="0"/>
              <w:rPr>
                <w:sz w:val="17"/>
                <w:szCs w:val="17"/>
                <w:color w:val="auto"/>
              </w:rPr>
            </w:pPr>
          </w:p>
        </w:tc>
        <w:tc>
          <w:tcPr>
            <w:tcW w:w="5300" w:type="dxa"/>
            <w:vAlign w:val="bottom"/>
          </w:tcPr>
          <w:p>
            <w:pPr>
              <w:ind w:left="80"/>
              <w:spacing w:after="0" w:line="202" w:lineRule="exact"/>
              <w:rPr>
                <w:sz w:val="20"/>
                <w:szCs w:val="20"/>
                <w:color w:val="auto"/>
              </w:rPr>
            </w:pPr>
            <w:r>
              <w:rPr>
                <w:rFonts w:ascii="Arial" w:cs="Arial" w:eastAsia="Arial" w:hAnsi="Arial"/>
                <w:sz w:val="18"/>
                <w:szCs w:val="18"/>
                <w:color w:val="105EAB"/>
              </w:rPr>
              <w:t>Solicitation Covenant Breach.</w:t>
            </w:r>
          </w:p>
        </w:tc>
        <w:tc>
          <w:tcPr>
            <w:tcW w:w="280" w:type="dxa"/>
            <w:vAlign w:val="bottom"/>
          </w:tcPr>
          <w:p>
            <w:pPr>
              <w:spacing w:after="0"/>
              <w:rPr>
                <w:sz w:val="17"/>
                <w:szCs w:val="17"/>
                <w:color w:val="auto"/>
              </w:rPr>
            </w:pPr>
          </w:p>
        </w:tc>
        <w:tc>
          <w:tcPr>
            <w:tcW w:w="488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-1620520</wp:posOffset>
            </wp:positionV>
            <wp:extent cx="7246620" cy="18332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46620" cy="1833245"/>
                    </a:xfrm>
                    <a:prstGeom prst="rect">
                      <a:avLst/>
                    </a:prstGeom>
                    <a:noFill/>
                  </pic:spPr>
                </pic:pic>
              </a:graphicData>
            </a:graphic>
          </wp:anchor>
        </w:drawing>
      </w:r>
    </w:p>
    <w:p>
      <w:pPr>
        <w:ind w:left="1020" w:hanging="230"/>
        <w:spacing w:after="0"/>
        <w:tabs>
          <w:tab w:leader="none" w:pos="1020" w:val="left"/>
        </w:tabs>
        <w:numPr>
          <w:ilvl w:val="0"/>
          <w:numId w:val="144"/>
        </w:numPr>
        <w:rPr>
          <w:rFonts w:ascii="Arial" w:cs="Arial" w:eastAsia="Arial" w:hAnsi="Arial"/>
          <w:sz w:val="17"/>
          <w:szCs w:val="17"/>
          <w:color w:val="5CA34F"/>
        </w:rPr>
      </w:pPr>
      <w:r>
        <w:rPr>
          <w:rFonts w:ascii="Arial" w:cs="Arial" w:eastAsia="Arial" w:hAnsi="Arial"/>
          <w:sz w:val="18"/>
          <w:szCs w:val="18"/>
          <w:color w:val="105EAB"/>
        </w:rPr>
        <w:t>One-Year Minimum Equity Vesting Provision in the Equity Plan.</w:t>
      </w:r>
    </w:p>
    <w:p>
      <w:pPr>
        <w:spacing w:after="0" w:line="342" w:lineRule="exact"/>
        <w:rPr>
          <w:sz w:val="20"/>
          <w:szCs w:val="20"/>
          <w:color w:val="auto"/>
        </w:rPr>
      </w:pPr>
    </w:p>
    <w:p>
      <w:pPr>
        <w:ind w:left="460" w:hanging="452"/>
        <w:spacing w:after="0"/>
        <w:tabs>
          <w:tab w:leader="none" w:pos="460" w:val="left"/>
        </w:tabs>
        <w:numPr>
          <w:ilvl w:val="0"/>
          <w:numId w:val="145"/>
        </w:numPr>
        <w:rPr>
          <w:rFonts w:ascii="Arial" w:cs="Arial" w:eastAsia="Arial" w:hAnsi="Arial"/>
          <w:sz w:val="13"/>
          <w:szCs w:val="13"/>
          <w:b w:val="1"/>
          <w:bCs w:val="1"/>
          <w:color w:val="105EAB"/>
        </w:rPr>
      </w:pPr>
      <w:r>
        <w:rPr>
          <w:rFonts w:ascii="Arial" w:cs="Arial" w:eastAsia="Arial" w:hAnsi="Arial"/>
          <w:sz w:val="13"/>
          <w:szCs w:val="13"/>
          <w:color w:val="105EAB"/>
        </w:rPr>
        <w:t>www.allstateproxy.com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134620</wp:posOffset>
            </wp:positionV>
            <wp:extent cx="7268210" cy="209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jc w:val="right"/>
        <w:ind w:right="20"/>
        <w:spacing w:after="0"/>
        <w:rPr>
          <w:sz w:val="20"/>
          <w:szCs w:val="20"/>
          <w:color w:val="auto"/>
        </w:rPr>
      </w:pPr>
      <w:r>
        <w:rPr>
          <w:rFonts w:ascii="Arial" w:cs="Arial" w:eastAsia="Arial" w:hAnsi="Arial"/>
          <w:sz w:val="13"/>
          <w:szCs w:val="13"/>
          <w:b w:val="1"/>
          <w:bCs w:val="1"/>
          <w:color w:val="auto"/>
        </w:rPr>
        <w:t xml:space="preserve">Compensation Discussion and Analysis </w:t>
      </w:r>
      <w:r>
        <w:rPr>
          <w:rFonts w:ascii="Arial" w:cs="Arial" w:eastAsia="Arial" w:hAnsi="Arial"/>
          <w:sz w:val="13"/>
          <w:szCs w:val="13"/>
          <w:b w:val="1"/>
          <w:bCs w:val="1"/>
          <w:color w:val="105EAB"/>
        </w:rPr>
        <w:t>| Executive Compensation</w:t>
      </w:r>
    </w:p>
    <w:p>
      <w:pPr>
        <w:spacing w:after="0" w:line="201" w:lineRule="exact"/>
        <w:rPr>
          <w:sz w:val="20"/>
          <w:szCs w:val="20"/>
          <w:color w:val="auto"/>
        </w:rPr>
      </w:pPr>
    </w:p>
    <w:p>
      <w:pPr>
        <w:spacing w:after="0"/>
        <w:rPr>
          <w:sz w:val="20"/>
          <w:szCs w:val="20"/>
          <w:color w:val="auto"/>
        </w:rPr>
      </w:pPr>
      <w:r>
        <w:rPr>
          <w:rFonts w:ascii="Arial" w:cs="Arial" w:eastAsia="Arial" w:hAnsi="Arial"/>
          <w:sz w:val="25"/>
          <w:szCs w:val="25"/>
          <w:b w:val="1"/>
          <w:bCs w:val="1"/>
          <w:color w:val="105EAB"/>
        </w:rPr>
        <w:t>Compensation Elements</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lists the elements of target direct compensation for our 2018 executive compensation program.</w:t>
      </w:r>
    </w:p>
    <w:p>
      <w:pPr>
        <w:spacing w:after="0" w:line="191" w:lineRule="exact"/>
        <w:rPr>
          <w:sz w:val="20"/>
          <w:szCs w:val="20"/>
          <w:color w:val="auto"/>
        </w:rPr>
      </w:pPr>
    </w:p>
    <w:tbl>
      <w:tblPr>
        <w:tblLayout w:type="fixed"/>
        <w:tblInd w:w="640" w:type="dxa"/>
        <w:tblCellMar>
          <w:top w:w="0" w:type="dxa"/>
          <w:left w:w="0" w:type="dxa"/>
          <w:bottom w:w="0" w:type="dxa"/>
          <w:right w:w="0" w:type="dxa"/>
        </w:tblCellMar>
      </w:tblPr>
      <w:tr>
        <w:trPr>
          <w:trHeight w:val="179"/>
        </w:trPr>
        <w:tc>
          <w:tcPr>
            <w:tcW w:w="1900" w:type="dxa"/>
            <w:vAlign w:val="bottom"/>
          </w:tcPr>
          <w:p>
            <w:pPr>
              <w:spacing w:after="0"/>
              <w:rPr>
                <w:sz w:val="20"/>
                <w:szCs w:val="20"/>
                <w:color w:val="auto"/>
              </w:rPr>
            </w:pPr>
            <w:r>
              <w:rPr>
                <w:rFonts w:ascii="Arial" w:cs="Arial" w:eastAsia="Arial" w:hAnsi="Arial"/>
                <w:sz w:val="13"/>
                <w:szCs w:val="13"/>
                <w:b w:val="1"/>
                <w:bCs w:val="1"/>
                <w:color w:val="105EAB"/>
              </w:rPr>
              <w:t>Element and</w:t>
            </w:r>
          </w:p>
        </w:tc>
        <w:tc>
          <w:tcPr>
            <w:tcW w:w="3060" w:type="dxa"/>
            <w:vAlign w:val="bottom"/>
          </w:tcPr>
          <w:p>
            <w:pPr>
              <w:ind w:left="320"/>
              <w:spacing w:after="0"/>
              <w:rPr>
                <w:sz w:val="20"/>
                <w:szCs w:val="20"/>
                <w:color w:val="auto"/>
              </w:rPr>
            </w:pPr>
            <w:r>
              <w:rPr>
                <w:rFonts w:ascii="Arial" w:cs="Arial" w:eastAsia="Arial" w:hAnsi="Arial"/>
                <w:sz w:val="13"/>
                <w:szCs w:val="13"/>
                <w:b w:val="1"/>
                <w:bCs w:val="1"/>
                <w:color w:val="105EAB"/>
              </w:rPr>
              <w:t>Why We Pay</w:t>
            </w:r>
          </w:p>
        </w:tc>
        <w:tc>
          <w:tcPr>
            <w:tcW w:w="2900" w:type="dxa"/>
            <w:vAlign w:val="bottom"/>
          </w:tcPr>
          <w:p>
            <w:pPr>
              <w:spacing w:after="0"/>
              <w:rPr>
                <w:sz w:val="15"/>
                <w:szCs w:val="15"/>
                <w:color w:val="auto"/>
              </w:rPr>
            </w:pPr>
          </w:p>
        </w:tc>
        <w:tc>
          <w:tcPr>
            <w:tcW w:w="2920" w:type="dxa"/>
            <w:vAlign w:val="bottom"/>
          </w:tcPr>
          <w:p>
            <w:pPr>
              <w:spacing w:after="0"/>
              <w:rPr>
                <w:sz w:val="15"/>
                <w:szCs w:val="15"/>
                <w:color w:val="auto"/>
              </w:rPr>
            </w:pPr>
          </w:p>
        </w:tc>
      </w:tr>
      <w:tr>
        <w:trPr>
          <w:trHeight w:val="209"/>
        </w:trPr>
        <w:tc>
          <w:tcPr>
            <w:tcW w:w="1900" w:type="dxa"/>
            <w:vAlign w:val="bottom"/>
            <w:tcBorders>
              <w:bottom w:val="single" w:sz="8" w:color="105EAB"/>
            </w:tcBorders>
          </w:tcPr>
          <w:p>
            <w:pPr>
              <w:spacing w:after="0" w:line="202" w:lineRule="exact"/>
              <w:rPr>
                <w:sz w:val="20"/>
                <w:szCs w:val="20"/>
                <w:color w:val="auto"/>
              </w:rPr>
            </w:pPr>
            <w:r>
              <w:rPr>
                <w:rFonts w:ascii="Arial" w:cs="Arial" w:eastAsia="Arial" w:hAnsi="Arial"/>
                <w:sz w:val="13"/>
                <w:szCs w:val="13"/>
                <w:b w:val="1"/>
                <w:bCs w:val="1"/>
                <w:color w:val="105EAB"/>
              </w:rPr>
              <w:t>Delivery</w:t>
            </w:r>
            <w:r>
              <w:rPr>
                <w:rFonts w:ascii="Arial" w:cs="Arial" w:eastAsia="Arial" w:hAnsi="Arial"/>
                <w:sz w:val="22"/>
                <w:szCs w:val="22"/>
                <w:b w:val="1"/>
                <w:bCs w:val="1"/>
                <w:color w:val="105EAB"/>
                <w:vertAlign w:val="superscript"/>
              </w:rPr>
              <w:t>(1)</w:t>
            </w:r>
          </w:p>
        </w:tc>
        <w:tc>
          <w:tcPr>
            <w:tcW w:w="3060" w:type="dxa"/>
            <w:vAlign w:val="bottom"/>
            <w:tcBorders>
              <w:bottom w:val="single" w:sz="8" w:color="105EAB"/>
            </w:tcBorders>
          </w:tcPr>
          <w:p>
            <w:pPr>
              <w:ind w:left="320"/>
              <w:spacing w:after="0"/>
              <w:rPr>
                <w:sz w:val="20"/>
                <w:szCs w:val="20"/>
                <w:color w:val="auto"/>
              </w:rPr>
            </w:pPr>
            <w:r>
              <w:rPr>
                <w:rFonts w:ascii="Arial" w:cs="Arial" w:eastAsia="Arial" w:hAnsi="Arial"/>
                <w:sz w:val="13"/>
                <w:szCs w:val="13"/>
                <w:b w:val="1"/>
                <w:bCs w:val="1"/>
                <w:color w:val="105EAB"/>
              </w:rPr>
              <w:t>This Element</w:t>
            </w:r>
          </w:p>
        </w:tc>
        <w:tc>
          <w:tcPr>
            <w:tcW w:w="2900" w:type="dxa"/>
            <w:vAlign w:val="bottom"/>
            <w:tcBorders>
              <w:bottom w:val="single" w:sz="8" w:color="105EAB"/>
            </w:tcBorders>
          </w:tcPr>
          <w:p>
            <w:pPr>
              <w:ind w:left="160"/>
              <w:spacing w:after="0"/>
              <w:rPr>
                <w:sz w:val="20"/>
                <w:szCs w:val="20"/>
                <w:color w:val="auto"/>
              </w:rPr>
            </w:pPr>
            <w:r>
              <w:rPr>
                <w:rFonts w:ascii="Arial" w:cs="Arial" w:eastAsia="Arial" w:hAnsi="Arial"/>
                <w:sz w:val="13"/>
                <w:szCs w:val="13"/>
                <w:b w:val="1"/>
                <w:bCs w:val="1"/>
                <w:color w:val="105EAB"/>
              </w:rPr>
              <w:t>Key Characteristics</w:t>
            </w:r>
          </w:p>
        </w:tc>
        <w:tc>
          <w:tcPr>
            <w:tcW w:w="2920" w:type="dxa"/>
            <w:vAlign w:val="bottom"/>
            <w:tcBorders>
              <w:bottom w:val="single" w:sz="8" w:color="105EAB"/>
            </w:tcBorders>
          </w:tcPr>
          <w:p>
            <w:pPr>
              <w:ind w:left="200"/>
              <w:spacing w:after="0"/>
              <w:rPr>
                <w:sz w:val="20"/>
                <w:szCs w:val="20"/>
                <w:color w:val="auto"/>
              </w:rPr>
            </w:pPr>
            <w:r>
              <w:rPr>
                <w:rFonts w:ascii="Arial" w:cs="Arial" w:eastAsia="Arial" w:hAnsi="Arial"/>
                <w:sz w:val="13"/>
                <w:szCs w:val="13"/>
                <w:b w:val="1"/>
                <w:bCs w:val="1"/>
                <w:color w:val="105EAB"/>
              </w:rPr>
              <w:t>How We Determine Amount</w:t>
            </w:r>
          </w:p>
        </w:tc>
      </w:tr>
      <w:tr>
        <w:trPr>
          <w:trHeight w:val="313"/>
        </w:trPr>
        <w:tc>
          <w:tcPr>
            <w:tcW w:w="1900" w:type="dxa"/>
            <w:vAlign w:val="bottom"/>
          </w:tcPr>
          <w:p>
            <w:pPr>
              <w:ind w:left="80"/>
              <w:spacing w:after="0"/>
              <w:rPr>
                <w:sz w:val="20"/>
                <w:szCs w:val="20"/>
                <w:color w:val="auto"/>
              </w:rPr>
            </w:pPr>
            <w:r>
              <w:rPr>
                <w:rFonts w:ascii="Arial" w:cs="Arial" w:eastAsia="Arial" w:hAnsi="Arial"/>
                <w:sz w:val="18"/>
                <w:szCs w:val="18"/>
                <w:b w:val="1"/>
                <w:bCs w:val="1"/>
                <w:color w:val="105EAB"/>
              </w:rPr>
              <w:t>Base Salary; Cash</w:t>
            </w:r>
          </w:p>
        </w:tc>
        <w:tc>
          <w:tcPr>
            <w:tcW w:w="3060" w:type="dxa"/>
            <w:vAlign w:val="bottom"/>
          </w:tcPr>
          <w:p>
            <w:pPr>
              <w:ind w:left="320"/>
              <w:spacing w:after="0"/>
              <w:rPr>
                <w:sz w:val="20"/>
                <w:szCs w:val="20"/>
                <w:color w:val="auto"/>
              </w:rPr>
            </w:pPr>
            <w:r>
              <w:rPr>
                <w:rFonts w:ascii="Arial" w:cs="Arial" w:eastAsia="Arial" w:hAnsi="Arial"/>
                <w:sz w:val="18"/>
                <w:szCs w:val="18"/>
                <w:color w:val="auto"/>
              </w:rPr>
              <w:t>Attract and retain executives with</w:t>
            </w:r>
          </w:p>
        </w:tc>
        <w:tc>
          <w:tcPr>
            <w:tcW w:w="2900" w:type="dxa"/>
            <w:vAlign w:val="bottom"/>
          </w:tcPr>
          <w:p>
            <w:pPr>
              <w:ind w:left="160"/>
              <w:spacing w:after="0"/>
              <w:rPr>
                <w:sz w:val="20"/>
                <w:szCs w:val="20"/>
                <w:color w:val="auto"/>
              </w:rPr>
            </w:pPr>
            <w:r>
              <w:rPr>
                <w:rFonts w:ascii="Arial" w:cs="Arial" w:eastAsia="Arial" w:hAnsi="Arial"/>
                <w:sz w:val="18"/>
                <w:szCs w:val="18"/>
                <w:color w:val="auto"/>
              </w:rPr>
              <w:t>Reviewed annually and adjusted</w:t>
            </w:r>
          </w:p>
        </w:tc>
        <w:tc>
          <w:tcPr>
            <w:tcW w:w="2920" w:type="dxa"/>
            <w:vAlign w:val="bottom"/>
          </w:tcPr>
          <w:p>
            <w:pPr>
              <w:ind w:left="200"/>
              <w:spacing w:after="0"/>
              <w:rPr>
                <w:sz w:val="20"/>
                <w:szCs w:val="20"/>
                <w:color w:val="auto"/>
              </w:rPr>
            </w:pPr>
            <w:r>
              <w:rPr>
                <w:rFonts w:ascii="Arial" w:cs="Arial" w:eastAsia="Arial" w:hAnsi="Arial"/>
                <w:sz w:val="18"/>
                <w:szCs w:val="18"/>
                <w:color w:val="auto"/>
                <w:w w:val="97"/>
              </w:rPr>
              <w:t>Amounts based on experience, job</w:t>
            </w:r>
          </w:p>
        </w:tc>
      </w:tr>
      <w:tr>
        <w:trPr>
          <w:trHeight w:val="202"/>
        </w:trPr>
        <w:tc>
          <w:tcPr>
            <w:tcW w:w="1900" w:type="dxa"/>
            <w:vAlign w:val="bottom"/>
          </w:tcPr>
          <w:p>
            <w:pPr>
              <w:spacing w:after="0"/>
              <w:rPr>
                <w:sz w:val="17"/>
                <w:szCs w:val="17"/>
                <w:color w:val="auto"/>
              </w:rPr>
            </w:pPr>
          </w:p>
        </w:tc>
        <w:tc>
          <w:tcPr>
            <w:tcW w:w="3060" w:type="dxa"/>
            <w:vAlign w:val="bottom"/>
          </w:tcPr>
          <w:p>
            <w:pPr>
              <w:ind w:left="320"/>
              <w:spacing w:after="0" w:line="202" w:lineRule="exact"/>
              <w:rPr>
                <w:sz w:val="20"/>
                <w:szCs w:val="20"/>
                <w:color w:val="auto"/>
              </w:rPr>
            </w:pPr>
            <w:r>
              <w:rPr>
                <w:rFonts w:ascii="Arial" w:cs="Arial" w:eastAsia="Arial" w:hAnsi="Arial"/>
                <w:sz w:val="18"/>
                <w:szCs w:val="18"/>
                <w:color w:val="auto"/>
              </w:rPr>
              <w:t>competitive level of cash</w:t>
            </w:r>
          </w:p>
        </w:tc>
        <w:tc>
          <w:tcPr>
            <w:tcW w:w="2900" w:type="dxa"/>
            <w:vAlign w:val="bottom"/>
          </w:tcPr>
          <w:p>
            <w:pPr>
              <w:ind w:left="160"/>
              <w:spacing w:after="0" w:line="202" w:lineRule="exact"/>
              <w:rPr>
                <w:sz w:val="20"/>
                <w:szCs w:val="20"/>
                <w:color w:val="auto"/>
              </w:rPr>
            </w:pPr>
            <w:r>
              <w:rPr>
                <w:rFonts w:ascii="Arial" w:cs="Arial" w:eastAsia="Arial" w:hAnsi="Arial"/>
                <w:sz w:val="18"/>
                <w:szCs w:val="18"/>
                <w:color w:val="auto"/>
              </w:rPr>
              <w:t>when appropriate.</w:t>
            </w:r>
          </w:p>
        </w:tc>
        <w:tc>
          <w:tcPr>
            <w:tcW w:w="2920" w:type="dxa"/>
            <w:vAlign w:val="bottom"/>
          </w:tcPr>
          <w:p>
            <w:pPr>
              <w:ind w:left="200"/>
              <w:spacing w:after="0" w:line="202" w:lineRule="exact"/>
              <w:rPr>
                <w:sz w:val="20"/>
                <w:szCs w:val="20"/>
                <w:color w:val="auto"/>
              </w:rPr>
            </w:pPr>
            <w:r>
              <w:rPr>
                <w:rFonts w:ascii="Arial" w:cs="Arial" w:eastAsia="Arial" w:hAnsi="Arial"/>
                <w:sz w:val="18"/>
                <w:szCs w:val="18"/>
                <w:color w:val="auto"/>
                <w:w w:val="98"/>
              </w:rPr>
              <w:t>scope, market data, and individual</w:t>
            </w:r>
          </w:p>
        </w:tc>
      </w:tr>
      <w:tr>
        <w:trPr>
          <w:trHeight w:val="211"/>
        </w:trPr>
        <w:tc>
          <w:tcPr>
            <w:tcW w:w="1900" w:type="dxa"/>
            <w:vAlign w:val="bottom"/>
          </w:tcPr>
          <w:p>
            <w:pPr>
              <w:spacing w:after="0"/>
              <w:rPr>
                <w:sz w:val="18"/>
                <w:szCs w:val="18"/>
                <w:color w:val="auto"/>
              </w:rPr>
            </w:pPr>
          </w:p>
        </w:tc>
        <w:tc>
          <w:tcPr>
            <w:tcW w:w="3060" w:type="dxa"/>
            <w:vAlign w:val="bottom"/>
          </w:tcPr>
          <w:p>
            <w:pPr>
              <w:ind w:left="320"/>
              <w:spacing w:after="0"/>
              <w:rPr>
                <w:sz w:val="20"/>
                <w:szCs w:val="20"/>
                <w:color w:val="auto"/>
              </w:rPr>
            </w:pPr>
            <w:r>
              <w:rPr>
                <w:rFonts w:ascii="Arial" w:cs="Arial" w:eastAsia="Arial" w:hAnsi="Arial"/>
                <w:sz w:val="18"/>
                <w:szCs w:val="18"/>
                <w:color w:val="auto"/>
              </w:rPr>
              <w:t>compensation.</w:t>
            </w:r>
          </w:p>
        </w:tc>
        <w:tc>
          <w:tcPr>
            <w:tcW w:w="2900" w:type="dxa"/>
            <w:vAlign w:val="bottom"/>
          </w:tcPr>
          <w:p>
            <w:pPr>
              <w:spacing w:after="0"/>
              <w:rPr>
                <w:sz w:val="18"/>
                <w:szCs w:val="18"/>
                <w:color w:val="auto"/>
              </w:rPr>
            </w:pPr>
          </w:p>
        </w:tc>
        <w:tc>
          <w:tcPr>
            <w:tcW w:w="2920" w:type="dxa"/>
            <w:vAlign w:val="bottom"/>
          </w:tcPr>
          <w:p>
            <w:pPr>
              <w:ind w:left="200"/>
              <w:spacing w:after="0"/>
              <w:rPr>
                <w:sz w:val="20"/>
                <w:szCs w:val="20"/>
                <w:color w:val="auto"/>
              </w:rPr>
            </w:pPr>
            <w:r>
              <w:rPr>
                <w:rFonts w:ascii="Arial" w:cs="Arial" w:eastAsia="Arial" w:hAnsi="Arial"/>
                <w:sz w:val="18"/>
                <w:szCs w:val="18"/>
                <w:color w:val="auto"/>
              </w:rPr>
              <w:t>performance.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-469265</wp:posOffset>
            </wp:positionV>
            <wp:extent cx="7246620" cy="523367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46620" cy="523367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720"/>
        <w:spacing w:after="0"/>
        <w:tabs>
          <w:tab w:leader="none" w:pos="2840" w:val="left"/>
        </w:tabs>
        <w:rPr>
          <w:sz w:val="20"/>
          <w:szCs w:val="20"/>
          <w:color w:val="auto"/>
        </w:rPr>
      </w:pPr>
      <w:r>
        <w:rPr>
          <w:rFonts w:ascii="Arial" w:cs="Arial" w:eastAsia="Arial" w:hAnsi="Arial"/>
          <w:sz w:val="18"/>
          <w:szCs w:val="18"/>
          <w:b w:val="1"/>
          <w:bCs w:val="1"/>
          <w:color w:val="105EAB"/>
        </w:rPr>
        <w:t>Annual Cash</w:t>
      </w:r>
      <w:r>
        <w:rPr>
          <w:sz w:val="20"/>
          <w:szCs w:val="20"/>
          <w:color w:val="auto"/>
        </w:rPr>
        <w:tab/>
      </w:r>
      <w:r>
        <w:rPr>
          <w:rFonts w:ascii="Arial" w:cs="Arial" w:eastAsia="Arial" w:hAnsi="Arial"/>
          <w:sz w:val="16"/>
          <w:szCs w:val="16"/>
          <w:color w:val="auto"/>
        </w:rPr>
        <w:t>Motivate and reward executives</w:t>
      </w:r>
    </w:p>
    <w:p>
      <w:pPr>
        <w:spacing w:after="0" w:line="13" w:lineRule="exact"/>
        <w:rPr>
          <w:sz w:val="20"/>
          <w:szCs w:val="20"/>
          <w:color w:val="auto"/>
        </w:rPr>
      </w:pPr>
    </w:p>
    <w:p>
      <w:pPr>
        <w:ind w:left="720"/>
        <w:spacing w:after="0"/>
        <w:tabs>
          <w:tab w:leader="none" w:pos="2840" w:val="left"/>
        </w:tabs>
        <w:rPr>
          <w:sz w:val="20"/>
          <w:szCs w:val="20"/>
          <w:color w:val="auto"/>
        </w:rPr>
      </w:pPr>
      <w:r>
        <w:rPr>
          <w:rFonts w:ascii="Arial" w:cs="Arial" w:eastAsia="Arial" w:hAnsi="Arial"/>
          <w:sz w:val="18"/>
          <w:szCs w:val="18"/>
          <w:b w:val="1"/>
          <w:bCs w:val="1"/>
          <w:color w:val="105EAB"/>
        </w:rPr>
        <w:t>Incentive Awards;</w:t>
      </w:r>
      <w:r>
        <w:rPr>
          <w:sz w:val="20"/>
          <w:szCs w:val="20"/>
          <w:color w:val="auto"/>
        </w:rPr>
        <w:tab/>
      </w:r>
      <w:r>
        <w:rPr>
          <w:rFonts w:ascii="Arial" w:cs="Arial" w:eastAsia="Arial" w:hAnsi="Arial"/>
          <w:sz w:val="16"/>
          <w:szCs w:val="16"/>
          <w:color w:val="auto"/>
        </w:rPr>
        <w:t>for performance on key strategic,</w:t>
      </w:r>
    </w:p>
    <w:p>
      <w:pPr>
        <w:ind w:left="720"/>
        <w:spacing w:after="0" w:line="234" w:lineRule="auto"/>
        <w:tabs>
          <w:tab w:leader="none" w:pos="2840" w:val="left"/>
        </w:tabs>
        <w:rPr>
          <w:sz w:val="20"/>
          <w:szCs w:val="20"/>
          <w:color w:val="auto"/>
        </w:rPr>
      </w:pPr>
      <w:r>
        <w:rPr>
          <w:rFonts w:ascii="Arial" w:cs="Arial" w:eastAsia="Arial" w:hAnsi="Arial"/>
          <w:sz w:val="18"/>
          <w:szCs w:val="18"/>
          <w:b w:val="1"/>
          <w:bCs w:val="1"/>
          <w:color w:val="105EAB"/>
        </w:rPr>
        <w:t>Cash</w:t>
      </w:r>
      <w:r>
        <w:rPr>
          <w:sz w:val="20"/>
          <w:szCs w:val="20"/>
          <w:color w:val="auto"/>
        </w:rPr>
        <w:tab/>
      </w:r>
      <w:r>
        <w:rPr>
          <w:rFonts w:ascii="Arial" w:cs="Arial" w:eastAsia="Arial" w:hAnsi="Arial"/>
          <w:sz w:val="18"/>
          <w:szCs w:val="18"/>
          <w:color w:val="auto"/>
        </w:rPr>
        <w:t>operational, and financial</w:t>
      </w:r>
    </w:p>
    <w:p>
      <w:pPr>
        <w:spacing w:after="0" w:line="1"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measures during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971550</wp:posOffset>
            </wp:positionV>
            <wp:extent cx="34290" cy="280987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4290" cy="2809875"/>
                    </a:xfrm>
                    <a:prstGeom prst="rect">
                      <a:avLst/>
                    </a:prstGeom>
                    <a:noFill/>
                  </pic:spPr>
                </pic:pic>
              </a:graphicData>
            </a:graphic>
          </wp:anchor>
        </w:drawing>
        <w:drawing>
          <wp:anchor simplePos="0" relativeHeight="251657728" behindDoc="1" locked="0" layoutInCell="0" allowOverlap="1">
            <wp:simplePos x="0" y="0"/>
            <wp:positionH relativeFrom="column">
              <wp:posOffset>450215</wp:posOffset>
            </wp:positionH>
            <wp:positionV relativeFrom="paragraph">
              <wp:posOffset>-64135</wp:posOffset>
            </wp:positionV>
            <wp:extent cx="377190" cy="3683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clrChange>
                        <a:clrFrom>
                          <a:srgbClr val="000000"/>
                        </a:clrFrom>
                        <a:clrTo>
                          <a:srgbClr val="000000">
                            <a:alpha val="0"/>
                          </a:srgbClr>
                        </a:clrTo>
                      </a:clrChange>
                      <a:extLst>
                        <a:ext uri="{28A0092B-C50C-407E-A947-70E740481C1C}"/>
                      </a:extLst>
                    </a:blip>
                    <a:srcRect/>
                    <a:stretch>
                      <a:fillRect/>
                    </a:stretch>
                  </pic:blipFill>
                  <pic:spPr bwMode="auto">
                    <a:xfrm>
                      <a:off x="0" y="0"/>
                      <a:ext cx="377190" cy="368300"/>
                    </a:xfrm>
                    <a:prstGeom prst="rect">
                      <a:avLst/>
                    </a:prstGeom>
                    <a:noFill/>
                  </pic:spPr>
                </pic:pic>
              </a:graphicData>
            </a:graphic>
          </wp:anchor>
        </w:drawing>
        <w:drawing>
          <wp:anchor simplePos="0" relativeHeight="251657728" behindDoc="1" locked="0" layoutInCell="0" allowOverlap="1">
            <wp:simplePos x="0" y="0"/>
            <wp:positionH relativeFrom="column">
              <wp:posOffset>450215</wp:posOffset>
            </wp:positionH>
            <wp:positionV relativeFrom="paragraph">
              <wp:posOffset>-64135</wp:posOffset>
            </wp:positionV>
            <wp:extent cx="377190" cy="3683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clrChange>
                        <a:clrFrom>
                          <a:srgbClr val="FFFFFF"/>
                        </a:clrFrom>
                        <a:clrTo>
                          <a:srgbClr val="FFFFFF">
                            <a:alpha val="0"/>
                          </a:srgbClr>
                        </a:clrTo>
                      </a:clrChange>
                      <a:extLst>
                        <a:ext uri="{28A0092B-C50C-407E-A947-70E740481C1C}"/>
                      </a:extLst>
                    </a:blip>
                    <a:srcRect/>
                    <a:stretch>
                      <a:fillRect/>
                    </a:stretch>
                  </pic:blipFill>
                  <pic:spPr bwMode="auto">
                    <a:xfrm>
                      <a:off x="0" y="0"/>
                      <a:ext cx="377190" cy="3683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 corporate-wide funding pool based on performance on three measures:</w:t>
      </w:r>
    </w:p>
    <w:p>
      <w:pPr>
        <w:spacing w:after="0" w:line="209" w:lineRule="exact"/>
        <w:rPr>
          <w:sz w:val="20"/>
          <w:szCs w:val="20"/>
          <w:color w:val="auto"/>
        </w:rPr>
      </w:pPr>
    </w:p>
    <w:p>
      <w:pPr>
        <w:ind w:left="280" w:hanging="272"/>
        <w:spacing w:after="0"/>
        <w:tabs>
          <w:tab w:leader="none" w:pos="280" w:val="left"/>
        </w:tabs>
        <w:numPr>
          <w:ilvl w:val="0"/>
          <w:numId w:val="146"/>
        </w:numPr>
        <w:rPr>
          <w:rFonts w:ascii="Arial" w:cs="Arial" w:eastAsia="Arial" w:hAnsi="Arial"/>
          <w:sz w:val="13"/>
          <w:szCs w:val="13"/>
          <w:color w:val="105EAB"/>
        </w:rPr>
      </w:pPr>
      <w:r>
        <w:rPr>
          <w:rFonts w:ascii="Arial" w:cs="Arial" w:eastAsia="Arial" w:hAnsi="Arial"/>
          <w:sz w:val="18"/>
          <w:szCs w:val="18"/>
          <w:color w:val="auto"/>
        </w:rPr>
        <w:t>Total Premiums</w:t>
      </w:r>
      <w:r>
        <w:rPr>
          <w:rFonts w:ascii="Arial" w:cs="Arial" w:eastAsia="Arial" w:hAnsi="Arial"/>
          <w:sz w:val="29"/>
          <w:szCs w:val="29"/>
          <w:color w:val="auto"/>
          <w:vertAlign w:val="superscript"/>
        </w:rPr>
        <w:t>(2)</w:t>
      </w:r>
    </w:p>
    <w:p>
      <w:pPr>
        <w:spacing w:after="0" w:line="41" w:lineRule="exact"/>
        <w:rPr>
          <w:rFonts w:ascii="Arial" w:cs="Arial" w:eastAsia="Arial" w:hAnsi="Arial"/>
          <w:sz w:val="13"/>
          <w:szCs w:val="13"/>
          <w:color w:val="105EAB"/>
        </w:rPr>
      </w:pPr>
    </w:p>
    <w:p>
      <w:pPr>
        <w:ind w:left="280" w:hanging="272"/>
        <w:spacing w:after="0"/>
        <w:tabs>
          <w:tab w:leader="none" w:pos="280" w:val="left"/>
        </w:tabs>
        <w:numPr>
          <w:ilvl w:val="0"/>
          <w:numId w:val="146"/>
        </w:numPr>
        <w:rPr>
          <w:rFonts w:ascii="Arial" w:cs="Arial" w:eastAsia="Arial" w:hAnsi="Arial"/>
          <w:sz w:val="13"/>
          <w:szCs w:val="13"/>
          <w:color w:val="105EAB"/>
        </w:rPr>
      </w:pPr>
      <w:r>
        <w:rPr>
          <w:rFonts w:ascii="Arial" w:cs="Arial" w:eastAsia="Arial" w:hAnsi="Arial"/>
          <w:sz w:val="17"/>
          <w:szCs w:val="17"/>
          <w:color w:val="auto"/>
        </w:rPr>
        <w:t>Performance Net Income</w:t>
      </w:r>
      <w:r>
        <w:rPr>
          <w:rFonts w:ascii="Arial" w:cs="Arial" w:eastAsia="Arial" w:hAnsi="Arial"/>
          <w:sz w:val="28"/>
          <w:szCs w:val="28"/>
          <w:color w:val="auto"/>
          <w:vertAlign w:val="superscript"/>
        </w:rPr>
        <w:t>(2)</w:t>
      </w:r>
    </w:p>
    <w:p>
      <w:pPr>
        <w:spacing w:after="0" w:line="28" w:lineRule="exact"/>
        <w:rPr>
          <w:rFonts w:ascii="Arial" w:cs="Arial" w:eastAsia="Arial" w:hAnsi="Arial"/>
          <w:sz w:val="13"/>
          <w:szCs w:val="13"/>
          <w:color w:val="105EAB"/>
        </w:rPr>
      </w:pPr>
    </w:p>
    <w:p>
      <w:pPr>
        <w:ind w:left="280" w:hanging="272"/>
        <w:spacing w:after="0" w:line="206" w:lineRule="auto"/>
        <w:tabs>
          <w:tab w:leader="none" w:pos="280" w:val="left"/>
        </w:tabs>
        <w:numPr>
          <w:ilvl w:val="0"/>
          <w:numId w:val="146"/>
        </w:numPr>
        <w:rPr>
          <w:rFonts w:ascii="Arial" w:cs="Arial" w:eastAsia="Arial" w:hAnsi="Arial"/>
          <w:sz w:val="13"/>
          <w:szCs w:val="13"/>
          <w:color w:val="105EAB"/>
        </w:rPr>
      </w:pPr>
      <w:r>
        <w:rPr>
          <w:rFonts w:ascii="Arial" w:cs="Arial" w:eastAsia="Arial" w:hAnsi="Arial"/>
          <w:sz w:val="18"/>
          <w:szCs w:val="18"/>
          <w:color w:val="auto"/>
        </w:rPr>
        <w:t>Net Investment Income</w:t>
      </w:r>
      <w:r>
        <w:rPr>
          <w:rFonts w:ascii="Arial" w:cs="Arial" w:eastAsia="Arial" w:hAnsi="Arial"/>
          <w:sz w:val="29"/>
          <w:szCs w:val="29"/>
          <w:color w:val="auto"/>
          <w:vertAlign w:val="superscript"/>
        </w:rPr>
        <w:t>(2)</w:t>
      </w:r>
    </w:p>
    <w:p>
      <w:pPr>
        <w:spacing w:after="0" w:line="1"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Pool is then allocated based on individual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-3249295</wp:posOffset>
            </wp:positionH>
            <wp:positionV relativeFrom="paragraph">
              <wp:posOffset>61595</wp:posOffset>
            </wp:positionV>
            <wp:extent cx="684403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440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Individual awards are based on job scope, market data, pool funding, and individual performance.</w:t>
      </w:r>
    </w:p>
    <w:p>
      <w:pPr>
        <w:spacing w:after="0" w:line="1800" w:lineRule="exact"/>
        <w:rPr>
          <w:sz w:val="20"/>
          <w:szCs w:val="20"/>
          <w:color w:val="auto"/>
        </w:rPr>
      </w:pPr>
    </w:p>
    <w:p>
      <w:pPr>
        <w:sectPr>
          <w:pgSz w:w="11900" w:h="16838" w:orient="portrait"/>
          <w:cols w:equalWidth="0" w:num="3">
            <w:col w:w="5420" w:space="340"/>
            <w:col w:w="2460" w:space="480"/>
            <w:col w:w="2740"/>
          </w:cols>
          <w:pgMar w:left="240" w:top="121" w:right="219" w:bottom="1440" w:gutter="0" w:footer="0" w:header="0"/>
          <w:type w:val="continuous"/>
        </w:sectPr>
      </w:pPr>
    </w:p>
    <w:p>
      <w:pPr>
        <w:ind w:left="720"/>
        <w:spacing w:after="0"/>
        <w:tabs>
          <w:tab w:leader="none" w:pos="2840" w:val="left"/>
        </w:tabs>
        <w:rPr>
          <w:sz w:val="20"/>
          <w:szCs w:val="20"/>
          <w:color w:val="auto"/>
        </w:rPr>
      </w:pPr>
      <w:r>
        <w:rPr>
          <w:rFonts w:ascii="Arial" w:cs="Arial" w:eastAsia="Arial" w:hAnsi="Arial"/>
          <w:sz w:val="18"/>
          <w:szCs w:val="18"/>
          <w:b w:val="1"/>
          <w:bCs w:val="1"/>
          <w:color w:val="39B6E9"/>
        </w:rPr>
        <w:t>Performance Stock</w:t>
      </w:r>
      <w:r>
        <w:rPr>
          <w:sz w:val="20"/>
          <w:szCs w:val="20"/>
          <w:color w:val="auto"/>
        </w:rPr>
        <w:tab/>
      </w:r>
      <w:r>
        <w:rPr>
          <w:rFonts w:ascii="Arial" w:cs="Arial" w:eastAsia="Arial" w:hAnsi="Arial"/>
          <w:sz w:val="16"/>
          <w:szCs w:val="16"/>
          <w:color w:val="auto"/>
        </w:rPr>
        <w:t>Motivate and reward executives</w:t>
      </w:r>
    </w:p>
    <w:p>
      <w:pPr>
        <w:spacing w:after="0" w:line="17" w:lineRule="exact"/>
        <w:rPr>
          <w:sz w:val="20"/>
          <w:szCs w:val="20"/>
          <w:color w:val="auto"/>
        </w:rPr>
      </w:pPr>
    </w:p>
    <w:p>
      <w:pPr>
        <w:ind w:left="2860" w:hanging="2139"/>
        <w:spacing w:after="0" w:line="239" w:lineRule="auto"/>
        <w:tabs>
          <w:tab w:leader="none" w:pos="2840" w:val="left"/>
        </w:tabs>
        <w:rPr>
          <w:sz w:val="20"/>
          <w:szCs w:val="20"/>
          <w:color w:val="auto"/>
        </w:rPr>
      </w:pPr>
      <w:r>
        <w:rPr>
          <w:rFonts w:ascii="Arial" w:cs="Arial" w:eastAsia="Arial" w:hAnsi="Arial"/>
          <w:sz w:val="18"/>
          <w:szCs w:val="18"/>
          <w:b w:val="1"/>
          <w:bCs w:val="1"/>
          <w:color w:val="39B6E9"/>
        </w:rPr>
        <w:t>Awards; Equity</w:t>
      </w:r>
      <w:r>
        <w:rPr>
          <w:sz w:val="20"/>
          <w:szCs w:val="20"/>
          <w:color w:val="auto"/>
        </w:rPr>
        <w:tab/>
      </w:r>
      <w:r>
        <w:rPr>
          <w:rFonts w:ascii="Arial" w:cs="Arial" w:eastAsia="Arial" w:hAnsi="Arial"/>
          <w:sz w:val="18"/>
          <w:szCs w:val="18"/>
          <w:color w:val="auto"/>
        </w:rPr>
        <w:t>for performance on key long-term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111125" cy="49657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clrChange>
                        <a:clrFrom>
                          <a:srgbClr val="000000"/>
                        </a:clrFrom>
                        <a:clrTo>
                          <a:srgbClr val="000000">
                            <a:alpha val="0"/>
                          </a:srgbClr>
                        </a:clrTo>
                      </a:clrChange>
                      <a:extLst>
                        <a:ext uri="{28A0092B-C50C-407E-A947-70E740481C1C}"/>
                      </a:extLst>
                    </a:blip>
                    <a:srcRect/>
                    <a:stretch>
                      <a:fillRect/>
                    </a:stretch>
                  </pic:blipFill>
                  <pic:spPr bwMode="auto">
                    <a:xfrm>
                      <a:off x="0" y="0"/>
                      <a:ext cx="111125" cy="4965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-92075</wp:posOffset>
            </wp:positionV>
            <wp:extent cx="111125" cy="49657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clrChange>
                        <a:clrFrom>
                          <a:srgbClr val="FFFFFF"/>
                        </a:clrFrom>
                        <a:clrTo>
                          <a:srgbClr val="FFFFFF">
                            <a:alpha val="0"/>
                          </a:srgbClr>
                        </a:clrTo>
                      </a:clrChange>
                      <a:extLst>
                        <a:ext uri="{28A0092B-C50C-407E-A947-70E740481C1C}"/>
                      </a:extLst>
                    </a:blip>
                    <a:srcRect/>
                    <a:stretch>
                      <a:fillRect/>
                    </a:stretch>
                  </pic:blipFill>
                  <pic:spPr bwMode="auto">
                    <a:xfrm>
                      <a:off x="0" y="0"/>
                      <a:ext cx="111125" cy="496570"/>
                    </a:xfrm>
                    <a:prstGeom prst="rect">
                      <a:avLst/>
                    </a:prstGeom>
                    <a:noFill/>
                  </pic:spPr>
                </pic:pic>
              </a:graphicData>
            </a:graphic>
          </wp:anchor>
        </w:drawing>
        <w:drawing>
          <wp:anchor simplePos="0" relativeHeight="251657728" behindDoc="1" locked="0" layoutInCell="0" allowOverlap="1">
            <wp:simplePos x="0" y="0"/>
            <wp:positionH relativeFrom="column">
              <wp:posOffset>450215</wp:posOffset>
            </wp:positionH>
            <wp:positionV relativeFrom="paragraph">
              <wp:posOffset>-66040</wp:posOffset>
            </wp:positionV>
            <wp:extent cx="385445" cy="3771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clrChange>
                        <a:clrFrom>
                          <a:srgbClr val="000000"/>
                        </a:clrFrom>
                        <a:clrTo>
                          <a:srgbClr val="000000">
                            <a:alpha val="0"/>
                          </a:srgbClr>
                        </a:clrTo>
                      </a:clrChange>
                      <a:extLst>
                        <a:ext uri="{28A0092B-C50C-407E-A947-70E740481C1C}"/>
                      </a:extLst>
                    </a:blip>
                    <a:srcRect/>
                    <a:stretch>
                      <a:fillRect/>
                    </a:stretch>
                  </pic:blipFill>
                  <pic:spPr bwMode="auto">
                    <a:xfrm>
                      <a:off x="0" y="0"/>
                      <a:ext cx="385445" cy="377190"/>
                    </a:xfrm>
                    <a:prstGeom prst="rect">
                      <a:avLst/>
                    </a:prstGeom>
                    <a:noFill/>
                  </pic:spPr>
                </pic:pic>
              </a:graphicData>
            </a:graphic>
          </wp:anchor>
        </w:drawing>
        <w:drawing>
          <wp:anchor simplePos="0" relativeHeight="251657728" behindDoc="1" locked="0" layoutInCell="0" allowOverlap="1">
            <wp:simplePos x="0" y="0"/>
            <wp:positionH relativeFrom="column">
              <wp:posOffset>450215</wp:posOffset>
            </wp:positionH>
            <wp:positionV relativeFrom="paragraph">
              <wp:posOffset>-66040</wp:posOffset>
            </wp:positionV>
            <wp:extent cx="385445" cy="3771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clrChange>
                        <a:clrFrom>
                          <a:srgbClr val="FFFFFF"/>
                        </a:clrFrom>
                        <a:clrTo>
                          <a:srgbClr val="FFFFFF">
                            <a:alpha val="0"/>
                          </a:srgbClr>
                        </a:clrTo>
                      </a:clrChange>
                      <a:extLst>
                        <a:ext uri="{28A0092B-C50C-407E-A947-70E740481C1C}"/>
                      </a:extLst>
                    </a:blip>
                    <a:srcRect/>
                    <a:stretch>
                      <a:fillRect/>
                    </a:stretch>
                  </pic:blipFill>
                  <pic:spPr bwMode="auto">
                    <a:xfrm>
                      <a:off x="0" y="0"/>
                      <a:ext cx="385445" cy="377190"/>
                    </a:xfrm>
                    <a:prstGeom prst="rect">
                      <a:avLst/>
                    </a:prstGeom>
                    <a:noFill/>
                  </pic:spPr>
                </pic:pic>
              </a:graphicData>
            </a:graphic>
          </wp:anchor>
        </w:drawing>
      </w:r>
    </w:p>
    <w:p>
      <w:pPr>
        <w:spacing w:after="0" w:line="188" w:lineRule="exact"/>
        <w:rPr>
          <w:sz w:val="20"/>
          <w:szCs w:val="20"/>
          <w:color w:val="auto"/>
        </w:rPr>
      </w:pPr>
    </w:p>
    <w:p>
      <w:pPr>
        <w:ind w:left="2860" w:right="20"/>
        <w:spacing w:after="0" w:line="298" w:lineRule="auto"/>
        <w:rPr>
          <w:sz w:val="20"/>
          <w:szCs w:val="20"/>
          <w:color w:val="auto"/>
        </w:rPr>
      </w:pPr>
      <w:r>
        <w:rPr>
          <w:rFonts w:ascii="Arial" w:cs="Arial" w:eastAsia="Arial" w:hAnsi="Arial"/>
          <w:sz w:val="16"/>
          <w:szCs w:val="16"/>
          <w:color w:val="auto"/>
        </w:rPr>
        <w:t>Align the interests of executives with long-term stockholder value.</w:t>
      </w:r>
    </w:p>
    <w:p>
      <w:pPr>
        <w:spacing w:after="0" w:line="164"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Retain executive talent.</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PSAs vest on the day before the third anniversary of the grant date.</w:t>
      </w:r>
    </w:p>
    <w:p>
      <w:pPr>
        <w:spacing w:after="0" w:line="210" w:lineRule="exact"/>
        <w:rPr>
          <w:sz w:val="20"/>
          <w:szCs w:val="20"/>
          <w:color w:val="auto"/>
        </w:rPr>
      </w:pPr>
    </w:p>
    <w:p>
      <w:pPr>
        <w:ind w:right="40"/>
        <w:spacing w:after="0" w:line="224" w:lineRule="auto"/>
        <w:rPr>
          <w:sz w:val="20"/>
          <w:szCs w:val="20"/>
          <w:color w:val="auto"/>
        </w:rPr>
      </w:pPr>
      <w:r>
        <w:rPr>
          <w:rFonts w:ascii="Arial" w:cs="Arial" w:eastAsia="Arial" w:hAnsi="Arial"/>
          <w:sz w:val="17"/>
          <w:szCs w:val="17"/>
          <w:color w:val="auto"/>
        </w:rPr>
        <w:t>Actual amounts of PSAs vesting based on performance on three-year Performance Net Income Return on Equity</w:t>
      </w:r>
      <w:r>
        <w:rPr>
          <w:rFonts w:ascii="Arial" w:cs="Arial" w:eastAsia="Arial" w:hAnsi="Arial"/>
          <w:sz w:val="28"/>
          <w:szCs w:val="28"/>
          <w:color w:val="auto"/>
          <w:vertAlign w:val="superscript"/>
        </w:rPr>
        <w:t>(2)</w:t>
      </w:r>
      <w:r>
        <w:rPr>
          <w:rFonts w:ascii="Arial" w:cs="Arial" w:eastAsia="Arial" w:hAnsi="Arial"/>
          <w:sz w:val="17"/>
          <w:szCs w:val="17"/>
          <w:color w:val="auto"/>
        </w:rPr>
        <w:t xml:space="preserve"> and Earned</w:t>
      </w:r>
    </w:p>
    <w:p>
      <w:pPr>
        <w:spacing w:after="0" w:line="2" w:lineRule="exact"/>
        <w:rPr>
          <w:sz w:val="20"/>
          <w:szCs w:val="20"/>
          <w:color w:val="auto"/>
        </w:rPr>
      </w:pPr>
    </w:p>
    <w:p>
      <w:pPr>
        <w:spacing w:after="0" w:line="220" w:lineRule="auto"/>
        <w:rPr>
          <w:sz w:val="20"/>
          <w:szCs w:val="20"/>
          <w:color w:val="auto"/>
        </w:rPr>
      </w:pPr>
      <w:r>
        <w:rPr>
          <w:rFonts w:ascii="Arial" w:cs="Arial" w:eastAsia="Arial" w:hAnsi="Arial"/>
          <w:sz w:val="17"/>
          <w:szCs w:val="17"/>
          <w:color w:val="auto"/>
        </w:rPr>
        <w:t>Book Value</w:t>
      </w:r>
      <w:r>
        <w:rPr>
          <w:rFonts w:ascii="Arial" w:cs="Arial" w:eastAsia="Arial" w:hAnsi="Arial"/>
          <w:sz w:val="28"/>
          <w:szCs w:val="28"/>
          <w:color w:val="auto"/>
          <w:vertAlign w:val="superscript"/>
        </w:rPr>
        <w:t>(2)</w:t>
      </w:r>
      <w:r>
        <w:rPr>
          <w:rFonts w:ascii="Arial" w:cs="Arial" w:eastAsia="Arial" w:hAnsi="Arial"/>
          <w:sz w:val="17"/>
          <w:szCs w:val="17"/>
          <w:color w:val="auto"/>
        </w:rPr>
        <w:t xml:space="preserve"> with a requirement of positive Net Income for any payout above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-3249295</wp:posOffset>
            </wp:positionH>
            <wp:positionV relativeFrom="paragraph">
              <wp:posOffset>62865</wp:posOffset>
            </wp:positionV>
            <wp:extent cx="684403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440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540"/>
        <w:spacing w:after="0" w:line="237" w:lineRule="auto"/>
        <w:rPr>
          <w:sz w:val="20"/>
          <w:szCs w:val="20"/>
          <w:color w:val="auto"/>
        </w:rPr>
      </w:pPr>
      <w:r>
        <w:rPr>
          <w:rFonts w:ascii="Arial" w:cs="Arial" w:eastAsia="Arial" w:hAnsi="Arial"/>
          <w:sz w:val="18"/>
          <w:szCs w:val="18"/>
          <w:color w:val="auto"/>
        </w:rPr>
        <w:t>Awards based on job scope, market data, and individual performance.</w:t>
      </w:r>
    </w:p>
    <w:p>
      <w:pPr>
        <w:spacing w:after="0" w:line="1912" w:lineRule="exact"/>
        <w:rPr>
          <w:sz w:val="20"/>
          <w:szCs w:val="20"/>
          <w:color w:val="auto"/>
        </w:rPr>
      </w:pPr>
    </w:p>
    <w:p>
      <w:pPr>
        <w:sectPr>
          <w:pgSz w:w="11900" w:h="16838" w:orient="portrait"/>
          <w:cols w:equalWidth="0" w:num="3">
            <w:col w:w="5440" w:space="320"/>
            <w:col w:w="2560" w:space="380"/>
            <w:col w:w="2740"/>
          </w:cols>
          <w:pgMar w:left="240" w:top="121" w:right="219" w:bottom="1440" w:gutter="0" w:footer="0" w:header="0"/>
          <w:type w:val="continuous"/>
        </w:sectPr>
      </w:pPr>
    </w:p>
    <w:p>
      <w:pPr>
        <w:spacing w:after="0" w:line="2" w:lineRule="exact"/>
        <w:rPr>
          <w:sz w:val="20"/>
          <w:szCs w:val="20"/>
          <w:color w:val="auto"/>
        </w:rPr>
      </w:pPr>
    </w:p>
    <w:tbl>
      <w:tblPr>
        <w:tblLayout w:type="fixed"/>
        <w:tblInd w:w="720" w:type="dxa"/>
        <w:tblCellMar>
          <w:top w:w="0" w:type="dxa"/>
          <w:left w:w="0" w:type="dxa"/>
          <w:bottom w:w="0" w:type="dxa"/>
          <w:right w:w="0" w:type="dxa"/>
        </w:tblCellMar>
      </w:tblPr>
      <w:tr>
        <w:trPr>
          <w:trHeight w:val="224"/>
        </w:trPr>
        <w:tc>
          <w:tcPr>
            <w:tcW w:w="1980" w:type="dxa"/>
            <w:vAlign w:val="bottom"/>
          </w:tcPr>
          <w:p>
            <w:pPr>
              <w:spacing w:after="0"/>
              <w:rPr>
                <w:sz w:val="20"/>
                <w:szCs w:val="20"/>
                <w:color w:val="auto"/>
              </w:rPr>
            </w:pPr>
            <w:r>
              <w:rPr>
                <w:rFonts w:ascii="Arial" w:cs="Arial" w:eastAsia="Arial" w:hAnsi="Arial"/>
                <w:sz w:val="18"/>
                <w:szCs w:val="18"/>
                <w:b w:val="1"/>
                <w:bCs w:val="1"/>
                <w:color w:val="39B6E9"/>
              </w:rPr>
              <w:t>Stock Options; Equity</w:t>
            </w:r>
          </w:p>
        </w:tc>
        <w:tc>
          <w:tcPr>
            <w:tcW w:w="2900" w:type="dxa"/>
            <w:vAlign w:val="bottom"/>
          </w:tcPr>
          <w:p>
            <w:pPr>
              <w:ind w:left="160"/>
              <w:spacing w:after="0"/>
              <w:rPr>
                <w:sz w:val="20"/>
                <w:szCs w:val="20"/>
                <w:color w:val="auto"/>
              </w:rPr>
            </w:pPr>
            <w:r>
              <w:rPr>
                <w:rFonts w:ascii="Arial" w:cs="Arial" w:eastAsia="Arial" w:hAnsi="Arial"/>
                <w:sz w:val="18"/>
                <w:szCs w:val="18"/>
                <w:color w:val="auto"/>
              </w:rPr>
              <w:t>Align the interests of executives</w:t>
            </w:r>
          </w:p>
        </w:tc>
        <w:tc>
          <w:tcPr>
            <w:tcW w:w="2820" w:type="dxa"/>
            <w:vAlign w:val="bottom"/>
          </w:tcPr>
          <w:p>
            <w:pPr>
              <w:ind w:left="160"/>
              <w:spacing w:after="0"/>
              <w:rPr>
                <w:sz w:val="20"/>
                <w:szCs w:val="20"/>
                <w:color w:val="auto"/>
              </w:rPr>
            </w:pPr>
            <w:r>
              <w:rPr>
                <w:rFonts w:ascii="Arial" w:cs="Arial" w:eastAsia="Arial" w:hAnsi="Arial"/>
                <w:sz w:val="18"/>
                <w:szCs w:val="18"/>
                <w:color w:val="auto"/>
              </w:rPr>
              <w:t>Non-qualified stock options to</w:t>
            </w:r>
          </w:p>
        </w:tc>
      </w:tr>
      <w:tr>
        <w:trPr>
          <w:trHeight w:val="202"/>
        </w:trPr>
        <w:tc>
          <w:tcPr>
            <w:tcW w:w="1980" w:type="dxa"/>
            <w:vAlign w:val="bottom"/>
          </w:tcPr>
          <w:p>
            <w:pPr>
              <w:spacing w:after="0"/>
              <w:rPr>
                <w:sz w:val="17"/>
                <w:szCs w:val="17"/>
                <w:color w:val="auto"/>
              </w:rPr>
            </w:pPr>
          </w:p>
        </w:tc>
        <w:tc>
          <w:tcPr>
            <w:tcW w:w="2900" w:type="dxa"/>
            <w:vAlign w:val="bottom"/>
          </w:tcPr>
          <w:p>
            <w:pPr>
              <w:ind w:left="160"/>
              <w:spacing w:after="0" w:line="202" w:lineRule="exact"/>
              <w:rPr>
                <w:sz w:val="20"/>
                <w:szCs w:val="20"/>
                <w:color w:val="auto"/>
              </w:rPr>
            </w:pPr>
            <w:r>
              <w:rPr>
                <w:rFonts w:ascii="Arial" w:cs="Arial" w:eastAsia="Arial" w:hAnsi="Arial"/>
                <w:sz w:val="18"/>
                <w:szCs w:val="18"/>
                <w:color w:val="auto"/>
              </w:rPr>
              <w:t>with long-term stockholder value.</w:t>
            </w:r>
          </w:p>
        </w:tc>
        <w:tc>
          <w:tcPr>
            <w:tcW w:w="2820" w:type="dxa"/>
            <w:vAlign w:val="bottom"/>
          </w:tcPr>
          <w:p>
            <w:pPr>
              <w:ind w:left="160"/>
              <w:spacing w:after="0" w:line="202" w:lineRule="exact"/>
              <w:rPr>
                <w:sz w:val="20"/>
                <w:szCs w:val="20"/>
                <w:color w:val="auto"/>
              </w:rPr>
            </w:pPr>
            <w:r>
              <w:rPr>
                <w:rFonts w:ascii="Arial" w:cs="Arial" w:eastAsia="Arial" w:hAnsi="Arial"/>
                <w:sz w:val="18"/>
                <w:szCs w:val="18"/>
                <w:color w:val="auto"/>
              </w:rPr>
              <w:t>purchase shares at the market</w:t>
            </w:r>
          </w:p>
        </w:tc>
      </w:tr>
      <w:tr>
        <w:trPr>
          <w:trHeight w:val="202"/>
        </w:trPr>
        <w:tc>
          <w:tcPr>
            <w:tcW w:w="198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2820" w:type="dxa"/>
            <w:vAlign w:val="bottom"/>
          </w:tcPr>
          <w:p>
            <w:pPr>
              <w:ind w:left="160"/>
              <w:spacing w:after="0" w:line="202" w:lineRule="exact"/>
              <w:rPr>
                <w:sz w:val="20"/>
                <w:szCs w:val="20"/>
                <w:color w:val="auto"/>
              </w:rPr>
            </w:pPr>
            <w:r>
              <w:rPr>
                <w:rFonts w:ascii="Arial" w:cs="Arial" w:eastAsia="Arial" w:hAnsi="Arial"/>
                <w:sz w:val="18"/>
                <w:szCs w:val="18"/>
                <w:color w:val="auto"/>
                <w:w w:val="99"/>
              </w:rPr>
              <w:t>price when awarded. Vest ratably</w:t>
            </w:r>
          </w:p>
        </w:tc>
      </w:tr>
      <w:tr>
        <w:trPr>
          <w:trHeight w:val="224"/>
        </w:trPr>
        <w:tc>
          <w:tcPr>
            <w:tcW w:w="1980" w:type="dxa"/>
            <w:vAlign w:val="bottom"/>
          </w:tcPr>
          <w:p>
            <w:pPr>
              <w:spacing w:after="0"/>
              <w:rPr>
                <w:sz w:val="19"/>
                <w:szCs w:val="19"/>
                <w:color w:val="auto"/>
              </w:rPr>
            </w:pPr>
          </w:p>
        </w:tc>
        <w:tc>
          <w:tcPr>
            <w:tcW w:w="2900" w:type="dxa"/>
            <w:vAlign w:val="bottom"/>
          </w:tcPr>
          <w:p>
            <w:pPr>
              <w:ind w:left="160"/>
              <w:spacing w:after="0"/>
              <w:rPr>
                <w:sz w:val="20"/>
                <w:szCs w:val="20"/>
                <w:color w:val="auto"/>
              </w:rPr>
            </w:pPr>
            <w:r>
              <w:rPr>
                <w:rFonts w:ascii="Arial" w:cs="Arial" w:eastAsia="Arial" w:hAnsi="Arial"/>
                <w:sz w:val="18"/>
                <w:szCs w:val="18"/>
                <w:color w:val="auto"/>
              </w:rPr>
              <w:t>Retain executive talent.</w:t>
            </w:r>
          </w:p>
        </w:tc>
        <w:tc>
          <w:tcPr>
            <w:tcW w:w="2820" w:type="dxa"/>
            <w:vAlign w:val="bottom"/>
          </w:tcPr>
          <w:p>
            <w:pPr>
              <w:ind w:left="160"/>
              <w:spacing w:after="0"/>
              <w:rPr>
                <w:sz w:val="20"/>
                <w:szCs w:val="20"/>
                <w:color w:val="auto"/>
              </w:rPr>
            </w:pPr>
            <w:r>
              <w:rPr>
                <w:rFonts w:ascii="Arial" w:cs="Arial" w:eastAsia="Arial" w:hAnsi="Arial"/>
                <w:sz w:val="18"/>
                <w:szCs w:val="18"/>
                <w:color w:val="auto"/>
              </w:rPr>
              <w:t>over three years.</w:t>
            </w:r>
          </w:p>
        </w:tc>
      </w:tr>
      <w:tr>
        <w:trPr>
          <w:trHeight w:val="396"/>
        </w:trPr>
        <w:tc>
          <w:tcPr>
            <w:tcW w:w="19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820" w:type="dxa"/>
            <w:vAlign w:val="bottom"/>
          </w:tcPr>
          <w:p>
            <w:pPr>
              <w:ind w:left="160"/>
              <w:spacing w:after="0"/>
              <w:rPr>
                <w:sz w:val="20"/>
                <w:szCs w:val="20"/>
                <w:color w:val="auto"/>
              </w:rPr>
            </w:pPr>
            <w:r>
              <w:rPr>
                <w:rFonts w:ascii="Arial" w:cs="Arial" w:eastAsia="Arial" w:hAnsi="Arial"/>
                <w:sz w:val="18"/>
                <w:szCs w:val="18"/>
                <w:color w:val="auto"/>
                <w:w w:val="96"/>
              </w:rPr>
              <w:t>Expire in ten years or, in the event</w:t>
            </w:r>
          </w:p>
        </w:tc>
      </w:tr>
      <w:tr>
        <w:trPr>
          <w:trHeight w:val="202"/>
        </w:trPr>
        <w:tc>
          <w:tcPr>
            <w:tcW w:w="198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2820" w:type="dxa"/>
            <w:vAlign w:val="bottom"/>
          </w:tcPr>
          <w:p>
            <w:pPr>
              <w:ind w:left="160"/>
              <w:spacing w:after="0" w:line="202" w:lineRule="exact"/>
              <w:rPr>
                <w:sz w:val="20"/>
                <w:szCs w:val="20"/>
                <w:color w:val="auto"/>
              </w:rPr>
            </w:pPr>
            <w:r>
              <w:rPr>
                <w:rFonts w:ascii="Arial" w:cs="Arial" w:eastAsia="Arial" w:hAnsi="Arial"/>
                <w:sz w:val="18"/>
                <w:szCs w:val="18"/>
                <w:color w:val="auto"/>
              </w:rPr>
              <w:t>of retirement, the earlier of five</w:t>
            </w:r>
          </w:p>
        </w:tc>
      </w:tr>
      <w:tr>
        <w:trPr>
          <w:trHeight w:val="211"/>
        </w:trPr>
        <w:tc>
          <w:tcPr>
            <w:tcW w:w="19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820" w:type="dxa"/>
            <w:vAlign w:val="bottom"/>
          </w:tcPr>
          <w:p>
            <w:pPr>
              <w:ind w:left="160"/>
              <w:spacing w:after="0"/>
              <w:rPr>
                <w:sz w:val="20"/>
                <w:szCs w:val="20"/>
                <w:color w:val="auto"/>
              </w:rPr>
            </w:pPr>
            <w:r>
              <w:rPr>
                <w:rFonts w:ascii="Arial" w:cs="Arial" w:eastAsia="Arial" w:hAnsi="Arial"/>
                <w:sz w:val="18"/>
                <w:szCs w:val="18"/>
                <w:color w:val="auto"/>
              </w:rPr>
              <w:t>years or normal expiration.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60960</wp:posOffset>
            </wp:positionV>
            <wp:extent cx="684403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4403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540"/>
        <w:spacing w:after="0" w:line="237" w:lineRule="auto"/>
        <w:rPr>
          <w:sz w:val="20"/>
          <w:szCs w:val="20"/>
          <w:color w:val="auto"/>
        </w:rPr>
      </w:pPr>
      <w:r>
        <w:rPr>
          <w:rFonts w:ascii="Arial" w:cs="Arial" w:eastAsia="Arial" w:hAnsi="Arial"/>
          <w:sz w:val="18"/>
          <w:szCs w:val="18"/>
          <w:color w:val="auto"/>
        </w:rPr>
        <w:t>Awards based on job scope, market data, and individual performance.</w:t>
      </w:r>
    </w:p>
    <w:p>
      <w:pPr>
        <w:spacing w:after="0" w:line="1227" w:lineRule="exact"/>
        <w:rPr>
          <w:sz w:val="20"/>
          <w:szCs w:val="20"/>
          <w:color w:val="auto"/>
        </w:rPr>
      </w:pPr>
    </w:p>
    <w:p>
      <w:pPr>
        <w:sectPr>
          <w:pgSz w:w="11900" w:h="16838" w:orient="portrait"/>
          <w:cols w:equalWidth="0" w:num="2">
            <w:col w:w="8420" w:space="280"/>
            <w:col w:w="2740"/>
          </w:cols>
          <w:pgMar w:left="240" w:top="121" w:right="219" w:bottom="1440" w:gutter="0" w:footer="0" w:header="0"/>
          <w:type w:val="continuous"/>
        </w:sectPr>
      </w:pPr>
    </w:p>
    <w:p>
      <w:pPr>
        <w:spacing w:after="0" w:line="31" w:lineRule="exact"/>
        <w:rPr>
          <w:sz w:val="20"/>
          <w:szCs w:val="20"/>
          <w:color w:val="auto"/>
        </w:rPr>
      </w:pPr>
    </w:p>
    <w:p>
      <w:pPr>
        <w:ind w:left="300" w:hanging="292"/>
        <w:spacing w:after="0"/>
        <w:tabs>
          <w:tab w:leader="none" w:pos="300" w:val="left"/>
        </w:tabs>
        <w:numPr>
          <w:ilvl w:val="0"/>
          <w:numId w:val="147"/>
        </w:numPr>
        <w:rPr>
          <w:rFonts w:ascii="Arial" w:cs="Arial" w:eastAsia="Arial" w:hAnsi="Arial"/>
          <w:sz w:val="11"/>
          <w:szCs w:val="11"/>
          <w:color w:val="auto"/>
        </w:rPr>
      </w:pPr>
      <w:r>
        <w:rPr>
          <w:rFonts w:ascii="Arial" w:cs="Arial" w:eastAsia="Arial" w:hAnsi="Arial"/>
          <w:sz w:val="13"/>
          <w:szCs w:val="13"/>
          <w:color w:val="auto"/>
        </w:rPr>
        <w:t>Represents the average of the target direct compensation elements for all of the named executives in 2018.</w:t>
      </w:r>
    </w:p>
    <w:p>
      <w:pPr>
        <w:spacing w:after="0" w:line="12" w:lineRule="exact"/>
        <w:rPr>
          <w:rFonts w:ascii="Arial" w:cs="Arial" w:eastAsia="Arial" w:hAnsi="Arial"/>
          <w:sz w:val="11"/>
          <w:szCs w:val="11"/>
          <w:color w:val="auto"/>
        </w:rPr>
      </w:pPr>
    </w:p>
    <w:p>
      <w:pPr>
        <w:ind w:left="300" w:hanging="292"/>
        <w:spacing w:after="0"/>
        <w:tabs>
          <w:tab w:leader="none" w:pos="300" w:val="left"/>
        </w:tabs>
        <w:numPr>
          <w:ilvl w:val="0"/>
          <w:numId w:val="147"/>
        </w:numPr>
        <w:rPr>
          <w:rFonts w:ascii="Arial" w:cs="Arial" w:eastAsia="Arial" w:hAnsi="Arial"/>
          <w:sz w:val="11"/>
          <w:szCs w:val="11"/>
          <w:color w:val="auto"/>
        </w:rPr>
      </w:pPr>
      <w:r>
        <w:rPr>
          <w:rFonts w:ascii="Arial" w:cs="Arial" w:eastAsia="Arial" w:hAnsi="Arial"/>
          <w:sz w:val="13"/>
          <w:szCs w:val="13"/>
          <w:color w:val="auto"/>
        </w:rPr>
        <w:t>For a description of how these measures are determined, see pages 67-69.</w:t>
      </w:r>
    </w:p>
    <w:p>
      <w:pPr>
        <w:spacing w:after="0" w:line="12" w:lineRule="exact"/>
        <w:rPr>
          <w:rFonts w:ascii="Arial" w:cs="Arial" w:eastAsia="Arial" w:hAnsi="Arial"/>
          <w:sz w:val="11"/>
          <w:szCs w:val="11"/>
          <w:color w:val="auto"/>
        </w:rPr>
      </w:pPr>
    </w:p>
    <w:p>
      <w:pPr>
        <w:ind w:left="300" w:right="400" w:hanging="292"/>
        <w:spacing w:after="0" w:line="258" w:lineRule="auto"/>
        <w:tabs>
          <w:tab w:leader="none" w:pos="300" w:val="left"/>
        </w:tabs>
        <w:numPr>
          <w:ilvl w:val="0"/>
          <w:numId w:val="147"/>
        </w:numPr>
        <w:rPr>
          <w:rFonts w:ascii="Arial" w:cs="Arial" w:eastAsia="Arial" w:hAnsi="Arial"/>
          <w:sz w:val="11"/>
          <w:szCs w:val="11"/>
          <w:color w:val="auto"/>
        </w:rPr>
      </w:pPr>
      <w:r>
        <w:rPr>
          <w:rFonts w:ascii="Arial" w:cs="Arial" w:eastAsia="Arial" w:hAnsi="Arial"/>
          <w:sz w:val="13"/>
          <w:szCs w:val="13"/>
          <w:color w:val="auto"/>
        </w:rPr>
        <w:t>The committee may award cash and/or restricted stock units in connection with the hire of a new executive. Awards are typically to cover compensation amounts forfeited at the new executive’s prior employer.</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1120" w:type="dxa"/>
            <w:vAlign w:val="bottom"/>
          </w:tcPr>
          <w:p>
            <w:pPr>
              <w:ind w:left="9640"/>
              <w:spacing w:after="0"/>
              <w:rPr>
                <w:sz w:val="20"/>
                <w:szCs w:val="20"/>
                <w:color w:val="auto"/>
              </w:rPr>
            </w:pPr>
            <w:r>
              <w:rPr>
                <w:rFonts w:ascii="Arial" w:cs="Arial" w:eastAsia="Arial" w:hAnsi="Arial"/>
                <w:sz w:val="13"/>
                <w:szCs w:val="13"/>
                <w:color w:val="105EAB"/>
              </w:rPr>
              <w:t>2019 Proxy Statement</w:t>
            </w:r>
          </w:p>
        </w:tc>
        <w:tc>
          <w:tcPr>
            <w:tcW w:w="320" w:type="dxa"/>
            <w:vAlign w:val="bottom"/>
          </w:tcPr>
          <w:p>
            <w:pPr>
              <w:jc w:val="right"/>
              <w:spacing w:after="0"/>
              <w:rPr>
                <w:sz w:val="20"/>
                <w:szCs w:val="20"/>
                <w:color w:val="auto"/>
              </w:rPr>
            </w:pPr>
            <w:r>
              <w:rPr>
                <w:rFonts w:ascii="Arial" w:cs="Arial" w:eastAsia="Arial" w:hAnsi="Arial"/>
                <w:sz w:val="13"/>
                <w:szCs w:val="13"/>
                <w:b w:val="1"/>
                <w:bCs w:val="1"/>
                <w:color w:val="105EAB"/>
              </w:rPr>
              <w:t>39</w:t>
            </w:r>
          </w:p>
        </w:tc>
      </w:tr>
      <w:tr>
        <w:trPr>
          <w:trHeight w:val="213"/>
        </w:trPr>
        <w:tc>
          <w:tcPr>
            <w:tcW w:w="1112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-13970</wp:posOffset>
            </wp:positionV>
            <wp:extent cx="1270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type w:val="continuous"/>
        </w:sectPr>
      </w:pPr>
    </w:p>
    <w:bookmarkStart w:id="40" w:name="page41"/>
    <w:bookmarkEnd w:id="40"/>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b w:val="1"/>
          <w:bCs w:val="1"/>
          <w:color w:val="105EAB"/>
        </w:rPr>
        <w:t xml:space="preserve">Executive Compensation | </w:t>
      </w:r>
      <w:r>
        <w:rPr>
          <w:rFonts w:ascii="Arial" w:cs="Arial" w:eastAsia="Arial" w:hAnsi="Arial"/>
          <w:sz w:val="13"/>
          <w:szCs w:val="13"/>
          <w:b w:val="1"/>
          <w:bCs w:val="1"/>
          <w:color w:val="000000"/>
        </w:rPr>
        <w:t>Compensation Discussion and Analysis</w:t>
      </w:r>
    </w:p>
    <w:p>
      <w:pPr>
        <w:spacing w:after="0" w:line="201" w:lineRule="exact"/>
        <w:rPr>
          <w:sz w:val="20"/>
          <w:szCs w:val="20"/>
          <w:color w:val="auto"/>
        </w:rPr>
      </w:pPr>
    </w:p>
    <w:p>
      <w:pPr>
        <w:spacing w:after="0"/>
        <w:rPr>
          <w:sz w:val="20"/>
          <w:szCs w:val="20"/>
          <w:color w:val="auto"/>
        </w:rPr>
      </w:pPr>
      <w:r>
        <w:rPr>
          <w:rFonts w:ascii="Arial" w:cs="Arial" w:eastAsia="Arial" w:hAnsi="Arial"/>
          <w:sz w:val="25"/>
          <w:szCs w:val="25"/>
          <w:b w:val="1"/>
          <w:bCs w:val="1"/>
          <w:color w:val="105EAB"/>
        </w:rPr>
        <w:t>Compensation Decisions for 2018</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105EAB"/>
        </w:rPr>
        <w:t>THOMAS J. WILSON</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39B6E9"/>
        </w:rPr>
        <w:t>Chair,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497649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4976495" cy="8255"/>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b w:val="1"/>
          <w:bCs w:val="1"/>
          <w:color w:val="105EAB"/>
        </w:rPr>
        <w:t>Key Responsibilities</w:t>
      </w:r>
    </w:p>
    <w:p>
      <w:pPr>
        <w:spacing w:after="0" w:line="15" w:lineRule="exact"/>
        <w:rPr>
          <w:sz w:val="20"/>
          <w:szCs w:val="20"/>
          <w:color w:val="auto"/>
        </w:rPr>
      </w:pPr>
    </w:p>
    <w:p>
      <w:pPr>
        <w:spacing w:after="0" w:line="258" w:lineRule="auto"/>
        <w:rPr>
          <w:sz w:val="20"/>
          <w:szCs w:val="20"/>
          <w:color w:val="auto"/>
        </w:rPr>
      </w:pPr>
      <w:r>
        <w:rPr>
          <w:rFonts w:ascii="Arial" w:cs="Arial" w:eastAsia="Arial" w:hAnsi="Arial"/>
          <w:sz w:val="13"/>
          <w:szCs w:val="13"/>
          <w:color w:val="auto"/>
        </w:rPr>
        <w:t>Our Chair, President, and CEO is responsible for managing the Company’s strategic direction, operating results, organizational health, ethics and compliance, and corporate responsibility.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567055</wp:posOffset>
            </wp:positionV>
            <wp:extent cx="724662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3"/>
          <w:szCs w:val="13"/>
          <w:b w:val="1"/>
          <w:bCs w:val="1"/>
          <w:color w:val="105EAB"/>
        </w:rPr>
        <w:t>2018 COMPENSATION</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0</wp:posOffset>
            </wp:positionV>
            <wp:extent cx="1892935" cy="101917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892935" cy="1019175"/>
                    </a:xfrm>
                    <a:prstGeom prst="rect">
                      <a:avLst/>
                    </a:prstGeom>
                    <a:noFill/>
                  </pic:spPr>
                </pic:pic>
              </a:graphicData>
            </a:graphic>
          </wp:anchor>
        </w:drawing>
      </w:r>
    </w:p>
    <w:p>
      <w:pPr>
        <w:spacing w:after="0" w:line="1019" w:lineRule="exact"/>
        <w:rPr>
          <w:sz w:val="20"/>
          <w:szCs w:val="20"/>
          <w:color w:val="auto"/>
        </w:rPr>
      </w:pPr>
    </w:p>
    <w:p>
      <w:pPr>
        <w:sectPr>
          <w:pgSz w:w="11900" w:h="16838" w:orient="portrait"/>
          <w:cols w:equalWidth="0" w:num="2">
            <w:col w:w="7560" w:space="560"/>
            <w:col w:w="3240"/>
          </w:cols>
          <w:pgMar w:left="240" w:top="121"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3"/>
          <w:szCs w:val="13"/>
          <w:b w:val="1"/>
          <w:bCs w:val="1"/>
          <w:color w:val="105EAB"/>
        </w:rPr>
        <w:t>2018 Performance</w:t>
      </w:r>
    </w:p>
    <w:p>
      <w:pPr>
        <w:spacing w:after="0" w:line="15" w:lineRule="exact"/>
        <w:rPr>
          <w:sz w:val="20"/>
          <w:szCs w:val="20"/>
          <w:color w:val="auto"/>
        </w:rPr>
      </w:pPr>
    </w:p>
    <w:p>
      <w:pPr>
        <w:jc w:val="both"/>
        <w:ind w:right="20"/>
        <w:spacing w:after="0" w:line="251" w:lineRule="auto"/>
        <w:rPr>
          <w:sz w:val="20"/>
          <w:szCs w:val="20"/>
          <w:color w:val="auto"/>
        </w:rPr>
      </w:pPr>
      <w:r>
        <w:rPr>
          <w:rFonts w:ascii="Arial" w:cs="Arial" w:eastAsia="Arial" w:hAnsi="Arial"/>
          <w:sz w:val="13"/>
          <w:szCs w:val="13"/>
          <w:color w:val="auto"/>
        </w:rPr>
        <w:t>Mr. Wilson’s total compensation and the amount of each compensation element are driven by the design of our compensation program, his responsibilities, experience and performance, and peer company CEO compensation. The committee’s independent compensation consultant annually reviews Mr. Wilson’s compensation payments to advise the committee if any changes are warranted.</w:t>
      </w:r>
    </w:p>
    <w:p>
      <w:pPr>
        <w:spacing w:after="0" w:line="348" w:lineRule="exact"/>
        <w:rPr>
          <w:sz w:val="20"/>
          <w:szCs w:val="20"/>
          <w:color w:val="auto"/>
        </w:rPr>
      </w:pPr>
    </w:p>
    <w:p>
      <w:pPr>
        <w:ind w:right="180"/>
        <w:spacing w:after="0" w:line="258" w:lineRule="auto"/>
        <w:rPr>
          <w:sz w:val="20"/>
          <w:szCs w:val="20"/>
          <w:color w:val="auto"/>
        </w:rPr>
      </w:pPr>
      <w:r>
        <w:rPr>
          <w:rFonts w:ascii="Arial" w:cs="Arial" w:eastAsia="Arial" w:hAnsi="Arial"/>
          <w:sz w:val="13"/>
          <w:szCs w:val="13"/>
          <w:color w:val="auto"/>
        </w:rPr>
        <w:t>Mr. Wilson’s performance as Chair, President, and CEO is evaluated under five categories: operating results, developing and implementing long-term strategy, maintaining and motivating a high-performance team, corporate stewardship and Board effectiveness. Performance is assessed over one- and three-year time periods.</w:t>
      </w:r>
    </w:p>
    <w:p>
      <w:pPr>
        <w:spacing w:after="0" w:line="191" w:lineRule="exact"/>
        <w:rPr>
          <w:sz w:val="20"/>
          <w:szCs w:val="20"/>
          <w:color w:val="auto"/>
        </w:rPr>
      </w:pPr>
    </w:p>
    <w:p>
      <w:pPr>
        <w:ind w:left="280" w:hanging="272"/>
        <w:spacing w:after="0" w:line="248" w:lineRule="auto"/>
        <w:tabs>
          <w:tab w:leader="none" w:pos="280" w:val="left"/>
        </w:tabs>
        <w:numPr>
          <w:ilvl w:val="0"/>
          <w:numId w:val="148"/>
        </w:numPr>
        <w:rPr>
          <w:rFonts w:ascii="Arial" w:cs="Arial" w:eastAsia="Arial" w:hAnsi="Arial"/>
          <w:sz w:val="13"/>
          <w:szCs w:val="13"/>
          <w:color w:val="105EAB"/>
        </w:rPr>
      </w:pPr>
      <w:r>
        <w:rPr>
          <w:rFonts w:ascii="Arial" w:cs="Arial" w:eastAsia="Arial" w:hAnsi="Arial"/>
          <w:sz w:val="13"/>
          <w:szCs w:val="13"/>
          <w:color w:val="105EAB"/>
        </w:rPr>
        <w:t xml:space="preserve">Operating Results. </w:t>
      </w:r>
      <w:r>
        <w:rPr>
          <w:rFonts w:ascii="Arial" w:cs="Arial" w:eastAsia="Arial" w:hAnsi="Arial"/>
          <w:sz w:val="13"/>
          <w:szCs w:val="13"/>
          <w:color w:val="000000"/>
        </w:rPr>
        <w:t>Achieved all five 2018 Operating Priorities. Insurance premiums and contract charges increased by $1.8 billion (5.3%), and policies in force grew by 38.4% to 113.9</w:t>
      </w:r>
      <w:r>
        <w:rPr>
          <w:rFonts w:ascii="Arial" w:cs="Arial" w:eastAsia="Arial" w:hAnsi="Arial"/>
          <w:sz w:val="13"/>
          <w:szCs w:val="13"/>
          <w:color w:val="105EAB"/>
        </w:rPr>
        <w:t xml:space="preserve"> </w:t>
      </w:r>
      <w:r>
        <w:rPr>
          <w:rFonts w:ascii="Arial" w:cs="Arial" w:eastAsia="Arial" w:hAnsi="Arial"/>
          <w:sz w:val="13"/>
          <w:szCs w:val="13"/>
          <w:color w:val="000000"/>
        </w:rPr>
        <w:t>million. Adjusted net income* rose to $2.85 billion in 2018 from $2.47 billion in the prior year. Allstate’s annual total shareholder return was down for 2018. Allstate’s three-year period total return was 40.7%, which exceeds both the three-year return of peers (25.3%), and the three-year return of the S&amp;P 500 index (30.4%).</w:t>
      </w:r>
    </w:p>
    <w:p>
      <w:pPr>
        <w:spacing w:after="0" w:line="89" w:lineRule="exact"/>
        <w:rPr>
          <w:rFonts w:ascii="Arial" w:cs="Arial" w:eastAsia="Arial" w:hAnsi="Arial"/>
          <w:sz w:val="13"/>
          <w:szCs w:val="13"/>
          <w:color w:val="105EAB"/>
        </w:rPr>
      </w:pPr>
    </w:p>
    <w:p>
      <w:pPr>
        <w:ind w:left="280" w:right="640" w:hanging="272"/>
        <w:spacing w:after="0" w:line="258" w:lineRule="auto"/>
        <w:tabs>
          <w:tab w:leader="none" w:pos="280" w:val="left"/>
        </w:tabs>
        <w:numPr>
          <w:ilvl w:val="0"/>
          <w:numId w:val="148"/>
        </w:numPr>
        <w:rPr>
          <w:rFonts w:ascii="Arial" w:cs="Arial" w:eastAsia="Arial" w:hAnsi="Arial"/>
          <w:sz w:val="13"/>
          <w:szCs w:val="13"/>
          <w:color w:val="105EAB"/>
        </w:rPr>
      </w:pPr>
      <w:r>
        <w:rPr>
          <w:rFonts w:ascii="Arial" w:cs="Arial" w:eastAsia="Arial" w:hAnsi="Arial"/>
          <w:sz w:val="13"/>
          <w:szCs w:val="13"/>
          <w:color w:val="105EAB"/>
        </w:rPr>
        <w:t xml:space="preserve">Long-term Strategy. </w:t>
      </w:r>
      <w:r>
        <w:rPr>
          <w:rFonts w:ascii="Arial" w:cs="Arial" w:eastAsia="Arial" w:hAnsi="Arial"/>
          <w:sz w:val="13"/>
          <w:szCs w:val="13"/>
          <w:color w:val="000000"/>
        </w:rPr>
        <w:t>Improved competitive position of existing businesses while continuing to build long-term growth platforms. Acquisition of SquareTrade in 2017 is exceeding</w:t>
      </w:r>
      <w:r>
        <w:rPr>
          <w:rFonts w:ascii="Arial" w:cs="Arial" w:eastAsia="Arial" w:hAnsi="Arial"/>
          <w:sz w:val="13"/>
          <w:szCs w:val="13"/>
          <w:color w:val="105EAB"/>
        </w:rPr>
        <w:t xml:space="preserve"> </w:t>
      </w:r>
      <w:r>
        <w:rPr>
          <w:rFonts w:ascii="Arial" w:cs="Arial" w:eastAsia="Arial" w:hAnsi="Arial"/>
          <w:sz w:val="13"/>
          <w:szCs w:val="13"/>
          <w:color w:val="000000"/>
        </w:rPr>
        <w:t>performance metrics. Acquired InfoArmor in 2018.</w:t>
      </w:r>
    </w:p>
    <w:p>
      <w:pPr>
        <w:spacing w:after="0" w:line="83" w:lineRule="exact"/>
        <w:rPr>
          <w:rFonts w:ascii="Arial" w:cs="Arial" w:eastAsia="Arial" w:hAnsi="Arial"/>
          <w:sz w:val="13"/>
          <w:szCs w:val="13"/>
          <w:color w:val="105EAB"/>
        </w:rPr>
      </w:pPr>
    </w:p>
    <w:p>
      <w:pPr>
        <w:ind w:left="280" w:hanging="272"/>
        <w:spacing w:after="0"/>
        <w:tabs>
          <w:tab w:leader="none" w:pos="280" w:val="left"/>
        </w:tabs>
        <w:numPr>
          <w:ilvl w:val="0"/>
          <w:numId w:val="148"/>
        </w:numPr>
        <w:rPr>
          <w:rFonts w:ascii="Arial" w:cs="Arial" w:eastAsia="Arial" w:hAnsi="Arial"/>
          <w:sz w:val="13"/>
          <w:szCs w:val="13"/>
          <w:color w:val="105EAB"/>
        </w:rPr>
      </w:pPr>
      <w:r>
        <w:rPr>
          <w:rFonts w:ascii="Arial" w:cs="Arial" w:eastAsia="Arial" w:hAnsi="Arial"/>
          <w:sz w:val="13"/>
          <w:szCs w:val="13"/>
          <w:color w:val="105EAB"/>
        </w:rPr>
        <w:t xml:space="preserve">High-Performance Team. </w:t>
      </w:r>
      <w:r>
        <w:rPr>
          <w:rFonts w:ascii="Arial" w:cs="Arial" w:eastAsia="Arial" w:hAnsi="Arial"/>
          <w:sz w:val="13"/>
          <w:szCs w:val="13"/>
          <w:color w:val="000000"/>
        </w:rPr>
        <w:t>Extremely competent, highly engaged team with excellent collaboration to achieve strategic vision.</w:t>
      </w:r>
    </w:p>
    <w:p>
      <w:pPr>
        <w:spacing w:after="0" w:line="106" w:lineRule="exact"/>
        <w:rPr>
          <w:rFonts w:ascii="Arial" w:cs="Arial" w:eastAsia="Arial" w:hAnsi="Arial"/>
          <w:sz w:val="13"/>
          <w:szCs w:val="13"/>
          <w:color w:val="105EAB"/>
        </w:rPr>
      </w:pPr>
    </w:p>
    <w:p>
      <w:pPr>
        <w:ind w:left="280" w:hanging="272"/>
        <w:spacing w:after="0"/>
        <w:tabs>
          <w:tab w:leader="none" w:pos="280" w:val="left"/>
        </w:tabs>
        <w:numPr>
          <w:ilvl w:val="0"/>
          <w:numId w:val="148"/>
        </w:numPr>
        <w:rPr>
          <w:rFonts w:ascii="Arial" w:cs="Arial" w:eastAsia="Arial" w:hAnsi="Arial"/>
          <w:sz w:val="13"/>
          <w:szCs w:val="13"/>
          <w:color w:val="105EAB"/>
        </w:rPr>
      </w:pPr>
      <w:r>
        <w:rPr>
          <w:rFonts w:ascii="Arial" w:cs="Arial" w:eastAsia="Arial" w:hAnsi="Arial"/>
          <w:sz w:val="13"/>
          <w:szCs w:val="13"/>
          <w:color w:val="105EAB"/>
        </w:rPr>
        <w:t xml:space="preserve">Corporate Stewardship. </w:t>
      </w:r>
      <w:r>
        <w:rPr>
          <w:rFonts w:ascii="Arial" w:cs="Arial" w:eastAsia="Arial" w:hAnsi="Arial"/>
          <w:sz w:val="13"/>
          <w:szCs w:val="13"/>
          <w:color w:val="000000"/>
        </w:rPr>
        <w:t>Corporate reputation is at an all-time high. Allstate is a leader in supporting youth empowerment and ending domestic violence.</w:t>
      </w:r>
    </w:p>
    <w:p>
      <w:pPr>
        <w:spacing w:after="0" w:line="106" w:lineRule="exact"/>
        <w:rPr>
          <w:rFonts w:ascii="Arial" w:cs="Arial" w:eastAsia="Arial" w:hAnsi="Arial"/>
          <w:sz w:val="13"/>
          <w:szCs w:val="13"/>
          <w:color w:val="105EAB"/>
        </w:rPr>
      </w:pPr>
    </w:p>
    <w:p>
      <w:pPr>
        <w:ind w:left="280" w:hanging="272"/>
        <w:spacing w:after="0"/>
        <w:tabs>
          <w:tab w:leader="none" w:pos="280" w:val="left"/>
        </w:tabs>
        <w:numPr>
          <w:ilvl w:val="0"/>
          <w:numId w:val="148"/>
        </w:numPr>
        <w:rPr>
          <w:rFonts w:ascii="Arial" w:cs="Arial" w:eastAsia="Arial" w:hAnsi="Arial"/>
          <w:sz w:val="13"/>
          <w:szCs w:val="13"/>
          <w:color w:val="015EB0"/>
        </w:rPr>
      </w:pPr>
      <w:r>
        <w:rPr>
          <w:rFonts w:ascii="Arial" w:cs="Arial" w:eastAsia="Arial" w:hAnsi="Arial"/>
          <w:sz w:val="13"/>
          <w:szCs w:val="13"/>
          <w:color w:val="105EAB"/>
        </w:rPr>
        <w:t xml:space="preserve">Board Effectiveness. </w:t>
      </w:r>
      <w:r>
        <w:rPr>
          <w:rFonts w:ascii="Arial" w:cs="Arial" w:eastAsia="Arial" w:hAnsi="Arial"/>
          <w:sz w:val="13"/>
          <w:szCs w:val="13"/>
          <w:color w:val="000000"/>
        </w:rPr>
        <w:t>Excellent governance processes, Board diversity, and shareholder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246620" cy="134493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46620" cy="1344930"/>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type w:val="continuous"/>
        </w:sectPr>
      </w:pPr>
    </w:p>
    <w:p>
      <w:pPr>
        <w:spacing w:after="0" w:line="145" w:lineRule="exact"/>
        <w:rPr>
          <w:sz w:val="20"/>
          <w:szCs w:val="20"/>
          <w:color w:val="auto"/>
        </w:rPr>
      </w:pPr>
    </w:p>
    <w:p>
      <w:pPr>
        <w:ind w:left="80"/>
        <w:spacing w:after="0"/>
        <w:rPr>
          <w:sz w:val="20"/>
          <w:szCs w:val="20"/>
          <w:color w:val="auto"/>
        </w:rPr>
      </w:pPr>
      <w:r>
        <w:rPr>
          <w:rFonts w:ascii="Arial" w:cs="Arial" w:eastAsia="Arial" w:hAnsi="Arial"/>
          <w:sz w:val="13"/>
          <w:szCs w:val="13"/>
          <w:b w:val="1"/>
          <w:bCs w:val="1"/>
          <w:color w:val="105EAB"/>
        </w:rPr>
        <w:t>2018 Compensation Decisions</w:t>
      </w:r>
    </w:p>
    <w:p>
      <w:pPr>
        <w:spacing w:after="0" w:line="1" w:lineRule="exact"/>
        <w:rPr>
          <w:sz w:val="20"/>
          <w:szCs w:val="20"/>
          <w:color w:val="auto"/>
        </w:rPr>
      </w:pPr>
    </w:p>
    <w:p>
      <w:pPr>
        <w:ind w:left="80" w:right="40"/>
        <w:spacing w:after="0" w:line="258" w:lineRule="auto"/>
        <w:rPr>
          <w:sz w:val="20"/>
          <w:szCs w:val="20"/>
          <w:color w:val="auto"/>
        </w:rPr>
      </w:pPr>
      <w:r>
        <w:rPr>
          <w:rFonts w:ascii="Arial" w:cs="Arial" w:eastAsia="Arial" w:hAnsi="Arial"/>
          <w:sz w:val="13"/>
          <w:szCs w:val="13"/>
          <w:color w:val="auto"/>
        </w:rPr>
        <w:t>Mr. Wilson’s annual cash incentive target of 300% of salary remained unchanged but his long-term equity incentive target was increased to 775% of salary (previously 750%).</w:t>
      </w:r>
    </w:p>
    <w:p>
      <w:pPr>
        <w:spacing w:after="0" w:line="190" w:lineRule="exact"/>
        <w:rPr>
          <w:sz w:val="20"/>
          <w:szCs w:val="20"/>
          <w:color w:val="auto"/>
        </w:rPr>
      </w:pPr>
    </w:p>
    <w:p>
      <w:pPr>
        <w:ind w:left="340" w:hanging="260"/>
        <w:spacing w:after="0"/>
        <w:tabs>
          <w:tab w:leader="none" w:pos="340" w:val="left"/>
        </w:tabs>
        <w:numPr>
          <w:ilvl w:val="0"/>
          <w:numId w:val="149"/>
        </w:numPr>
        <w:rPr>
          <w:rFonts w:ascii="Arial" w:cs="Arial" w:eastAsia="Arial" w:hAnsi="Arial"/>
          <w:sz w:val="13"/>
          <w:szCs w:val="13"/>
          <w:color w:val="135DA7"/>
        </w:rPr>
      </w:pPr>
      <w:r>
        <w:rPr>
          <w:rFonts w:ascii="Arial" w:cs="Arial" w:eastAsia="Arial" w:hAnsi="Arial"/>
          <w:sz w:val="13"/>
          <w:szCs w:val="13"/>
          <w:color w:val="105EAB"/>
        </w:rPr>
        <w:t xml:space="preserve">Salary. </w:t>
      </w:r>
      <w:r>
        <w:rPr>
          <w:rFonts w:ascii="Arial" w:cs="Arial" w:eastAsia="Arial" w:hAnsi="Arial"/>
          <w:sz w:val="13"/>
          <w:szCs w:val="13"/>
          <w:color w:val="000000"/>
        </w:rPr>
        <w:t>In 2018, the Board increased Mr. Wilson’s salary from $1,250,000 to</w:t>
      </w:r>
    </w:p>
    <w:p>
      <w:pPr>
        <w:ind w:left="340" w:right="380"/>
        <w:spacing w:after="0" w:line="258" w:lineRule="auto"/>
        <w:rPr>
          <w:rFonts w:ascii="Arial" w:cs="Arial" w:eastAsia="Arial" w:hAnsi="Arial"/>
          <w:sz w:val="13"/>
          <w:szCs w:val="13"/>
          <w:color w:val="135DA7"/>
        </w:rPr>
      </w:pPr>
      <w:r>
        <w:rPr>
          <w:rFonts w:ascii="Arial" w:cs="Arial" w:eastAsia="Arial" w:hAnsi="Arial"/>
          <w:sz w:val="13"/>
          <w:szCs w:val="13"/>
          <w:color w:val="auto"/>
        </w:rPr>
        <w:t>$1,300,000, based on an evaluation of his performance, level of responsibility, experience, and target compensation as compared to the peer group.</w:t>
      </w:r>
    </w:p>
    <w:p>
      <w:pPr>
        <w:spacing w:after="0" w:line="83" w:lineRule="exact"/>
        <w:rPr>
          <w:rFonts w:ascii="Arial" w:cs="Arial" w:eastAsia="Arial" w:hAnsi="Arial"/>
          <w:sz w:val="13"/>
          <w:szCs w:val="13"/>
          <w:color w:val="135DA7"/>
        </w:rPr>
      </w:pPr>
    </w:p>
    <w:p>
      <w:pPr>
        <w:ind w:left="340" w:hanging="260"/>
        <w:spacing w:after="0" w:line="243" w:lineRule="auto"/>
        <w:tabs>
          <w:tab w:leader="none" w:pos="329" w:val="left"/>
        </w:tabs>
        <w:numPr>
          <w:ilvl w:val="0"/>
          <w:numId w:val="149"/>
        </w:numPr>
        <w:rPr>
          <w:rFonts w:ascii="Arial" w:cs="Arial" w:eastAsia="Arial" w:hAnsi="Arial"/>
          <w:sz w:val="13"/>
          <w:szCs w:val="13"/>
          <w:color w:val="135DA7"/>
        </w:rPr>
      </w:pPr>
      <w:r>
        <w:rPr>
          <w:rFonts w:ascii="Arial" w:cs="Arial" w:eastAsia="Arial" w:hAnsi="Arial"/>
          <w:sz w:val="13"/>
          <w:szCs w:val="13"/>
          <w:color w:val="105EAB"/>
        </w:rPr>
        <w:t xml:space="preserve">Annual Cash Incentive Award. </w:t>
      </w:r>
      <w:r>
        <w:rPr>
          <w:rFonts w:ascii="Arial" w:cs="Arial" w:eastAsia="Arial" w:hAnsi="Arial"/>
          <w:sz w:val="13"/>
          <w:szCs w:val="13"/>
          <w:color w:val="000000"/>
        </w:rPr>
        <w:t>Mr. Wilson’s target annual incentive payment of 300%</w:t>
      </w:r>
      <w:r>
        <w:rPr>
          <w:rFonts w:ascii="Arial" w:cs="Arial" w:eastAsia="Arial" w:hAnsi="Arial"/>
          <w:sz w:val="13"/>
          <w:szCs w:val="13"/>
          <w:color w:val="105EAB"/>
        </w:rPr>
        <w:t xml:space="preserve"> </w:t>
      </w:r>
      <w:r>
        <w:rPr>
          <w:rFonts w:ascii="Arial" w:cs="Arial" w:eastAsia="Arial" w:hAnsi="Arial"/>
          <w:sz w:val="13"/>
          <w:szCs w:val="13"/>
          <w:color w:val="000000"/>
        </w:rPr>
        <w:t>of base salary with a maximum funding opportunity for the award pool of 200% of target was unchanged in 2018. The committee approved an annual cash incentive award of $6,719,194, which was equal to the funding level as determined by the actual results for the three performance measures of 173.4% of target.</w:t>
      </w:r>
    </w:p>
    <w:p>
      <w:pPr>
        <w:spacing w:after="0" w:line="20" w:lineRule="exact"/>
        <w:rPr>
          <w:sz w:val="20"/>
          <w:szCs w:val="20"/>
          <w:color w:val="auto"/>
        </w:rPr>
      </w:pPr>
      <w:r>
        <w:rPr>
          <w:sz w:val="20"/>
          <w:szCs w:val="20"/>
          <w:color w:val="auto"/>
        </w:rPr>
        <w:br w:type="column"/>
      </w:r>
    </w:p>
    <w:p>
      <w:pPr>
        <w:spacing w:after="0" w:line="276" w:lineRule="exact"/>
        <w:rPr>
          <w:sz w:val="20"/>
          <w:szCs w:val="20"/>
          <w:color w:val="auto"/>
        </w:rPr>
      </w:pPr>
    </w:p>
    <w:p>
      <w:pPr>
        <w:ind w:left="274" w:right="140" w:hanging="274"/>
        <w:spacing w:after="0" w:line="244" w:lineRule="auto"/>
        <w:tabs>
          <w:tab w:leader="none" w:pos="264" w:val="left"/>
        </w:tabs>
        <w:numPr>
          <w:ilvl w:val="0"/>
          <w:numId w:val="150"/>
        </w:numPr>
        <w:rPr>
          <w:rFonts w:ascii="Arial" w:cs="Arial" w:eastAsia="Arial" w:hAnsi="Arial"/>
          <w:sz w:val="13"/>
          <w:szCs w:val="13"/>
          <w:color w:val="135DA7"/>
        </w:rPr>
      </w:pPr>
      <w:r>
        <w:rPr>
          <w:rFonts w:ascii="Arial" w:cs="Arial" w:eastAsia="Arial" w:hAnsi="Arial"/>
          <w:sz w:val="13"/>
          <w:szCs w:val="13"/>
          <w:color w:val="105EAB"/>
        </w:rPr>
        <w:t xml:space="preserve">Equity Incentive Awards. </w:t>
      </w:r>
      <w:r>
        <w:rPr>
          <w:rFonts w:ascii="Arial" w:cs="Arial" w:eastAsia="Arial" w:hAnsi="Arial"/>
          <w:sz w:val="13"/>
          <w:szCs w:val="13"/>
          <w:color w:val="000000"/>
        </w:rPr>
        <w:t>In February 2018, based on its assessment of Mr. Wilson’s</w:t>
      </w:r>
      <w:r>
        <w:rPr>
          <w:rFonts w:ascii="Arial" w:cs="Arial" w:eastAsia="Arial" w:hAnsi="Arial"/>
          <w:sz w:val="13"/>
          <w:szCs w:val="13"/>
          <w:color w:val="105EAB"/>
        </w:rPr>
        <w:t xml:space="preserve"> </w:t>
      </w:r>
      <w:r>
        <w:rPr>
          <w:rFonts w:ascii="Arial" w:cs="Arial" w:eastAsia="Arial" w:hAnsi="Arial"/>
          <w:sz w:val="13"/>
          <w:szCs w:val="13"/>
          <w:color w:val="000000"/>
        </w:rPr>
        <w:t>performance in delivering strong business results in 2017, the committee granted him equity awards with a grant date fair value of $9,687,526, which was Mr. Wilson’s target equity incentive award opportunity of 775% of salary.</w:t>
      </w:r>
    </w:p>
    <w:p>
      <w:pPr>
        <w:spacing w:after="0" w:line="1414" w:lineRule="exact"/>
        <w:rPr>
          <w:sz w:val="20"/>
          <w:szCs w:val="20"/>
          <w:color w:val="auto"/>
        </w:rPr>
      </w:pPr>
    </w:p>
    <w:p>
      <w:pPr>
        <w:sectPr>
          <w:pgSz w:w="11900" w:h="16838" w:orient="portrait"/>
          <w:cols w:equalWidth="0" w:num="2">
            <w:col w:w="5380" w:space="406"/>
            <w:col w:w="5574"/>
          </w:cols>
          <w:pgMar w:left="240" w:top="121" w:right="299" w:bottom="1440" w:gutter="0" w:footer="0" w:header="0"/>
          <w:type w:val="continuous"/>
        </w:sectPr>
      </w:pPr>
    </w:p>
    <w:p>
      <w:pPr>
        <w:spacing w:after="0" w:line="82" w:lineRule="exact"/>
        <w:rPr>
          <w:sz w:val="20"/>
          <w:szCs w:val="20"/>
          <w:color w:val="auto"/>
        </w:rPr>
      </w:pPr>
    </w:p>
    <w:p>
      <w:pPr>
        <w:ind w:left="460" w:hanging="452"/>
        <w:spacing w:after="0"/>
        <w:tabs>
          <w:tab w:leader="none" w:pos="460" w:val="left"/>
        </w:tabs>
        <w:numPr>
          <w:ilvl w:val="0"/>
          <w:numId w:val="151"/>
        </w:numPr>
        <w:rPr>
          <w:rFonts w:ascii="Arial" w:cs="Arial" w:eastAsia="Arial" w:hAnsi="Arial"/>
          <w:sz w:val="13"/>
          <w:szCs w:val="13"/>
          <w:b w:val="1"/>
          <w:bCs w:val="1"/>
          <w:color w:val="105EAB"/>
        </w:rPr>
      </w:pPr>
      <w:r>
        <w:rPr>
          <w:rFonts w:ascii="Arial" w:cs="Arial" w:eastAsia="Arial" w:hAnsi="Arial"/>
          <w:sz w:val="13"/>
          <w:szCs w:val="13"/>
          <w:color w:val="105EAB"/>
        </w:rPr>
        <w:t>www.allstateproxy.com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134620</wp:posOffset>
            </wp:positionV>
            <wp:extent cx="7268210" cy="209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type w:val="continuous"/>
        </w:sectPr>
      </w:pPr>
    </w:p>
    <w:bookmarkStart w:id="41" w:name="page42"/>
    <w:bookmarkEnd w:id="41"/>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jc w:val="right"/>
        <w:ind w:right="20"/>
        <w:spacing w:after="0"/>
        <w:rPr>
          <w:sz w:val="20"/>
          <w:szCs w:val="20"/>
          <w:color w:val="auto"/>
        </w:rPr>
      </w:pPr>
      <w:r>
        <w:rPr>
          <w:rFonts w:ascii="Arial" w:cs="Arial" w:eastAsia="Arial" w:hAnsi="Arial"/>
          <w:sz w:val="13"/>
          <w:szCs w:val="13"/>
          <w:b w:val="1"/>
          <w:bCs w:val="1"/>
          <w:color w:val="auto"/>
        </w:rPr>
        <w:t xml:space="preserve">Compensation Discussion and Analysis </w:t>
      </w:r>
      <w:r>
        <w:rPr>
          <w:rFonts w:ascii="Arial" w:cs="Arial" w:eastAsia="Arial" w:hAnsi="Arial"/>
          <w:sz w:val="13"/>
          <w:szCs w:val="13"/>
          <w:b w:val="1"/>
          <w:bCs w:val="1"/>
          <w:color w:val="105EAB"/>
        </w:rPr>
        <w:t>| Executive Compensation</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840" w:type="dxa"/>
            <w:vAlign w:val="bottom"/>
          </w:tcPr>
          <w:p>
            <w:pPr>
              <w:spacing w:after="0"/>
              <w:rPr>
                <w:sz w:val="20"/>
                <w:szCs w:val="20"/>
                <w:color w:val="auto"/>
              </w:rPr>
            </w:pPr>
            <w:r>
              <w:rPr>
                <w:rFonts w:ascii="Arial" w:cs="Arial" w:eastAsia="Arial" w:hAnsi="Arial"/>
                <w:sz w:val="22"/>
                <w:szCs w:val="22"/>
                <w:b w:val="1"/>
                <w:bCs w:val="1"/>
                <w:color w:val="105EAB"/>
              </w:rPr>
              <w:t>MARIO RIZZO</w:t>
            </w:r>
          </w:p>
        </w:tc>
        <w:tc>
          <w:tcPr>
            <w:tcW w:w="1700" w:type="dxa"/>
            <w:vAlign w:val="bottom"/>
            <w:vMerge w:val="restart"/>
          </w:tcPr>
          <w:p>
            <w:pPr>
              <w:ind w:left="280"/>
              <w:spacing w:after="0"/>
              <w:rPr>
                <w:sz w:val="20"/>
                <w:szCs w:val="20"/>
                <w:color w:val="auto"/>
              </w:rPr>
            </w:pPr>
            <w:r>
              <w:rPr>
                <w:rFonts w:ascii="Arial" w:cs="Arial" w:eastAsia="Arial" w:hAnsi="Arial"/>
                <w:sz w:val="13"/>
                <w:szCs w:val="13"/>
                <w:b w:val="1"/>
                <w:bCs w:val="1"/>
                <w:color w:val="105EAB"/>
              </w:rPr>
              <w:t>2018 COMPENSATION</w:t>
            </w:r>
          </w:p>
        </w:tc>
        <w:tc>
          <w:tcPr>
            <w:tcW w:w="0" w:type="dxa"/>
            <w:vAlign w:val="bottom"/>
          </w:tcPr>
          <w:p>
            <w:pPr>
              <w:spacing w:after="0"/>
              <w:rPr>
                <w:sz w:val="1"/>
                <w:szCs w:val="1"/>
                <w:color w:val="auto"/>
              </w:rPr>
            </w:pPr>
          </w:p>
        </w:tc>
      </w:tr>
      <w:tr>
        <w:trPr>
          <w:trHeight w:val="26"/>
        </w:trPr>
        <w:tc>
          <w:tcPr>
            <w:tcW w:w="7840" w:type="dxa"/>
            <w:vAlign w:val="bottom"/>
          </w:tcPr>
          <w:p>
            <w:pPr>
              <w:spacing w:after="0"/>
              <w:rPr>
                <w:sz w:val="2"/>
                <w:szCs w:val="2"/>
                <w:color w:val="auto"/>
              </w:rPr>
            </w:pPr>
          </w:p>
        </w:tc>
        <w:tc>
          <w:tcPr>
            <w:tcW w:w="17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7840" w:type="dxa"/>
            <w:vAlign w:val="bottom"/>
            <w:vMerge w:val="restart"/>
          </w:tcPr>
          <w:p>
            <w:pPr>
              <w:spacing w:after="0"/>
              <w:rPr>
                <w:sz w:val="20"/>
                <w:szCs w:val="20"/>
                <w:color w:val="auto"/>
              </w:rPr>
            </w:pPr>
            <w:r>
              <w:rPr>
                <w:rFonts w:ascii="Arial" w:cs="Arial" w:eastAsia="Arial" w:hAnsi="Arial"/>
                <w:sz w:val="18"/>
                <w:szCs w:val="18"/>
                <w:b w:val="1"/>
                <w:bCs w:val="1"/>
                <w:color w:val="39B6E9"/>
              </w:rPr>
              <w:t>Executive Vice President and Chief Financial Officer</w:t>
            </w:r>
          </w:p>
        </w:tc>
        <w:tc>
          <w:tcPr>
            <w:tcW w:w="1700" w:type="dxa"/>
            <w:vAlign w:val="bottom"/>
          </w:tcPr>
          <w:p>
            <w:pPr>
              <w:ind w:left="280"/>
              <w:spacing w:after="0"/>
              <w:rPr>
                <w:sz w:val="20"/>
                <w:szCs w:val="20"/>
                <w:color w:val="auto"/>
              </w:rPr>
            </w:pPr>
            <w:r>
              <w:rPr>
                <w:rFonts w:ascii="Arial" w:cs="Arial" w:eastAsia="Arial" w:hAnsi="Arial"/>
                <w:sz w:val="13"/>
                <w:szCs w:val="13"/>
                <w:color w:val="auto"/>
              </w:rPr>
              <w:t>(in millions)</w:t>
            </w:r>
          </w:p>
        </w:tc>
        <w:tc>
          <w:tcPr>
            <w:tcW w:w="0" w:type="dxa"/>
            <w:vAlign w:val="bottom"/>
          </w:tcPr>
          <w:p>
            <w:pPr>
              <w:spacing w:after="0"/>
              <w:rPr>
                <w:sz w:val="1"/>
                <w:szCs w:val="1"/>
                <w:color w:val="auto"/>
              </w:rPr>
            </w:pPr>
          </w:p>
        </w:tc>
      </w:tr>
      <w:tr>
        <w:trPr>
          <w:trHeight w:val="147"/>
        </w:trPr>
        <w:tc>
          <w:tcPr>
            <w:tcW w:w="7840" w:type="dxa"/>
            <w:vAlign w:val="bottom"/>
            <w:vMerge w:val="continue"/>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7840" w:type="dxa"/>
            <w:vAlign w:val="bottom"/>
            <w:tcBorders>
              <w:bottom w:val="single" w:sz="8" w:color="39B6E9"/>
            </w:tcBorders>
          </w:tcPr>
          <w:p>
            <w:pPr>
              <w:spacing w:after="0"/>
              <w:rPr>
                <w:sz w:val="8"/>
                <w:szCs w:val="8"/>
                <w:color w:val="auto"/>
              </w:rPr>
            </w:pPr>
          </w:p>
        </w:tc>
        <w:tc>
          <w:tcPr>
            <w:tcW w:w="1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7840" w:type="dxa"/>
            <w:vAlign w:val="bottom"/>
          </w:tcPr>
          <w:p>
            <w:pPr>
              <w:spacing w:after="0"/>
              <w:rPr>
                <w:sz w:val="20"/>
                <w:szCs w:val="20"/>
                <w:color w:val="auto"/>
              </w:rPr>
            </w:pPr>
            <w:r>
              <w:rPr>
                <w:rFonts w:ascii="Arial" w:cs="Arial" w:eastAsia="Arial" w:hAnsi="Arial"/>
                <w:sz w:val="13"/>
                <w:szCs w:val="13"/>
                <w:b w:val="1"/>
                <w:bCs w:val="1"/>
                <w:color w:val="105EAB"/>
              </w:rPr>
              <w:t>Key Responsibilities</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7840" w:type="dxa"/>
            <w:vAlign w:val="bottom"/>
          </w:tcPr>
          <w:p>
            <w:pPr>
              <w:spacing w:after="0" w:line="149" w:lineRule="exact"/>
              <w:rPr>
                <w:sz w:val="20"/>
                <w:szCs w:val="20"/>
                <w:color w:val="auto"/>
              </w:rPr>
            </w:pPr>
            <w:r>
              <w:rPr>
                <w:rFonts w:ascii="Arial" w:cs="Arial" w:eastAsia="Arial" w:hAnsi="Arial"/>
                <w:sz w:val="13"/>
                <w:szCs w:val="13"/>
                <w:color w:val="auto"/>
              </w:rPr>
              <w:t>Our CFO has primary responsibility for the management of the Company’s overall financial condition, system of internal controls,</w:t>
            </w: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840" w:type="dxa"/>
            <w:vAlign w:val="bottom"/>
          </w:tcPr>
          <w:p>
            <w:pPr>
              <w:spacing w:after="0"/>
              <w:rPr>
                <w:sz w:val="20"/>
                <w:szCs w:val="20"/>
                <w:color w:val="auto"/>
              </w:rPr>
            </w:pPr>
            <w:r>
              <w:rPr>
                <w:rFonts w:ascii="Arial" w:cs="Arial" w:eastAsia="Arial" w:hAnsi="Arial"/>
                <w:sz w:val="13"/>
                <w:szCs w:val="13"/>
                <w:color w:val="auto"/>
              </w:rPr>
              <w:t>capital allocation, financial reporting, investor relations, acquisitions and divestitures, and capital market transactions.</w:t>
            </w: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-513080</wp:posOffset>
            </wp:positionV>
            <wp:extent cx="7246620" cy="238125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46620" cy="2381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80"/>
        <w:spacing w:after="0"/>
        <w:rPr>
          <w:sz w:val="20"/>
          <w:szCs w:val="20"/>
          <w:color w:val="auto"/>
        </w:rPr>
      </w:pPr>
      <w:r>
        <w:rPr>
          <w:rFonts w:ascii="Arial" w:cs="Arial" w:eastAsia="Arial" w:hAnsi="Arial"/>
          <w:sz w:val="13"/>
          <w:szCs w:val="13"/>
          <w:b w:val="1"/>
          <w:bCs w:val="1"/>
          <w:color w:val="105EAB"/>
        </w:rPr>
        <w:t>2018 Performance</w:t>
      </w:r>
    </w:p>
    <w:p>
      <w:pPr>
        <w:spacing w:after="0" w:line="15"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Strong performance in first year as CFO, ensuring utilization of strong financial discipline and internal controls. Successfully executed numerous capital management actions.</w:t>
      </w:r>
    </w:p>
    <w:p>
      <w:pPr>
        <w:sectPr>
          <w:pgSz w:w="11900" w:h="16838" w:orient="portrait"/>
          <w:cols w:equalWidth="0" w:num="1">
            <w:col w:w="11440"/>
          </w:cols>
          <w:pgMar w:left="240" w:top="121" w:right="219" w:bottom="1440" w:gutter="0" w:footer="0" w:header="0"/>
        </w:sectPr>
      </w:pPr>
    </w:p>
    <w:p>
      <w:pPr>
        <w:spacing w:after="0" w:line="199" w:lineRule="exact"/>
        <w:rPr>
          <w:sz w:val="20"/>
          <w:szCs w:val="20"/>
          <w:color w:val="auto"/>
        </w:rPr>
      </w:pPr>
    </w:p>
    <w:p>
      <w:pPr>
        <w:ind w:left="80"/>
        <w:spacing w:after="0"/>
        <w:rPr>
          <w:sz w:val="20"/>
          <w:szCs w:val="20"/>
          <w:color w:val="auto"/>
        </w:rPr>
      </w:pPr>
      <w:r>
        <w:rPr>
          <w:rFonts w:ascii="Arial" w:cs="Arial" w:eastAsia="Arial" w:hAnsi="Arial"/>
          <w:sz w:val="13"/>
          <w:szCs w:val="13"/>
          <w:b w:val="1"/>
          <w:bCs w:val="1"/>
          <w:color w:val="105EAB"/>
        </w:rPr>
        <w:t>2018 Compensation Decisions</w:t>
      </w:r>
    </w:p>
    <w:p>
      <w:pPr>
        <w:spacing w:after="0" w:line="15" w:lineRule="exact"/>
        <w:rPr>
          <w:sz w:val="20"/>
          <w:szCs w:val="20"/>
          <w:color w:val="auto"/>
        </w:rPr>
      </w:pPr>
    </w:p>
    <w:p>
      <w:pPr>
        <w:ind w:left="340" w:hanging="260"/>
        <w:spacing w:after="0"/>
        <w:tabs>
          <w:tab w:leader="none" w:pos="340" w:val="left"/>
        </w:tabs>
        <w:numPr>
          <w:ilvl w:val="0"/>
          <w:numId w:val="152"/>
        </w:numPr>
        <w:rPr>
          <w:rFonts w:ascii="Arial" w:cs="Arial" w:eastAsia="Arial" w:hAnsi="Arial"/>
          <w:sz w:val="13"/>
          <w:szCs w:val="13"/>
          <w:color w:val="135DA7"/>
        </w:rPr>
      </w:pPr>
      <w:r>
        <w:rPr>
          <w:rFonts w:ascii="Arial" w:cs="Arial" w:eastAsia="Arial" w:hAnsi="Arial"/>
          <w:sz w:val="13"/>
          <w:szCs w:val="13"/>
          <w:color w:val="105EAB"/>
        </w:rPr>
        <w:t xml:space="preserve">Salary. </w:t>
      </w:r>
      <w:r>
        <w:rPr>
          <w:rFonts w:ascii="Arial" w:cs="Arial" w:eastAsia="Arial" w:hAnsi="Arial"/>
          <w:sz w:val="13"/>
          <w:szCs w:val="13"/>
          <w:color w:val="000000"/>
        </w:rPr>
        <w:t>$700,000</w:t>
      </w:r>
    </w:p>
    <w:p>
      <w:pPr>
        <w:spacing w:after="0" w:line="106" w:lineRule="exact"/>
        <w:rPr>
          <w:rFonts w:ascii="Arial" w:cs="Arial" w:eastAsia="Arial" w:hAnsi="Arial"/>
          <w:sz w:val="13"/>
          <w:szCs w:val="13"/>
          <w:color w:val="135DA7"/>
        </w:rPr>
      </w:pPr>
    </w:p>
    <w:p>
      <w:pPr>
        <w:ind w:left="340" w:hanging="260"/>
        <w:spacing w:after="0" w:line="258" w:lineRule="auto"/>
        <w:tabs>
          <w:tab w:leader="none" w:pos="329" w:val="left"/>
        </w:tabs>
        <w:numPr>
          <w:ilvl w:val="0"/>
          <w:numId w:val="152"/>
        </w:numPr>
        <w:rPr>
          <w:rFonts w:ascii="Arial" w:cs="Arial" w:eastAsia="Arial" w:hAnsi="Arial"/>
          <w:sz w:val="13"/>
          <w:szCs w:val="13"/>
          <w:color w:val="135DA7"/>
        </w:rPr>
      </w:pPr>
      <w:r>
        <w:rPr>
          <w:rFonts w:ascii="Arial" w:cs="Arial" w:eastAsia="Arial" w:hAnsi="Arial"/>
          <w:sz w:val="13"/>
          <w:szCs w:val="13"/>
          <w:color w:val="105EAB"/>
        </w:rPr>
        <w:t xml:space="preserve">Incentive Targets. </w:t>
      </w:r>
      <w:r>
        <w:rPr>
          <w:rFonts w:ascii="Arial" w:cs="Arial" w:eastAsia="Arial" w:hAnsi="Arial"/>
          <w:sz w:val="13"/>
          <w:szCs w:val="13"/>
          <w:color w:val="000000"/>
        </w:rPr>
        <w:t>Mr. Rizzo’s annual incentive target was 125% of salary and his</w:t>
      </w:r>
      <w:r>
        <w:rPr>
          <w:rFonts w:ascii="Arial" w:cs="Arial" w:eastAsia="Arial" w:hAnsi="Arial"/>
          <w:sz w:val="13"/>
          <w:szCs w:val="13"/>
          <w:color w:val="105EAB"/>
        </w:rPr>
        <w:t xml:space="preserve"> </w:t>
      </w:r>
      <w:r>
        <w:rPr>
          <w:rFonts w:ascii="Arial" w:cs="Arial" w:eastAsia="Arial" w:hAnsi="Arial"/>
          <w:sz w:val="13"/>
          <w:szCs w:val="13"/>
          <w:color w:val="000000"/>
        </w:rPr>
        <w:t>target equity incentive opportunity was 300% of salary.</w:t>
      </w:r>
    </w:p>
    <w:p>
      <w:pPr>
        <w:spacing w:after="0" w:line="20" w:lineRule="exact"/>
        <w:rPr>
          <w:sz w:val="20"/>
          <w:szCs w:val="20"/>
          <w:color w:val="auto"/>
        </w:rPr>
      </w:pPr>
      <w:r>
        <w:rPr>
          <w:sz w:val="20"/>
          <w:szCs w:val="20"/>
          <w:color w:val="auto"/>
        </w:rPr>
        <w:br w:type="column"/>
      </w:r>
    </w:p>
    <w:p>
      <w:pPr>
        <w:spacing w:after="0" w:line="343" w:lineRule="exact"/>
        <w:rPr>
          <w:sz w:val="20"/>
          <w:szCs w:val="20"/>
          <w:color w:val="auto"/>
        </w:rPr>
      </w:pPr>
    </w:p>
    <w:p>
      <w:pPr>
        <w:ind w:left="274" w:right="140" w:hanging="274"/>
        <w:spacing w:after="0" w:line="248" w:lineRule="auto"/>
        <w:tabs>
          <w:tab w:leader="none" w:pos="264" w:val="left"/>
        </w:tabs>
        <w:numPr>
          <w:ilvl w:val="0"/>
          <w:numId w:val="153"/>
        </w:numPr>
        <w:rPr>
          <w:rFonts w:ascii="Arial" w:cs="Arial" w:eastAsia="Arial" w:hAnsi="Arial"/>
          <w:sz w:val="13"/>
          <w:szCs w:val="13"/>
          <w:color w:val="135DA7"/>
        </w:rPr>
      </w:pPr>
      <w:r>
        <w:rPr>
          <w:rFonts w:ascii="Arial" w:cs="Arial" w:eastAsia="Arial" w:hAnsi="Arial"/>
          <w:sz w:val="13"/>
          <w:szCs w:val="13"/>
          <w:color w:val="105EAB"/>
        </w:rPr>
        <w:t xml:space="preserve">Annual Cash Incentive Award. </w:t>
      </w:r>
      <w:r>
        <w:rPr>
          <w:rFonts w:ascii="Arial" w:cs="Arial" w:eastAsia="Arial" w:hAnsi="Arial"/>
          <w:sz w:val="13"/>
          <w:szCs w:val="13"/>
          <w:color w:val="000000"/>
        </w:rPr>
        <w:t>The committee approved an annual cash incentive award</w:t>
      </w:r>
      <w:r>
        <w:rPr>
          <w:rFonts w:ascii="Arial" w:cs="Arial" w:eastAsia="Arial" w:hAnsi="Arial"/>
          <w:sz w:val="13"/>
          <w:szCs w:val="13"/>
          <w:color w:val="105EAB"/>
        </w:rPr>
        <w:t xml:space="preserve"> </w:t>
      </w:r>
      <w:r>
        <w:rPr>
          <w:rFonts w:ascii="Arial" w:cs="Arial" w:eastAsia="Arial" w:hAnsi="Arial"/>
          <w:sz w:val="13"/>
          <w:szCs w:val="13"/>
          <w:color w:val="000000"/>
        </w:rPr>
        <w:t>of $1,510,788 for Mr. Rizzo, which was equal to the funding level as determined by the actual results for the three performance measures of 173.4% of target.</w:t>
      </w:r>
    </w:p>
    <w:p>
      <w:pPr>
        <w:spacing w:after="0" w:line="89" w:lineRule="exact"/>
        <w:rPr>
          <w:rFonts w:ascii="Arial" w:cs="Arial" w:eastAsia="Arial" w:hAnsi="Arial"/>
          <w:sz w:val="13"/>
          <w:szCs w:val="13"/>
          <w:color w:val="135DA7"/>
        </w:rPr>
      </w:pPr>
    </w:p>
    <w:p>
      <w:pPr>
        <w:ind w:left="274" w:right="100" w:hanging="274"/>
        <w:spacing w:after="0" w:line="248" w:lineRule="auto"/>
        <w:tabs>
          <w:tab w:leader="none" w:pos="264" w:val="left"/>
        </w:tabs>
        <w:numPr>
          <w:ilvl w:val="0"/>
          <w:numId w:val="153"/>
        </w:numPr>
        <w:rPr>
          <w:rFonts w:ascii="Arial" w:cs="Arial" w:eastAsia="Arial" w:hAnsi="Arial"/>
          <w:sz w:val="13"/>
          <w:szCs w:val="13"/>
          <w:color w:val="135DA7"/>
        </w:rPr>
      </w:pPr>
      <w:r>
        <w:rPr>
          <w:rFonts w:ascii="Arial" w:cs="Arial" w:eastAsia="Arial" w:hAnsi="Arial"/>
          <w:sz w:val="13"/>
          <w:szCs w:val="13"/>
          <w:color w:val="105EAB"/>
        </w:rPr>
        <w:t xml:space="preserve">Equity Incentive Awards. </w:t>
      </w:r>
      <w:r>
        <w:rPr>
          <w:rFonts w:ascii="Arial" w:cs="Arial" w:eastAsia="Arial" w:hAnsi="Arial"/>
          <w:sz w:val="13"/>
          <w:szCs w:val="13"/>
          <w:color w:val="000000"/>
        </w:rPr>
        <w:t>In February 2018, based on a review of Mr. Rizzo’s</w:t>
      </w:r>
      <w:r>
        <w:rPr>
          <w:rFonts w:ascii="Arial" w:cs="Arial" w:eastAsia="Arial" w:hAnsi="Arial"/>
          <w:sz w:val="13"/>
          <w:szCs w:val="13"/>
          <w:color w:val="105EAB"/>
        </w:rPr>
        <w:t xml:space="preserve"> </w:t>
      </w:r>
      <w:r>
        <w:rPr>
          <w:rFonts w:ascii="Arial" w:cs="Arial" w:eastAsia="Arial" w:hAnsi="Arial"/>
          <w:sz w:val="13"/>
          <w:szCs w:val="13"/>
          <w:color w:val="000000"/>
        </w:rPr>
        <w:t>performance during 2017, the committee granted him equity awards with a grant date fair value of $2,100,042, which was Mr. Rizzo’s target equity incentive award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-3668395</wp:posOffset>
            </wp:positionH>
            <wp:positionV relativeFrom="paragraph">
              <wp:posOffset>31750</wp:posOffset>
            </wp:positionV>
            <wp:extent cx="724662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60" w:space="626"/>
            <w:col w:w="5654"/>
          </w:cols>
          <w:pgMar w:left="240" w:top="121" w:right="219" w:bottom="1440" w:gutter="0" w:footer="0" w:header="0"/>
          <w:type w:val="continuous"/>
        </w:sectPr>
      </w:pPr>
    </w:p>
    <w:p>
      <w:pPr>
        <w:spacing w:after="0" w:line="74" w:lineRule="exact"/>
        <w:rPr>
          <w:sz w:val="20"/>
          <w:szCs w:val="20"/>
          <w:color w:val="auto"/>
        </w:rPr>
      </w:pPr>
    </w:p>
    <w:p>
      <w:pPr>
        <w:spacing w:after="0"/>
        <w:rPr>
          <w:sz w:val="20"/>
          <w:szCs w:val="20"/>
          <w:color w:val="auto"/>
        </w:rPr>
      </w:pPr>
      <w:r>
        <w:rPr>
          <w:rFonts w:ascii="Arial" w:cs="Arial" w:eastAsia="Arial" w:hAnsi="Arial"/>
          <w:sz w:val="22"/>
          <w:szCs w:val="22"/>
          <w:b w:val="1"/>
          <w:bCs w:val="1"/>
          <w:color w:val="105EAB"/>
        </w:rPr>
        <w:t>JOHN E. DUGENSKE</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39B6E9"/>
        </w:rPr>
        <w:t>Executive Vice President and Chief Investment and Corporate Strategy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497649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4976495" cy="8255"/>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b w:val="1"/>
          <w:bCs w:val="1"/>
          <w:color w:val="105EAB"/>
        </w:rPr>
        <w:t>Key Responsibilities</w:t>
      </w:r>
    </w:p>
    <w:p>
      <w:pPr>
        <w:spacing w:after="0" w:line="15"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Mr. Dugenske is Executive Vice President and Chief Investment and Corporate Strategy Officer of Allstate Insurance Company and President of Allstate Investments. He oversees the Company’s $81 billion investment portfolio. He is also responsible for facilitating the development of strategy for the Company and its market-facing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631190</wp:posOffset>
            </wp:positionV>
            <wp:extent cx="7246620" cy="180721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46620" cy="18072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3"/>
          <w:szCs w:val="13"/>
          <w:b w:val="1"/>
          <w:bCs w:val="1"/>
          <w:color w:val="105EAB"/>
        </w:rPr>
        <w:t>2018 COMPENSATION</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0</wp:posOffset>
            </wp:positionV>
            <wp:extent cx="2030095" cy="10877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030095" cy="1087755"/>
                    </a:xfrm>
                    <a:prstGeom prst="rect">
                      <a:avLst/>
                    </a:prstGeom>
                    <a:noFill/>
                  </pic:spPr>
                </pic:pic>
              </a:graphicData>
            </a:graphic>
          </wp:anchor>
        </w:drawing>
      </w:r>
    </w:p>
    <w:p>
      <w:pPr>
        <w:spacing w:after="0" w:line="1161" w:lineRule="exact"/>
        <w:rPr>
          <w:sz w:val="20"/>
          <w:szCs w:val="20"/>
          <w:color w:val="auto"/>
        </w:rPr>
      </w:pPr>
    </w:p>
    <w:p>
      <w:pPr>
        <w:sectPr>
          <w:pgSz w:w="11900" w:h="16838" w:orient="portrait"/>
          <w:cols w:equalWidth="0" w:num="2">
            <w:col w:w="7820" w:space="300"/>
            <w:col w:w="3320"/>
          </w:cols>
          <w:pgMar w:left="240" w:top="121" w:right="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80"/>
        <w:spacing w:after="0"/>
        <w:rPr>
          <w:sz w:val="20"/>
          <w:szCs w:val="20"/>
          <w:color w:val="auto"/>
        </w:rPr>
      </w:pPr>
      <w:r>
        <w:rPr>
          <w:rFonts w:ascii="Arial" w:cs="Arial" w:eastAsia="Arial" w:hAnsi="Arial"/>
          <w:sz w:val="13"/>
          <w:szCs w:val="13"/>
          <w:b w:val="1"/>
          <w:bCs w:val="1"/>
          <w:color w:val="105EAB"/>
        </w:rPr>
        <w:t>2018 Performance</w:t>
      </w:r>
    </w:p>
    <w:p>
      <w:pPr>
        <w:spacing w:after="0" w:line="15" w:lineRule="exact"/>
        <w:rPr>
          <w:sz w:val="20"/>
          <w:szCs w:val="20"/>
          <w:color w:val="auto"/>
        </w:rPr>
      </w:pPr>
    </w:p>
    <w:p>
      <w:pPr>
        <w:ind w:left="80" w:right="280"/>
        <w:spacing w:after="0" w:line="258" w:lineRule="auto"/>
        <w:rPr>
          <w:sz w:val="20"/>
          <w:szCs w:val="20"/>
          <w:color w:val="auto"/>
        </w:rPr>
      </w:pPr>
      <w:r>
        <w:rPr>
          <w:rFonts w:ascii="Arial" w:cs="Arial" w:eastAsia="Arial" w:hAnsi="Arial"/>
          <w:sz w:val="13"/>
          <w:szCs w:val="13"/>
          <w:color w:val="auto"/>
        </w:rPr>
        <w:t>Net Investment Income of $3.2 billion was above Plan, and total return on the portfolio exceeded relevant benchmarks. Enhanced investment decision processes and added responsibility for corporate strategy development.</w:t>
      </w:r>
    </w:p>
    <w:p>
      <w:pPr>
        <w:sectPr>
          <w:pgSz w:w="11900" w:h="16838" w:orient="portrait"/>
          <w:cols w:equalWidth="0" w:num="1">
            <w:col w:w="11440"/>
          </w:cols>
          <w:pgMar w:left="240" w:top="121" w:right="219" w:bottom="1440" w:gutter="0" w:footer="0" w:header="0"/>
          <w:type w:val="continuous"/>
        </w:sectPr>
      </w:pPr>
    </w:p>
    <w:p>
      <w:pPr>
        <w:spacing w:after="0" w:line="175" w:lineRule="exact"/>
        <w:rPr>
          <w:sz w:val="20"/>
          <w:szCs w:val="20"/>
          <w:color w:val="auto"/>
        </w:rPr>
      </w:pPr>
    </w:p>
    <w:p>
      <w:pPr>
        <w:ind w:left="80"/>
        <w:spacing w:after="0"/>
        <w:rPr>
          <w:sz w:val="20"/>
          <w:szCs w:val="20"/>
          <w:color w:val="auto"/>
        </w:rPr>
      </w:pPr>
      <w:r>
        <w:rPr>
          <w:rFonts w:ascii="Arial" w:cs="Arial" w:eastAsia="Arial" w:hAnsi="Arial"/>
          <w:sz w:val="13"/>
          <w:szCs w:val="13"/>
          <w:b w:val="1"/>
          <w:bCs w:val="1"/>
          <w:color w:val="105EAB"/>
        </w:rPr>
        <w:t>2018 Compensation Decisions</w:t>
      </w:r>
    </w:p>
    <w:p>
      <w:pPr>
        <w:spacing w:after="0" w:line="15" w:lineRule="exact"/>
        <w:rPr>
          <w:sz w:val="20"/>
          <w:szCs w:val="20"/>
          <w:color w:val="auto"/>
        </w:rPr>
      </w:pPr>
    </w:p>
    <w:p>
      <w:pPr>
        <w:ind w:left="340" w:right="40" w:hanging="260"/>
        <w:spacing w:after="0" w:line="244" w:lineRule="auto"/>
        <w:tabs>
          <w:tab w:leader="none" w:pos="329" w:val="left"/>
        </w:tabs>
        <w:numPr>
          <w:ilvl w:val="0"/>
          <w:numId w:val="154"/>
        </w:numPr>
        <w:rPr>
          <w:rFonts w:ascii="Arial" w:cs="Arial" w:eastAsia="Arial" w:hAnsi="Arial"/>
          <w:sz w:val="13"/>
          <w:szCs w:val="13"/>
          <w:color w:val="135DA7"/>
        </w:rPr>
      </w:pPr>
      <w:r>
        <w:rPr>
          <w:rFonts w:ascii="Arial" w:cs="Arial" w:eastAsia="Arial" w:hAnsi="Arial"/>
          <w:sz w:val="13"/>
          <w:szCs w:val="13"/>
          <w:color w:val="105EAB"/>
        </w:rPr>
        <w:t xml:space="preserve">Salary. </w:t>
      </w:r>
      <w:r>
        <w:rPr>
          <w:rFonts w:ascii="Arial" w:cs="Arial" w:eastAsia="Arial" w:hAnsi="Arial"/>
          <w:sz w:val="13"/>
          <w:szCs w:val="13"/>
          <w:color w:val="000000"/>
        </w:rPr>
        <w:t>The committee approved an increase from $725,000 to $750,000 during</w:t>
      </w:r>
      <w:r>
        <w:rPr>
          <w:rFonts w:ascii="Arial" w:cs="Arial" w:eastAsia="Arial" w:hAnsi="Arial"/>
          <w:sz w:val="13"/>
          <w:szCs w:val="13"/>
          <w:color w:val="105EAB"/>
        </w:rPr>
        <w:t xml:space="preserve"> </w:t>
      </w:r>
      <w:r>
        <w:rPr>
          <w:rFonts w:ascii="Arial" w:cs="Arial" w:eastAsia="Arial" w:hAnsi="Arial"/>
          <w:sz w:val="13"/>
          <w:szCs w:val="13"/>
          <w:color w:val="000000"/>
        </w:rPr>
        <w:t>2018, based on his added responsibilities for corporate strategy, an evaluation of his performance, level of responsibility, and target compensation as compared to the peer group.</w:t>
      </w:r>
    </w:p>
    <w:p>
      <w:pPr>
        <w:spacing w:after="0" w:line="93" w:lineRule="exact"/>
        <w:rPr>
          <w:rFonts w:ascii="Arial" w:cs="Arial" w:eastAsia="Arial" w:hAnsi="Arial"/>
          <w:sz w:val="13"/>
          <w:szCs w:val="13"/>
          <w:color w:val="135DA7"/>
        </w:rPr>
      </w:pPr>
    </w:p>
    <w:p>
      <w:pPr>
        <w:ind w:left="340" w:hanging="260"/>
        <w:spacing w:after="0" w:line="241" w:lineRule="auto"/>
        <w:tabs>
          <w:tab w:leader="none" w:pos="329" w:val="left"/>
        </w:tabs>
        <w:numPr>
          <w:ilvl w:val="0"/>
          <w:numId w:val="154"/>
        </w:numPr>
        <w:rPr>
          <w:rFonts w:ascii="Arial" w:cs="Arial" w:eastAsia="Arial" w:hAnsi="Arial"/>
          <w:sz w:val="13"/>
          <w:szCs w:val="13"/>
          <w:color w:val="135DA7"/>
        </w:rPr>
      </w:pPr>
      <w:r>
        <w:rPr>
          <w:rFonts w:ascii="Arial" w:cs="Arial" w:eastAsia="Arial" w:hAnsi="Arial"/>
          <w:sz w:val="13"/>
          <w:szCs w:val="13"/>
          <w:color w:val="105EAB"/>
        </w:rPr>
        <w:t xml:space="preserve">Bonus. </w:t>
      </w:r>
      <w:r>
        <w:rPr>
          <w:rFonts w:ascii="Arial" w:cs="Arial" w:eastAsia="Arial" w:hAnsi="Arial"/>
          <w:sz w:val="13"/>
          <w:szCs w:val="13"/>
          <w:color w:val="000000"/>
        </w:rPr>
        <w:t>In connection with the commencement of his employment on March 1, 2017,</w:t>
      </w:r>
      <w:r>
        <w:rPr>
          <w:rFonts w:ascii="Arial" w:cs="Arial" w:eastAsia="Arial" w:hAnsi="Arial"/>
          <w:sz w:val="13"/>
          <w:szCs w:val="13"/>
          <w:color w:val="105EAB"/>
        </w:rPr>
        <w:t xml:space="preserve"> </w:t>
      </w:r>
      <w:r>
        <w:rPr>
          <w:rFonts w:ascii="Arial" w:cs="Arial" w:eastAsia="Arial" w:hAnsi="Arial"/>
          <w:sz w:val="13"/>
          <w:szCs w:val="13"/>
          <w:color w:val="000000"/>
        </w:rPr>
        <w:t>Mr. Dugenske received a sign-on bonus of $4,000,000 payable in cash in two installments to offset the value of awards forfeited upon leaving his prior employer. The first installment was paid within sixty days of his start date, and the balance of $2,000,000 was paid thirty days after the first anniversary of his start date. If Mr. Dugenske terminates his employment within twenty-four months of either sign-on payment date, he must repay a prorated amount calculated over a twenty-four month period from the payment date.</w:t>
      </w:r>
    </w:p>
    <w:p>
      <w:pPr>
        <w:spacing w:after="0" w:line="20" w:lineRule="exact"/>
        <w:rPr>
          <w:sz w:val="20"/>
          <w:szCs w:val="20"/>
          <w:color w:val="auto"/>
        </w:rPr>
      </w:pPr>
      <w:r>
        <w:rPr>
          <w:sz w:val="20"/>
          <w:szCs w:val="20"/>
          <w:color w:val="auto"/>
        </w:rPr>
        <w:br w:type="column"/>
      </w:r>
    </w:p>
    <w:p>
      <w:pPr>
        <w:spacing w:after="0" w:line="320" w:lineRule="exact"/>
        <w:rPr>
          <w:sz w:val="20"/>
          <w:szCs w:val="20"/>
          <w:color w:val="auto"/>
        </w:rPr>
      </w:pPr>
    </w:p>
    <w:p>
      <w:pPr>
        <w:ind w:left="274" w:right="220" w:hanging="274"/>
        <w:spacing w:after="0" w:line="248" w:lineRule="auto"/>
        <w:tabs>
          <w:tab w:leader="none" w:pos="264" w:val="left"/>
        </w:tabs>
        <w:numPr>
          <w:ilvl w:val="0"/>
          <w:numId w:val="155"/>
        </w:numPr>
        <w:rPr>
          <w:rFonts w:ascii="Arial" w:cs="Arial" w:eastAsia="Arial" w:hAnsi="Arial"/>
          <w:sz w:val="13"/>
          <w:szCs w:val="13"/>
          <w:color w:val="135DA7"/>
        </w:rPr>
      </w:pPr>
      <w:r>
        <w:rPr>
          <w:rFonts w:ascii="Arial" w:cs="Arial" w:eastAsia="Arial" w:hAnsi="Arial"/>
          <w:sz w:val="13"/>
          <w:szCs w:val="13"/>
          <w:color w:val="105EAB"/>
        </w:rPr>
        <w:t xml:space="preserve">Incentive Targets. </w:t>
      </w:r>
      <w:r>
        <w:rPr>
          <w:rFonts w:ascii="Arial" w:cs="Arial" w:eastAsia="Arial" w:hAnsi="Arial"/>
          <w:sz w:val="13"/>
          <w:szCs w:val="13"/>
          <w:color w:val="000000"/>
        </w:rPr>
        <w:t>No changes were made to Mr. Dugenske’s incentive targets in 2018.</w:t>
      </w:r>
      <w:r>
        <w:rPr>
          <w:rFonts w:ascii="Arial" w:cs="Arial" w:eastAsia="Arial" w:hAnsi="Arial"/>
          <w:sz w:val="13"/>
          <w:szCs w:val="13"/>
          <w:color w:val="105EAB"/>
        </w:rPr>
        <w:t xml:space="preserve"> </w:t>
      </w:r>
      <w:r>
        <w:rPr>
          <w:rFonts w:ascii="Arial" w:cs="Arial" w:eastAsia="Arial" w:hAnsi="Arial"/>
          <w:sz w:val="13"/>
          <w:szCs w:val="13"/>
          <w:color w:val="000000"/>
        </w:rPr>
        <w:t>Mr. Dugenske’s annual incentive target was 125% of salary and his target equity incentive opportunity was 300% of salary.</w:t>
      </w:r>
    </w:p>
    <w:p>
      <w:pPr>
        <w:spacing w:after="0" w:line="89" w:lineRule="exact"/>
        <w:rPr>
          <w:rFonts w:ascii="Arial" w:cs="Arial" w:eastAsia="Arial" w:hAnsi="Arial"/>
          <w:sz w:val="13"/>
          <w:szCs w:val="13"/>
          <w:color w:val="135DA7"/>
        </w:rPr>
      </w:pPr>
    </w:p>
    <w:p>
      <w:pPr>
        <w:ind w:left="274" w:right="140" w:hanging="274"/>
        <w:spacing w:after="0" w:line="248" w:lineRule="auto"/>
        <w:tabs>
          <w:tab w:leader="none" w:pos="264" w:val="left"/>
        </w:tabs>
        <w:numPr>
          <w:ilvl w:val="0"/>
          <w:numId w:val="155"/>
        </w:numPr>
        <w:rPr>
          <w:rFonts w:ascii="Arial" w:cs="Arial" w:eastAsia="Arial" w:hAnsi="Arial"/>
          <w:sz w:val="13"/>
          <w:szCs w:val="13"/>
          <w:color w:val="135DA7"/>
        </w:rPr>
      </w:pPr>
      <w:r>
        <w:rPr>
          <w:rFonts w:ascii="Arial" w:cs="Arial" w:eastAsia="Arial" w:hAnsi="Arial"/>
          <w:sz w:val="13"/>
          <w:szCs w:val="13"/>
          <w:color w:val="105EAB"/>
        </w:rPr>
        <w:t xml:space="preserve">Annual Cash Incentive Award. </w:t>
      </w:r>
      <w:r>
        <w:rPr>
          <w:rFonts w:ascii="Arial" w:cs="Arial" w:eastAsia="Arial" w:hAnsi="Arial"/>
          <w:sz w:val="13"/>
          <w:szCs w:val="13"/>
          <w:color w:val="000000"/>
        </w:rPr>
        <w:t>The committee approved an annual cash incentive award</w:t>
      </w:r>
      <w:r>
        <w:rPr>
          <w:rFonts w:ascii="Arial" w:cs="Arial" w:eastAsia="Arial" w:hAnsi="Arial"/>
          <w:sz w:val="13"/>
          <w:szCs w:val="13"/>
          <w:color w:val="105EAB"/>
        </w:rPr>
        <w:t xml:space="preserve"> </w:t>
      </w:r>
      <w:r>
        <w:rPr>
          <w:rFonts w:ascii="Arial" w:cs="Arial" w:eastAsia="Arial" w:hAnsi="Arial"/>
          <w:sz w:val="13"/>
          <w:szCs w:val="13"/>
          <w:color w:val="000000"/>
        </w:rPr>
        <w:t>of $1,616,607 for Mr. Dugenske, which was equal to the funding level as determined by the actual results for the three performance measures of 173.4% of target.</w:t>
      </w:r>
    </w:p>
    <w:p>
      <w:pPr>
        <w:spacing w:after="0" w:line="89" w:lineRule="exact"/>
        <w:rPr>
          <w:rFonts w:ascii="Arial" w:cs="Arial" w:eastAsia="Arial" w:hAnsi="Arial"/>
          <w:sz w:val="13"/>
          <w:szCs w:val="13"/>
          <w:color w:val="135DA7"/>
        </w:rPr>
      </w:pPr>
    </w:p>
    <w:p>
      <w:pPr>
        <w:ind w:left="274" w:right="300" w:hanging="274"/>
        <w:spacing w:after="0" w:line="244" w:lineRule="auto"/>
        <w:tabs>
          <w:tab w:leader="none" w:pos="264" w:val="left"/>
        </w:tabs>
        <w:numPr>
          <w:ilvl w:val="0"/>
          <w:numId w:val="155"/>
        </w:numPr>
        <w:rPr>
          <w:rFonts w:ascii="Arial" w:cs="Arial" w:eastAsia="Arial" w:hAnsi="Arial"/>
          <w:sz w:val="13"/>
          <w:szCs w:val="13"/>
          <w:color w:val="135DA7"/>
        </w:rPr>
      </w:pPr>
      <w:r>
        <w:rPr>
          <w:rFonts w:ascii="Arial" w:cs="Arial" w:eastAsia="Arial" w:hAnsi="Arial"/>
          <w:sz w:val="13"/>
          <w:szCs w:val="13"/>
          <w:color w:val="105EAB"/>
        </w:rPr>
        <w:t xml:space="preserve">Equity Incentive Awards. </w:t>
      </w:r>
      <w:r>
        <w:rPr>
          <w:rFonts w:ascii="Arial" w:cs="Arial" w:eastAsia="Arial" w:hAnsi="Arial"/>
          <w:sz w:val="13"/>
          <w:szCs w:val="13"/>
          <w:color w:val="000000"/>
        </w:rPr>
        <w:t>In February 2018, based on a review of Mr. Dugenske’s</w:t>
      </w:r>
      <w:r>
        <w:rPr>
          <w:rFonts w:ascii="Arial" w:cs="Arial" w:eastAsia="Arial" w:hAnsi="Arial"/>
          <w:sz w:val="13"/>
          <w:szCs w:val="13"/>
          <w:color w:val="105EAB"/>
        </w:rPr>
        <w:t xml:space="preserve"> </w:t>
      </w:r>
      <w:r>
        <w:rPr>
          <w:rFonts w:ascii="Arial" w:cs="Arial" w:eastAsia="Arial" w:hAnsi="Arial"/>
          <w:sz w:val="13"/>
          <w:szCs w:val="13"/>
          <w:color w:val="000000"/>
        </w:rPr>
        <w:t>performance during 2017, the committee granted him equity awards with a grant date fair value of $2,300,036, which was Mr. Dugenske’s target equity incentive award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-3668395</wp:posOffset>
            </wp:positionH>
            <wp:positionV relativeFrom="paragraph">
              <wp:posOffset>154305</wp:posOffset>
            </wp:positionV>
            <wp:extent cx="724662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pacing w:after="0" w:line="388" w:lineRule="exact"/>
        <w:rPr>
          <w:sz w:val="20"/>
          <w:szCs w:val="20"/>
          <w:color w:val="auto"/>
        </w:rPr>
      </w:pPr>
    </w:p>
    <w:p>
      <w:pPr>
        <w:sectPr>
          <w:pgSz w:w="11900" w:h="16838" w:orient="portrait"/>
          <w:cols w:equalWidth="0" w:num="2">
            <w:col w:w="5420" w:space="366"/>
            <w:col w:w="5654"/>
          </w:cols>
          <w:pgMar w:left="240" w:top="121" w:right="219" w:bottom="1440" w:gutter="0" w:footer="0" w:header="0"/>
          <w:type w:val="continuous"/>
        </w:sectPr>
      </w:pP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1120" w:type="dxa"/>
            <w:vAlign w:val="bottom"/>
          </w:tcPr>
          <w:p>
            <w:pPr>
              <w:ind w:left="9640"/>
              <w:spacing w:after="0"/>
              <w:rPr>
                <w:sz w:val="20"/>
                <w:szCs w:val="20"/>
                <w:color w:val="auto"/>
              </w:rPr>
            </w:pPr>
            <w:r>
              <w:rPr>
                <w:rFonts w:ascii="Arial" w:cs="Arial" w:eastAsia="Arial" w:hAnsi="Arial"/>
                <w:sz w:val="13"/>
                <w:szCs w:val="13"/>
                <w:color w:val="105EAB"/>
              </w:rPr>
              <w:t>2019 Proxy Statement</w:t>
            </w:r>
          </w:p>
        </w:tc>
        <w:tc>
          <w:tcPr>
            <w:tcW w:w="320" w:type="dxa"/>
            <w:vAlign w:val="bottom"/>
          </w:tcPr>
          <w:p>
            <w:pPr>
              <w:jc w:val="right"/>
              <w:spacing w:after="0"/>
              <w:rPr>
                <w:sz w:val="20"/>
                <w:szCs w:val="20"/>
                <w:color w:val="auto"/>
              </w:rPr>
            </w:pPr>
            <w:r>
              <w:rPr>
                <w:rFonts w:ascii="Arial" w:cs="Arial" w:eastAsia="Arial" w:hAnsi="Arial"/>
                <w:sz w:val="13"/>
                <w:szCs w:val="13"/>
                <w:b w:val="1"/>
                <w:bCs w:val="1"/>
                <w:color w:val="105EAB"/>
              </w:rPr>
              <w:t>41</w:t>
            </w:r>
          </w:p>
        </w:tc>
      </w:tr>
      <w:tr>
        <w:trPr>
          <w:trHeight w:val="213"/>
        </w:trPr>
        <w:tc>
          <w:tcPr>
            <w:tcW w:w="1112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-13970</wp:posOffset>
            </wp:positionV>
            <wp:extent cx="1270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type w:val="continuous"/>
        </w:sectPr>
      </w:pPr>
    </w:p>
    <w:bookmarkStart w:id="42" w:name="page43"/>
    <w:bookmarkEnd w:id="42"/>
    <w:p>
      <w:pPr>
        <w:spacing w:after="0"/>
        <w:rPr>
          <w:rFonts w:ascii="Arial" w:cs="Arial" w:eastAsia="Arial" w:hAnsi="Arial"/>
          <w:sz w:val="16"/>
          <w:szCs w:val="16"/>
          <w:b w:val="1"/>
          <w:bCs w:val="1"/>
          <w:u w:val="single" w:color="auto"/>
          <w:color w:val="0000EE"/>
        </w:rPr>
      </w:pPr>
      <w:hyperlink w:anchor="page10">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320"/>
          </w:cols>
          <w:pgMar w:left="240" w:top="121" w:right="339" w:bottom="1440" w:gutter="0" w:footer="0" w:header="0"/>
        </w:sectPr>
      </w:pPr>
    </w:p>
    <w:p>
      <w:pPr>
        <w:spacing w:after="0" w:line="236" w:lineRule="exact"/>
        <w:rPr>
          <w:sz w:val="20"/>
          <w:szCs w:val="20"/>
          <w:color w:val="auto"/>
        </w:rPr>
      </w:pPr>
    </w:p>
    <w:p>
      <w:pPr>
        <w:spacing w:after="0"/>
        <w:rPr>
          <w:sz w:val="20"/>
          <w:szCs w:val="20"/>
          <w:color w:val="auto"/>
        </w:rPr>
      </w:pPr>
      <w:r>
        <w:rPr>
          <w:rFonts w:ascii="Arial" w:cs="Arial" w:eastAsia="Arial" w:hAnsi="Arial"/>
          <w:sz w:val="13"/>
          <w:szCs w:val="13"/>
          <w:b w:val="1"/>
          <w:bCs w:val="1"/>
          <w:color w:val="105EAB"/>
        </w:rPr>
        <w:t xml:space="preserve">Executive Compensation | </w:t>
      </w:r>
      <w:r>
        <w:rPr>
          <w:rFonts w:ascii="Arial" w:cs="Arial" w:eastAsia="Arial" w:hAnsi="Arial"/>
          <w:sz w:val="13"/>
          <w:szCs w:val="13"/>
          <w:b w:val="1"/>
          <w:bCs w:val="1"/>
          <w:color w:val="000000"/>
        </w:rPr>
        <w:t>Compensation Discussion and Analysis</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color w:val="105EAB"/>
        </w:rPr>
        <w:t>GLENN T. SHAPIRO</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39B6E9"/>
        </w:rPr>
        <w:t>President, Allstate Personal 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497649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4976495" cy="8255"/>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b w:val="1"/>
          <w:bCs w:val="1"/>
          <w:color w:val="105EAB"/>
        </w:rPr>
        <w:t>Key Responsibilities</w:t>
      </w:r>
    </w:p>
    <w:p>
      <w:pPr>
        <w:spacing w:after="0" w:line="15" w:lineRule="exact"/>
        <w:rPr>
          <w:sz w:val="20"/>
          <w:szCs w:val="20"/>
          <w:color w:val="auto"/>
        </w:rPr>
      </w:pPr>
    </w:p>
    <w:p>
      <w:pPr>
        <w:spacing w:after="0" w:line="258" w:lineRule="auto"/>
        <w:rPr>
          <w:sz w:val="20"/>
          <w:szCs w:val="20"/>
          <w:color w:val="auto"/>
        </w:rPr>
      </w:pPr>
      <w:r>
        <w:rPr>
          <w:rFonts w:ascii="Arial" w:cs="Arial" w:eastAsia="Arial" w:hAnsi="Arial"/>
          <w:sz w:val="13"/>
          <w:szCs w:val="13"/>
          <w:color w:val="auto"/>
        </w:rPr>
        <w:t>Mr. Shapiro is President of Allstate Brand Personal Lines and leads the product, claims, operations, risk, finance and distribution for this business, which comprises approximately 90% of Allstate’s total earned premiums.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713105</wp:posOffset>
            </wp:positionV>
            <wp:extent cx="7246620" cy="155067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46620" cy="15506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3"/>
          <w:szCs w:val="13"/>
          <w:b w:val="1"/>
          <w:bCs w:val="1"/>
          <w:color w:val="105EAB"/>
        </w:rPr>
        <w:t>2018 COMPENSATION</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0</wp:posOffset>
            </wp:positionV>
            <wp:extent cx="2012950" cy="10795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012950" cy="1079500"/>
                    </a:xfrm>
                    <a:prstGeom prst="rect">
                      <a:avLst/>
                    </a:prstGeom>
                    <a:noFill/>
                  </pic:spPr>
                </pic:pic>
              </a:graphicData>
            </a:graphic>
          </wp:anchor>
        </w:drawing>
      </w:r>
    </w:p>
    <w:p>
      <w:pPr>
        <w:spacing w:after="0" w:line="1019" w:lineRule="exact"/>
        <w:rPr>
          <w:sz w:val="20"/>
          <w:szCs w:val="20"/>
          <w:color w:val="auto"/>
        </w:rPr>
      </w:pPr>
    </w:p>
    <w:p>
      <w:pPr>
        <w:sectPr>
          <w:pgSz w:w="11900" w:h="16838" w:orient="portrait"/>
          <w:cols w:equalWidth="0" w:num="2">
            <w:col w:w="7840" w:space="280"/>
            <w:col w:w="3200"/>
          </w:cols>
          <w:pgMar w:left="24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80"/>
        <w:spacing w:after="0"/>
        <w:rPr>
          <w:sz w:val="20"/>
          <w:szCs w:val="20"/>
          <w:color w:val="auto"/>
        </w:rPr>
      </w:pPr>
      <w:r>
        <w:rPr>
          <w:rFonts w:ascii="Arial" w:cs="Arial" w:eastAsia="Arial" w:hAnsi="Arial"/>
          <w:sz w:val="13"/>
          <w:szCs w:val="13"/>
          <w:b w:val="1"/>
          <w:bCs w:val="1"/>
          <w:color w:val="105EAB"/>
        </w:rPr>
        <w:t>2018 Performance</w:t>
      </w:r>
    </w:p>
    <w:p>
      <w:pPr>
        <w:ind w:left="80"/>
        <w:spacing w:after="0" w:line="193" w:lineRule="auto"/>
        <w:rPr>
          <w:sz w:val="20"/>
          <w:szCs w:val="20"/>
          <w:color w:val="auto"/>
        </w:rPr>
      </w:pPr>
      <w:r>
        <w:rPr>
          <w:rFonts w:ascii="Arial" w:cs="Arial" w:eastAsia="Arial" w:hAnsi="Arial"/>
          <w:sz w:val="13"/>
          <w:szCs w:val="13"/>
          <w:color w:val="auto"/>
        </w:rPr>
        <w:t>Successfully transitioned leadership from Allstate’s President, further expanded Integrated Digital Enterprise initiatives, including Drivewise</w:t>
      </w:r>
      <w:r>
        <w:rPr>
          <w:rFonts w:ascii="Arial" w:cs="Arial" w:eastAsia="Arial" w:hAnsi="Arial"/>
          <w:sz w:val="22"/>
          <w:szCs w:val="22"/>
          <w:color w:val="auto"/>
          <w:vertAlign w:val="superscript"/>
        </w:rPr>
        <w:t>®</w:t>
      </w:r>
      <w:r>
        <w:rPr>
          <w:rFonts w:ascii="Arial" w:cs="Arial" w:eastAsia="Arial" w:hAnsi="Arial"/>
          <w:sz w:val="13"/>
          <w:szCs w:val="13"/>
          <w:color w:val="auto"/>
        </w:rPr>
        <w:t xml:space="preserve"> telematics utilization and QuickFoto Claim.</w:t>
      </w:r>
    </w:p>
    <w:p>
      <w:pPr>
        <w:ind w:left="80"/>
        <w:spacing w:after="0"/>
        <w:rPr>
          <w:sz w:val="20"/>
          <w:szCs w:val="20"/>
          <w:color w:val="auto"/>
        </w:rPr>
      </w:pPr>
      <w:r>
        <w:rPr>
          <w:rFonts w:ascii="Arial" w:cs="Arial" w:eastAsia="Arial" w:hAnsi="Arial"/>
          <w:sz w:val="13"/>
          <w:szCs w:val="13"/>
          <w:color w:val="auto"/>
        </w:rPr>
        <w:t>Allstate brand property-liability business had growth in policies in force of 2.3%, and underlying profitability exceeded plan.</w:t>
      </w:r>
    </w:p>
    <w:p>
      <w:pPr>
        <w:sectPr>
          <w:pgSz w:w="11900" w:h="16838" w:orient="portrait"/>
          <w:cols w:equalWidth="0" w:num="1">
            <w:col w:w="11320"/>
          </w:cols>
          <w:pgMar w:left="240" w:top="121" w:right="339" w:bottom="1440" w:gutter="0" w:footer="0" w:header="0"/>
          <w:type w:val="continuous"/>
        </w:sectPr>
      </w:pPr>
    </w:p>
    <w:p>
      <w:pPr>
        <w:spacing w:after="0" w:line="199" w:lineRule="exact"/>
        <w:rPr>
          <w:sz w:val="20"/>
          <w:szCs w:val="20"/>
          <w:color w:val="auto"/>
        </w:rPr>
      </w:pPr>
    </w:p>
    <w:p>
      <w:pPr>
        <w:ind w:left="80"/>
        <w:spacing w:after="0"/>
        <w:rPr>
          <w:sz w:val="20"/>
          <w:szCs w:val="20"/>
          <w:color w:val="auto"/>
        </w:rPr>
      </w:pPr>
      <w:r>
        <w:rPr>
          <w:rFonts w:ascii="Arial" w:cs="Arial" w:eastAsia="Arial" w:hAnsi="Arial"/>
          <w:sz w:val="13"/>
          <w:szCs w:val="13"/>
          <w:b w:val="1"/>
          <w:bCs w:val="1"/>
          <w:color w:val="105EAB"/>
        </w:rPr>
        <w:t>2018 Compensation Decisions</w:t>
      </w:r>
    </w:p>
    <w:p>
      <w:pPr>
        <w:spacing w:after="0" w:line="15" w:lineRule="exact"/>
        <w:rPr>
          <w:sz w:val="20"/>
          <w:szCs w:val="20"/>
          <w:color w:val="auto"/>
        </w:rPr>
      </w:pPr>
    </w:p>
    <w:p>
      <w:pPr>
        <w:ind w:left="340" w:hanging="260"/>
        <w:spacing w:after="0"/>
        <w:tabs>
          <w:tab w:leader="none" w:pos="340" w:val="left"/>
        </w:tabs>
        <w:numPr>
          <w:ilvl w:val="0"/>
          <w:numId w:val="156"/>
        </w:numPr>
        <w:rPr>
          <w:rFonts w:ascii="Arial" w:cs="Arial" w:eastAsia="Arial" w:hAnsi="Arial"/>
          <w:sz w:val="13"/>
          <w:szCs w:val="13"/>
          <w:color w:val="135DA7"/>
        </w:rPr>
      </w:pPr>
      <w:r>
        <w:rPr>
          <w:rFonts w:ascii="Arial" w:cs="Arial" w:eastAsia="Arial" w:hAnsi="Arial"/>
          <w:sz w:val="13"/>
          <w:szCs w:val="13"/>
          <w:color w:val="105EAB"/>
        </w:rPr>
        <w:t xml:space="preserve">Salary. </w:t>
      </w:r>
      <w:r>
        <w:rPr>
          <w:rFonts w:ascii="Arial" w:cs="Arial" w:eastAsia="Arial" w:hAnsi="Arial"/>
          <w:sz w:val="13"/>
          <w:szCs w:val="13"/>
          <w:color w:val="000000"/>
        </w:rPr>
        <w:t>$750,000.</w:t>
      </w:r>
    </w:p>
    <w:p>
      <w:pPr>
        <w:spacing w:after="0" w:line="106" w:lineRule="exact"/>
        <w:rPr>
          <w:rFonts w:ascii="Arial" w:cs="Arial" w:eastAsia="Arial" w:hAnsi="Arial"/>
          <w:sz w:val="13"/>
          <w:szCs w:val="13"/>
          <w:color w:val="135DA7"/>
        </w:rPr>
      </w:pPr>
    </w:p>
    <w:p>
      <w:pPr>
        <w:ind w:left="340" w:hanging="260"/>
        <w:spacing w:after="0" w:line="258" w:lineRule="auto"/>
        <w:tabs>
          <w:tab w:leader="none" w:pos="329" w:val="left"/>
        </w:tabs>
        <w:numPr>
          <w:ilvl w:val="0"/>
          <w:numId w:val="156"/>
        </w:numPr>
        <w:rPr>
          <w:rFonts w:ascii="Arial" w:cs="Arial" w:eastAsia="Arial" w:hAnsi="Arial"/>
          <w:sz w:val="13"/>
          <w:szCs w:val="13"/>
          <w:color w:val="135DA7"/>
        </w:rPr>
      </w:pPr>
      <w:r>
        <w:rPr>
          <w:rFonts w:ascii="Arial" w:cs="Arial" w:eastAsia="Arial" w:hAnsi="Arial"/>
          <w:sz w:val="13"/>
          <w:szCs w:val="13"/>
          <w:color w:val="105EAB"/>
        </w:rPr>
        <w:t xml:space="preserve">Incentive Targets. </w:t>
      </w:r>
      <w:r>
        <w:rPr>
          <w:rFonts w:ascii="Arial" w:cs="Arial" w:eastAsia="Arial" w:hAnsi="Arial"/>
          <w:sz w:val="13"/>
          <w:szCs w:val="13"/>
          <w:color w:val="000000"/>
        </w:rPr>
        <w:t>Mr. Shapiro’s annual incentive target was 150% of salary and his</w:t>
      </w:r>
      <w:r>
        <w:rPr>
          <w:rFonts w:ascii="Arial" w:cs="Arial" w:eastAsia="Arial" w:hAnsi="Arial"/>
          <w:sz w:val="13"/>
          <w:szCs w:val="13"/>
          <w:color w:val="105EAB"/>
        </w:rPr>
        <w:t xml:space="preserve"> </w:t>
      </w:r>
      <w:r>
        <w:rPr>
          <w:rFonts w:ascii="Arial" w:cs="Arial" w:eastAsia="Arial" w:hAnsi="Arial"/>
          <w:sz w:val="13"/>
          <w:szCs w:val="13"/>
          <w:color w:val="000000"/>
        </w:rPr>
        <w:t>target equity incentive opportunity was 325% of salary.</w:t>
      </w:r>
    </w:p>
    <w:p>
      <w:pPr>
        <w:spacing w:after="0" w:line="20" w:lineRule="exact"/>
        <w:rPr>
          <w:sz w:val="20"/>
          <w:szCs w:val="20"/>
          <w:color w:val="auto"/>
        </w:rPr>
      </w:pPr>
      <w:r>
        <w:rPr>
          <w:sz w:val="20"/>
          <w:szCs w:val="20"/>
          <w:color w:val="auto"/>
        </w:rPr>
        <w:br w:type="column"/>
      </w:r>
    </w:p>
    <w:p>
      <w:pPr>
        <w:spacing w:after="0" w:line="343" w:lineRule="exact"/>
        <w:rPr>
          <w:sz w:val="20"/>
          <w:szCs w:val="20"/>
          <w:color w:val="auto"/>
        </w:rPr>
      </w:pPr>
    </w:p>
    <w:p>
      <w:pPr>
        <w:ind w:left="274" w:hanging="274"/>
        <w:spacing w:after="0" w:line="243" w:lineRule="auto"/>
        <w:tabs>
          <w:tab w:leader="none" w:pos="264" w:val="left"/>
        </w:tabs>
        <w:numPr>
          <w:ilvl w:val="0"/>
          <w:numId w:val="157"/>
        </w:numPr>
        <w:rPr>
          <w:rFonts w:ascii="Arial" w:cs="Arial" w:eastAsia="Arial" w:hAnsi="Arial"/>
          <w:sz w:val="13"/>
          <w:szCs w:val="13"/>
          <w:color w:val="135DA7"/>
        </w:rPr>
      </w:pPr>
      <w:r>
        <w:rPr>
          <w:rFonts w:ascii="Arial" w:cs="Arial" w:eastAsia="Arial" w:hAnsi="Arial"/>
          <w:sz w:val="13"/>
          <w:szCs w:val="13"/>
          <w:color w:val="105EAB"/>
        </w:rPr>
        <w:t xml:space="preserve">Annual Cash Incentive Award. </w:t>
      </w:r>
      <w:r>
        <w:rPr>
          <w:rFonts w:ascii="Arial" w:cs="Arial" w:eastAsia="Arial" w:hAnsi="Arial"/>
          <w:sz w:val="13"/>
          <w:szCs w:val="13"/>
          <w:color w:val="000000"/>
        </w:rPr>
        <w:t>The committee approved an annual cash incentive award</w:t>
      </w:r>
      <w:r>
        <w:rPr>
          <w:rFonts w:ascii="Arial" w:cs="Arial" w:eastAsia="Arial" w:hAnsi="Arial"/>
          <w:sz w:val="13"/>
          <w:szCs w:val="13"/>
          <w:color w:val="105EAB"/>
        </w:rPr>
        <w:t xml:space="preserve"> </w:t>
      </w:r>
      <w:r>
        <w:rPr>
          <w:rFonts w:ascii="Arial" w:cs="Arial" w:eastAsia="Arial" w:hAnsi="Arial"/>
          <w:sz w:val="13"/>
          <w:szCs w:val="13"/>
          <w:color w:val="000000"/>
        </w:rPr>
        <w:t>of $2,050,000 for Mr. Shapiro, which was 182.8% of target and above the funding level as determined by the actual results for the three performance measures. The award was calculated above pool funding to recognize strong business results for Allstate Brand Personal Lines.</w:t>
      </w:r>
    </w:p>
    <w:p>
      <w:pPr>
        <w:spacing w:after="0" w:line="93" w:lineRule="exact"/>
        <w:rPr>
          <w:rFonts w:ascii="Arial" w:cs="Arial" w:eastAsia="Arial" w:hAnsi="Arial"/>
          <w:sz w:val="13"/>
          <w:szCs w:val="13"/>
          <w:color w:val="135DA7"/>
        </w:rPr>
      </w:pPr>
    </w:p>
    <w:p>
      <w:pPr>
        <w:ind w:left="274" w:right="180" w:hanging="274"/>
        <w:spacing w:after="0" w:line="244" w:lineRule="auto"/>
        <w:tabs>
          <w:tab w:leader="none" w:pos="264" w:val="left"/>
        </w:tabs>
        <w:numPr>
          <w:ilvl w:val="0"/>
          <w:numId w:val="157"/>
        </w:numPr>
        <w:rPr>
          <w:rFonts w:ascii="Arial" w:cs="Arial" w:eastAsia="Arial" w:hAnsi="Arial"/>
          <w:sz w:val="13"/>
          <w:szCs w:val="13"/>
          <w:color w:val="135DA7"/>
        </w:rPr>
      </w:pPr>
      <w:r>
        <w:rPr>
          <w:rFonts w:ascii="Arial" w:cs="Arial" w:eastAsia="Arial" w:hAnsi="Arial"/>
          <w:sz w:val="13"/>
          <w:szCs w:val="13"/>
          <w:color w:val="105EAB"/>
        </w:rPr>
        <w:t xml:space="preserve">Equity Incentive Awards. </w:t>
      </w:r>
      <w:r>
        <w:rPr>
          <w:rFonts w:ascii="Arial" w:cs="Arial" w:eastAsia="Arial" w:hAnsi="Arial"/>
          <w:sz w:val="13"/>
          <w:szCs w:val="13"/>
          <w:color w:val="000000"/>
        </w:rPr>
        <w:t>In February 2018, based on a review of Mr. Shapiro’s</w:t>
      </w:r>
      <w:r>
        <w:rPr>
          <w:rFonts w:ascii="Arial" w:cs="Arial" w:eastAsia="Arial" w:hAnsi="Arial"/>
          <w:sz w:val="13"/>
          <w:szCs w:val="13"/>
          <w:color w:val="105EAB"/>
        </w:rPr>
        <w:t xml:space="preserve"> </w:t>
      </w:r>
      <w:r>
        <w:rPr>
          <w:rFonts w:ascii="Arial" w:cs="Arial" w:eastAsia="Arial" w:hAnsi="Arial"/>
          <w:sz w:val="13"/>
          <w:szCs w:val="13"/>
          <w:color w:val="000000"/>
        </w:rPr>
        <w:t>performance during 2017, the committee granted him equity awards with a grant date fair value of $2,437,523, which was Mr. Shapiro’s target equity incentive award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-3668395</wp:posOffset>
            </wp:positionH>
            <wp:positionV relativeFrom="paragraph">
              <wp:posOffset>34290</wp:posOffset>
            </wp:positionV>
            <wp:extent cx="724662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00" w:space="486"/>
            <w:col w:w="5534"/>
          </w:cols>
          <w:pgMar w:left="240" w:top="121" w:right="339" w:bottom="1440" w:gutter="0" w:footer="0" w:header="0"/>
          <w:type w:val="continuous"/>
        </w:sectPr>
      </w:pPr>
    </w:p>
    <w:p>
      <w:pPr>
        <w:spacing w:after="0" w:line="78" w:lineRule="exact"/>
        <w:rPr>
          <w:sz w:val="20"/>
          <w:szCs w:val="20"/>
          <w:color w:val="auto"/>
        </w:rPr>
      </w:pPr>
    </w:p>
    <w:p>
      <w:pPr>
        <w:spacing w:after="0"/>
        <w:rPr>
          <w:sz w:val="20"/>
          <w:szCs w:val="20"/>
          <w:color w:val="auto"/>
        </w:rPr>
      </w:pPr>
      <w:r>
        <w:rPr>
          <w:rFonts w:ascii="Arial" w:cs="Arial" w:eastAsia="Arial" w:hAnsi="Arial"/>
          <w:sz w:val="22"/>
          <w:szCs w:val="22"/>
          <w:b w:val="1"/>
          <w:bCs w:val="1"/>
          <w:color w:val="105EAB"/>
        </w:rPr>
        <w:t>STEVEN E. SHEBIK</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39B6E9"/>
        </w:rPr>
        <w:t>Vice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497649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4976495" cy="8255"/>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b w:val="1"/>
          <w:bCs w:val="1"/>
          <w:color w:val="105EAB"/>
        </w:rPr>
        <w:t>Key Responsibilities</w:t>
      </w:r>
    </w:p>
    <w:p>
      <w:pPr>
        <w:spacing w:after="0" w:line="15"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Our Vice Chair has primary responsibility for oversight of Allstate Life and Retirement, Allstate Benefits, Encompass, Esurance, Allstate Business Insurance, Business Transformation, Discontinued Lines, and D3, a corporate analytics team. Mr. Shebik was previously the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622935</wp:posOffset>
            </wp:positionV>
            <wp:extent cx="7246620" cy="133604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46620" cy="13360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spacing w:after="0"/>
        <w:rPr>
          <w:sz w:val="20"/>
          <w:szCs w:val="20"/>
          <w:color w:val="auto"/>
        </w:rPr>
      </w:pPr>
      <w:r>
        <w:rPr>
          <w:rFonts w:ascii="Arial" w:cs="Arial" w:eastAsia="Arial" w:hAnsi="Arial"/>
          <w:sz w:val="13"/>
          <w:szCs w:val="13"/>
          <w:b w:val="1"/>
          <w:bCs w:val="1"/>
          <w:color w:val="105EAB"/>
        </w:rPr>
        <w:t>2018 COMPENSATION</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0</wp:posOffset>
            </wp:positionV>
            <wp:extent cx="2030095" cy="10795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030095" cy="1079500"/>
                    </a:xfrm>
                    <a:prstGeom prst="rect">
                      <a:avLst/>
                    </a:prstGeom>
                    <a:noFill/>
                  </pic:spPr>
                </pic:pic>
              </a:graphicData>
            </a:graphic>
          </wp:anchor>
        </w:drawing>
      </w:r>
    </w:p>
    <w:p>
      <w:pPr>
        <w:spacing w:after="0" w:line="1161" w:lineRule="exact"/>
        <w:rPr>
          <w:sz w:val="20"/>
          <w:szCs w:val="20"/>
          <w:color w:val="auto"/>
        </w:rPr>
      </w:pPr>
    </w:p>
    <w:p>
      <w:pPr>
        <w:sectPr>
          <w:pgSz w:w="11900" w:h="16838" w:orient="portrait"/>
          <w:cols w:equalWidth="0" w:num="2">
            <w:col w:w="7600" w:space="520"/>
            <w:col w:w="3200"/>
          </w:cols>
          <w:pgMar w:left="24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80"/>
        <w:spacing w:after="0"/>
        <w:rPr>
          <w:sz w:val="20"/>
          <w:szCs w:val="20"/>
          <w:color w:val="auto"/>
        </w:rPr>
      </w:pPr>
      <w:r>
        <w:rPr>
          <w:rFonts w:ascii="Arial" w:cs="Arial" w:eastAsia="Arial" w:hAnsi="Arial"/>
          <w:sz w:val="13"/>
          <w:szCs w:val="13"/>
          <w:b w:val="1"/>
          <w:bCs w:val="1"/>
          <w:color w:val="105EAB"/>
        </w:rPr>
        <w:t>2018 Performance</w:t>
      </w:r>
    </w:p>
    <w:p>
      <w:pPr>
        <w:spacing w:after="0" w:line="15" w:lineRule="exact"/>
        <w:rPr>
          <w:sz w:val="20"/>
          <w:szCs w:val="20"/>
          <w:color w:val="auto"/>
        </w:rPr>
      </w:pPr>
    </w:p>
    <w:p>
      <w:pPr>
        <w:ind w:left="80" w:right="140"/>
        <w:spacing w:after="0" w:line="258" w:lineRule="auto"/>
        <w:rPr>
          <w:sz w:val="20"/>
          <w:szCs w:val="20"/>
          <w:color w:val="auto"/>
        </w:rPr>
      </w:pPr>
      <w:r>
        <w:rPr>
          <w:rFonts w:ascii="Arial" w:cs="Arial" w:eastAsia="Arial" w:hAnsi="Arial"/>
          <w:sz w:val="13"/>
          <w:szCs w:val="13"/>
          <w:color w:val="auto"/>
        </w:rPr>
        <w:t>Strong performance as Vice Chair with broad impact across the Company, including initiation of a relationship with a transportation network company, significant improvement in Esurance profitability, and acquisition of InfoArmor.</w:t>
      </w:r>
    </w:p>
    <w:p>
      <w:pPr>
        <w:sectPr>
          <w:pgSz w:w="11900" w:h="16838" w:orient="portrait"/>
          <w:cols w:equalWidth="0" w:num="1">
            <w:col w:w="11320"/>
          </w:cols>
          <w:pgMar w:left="240" w:top="121" w:right="339" w:bottom="1440" w:gutter="0" w:footer="0" w:header="0"/>
          <w:type w:val="continuous"/>
        </w:sectPr>
      </w:pPr>
    </w:p>
    <w:p>
      <w:pPr>
        <w:spacing w:after="0" w:line="175" w:lineRule="exact"/>
        <w:rPr>
          <w:sz w:val="20"/>
          <w:szCs w:val="20"/>
          <w:color w:val="auto"/>
        </w:rPr>
      </w:pPr>
    </w:p>
    <w:p>
      <w:pPr>
        <w:ind w:left="80"/>
        <w:spacing w:after="0"/>
        <w:rPr>
          <w:sz w:val="20"/>
          <w:szCs w:val="20"/>
          <w:color w:val="auto"/>
        </w:rPr>
      </w:pPr>
      <w:r>
        <w:rPr>
          <w:rFonts w:ascii="Arial" w:cs="Arial" w:eastAsia="Arial" w:hAnsi="Arial"/>
          <w:sz w:val="13"/>
          <w:szCs w:val="13"/>
          <w:b w:val="1"/>
          <w:bCs w:val="1"/>
          <w:color w:val="105EAB"/>
        </w:rPr>
        <w:t>2018 Compensation Decisions</w:t>
      </w:r>
    </w:p>
    <w:p>
      <w:pPr>
        <w:spacing w:after="0" w:line="15" w:lineRule="exact"/>
        <w:rPr>
          <w:sz w:val="20"/>
          <w:szCs w:val="20"/>
          <w:color w:val="auto"/>
        </w:rPr>
      </w:pPr>
    </w:p>
    <w:p>
      <w:pPr>
        <w:ind w:left="340" w:right="280" w:hanging="260"/>
        <w:spacing w:after="0" w:line="258" w:lineRule="auto"/>
        <w:tabs>
          <w:tab w:leader="none" w:pos="329" w:val="left"/>
        </w:tabs>
        <w:numPr>
          <w:ilvl w:val="0"/>
          <w:numId w:val="158"/>
        </w:numPr>
        <w:rPr>
          <w:rFonts w:ascii="Arial" w:cs="Arial" w:eastAsia="Arial" w:hAnsi="Arial"/>
          <w:sz w:val="13"/>
          <w:szCs w:val="13"/>
          <w:color w:val="135DA7"/>
        </w:rPr>
      </w:pPr>
      <w:r>
        <w:rPr>
          <w:rFonts w:ascii="Arial" w:cs="Arial" w:eastAsia="Arial" w:hAnsi="Arial"/>
          <w:sz w:val="13"/>
          <w:szCs w:val="13"/>
          <w:color w:val="105EAB"/>
        </w:rPr>
        <w:t xml:space="preserve">Salary. </w:t>
      </w:r>
      <w:r>
        <w:rPr>
          <w:rFonts w:ascii="Arial" w:cs="Arial" w:eastAsia="Arial" w:hAnsi="Arial"/>
          <w:sz w:val="13"/>
          <w:szCs w:val="13"/>
          <w:color w:val="000000"/>
        </w:rPr>
        <w:t>The committee approved an increase from $800,000 to $850,000 during</w:t>
      </w:r>
      <w:r>
        <w:rPr>
          <w:rFonts w:ascii="Arial" w:cs="Arial" w:eastAsia="Arial" w:hAnsi="Arial"/>
          <w:sz w:val="13"/>
          <w:szCs w:val="13"/>
          <w:color w:val="105EAB"/>
        </w:rPr>
        <w:t xml:space="preserve"> </w:t>
      </w:r>
      <w:r>
        <w:rPr>
          <w:rFonts w:ascii="Arial" w:cs="Arial" w:eastAsia="Arial" w:hAnsi="Arial"/>
          <w:sz w:val="13"/>
          <w:szCs w:val="13"/>
          <w:color w:val="000000"/>
        </w:rPr>
        <w:t>2018, based on his new role.</w:t>
      </w:r>
    </w:p>
    <w:p>
      <w:pPr>
        <w:spacing w:after="0" w:line="83" w:lineRule="exact"/>
        <w:rPr>
          <w:rFonts w:ascii="Arial" w:cs="Arial" w:eastAsia="Arial" w:hAnsi="Arial"/>
          <w:sz w:val="13"/>
          <w:szCs w:val="13"/>
          <w:color w:val="135DA7"/>
        </w:rPr>
      </w:pPr>
    </w:p>
    <w:p>
      <w:pPr>
        <w:ind w:left="340" w:hanging="260"/>
        <w:spacing w:after="0" w:line="238" w:lineRule="auto"/>
        <w:tabs>
          <w:tab w:leader="none" w:pos="329" w:val="left"/>
        </w:tabs>
        <w:numPr>
          <w:ilvl w:val="0"/>
          <w:numId w:val="158"/>
        </w:numPr>
        <w:rPr>
          <w:rFonts w:ascii="Arial" w:cs="Arial" w:eastAsia="Arial" w:hAnsi="Arial"/>
          <w:sz w:val="13"/>
          <w:szCs w:val="13"/>
          <w:color w:val="135DA7"/>
        </w:rPr>
      </w:pPr>
      <w:r>
        <w:rPr>
          <w:rFonts w:ascii="Arial" w:cs="Arial" w:eastAsia="Arial" w:hAnsi="Arial"/>
          <w:sz w:val="13"/>
          <w:szCs w:val="13"/>
          <w:color w:val="105EAB"/>
        </w:rPr>
        <w:t xml:space="preserve">Incentive Targets. </w:t>
      </w:r>
      <w:r>
        <w:rPr>
          <w:rFonts w:ascii="Arial" w:cs="Arial" w:eastAsia="Arial" w:hAnsi="Arial"/>
          <w:sz w:val="13"/>
          <w:szCs w:val="13"/>
          <w:color w:val="000000"/>
        </w:rPr>
        <w:t>Mr. Shebik’s annual incentive and equity incentive target</w:t>
      </w:r>
      <w:r>
        <w:rPr>
          <w:rFonts w:ascii="Arial" w:cs="Arial" w:eastAsia="Arial" w:hAnsi="Arial"/>
          <w:sz w:val="13"/>
          <w:szCs w:val="13"/>
          <w:color w:val="105EAB"/>
        </w:rPr>
        <w:t xml:space="preserve"> </w:t>
      </w:r>
      <w:r>
        <w:rPr>
          <w:rFonts w:ascii="Arial" w:cs="Arial" w:eastAsia="Arial" w:hAnsi="Arial"/>
          <w:sz w:val="13"/>
          <w:szCs w:val="13"/>
          <w:color w:val="000000"/>
        </w:rPr>
        <w:t>opportunities were increased based on his new role and benchmarking against Allstate’s peers. Mr. Shebik’s annual incentive target was 200% of salary (previously 175%) and his target equity incentive opportunity was 350% of salary (previously</w:t>
      </w:r>
    </w:p>
    <w:p>
      <w:pPr>
        <w:ind w:left="340"/>
        <w:spacing w:after="0"/>
        <w:rPr>
          <w:rFonts w:ascii="Arial" w:cs="Arial" w:eastAsia="Arial" w:hAnsi="Arial"/>
          <w:sz w:val="13"/>
          <w:szCs w:val="13"/>
          <w:color w:val="135DA7"/>
        </w:rPr>
      </w:pPr>
      <w:r>
        <w:rPr>
          <w:rFonts w:ascii="Arial" w:cs="Arial" w:eastAsia="Arial" w:hAnsi="Arial"/>
          <w:sz w:val="13"/>
          <w:szCs w:val="13"/>
          <w:color w:val="auto"/>
        </w:rPr>
        <w:t>300%).</w:t>
      </w:r>
    </w:p>
    <w:p>
      <w:pPr>
        <w:spacing w:after="0" w:line="20" w:lineRule="exact"/>
        <w:rPr>
          <w:sz w:val="20"/>
          <w:szCs w:val="20"/>
          <w:color w:val="auto"/>
        </w:rPr>
      </w:pPr>
      <w:r>
        <w:rPr>
          <w:sz w:val="20"/>
          <w:szCs w:val="20"/>
          <w:color w:val="auto"/>
        </w:rPr>
        <w:br w:type="column"/>
      </w:r>
    </w:p>
    <w:p>
      <w:pPr>
        <w:spacing w:after="0" w:line="320" w:lineRule="exact"/>
        <w:rPr>
          <w:sz w:val="20"/>
          <w:szCs w:val="20"/>
          <w:color w:val="auto"/>
        </w:rPr>
      </w:pPr>
    </w:p>
    <w:p>
      <w:pPr>
        <w:jc w:val="both"/>
        <w:ind w:left="274" w:right="20" w:hanging="274"/>
        <w:spacing w:after="0" w:line="248" w:lineRule="auto"/>
        <w:tabs>
          <w:tab w:leader="none" w:pos="264" w:val="left"/>
        </w:tabs>
        <w:numPr>
          <w:ilvl w:val="0"/>
          <w:numId w:val="159"/>
        </w:numPr>
        <w:rPr>
          <w:rFonts w:ascii="Arial" w:cs="Arial" w:eastAsia="Arial" w:hAnsi="Arial"/>
          <w:sz w:val="13"/>
          <w:szCs w:val="13"/>
          <w:color w:val="135DA7"/>
        </w:rPr>
      </w:pPr>
      <w:r>
        <w:rPr>
          <w:rFonts w:ascii="Arial" w:cs="Arial" w:eastAsia="Arial" w:hAnsi="Arial"/>
          <w:sz w:val="13"/>
          <w:szCs w:val="13"/>
          <w:color w:val="105EAB"/>
        </w:rPr>
        <w:t xml:space="preserve">Annual Cash Incentive Award. </w:t>
      </w:r>
      <w:r>
        <w:rPr>
          <w:rFonts w:ascii="Arial" w:cs="Arial" w:eastAsia="Arial" w:hAnsi="Arial"/>
          <w:sz w:val="13"/>
          <w:szCs w:val="13"/>
          <w:color w:val="000000"/>
        </w:rPr>
        <w:t>The committee approved an annual cash incentive award</w:t>
      </w:r>
      <w:r>
        <w:rPr>
          <w:rFonts w:ascii="Arial" w:cs="Arial" w:eastAsia="Arial" w:hAnsi="Arial"/>
          <w:sz w:val="13"/>
          <w:szCs w:val="13"/>
          <w:color w:val="105EAB"/>
        </w:rPr>
        <w:t xml:space="preserve"> </w:t>
      </w:r>
      <w:r>
        <w:rPr>
          <w:rFonts w:ascii="Arial" w:cs="Arial" w:eastAsia="Arial" w:hAnsi="Arial"/>
          <w:sz w:val="13"/>
          <w:szCs w:val="13"/>
          <w:color w:val="000000"/>
        </w:rPr>
        <w:t>of $2,945,289 for Mr. Shebik, which was equal to the funding level as determined by the actual results for the three performance measures of 173.4% of target.</w:t>
      </w:r>
    </w:p>
    <w:p>
      <w:pPr>
        <w:spacing w:after="0" w:line="89" w:lineRule="exact"/>
        <w:rPr>
          <w:rFonts w:ascii="Arial" w:cs="Arial" w:eastAsia="Arial" w:hAnsi="Arial"/>
          <w:sz w:val="13"/>
          <w:szCs w:val="13"/>
          <w:color w:val="135DA7"/>
        </w:rPr>
      </w:pPr>
    </w:p>
    <w:p>
      <w:pPr>
        <w:ind w:left="274" w:right="180" w:hanging="274"/>
        <w:spacing w:after="0" w:line="244" w:lineRule="auto"/>
        <w:tabs>
          <w:tab w:leader="none" w:pos="264" w:val="left"/>
        </w:tabs>
        <w:numPr>
          <w:ilvl w:val="0"/>
          <w:numId w:val="159"/>
        </w:numPr>
        <w:rPr>
          <w:rFonts w:ascii="Arial" w:cs="Arial" w:eastAsia="Arial" w:hAnsi="Arial"/>
          <w:sz w:val="13"/>
          <w:szCs w:val="13"/>
          <w:color w:val="135DA7"/>
        </w:rPr>
      </w:pPr>
      <w:r>
        <w:rPr>
          <w:rFonts w:ascii="Arial" w:cs="Arial" w:eastAsia="Arial" w:hAnsi="Arial"/>
          <w:sz w:val="13"/>
          <w:szCs w:val="13"/>
          <w:color w:val="105EAB"/>
        </w:rPr>
        <w:t xml:space="preserve">Equity Incentive Awards. </w:t>
      </w:r>
      <w:r>
        <w:rPr>
          <w:rFonts w:ascii="Arial" w:cs="Arial" w:eastAsia="Arial" w:hAnsi="Arial"/>
          <w:sz w:val="13"/>
          <w:szCs w:val="13"/>
          <w:color w:val="000000"/>
        </w:rPr>
        <w:t>In February 2018, based on a review of Mr. Shebik’s</w:t>
      </w:r>
      <w:r>
        <w:rPr>
          <w:rFonts w:ascii="Arial" w:cs="Arial" w:eastAsia="Arial" w:hAnsi="Arial"/>
          <w:sz w:val="13"/>
          <w:szCs w:val="13"/>
          <w:color w:val="105EAB"/>
        </w:rPr>
        <w:t xml:space="preserve"> </w:t>
      </w:r>
      <w:r>
        <w:rPr>
          <w:rFonts w:ascii="Arial" w:cs="Arial" w:eastAsia="Arial" w:hAnsi="Arial"/>
          <w:sz w:val="13"/>
          <w:szCs w:val="13"/>
          <w:color w:val="000000"/>
        </w:rPr>
        <w:t>performance during 2017, the committee granted him equity awards with a grant date fair value of $2,975,013, which was Mr. Shebik’s target equity incentive award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-3668395</wp:posOffset>
            </wp:positionH>
            <wp:positionV relativeFrom="paragraph">
              <wp:posOffset>34290</wp:posOffset>
            </wp:positionV>
            <wp:extent cx="724662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60" w:space="426"/>
            <w:col w:w="5534"/>
          </w:cols>
          <w:pgMar w:left="240" w:top="121" w:right="339" w:bottom="1440" w:gutter="0" w:footer="0" w:header="0"/>
          <w:type w:val="continuous"/>
        </w:sectPr>
      </w:pPr>
    </w:p>
    <w:p>
      <w:pPr>
        <w:spacing w:after="0" w:line="82" w:lineRule="exact"/>
        <w:rPr>
          <w:sz w:val="20"/>
          <w:szCs w:val="20"/>
          <w:color w:val="auto"/>
        </w:rPr>
      </w:pPr>
    </w:p>
    <w:p>
      <w:pPr>
        <w:ind w:left="460" w:hanging="452"/>
        <w:spacing w:after="0"/>
        <w:tabs>
          <w:tab w:leader="none" w:pos="460" w:val="left"/>
        </w:tabs>
        <w:numPr>
          <w:ilvl w:val="0"/>
          <w:numId w:val="160"/>
        </w:numPr>
        <w:rPr>
          <w:rFonts w:ascii="Arial" w:cs="Arial" w:eastAsia="Arial" w:hAnsi="Arial"/>
          <w:sz w:val="13"/>
          <w:szCs w:val="13"/>
          <w:b w:val="1"/>
          <w:bCs w:val="1"/>
          <w:color w:val="105EAB"/>
        </w:rPr>
      </w:pPr>
      <w:r>
        <w:rPr>
          <w:rFonts w:ascii="Arial" w:cs="Arial" w:eastAsia="Arial" w:hAnsi="Arial"/>
          <w:sz w:val="13"/>
          <w:szCs w:val="13"/>
          <w:color w:val="105EAB"/>
        </w:rPr>
        <w:t>www.allstateproxy.com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134620</wp:posOffset>
            </wp:positionV>
            <wp:extent cx="7268210" cy="209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type w:val="continuous"/>
        </w:sectPr>
      </w:pPr>
    </w:p>
    <w:bookmarkStart w:id="43" w:name="page44"/>
    <w:bookmarkEnd w:id="43"/>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jc w:val="right"/>
        <w:ind w:right="20"/>
        <w:spacing w:after="0"/>
        <w:rPr>
          <w:sz w:val="20"/>
          <w:szCs w:val="20"/>
          <w:color w:val="auto"/>
        </w:rPr>
      </w:pPr>
      <w:r>
        <w:rPr>
          <w:rFonts w:ascii="Arial" w:cs="Arial" w:eastAsia="Arial" w:hAnsi="Arial"/>
          <w:sz w:val="13"/>
          <w:szCs w:val="13"/>
          <w:b w:val="1"/>
          <w:bCs w:val="1"/>
          <w:color w:val="auto"/>
        </w:rPr>
        <w:t xml:space="preserve">Compensation Discussion and Analysis </w:t>
      </w:r>
      <w:r>
        <w:rPr>
          <w:rFonts w:ascii="Arial" w:cs="Arial" w:eastAsia="Arial" w:hAnsi="Arial"/>
          <w:sz w:val="13"/>
          <w:szCs w:val="13"/>
          <w:b w:val="1"/>
          <w:bCs w:val="1"/>
          <w:color w:val="105EAB"/>
        </w:rPr>
        <w:t>| Executive Compensation</w:t>
      </w:r>
    </w:p>
    <w:p>
      <w:pPr>
        <w:spacing w:after="0" w:line="201" w:lineRule="exact"/>
        <w:rPr>
          <w:sz w:val="20"/>
          <w:szCs w:val="20"/>
          <w:color w:val="auto"/>
        </w:rPr>
      </w:pPr>
    </w:p>
    <w:p>
      <w:pPr>
        <w:spacing w:after="0"/>
        <w:rPr>
          <w:sz w:val="20"/>
          <w:szCs w:val="20"/>
          <w:color w:val="auto"/>
        </w:rPr>
      </w:pPr>
      <w:r>
        <w:rPr>
          <w:rFonts w:ascii="Arial" w:cs="Arial" w:eastAsia="Arial" w:hAnsi="Arial"/>
          <w:sz w:val="25"/>
          <w:szCs w:val="25"/>
          <w:b w:val="1"/>
          <w:bCs w:val="1"/>
          <w:color w:val="105EAB"/>
        </w:rPr>
        <w:t>Incentive Design and Goal Setting</w:t>
      </w:r>
    </w:p>
    <w:p>
      <w:pPr>
        <w:spacing w:after="0" w:line="259" w:lineRule="exact"/>
        <w:rPr>
          <w:sz w:val="20"/>
          <w:szCs w:val="20"/>
          <w:color w:val="auto"/>
        </w:rPr>
      </w:pPr>
    </w:p>
    <w:p>
      <w:pPr>
        <w:ind w:right="400"/>
        <w:spacing w:after="0" w:line="237" w:lineRule="auto"/>
        <w:rPr>
          <w:sz w:val="20"/>
          <w:szCs w:val="20"/>
          <w:color w:val="auto"/>
        </w:rPr>
      </w:pPr>
      <w:r>
        <w:rPr>
          <w:rFonts w:ascii="Arial" w:cs="Arial" w:eastAsia="Arial" w:hAnsi="Arial"/>
          <w:sz w:val="18"/>
          <w:szCs w:val="18"/>
          <w:color w:val="auto"/>
        </w:rPr>
        <w:t>For the annual and long-term incentive programs, the committee oversees a rigorous and comprehensive goal-setting process. The committee works to identify performance measures and ranges of performance in the annual and long-term programs that (1) align with the Company’s strategy, operating principles and priorities, and stockholder interests, (2) support the achievement of corporate goals, and (3) reflect the Company’s overall performance. The following timeline of key events reflects the committee’s process: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39B6E9"/>
        </w:rPr>
        <w:t>Incentive Design, Payout, and Goal-Setting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741680</wp:posOffset>
            </wp:positionH>
            <wp:positionV relativeFrom="paragraph">
              <wp:posOffset>145415</wp:posOffset>
            </wp:positionV>
            <wp:extent cx="5773420" cy="343471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773420" cy="3434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39B6E9"/>
        </w:rPr>
        <w:t>Salary</w:t>
      </w:r>
    </w:p>
    <w:p>
      <w:pPr>
        <w:spacing w:after="0" w:line="210" w:lineRule="exact"/>
        <w:rPr>
          <w:sz w:val="20"/>
          <w:szCs w:val="20"/>
          <w:color w:val="auto"/>
        </w:rPr>
      </w:pPr>
    </w:p>
    <w:p>
      <w:pPr>
        <w:ind w:left="340" w:right="200" w:hanging="332"/>
        <w:spacing w:after="0" w:line="295" w:lineRule="auto"/>
        <w:tabs>
          <w:tab w:leader="none" w:pos="340" w:val="left"/>
        </w:tabs>
        <w:numPr>
          <w:ilvl w:val="0"/>
          <w:numId w:val="161"/>
        </w:numPr>
        <w:rPr>
          <w:rFonts w:ascii="Arial" w:cs="Arial" w:eastAsia="Arial" w:hAnsi="Arial"/>
          <w:sz w:val="16"/>
          <w:szCs w:val="16"/>
          <w:color w:val="105EAB"/>
        </w:rPr>
      </w:pPr>
      <w:r>
        <w:rPr>
          <w:rFonts w:ascii="Arial" w:cs="Arial" w:eastAsia="Arial" w:hAnsi="Arial"/>
          <w:sz w:val="16"/>
          <w:szCs w:val="16"/>
          <w:b w:val="1"/>
          <w:bCs w:val="1"/>
          <w:color w:val="auto"/>
        </w:rPr>
        <w:t>In setting executive salary levels, the committee uses the 50th percentile of total target direct compensation of our peer companies as a guideline</w:t>
      </w:r>
      <w:r>
        <w:rPr>
          <w:rFonts w:ascii="Arial" w:cs="Arial" w:eastAsia="Arial" w:hAnsi="Arial"/>
          <w:sz w:val="16"/>
          <w:szCs w:val="16"/>
          <w:color w:val="auto"/>
        </w:rPr>
        <w:t>, which supports Allstate’s ability to compete effectively for and to retain executive talent. Annual merit increases for named</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executives are based on evaluations of their performance, using the enterprise-wide merit increase budget as a guideline.</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b w:val="1"/>
          <w:bCs w:val="1"/>
          <w:color w:val="39B6E9"/>
        </w:rPr>
        <w:t>Annual Cash Incentive Awards</w:t>
      </w:r>
    </w:p>
    <w:p>
      <w:pPr>
        <w:spacing w:after="0" w:line="232" w:lineRule="exact"/>
        <w:rPr>
          <w:sz w:val="20"/>
          <w:szCs w:val="20"/>
          <w:color w:val="auto"/>
        </w:rPr>
      </w:pPr>
    </w:p>
    <w:p>
      <w:pPr>
        <w:ind w:left="340" w:right="120" w:hanging="332"/>
        <w:spacing w:after="0" w:line="236" w:lineRule="auto"/>
        <w:tabs>
          <w:tab w:leader="none" w:pos="340" w:val="left"/>
        </w:tabs>
        <w:numPr>
          <w:ilvl w:val="0"/>
          <w:numId w:val="162"/>
        </w:numPr>
        <w:rPr>
          <w:rFonts w:ascii="Arial" w:cs="Arial" w:eastAsia="Arial" w:hAnsi="Arial"/>
          <w:sz w:val="17"/>
          <w:szCs w:val="17"/>
          <w:color w:val="105EAB"/>
        </w:rPr>
      </w:pPr>
      <w:r>
        <w:rPr>
          <w:rFonts w:ascii="Arial" w:cs="Arial" w:eastAsia="Arial" w:hAnsi="Arial"/>
          <w:sz w:val="18"/>
          <w:szCs w:val="18"/>
          <w:color w:val="auto"/>
        </w:rPr>
        <w:t>The committee sets annual cash incentive performance goals based on the annual operating plan. Target performance is equal to the operating plan. Threshold and maximum measures are based on a range of sensitivities relative to the operating plan. To further test the appropriateness of the ranges, the committee’s independent consultant provides advice based on peer performance, market expectations and industry trends. The chief risk officer reviews the performance measures and ranges to ensure they are consistent with Allstate’s risk and return principles.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1120" w:type="dxa"/>
            <w:vAlign w:val="bottom"/>
          </w:tcPr>
          <w:p>
            <w:pPr>
              <w:ind w:left="9640"/>
              <w:spacing w:after="0"/>
              <w:rPr>
                <w:sz w:val="20"/>
                <w:szCs w:val="20"/>
                <w:color w:val="auto"/>
              </w:rPr>
            </w:pPr>
            <w:r>
              <w:rPr>
                <w:rFonts w:ascii="Arial" w:cs="Arial" w:eastAsia="Arial" w:hAnsi="Arial"/>
                <w:sz w:val="13"/>
                <w:szCs w:val="13"/>
                <w:color w:val="105EAB"/>
              </w:rPr>
              <w:t>2019 Proxy Statement</w:t>
            </w:r>
          </w:p>
        </w:tc>
        <w:tc>
          <w:tcPr>
            <w:tcW w:w="320" w:type="dxa"/>
            <w:vAlign w:val="bottom"/>
          </w:tcPr>
          <w:p>
            <w:pPr>
              <w:jc w:val="right"/>
              <w:spacing w:after="0"/>
              <w:rPr>
                <w:sz w:val="20"/>
                <w:szCs w:val="20"/>
                <w:color w:val="auto"/>
              </w:rPr>
            </w:pPr>
            <w:r>
              <w:rPr>
                <w:rFonts w:ascii="Arial" w:cs="Arial" w:eastAsia="Arial" w:hAnsi="Arial"/>
                <w:sz w:val="13"/>
                <w:szCs w:val="13"/>
                <w:b w:val="1"/>
                <w:bCs w:val="1"/>
                <w:color w:val="105EAB"/>
              </w:rPr>
              <w:t>43</w:t>
            </w:r>
          </w:p>
        </w:tc>
      </w:tr>
      <w:tr>
        <w:trPr>
          <w:trHeight w:val="213"/>
        </w:trPr>
        <w:tc>
          <w:tcPr>
            <w:tcW w:w="1112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-13970</wp:posOffset>
            </wp:positionV>
            <wp:extent cx="1270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b w:val="1"/>
          <w:bCs w:val="1"/>
          <w:color w:val="105EAB"/>
        </w:rPr>
        <w:t xml:space="preserve">Executive Compensation | </w:t>
      </w:r>
      <w:r>
        <w:rPr>
          <w:rFonts w:ascii="Arial" w:cs="Arial" w:eastAsia="Arial" w:hAnsi="Arial"/>
          <w:sz w:val="13"/>
          <w:szCs w:val="13"/>
          <w:b w:val="1"/>
          <w:bCs w:val="1"/>
          <w:color w:val="000000"/>
        </w:rPr>
        <w:t>Compensation Discussion and Analysis</w:t>
      </w:r>
    </w:p>
    <w:p>
      <w:pPr>
        <w:spacing w:after="0" w:line="235" w:lineRule="exact"/>
        <w:rPr>
          <w:sz w:val="20"/>
          <w:szCs w:val="20"/>
          <w:color w:val="auto"/>
        </w:rPr>
      </w:pPr>
    </w:p>
    <w:p>
      <w:pPr>
        <w:ind w:left="340" w:right="120" w:hanging="332"/>
        <w:spacing w:after="0" w:line="272" w:lineRule="auto"/>
        <w:tabs>
          <w:tab w:leader="none" w:pos="340" w:val="left"/>
        </w:tabs>
        <w:numPr>
          <w:ilvl w:val="0"/>
          <w:numId w:val="163"/>
        </w:numPr>
        <w:rPr>
          <w:rFonts w:ascii="Arial" w:cs="Arial" w:eastAsia="Arial" w:hAnsi="Arial"/>
          <w:sz w:val="16"/>
          <w:szCs w:val="16"/>
          <w:color w:val="105EAB"/>
        </w:rPr>
      </w:pPr>
      <w:r>
        <w:rPr>
          <w:rFonts w:ascii="Arial" w:cs="Arial" w:eastAsia="Arial" w:hAnsi="Arial"/>
          <w:sz w:val="16"/>
          <w:szCs w:val="16"/>
          <w:color w:val="auto"/>
        </w:rPr>
        <w:t>Actual performance on the performance measures determines the overall funding level of the corporate pool and the aggregate total award budget for eligible employees. In 2018, the pool was funded based on the collective results of three measures: Total Premiums, Performance Net Income, and Net Investment Income. Funding for each measure is equal to 0% below threshold, 50% at threshold, 100% at target and 200% at maximum, and results between threshold, target and maximum are subject to interpolation. For 2018, Total Return was eliminated as a performance measure since it accounted for only 4% of funding and can be a volatile measure, with wide variations year-over-year.</w:t>
      </w:r>
    </w:p>
    <w:p>
      <w:pPr>
        <w:spacing w:after="0" w:line="77" w:lineRule="exact"/>
        <w:rPr>
          <w:rFonts w:ascii="Arial" w:cs="Arial" w:eastAsia="Arial" w:hAnsi="Arial"/>
          <w:sz w:val="16"/>
          <w:szCs w:val="16"/>
          <w:color w:val="105EAB"/>
        </w:rPr>
      </w:pPr>
    </w:p>
    <w:p>
      <w:pPr>
        <w:ind w:left="340" w:right="200" w:hanging="332"/>
        <w:spacing w:after="0" w:line="237" w:lineRule="auto"/>
        <w:tabs>
          <w:tab w:leader="none" w:pos="340" w:val="left"/>
        </w:tabs>
        <w:numPr>
          <w:ilvl w:val="0"/>
          <w:numId w:val="163"/>
        </w:numPr>
        <w:rPr>
          <w:rFonts w:ascii="Arial" w:cs="Arial" w:eastAsia="Arial" w:hAnsi="Arial"/>
          <w:sz w:val="17"/>
          <w:szCs w:val="17"/>
          <w:color w:val="105EAB"/>
        </w:rPr>
      </w:pPr>
      <w:r>
        <w:rPr>
          <w:rFonts w:ascii="Arial" w:cs="Arial" w:eastAsia="Arial" w:hAnsi="Arial"/>
          <w:sz w:val="18"/>
          <w:szCs w:val="18"/>
          <w:color w:val="auto"/>
        </w:rPr>
        <w:t>In the event of a net loss, the corporate pool funding is reduced by 50% of actual performance for senior executives. For example, if performance measures ordinarily would fund the corporate pool at 60% and there was a net loss, then the corporate pool would be funded at 30% for senior executives. This mechanism ensures alignment of pay and performance in the event of multiple large natural catastrophes and/or extreme financial market conditions.</w:t>
      </w:r>
    </w:p>
    <w:p>
      <w:pPr>
        <w:spacing w:after="0" w:line="77" w:lineRule="exact"/>
        <w:rPr>
          <w:rFonts w:ascii="Arial" w:cs="Arial" w:eastAsia="Arial" w:hAnsi="Arial"/>
          <w:sz w:val="17"/>
          <w:szCs w:val="17"/>
          <w:color w:val="105EAB"/>
        </w:rPr>
      </w:pPr>
    </w:p>
    <w:p>
      <w:pPr>
        <w:ind w:left="340" w:right="40" w:hanging="332"/>
        <w:spacing w:after="0" w:line="264" w:lineRule="auto"/>
        <w:tabs>
          <w:tab w:leader="none" w:pos="340" w:val="left"/>
        </w:tabs>
        <w:numPr>
          <w:ilvl w:val="0"/>
          <w:numId w:val="163"/>
        </w:numPr>
        <w:rPr>
          <w:rFonts w:ascii="Arial" w:cs="Arial" w:eastAsia="Arial" w:hAnsi="Arial"/>
          <w:sz w:val="17"/>
          <w:szCs w:val="17"/>
          <w:color w:val="105EAB"/>
        </w:rPr>
      </w:pPr>
      <w:r>
        <w:rPr>
          <w:rFonts w:ascii="Arial" w:cs="Arial" w:eastAsia="Arial" w:hAnsi="Arial"/>
          <w:sz w:val="18"/>
          <w:szCs w:val="18"/>
          <w:b w:val="1"/>
          <w:bCs w:val="1"/>
          <w:color w:val="auto"/>
        </w:rPr>
        <w:t>Target annual incentive percentages for each named executive are based on pay levels of peer companies and our benchmark target for total direct compensation at the 50th percentile.</w:t>
      </w:r>
    </w:p>
    <w:p>
      <w:pPr>
        <w:spacing w:after="0" w:line="79" w:lineRule="exact"/>
        <w:rPr>
          <w:rFonts w:ascii="Arial" w:cs="Arial" w:eastAsia="Arial" w:hAnsi="Arial"/>
          <w:sz w:val="17"/>
          <w:szCs w:val="17"/>
          <w:color w:val="105EAB"/>
        </w:rPr>
      </w:pPr>
    </w:p>
    <w:p>
      <w:pPr>
        <w:ind w:left="340" w:hanging="332"/>
        <w:spacing w:after="0"/>
        <w:tabs>
          <w:tab w:leader="none" w:pos="340" w:val="left"/>
        </w:tabs>
        <w:numPr>
          <w:ilvl w:val="0"/>
          <w:numId w:val="163"/>
        </w:numPr>
        <w:rPr>
          <w:rFonts w:ascii="Arial" w:cs="Arial" w:eastAsia="Arial" w:hAnsi="Arial"/>
          <w:sz w:val="17"/>
          <w:szCs w:val="17"/>
          <w:color w:val="105EAB"/>
        </w:rPr>
      </w:pPr>
      <w:r>
        <w:rPr>
          <w:rFonts w:ascii="Arial" w:cs="Arial" w:eastAsia="Arial" w:hAnsi="Arial"/>
          <w:sz w:val="18"/>
          <w:szCs w:val="18"/>
          <w:color w:val="auto"/>
        </w:rPr>
        <w:t>Individual awards are based on job scope, market data, pool funding, and individual performance.</w:t>
      </w:r>
    </w:p>
    <w:p>
      <w:pPr>
        <w:spacing w:after="0" w:line="103" w:lineRule="exact"/>
        <w:rPr>
          <w:rFonts w:ascii="Arial" w:cs="Arial" w:eastAsia="Arial" w:hAnsi="Arial"/>
          <w:sz w:val="17"/>
          <w:szCs w:val="17"/>
          <w:color w:val="105EAB"/>
        </w:rPr>
      </w:pPr>
    </w:p>
    <w:p>
      <w:pPr>
        <w:ind w:left="340" w:hanging="332"/>
        <w:spacing w:after="0" w:line="239" w:lineRule="auto"/>
        <w:tabs>
          <w:tab w:leader="none" w:pos="340" w:val="left"/>
        </w:tabs>
        <w:numPr>
          <w:ilvl w:val="0"/>
          <w:numId w:val="163"/>
        </w:numPr>
        <w:rPr>
          <w:rFonts w:ascii="Arial" w:cs="Arial" w:eastAsia="Arial" w:hAnsi="Arial"/>
          <w:sz w:val="17"/>
          <w:szCs w:val="17"/>
          <w:color w:val="105EAB"/>
        </w:rPr>
      </w:pPr>
      <w:r>
        <w:rPr>
          <w:rFonts w:ascii="Arial" w:cs="Arial" w:eastAsia="Arial" w:hAnsi="Arial"/>
          <w:sz w:val="18"/>
          <w:szCs w:val="18"/>
          <w:color w:val="auto"/>
        </w:rPr>
        <w:t>We paid the 2018 cash incentive awards in March 2019. The following description shows how this corporate pool was funded and distributed to individual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246620" cy="3429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46620" cy="34290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281" w:lineRule="exact"/>
        <w:rPr>
          <w:sz w:val="20"/>
          <w:szCs w:val="20"/>
          <w:color w:val="auto"/>
        </w:rPr>
      </w:pPr>
    </w:p>
    <w:p>
      <w:pPr>
        <w:ind w:left="120" w:right="2820"/>
        <w:spacing w:after="0" w:line="327" w:lineRule="auto"/>
        <w:rPr>
          <w:sz w:val="20"/>
          <w:szCs w:val="20"/>
          <w:color w:val="auto"/>
        </w:rPr>
      </w:pPr>
      <w:r>
        <w:rPr>
          <w:rFonts w:ascii="Arial" w:cs="Arial" w:eastAsia="Arial" w:hAnsi="Arial"/>
          <w:sz w:val="16"/>
          <w:szCs w:val="16"/>
          <w:b w:val="1"/>
          <w:bCs w:val="1"/>
          <w:color w:val="FFFFFF"/>
        </w:rPr>
        <w:t xml:space="preserve">Step 1: Determine Calculation of Corporate Funding Pool </w:t>
      </w:r>
      <w:r>
        <w:rPr>
          <w:rFonts w:ascii="Arial" w:cs="Arial" w:eastAsia="Arial" w:hAnsi="Arial"/>
          <w:sz w:val="16"/>
          <w:szCs w:val="16"/>
          <w:color w:val="FFFFFF"/>
        </w:rPr>
        <w:t>Formulaic with negative discretion applied by the committee in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5285105" cy="171323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285105" cy="1713230"/>
                    </a:xfrm>
                    <a:prstGeom prst="rect">
                      <a:avLst/>
                    </a:prstGeom>
                    <a:noFill/>
                  </pic:spPr>
                </pic:pic>
              </a:graphicData>
            </a:graphic>
          </wp:anchor>
        </w:drawing>
      </w:r>
    </w:p>
    <w:p>
      <w:pPr>
        <w:spacing w:after="0" w:line="189" w:lineRule="exact"/>
        <w:rPr>
          <w:sz w:val="20"/>
          <w:szCs w:val="20"/>
          <w:color w:val="auto"/>
        </w:rPr>
      </w:pPr>
    </w:p>
    <w:p>
      <w:pPr>
        <w:ind w:left="400" w:right="580" w:hanging="302"/>
        <w:spacing w:after="0" w:line="254" w:lineRule="auto"/>
        <w:tabs>
          <w:tab w:leader="none" w:pos="398" w:val="left"/>
        </w:tabs>
        <w:numPr>
          <w:ilvl w:val="0"/>
          <w:numId w:val="164"/>
        </w:numPr>
        <w:rPr>
          <w:rFonts w:ascii="Arial" w:cs="Arial" w:eastAsia="Arial" w:hAnsi="Arial"/>
          <w:sz w:val="17"/>
          <w:szCs w:val="17"/>
          <w:color w:val="105EAB"/>
        </w:rPr>
      </w:pPr>
      <w:r>
        <w:rPr>
          <w:rFonts w:ascii="Arial" w:cs="Arial" w:eastAsia="Arial" w:hAnsi="Arial"/>
          <w:sz w:val="18"/>
          <w:szCs w:val="18"/>
          <w:color w:val="auto"/>
        </w:rPr>
        <w:t>The total pool available for distribution was calculated based on three performance measures established by the committee at the beginning of the performance period:</w:t>
      </w:r>
    </w:p>
    <w:p>
      <w:pPr>
        <w:spacing w:after="0" w:line="69" w:lineRule="exact"/>
        <w:rPr>
          <w:rFonts w:ascii="Arial" w:cs="Arial" w:eastAsia="Arial" w:hAnsi="Arial"/>
          <w:sz w:val="17"/>
          <w:szCs w:val="17"/>
          <w:color w:val="105EAB"/>
        </w:rPr>
      </w:pPr>
    </w:p>
    <w:p>
      <w:pPr>
        <w:ind w:left="700" w:hanging="296"/>
        <w:spacing w:after="0"/>
        <w:tabs>
          <w:tab w:leader="none" w:pos="700" w:val="left"/>
        </w:tabs>
        <w:numPr>
          <w:ilvl w:val="1"/>
          <w:numId w:val="164"/>
        </w:numPr>
        <w:rPr>
          <w:rFonts w:ascii="Arial" w:cs="Arial" w:eastAsia="Arial" w:hAnsi="Arial"/>
          <w:sz w:val="17"/>
          <w:szCs w:val="17"/>
          <w:color w:val="105EAB"/>
        </w:rPr>
      </w:pPr>
      <w:r>
        <w:rPr>
          <w:rFonts w:ascii="Arial" w:cs="Arial" w:eastAsia="Arial" w:hAnsi="Arial"/>
          <w:sz w:val="18"/>
          <w:szCs w:val="18"/>
          <w:i w:val="1"/>
          <w:iCs w:val="1"/>
          <w:color w:val="auto"/>
        </w:rPr>
        <w:t xml:space="preserve">Total Premiums </w:t>
      </w:r>
      <w:r>
        <w:rPr>
          <w:rFonts w:ascii="Arial" w:cs="Arial" w:eastAsia="Arial" w:hAnsi="Arial"/>
          <w:sz w:val="18"/>
          <w:szCs w:val="18"/>
          <w:color w:val="auto"/>
        </w:rPr>
        <w:t>(43%) – captures growth and competitive position of the businesses</w:t>
      </w:r>
    </w:p>
    <w:p>
      <w:pPr>
        <w:spacing w:after="0" w:line="116" w:lineRule="exact"/>
        <w:rPr>
          <w:rFonts w:ascii="Arial" w:cs="Arial" w:eastAsia="Arial" w:hAnsi="Arial"/>
          <w:sz w:val="17"/>
          <w:szCs w:val="17"/>
          <w:color w:val="105EAB"/>
        </w:rPr>
      </w:pPr>
    </w:p>
    <w:p>
      <w:pPr>
        <w:ind w:left="700" w:hanging="296"/>
        <w:spacing w:after="0"/>
        <w:tabs>
          <w:tab w:leader="none" w:pos="700" w:val="left"/>
        </w:tabs>
        <w:numPr>
          <w:ilvl w:val="1"/>
          <w:numId w:val="164"/>
        </w:numPr>
        <w:rPr>
          <w:rFonts w:ascii="Arial" w:cs="Arial" w:eastAsia="Arial" w:hAnsi="Arial"/>
          <w:sz w:val="16"/>
          <w:szCs w:val="16"/>
          <w:color w:val="105EAB"/>
        </w:rPr>
      </w:pPr>
      <w:r>
        <w:rPr>
          <w:rFonts w:ascii="Arial" w:cs="Arial" w:eastAsia="Arial" w:hAnsi="Arial"/>
          <w:sz w:val="16"/>
          <w:szCs w:val="16"/>
          <w:i w:val="1"/>
          <w:iCs w:val="1"/>
          <w:color w:val="auto"/>
        </w:rPr>
        <w:t xml:space="preserve">Performance Net Income </w:t>
      </w:r>
      <w:r>
        <w:rPr>
          <w:rFonts w:ascii="Arial" w:cs="Arial" w:eastAsia="Arial" w:hAnsi="Arial"/>
          <w:sz w:val="16"/>
          <w:szCs w:val="16"/>
          <w:color w:val="auto"/>
        </w:rPr>
        <w:t>(43%) – aligns with stockholders’ expectations of operating profitability</w:t>
      </w:r>
    </w:p>
    <w:p>
      <w:pPr>
        <w:spacing w:after="0" w:line="139" w:lineRule="exact"/>
        <w:rPr>
          <w:rFonts w:ascii="Arial" w:cs="Arial" w:eastAsia="Arial" w:hAnsi="Arial"/>
          <w:sz w:val="16"/>
          <w:szCs w:val="16"/>
          <w:color w:val="105EAB"/>
        </w:rPr>
      </w:pPr>
    </w:p>
    <w:p>
      <w:pPr>
        <w:ind w:left="700" w:hanging="296"/>
        <w:spacing w:after="0"/>
        <w:tabs>
          <w:tab w:leader="none" w:pos="700" w:val="left"/>
        </w:tabs>
        <w:numPr>
          <w:ilvl w:val="1"/>
          <w:numId w:val="164"/>
        </w:numPr>
        <w:rPr>
          <w:rFonts w:ascii="Arial" w:cs="Arial" w:eastAsia="Arial" w:hAnsi="Arial"/>
          <w:sz w:val="17"/>
          <w:szCs w:val="17"/>
          <w:color w:val="105EAB"/>
        </w:rPr>
      </w:pPr>
      <w:r>
        <w:rPr>
          <w:rFonts w:ascii="Arial" w:cs="Arial" w:eastAsia="Arial" w:hAnsi="Arial"/>
          <w:sz w:val="18"/>
          <w:szCs w:val="18"/>
          <w:i w:val="1"/>
          <w:iCs w:val="1"/>
          <w:color w:val="auto"/>
        </w:rPr>
        <w:t xml:space="preserve">Net Investment Income </w:t>
      </w:r>
      <w:r>
        <w:rPr>
          <w:rFonts w:ascii="Arial" w:cs="Arial" w:eastAsia="Arial" w:hAnsi="Arial"/>
          <w:sz w:val="18"/>
          <w:szCs w:val="18"/>
          <w:color w:val="auto"/>
        </w:rPr>
        <w:t>(14%) – reflects a significant component of profitability</w:t>
      </w:r>
    </w:p>
    <w:p>
      <w:pPr>
        <w:spacing w:after="0" w:line="134" w:lineRule="exact"/>
        <w:rPr>
          <w:rFonts w:ascii="Arial" w:cs="Arial" w:eastAsia="Arial" w:hAnsi="Arial"/>
          <w:sz w:val="17"/>
          <w:szCs w:val="17"/>
          <w:color w:val="105EAB"/>
        </w:rPr>
      </w:pPr>
    </w:p>
    <w:p>
      <w:pPr>
        <w:ind w:left="400" w:hanging="302"/>
        <w:spacing w:after="0" w:line="239" w:lineRule="auto"/>
        <w:tabs>
          <w:tab w:leader="none" w:pos="398" w:val="left"/>
        </w:tabs>
        <w:numPr>
          <w:ilvl w:val="0"/>
          <w:numId w:val="164"/>
        </w:numPr>
        <w:rPr>
          <w:rFonts w:ascii="Arial" w:cs="Arial" w:eastAsia="Arial" w:hAnsi="Arial"/>
          <w:sz w:val="17"/>
          <w:szCs w:val="17"/>
          <w:color w:val="105EAB"/>
        </w:rPr>
      </w:pPr>
      <w:r>
        <w:rPr>
          <w:rFonts w:ascii="Arial" w:cs="Arial" w:eastAsia="Arial" w:hAnsi="Arial"/>
          <w:sz w:val="18"/>
          <w:szCs w:val="18"/>
          <w:color w:val="auto"/>
        </w:rPr>
        <w:t>The committee approved the total corporate funding pool after the end of the performance period based on the actual results on these performance measures. The committee exercised negative discretion to adjust the Performance Net Income measure to reflect tax savings that were not utilized as planned during the year. For the actual results and detail on how each measure was defined and calculated, see pages 67-68.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208915</wp:posOffset>
            </wp:positionV>
            <wp:extent cx="7246620" cy="3429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46620" cy="3429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39B6E9"/>
        </w:rPr>
        <w:t>The annual incentive compensation plan was funded at 173.4% of target in 2018 for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-1111885</wp:posOffset>
            </wp:positionV>
            <wp:extent cx="1790065" cy="171323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790065" cy="1713230"/>
                    </a:xfrm>
                    <a:prstGeom prst="rect">
                      <a:avLst/>
                    </a:prstGeom>
                    <a:noFill/>
                  </pic:spPr>
                </pic:pic>
              </a:graphicData>
            </a:graphic>
          </wp:anchor>
        </w:drawing>
      </w:r>
    </w:p>
    <w:p>
      <w:pPr>
        <w:spacing w:after="0" w:line="1060" w:lineRule="exact"/>
        <w:rPr>
          <w:sz w:val="20"/>
          <w:szCs w:val="20"/>
          <w:color w:val="auto"/>
        </w:rPr>
      </w:pPr>
    </w:p>
    <w:p>
      <w:pPr>
        <w:sectPr>
          <w:pgSz w:w="11900" w:h="16838" w:orient="portrait"/>
          <w:cols w:equalWidth="0" w:num="2">
            <w:col w:w="8200" w:space="400"/>
            <w:col w:w="2820"/>
          </w:cols>
          <w:pgMar w:left="240" w:top="121" w:right="239" w:bottom="1440" w:gutter="0" w:footer="0" w:header="0"/>
          <w:type w:val="continuous"/>
        </w:sectPr>
      </w:pPr>
    </w:p>
    <w:p>
      <w:pPr>
        <w:spacing w:after="0" w:line="177" w:lineRule="exact"/>
        <w:rPr>
          <w:sz w:val="20"/>
          <w:szCs w:val="20"/>
          <w:color w:val="auto"/>
        </w:rPr>
      </w:pPr>
    </w:p>
    <w:p>
      <w:pPr>
        <w:ind w:left="120" w:right="2940"/>
        <w:spacing w:after="0" w:line="264" w:lineRule="auto"/>
        <w:rPr>
          <w:sz w:val="20"/>
          <w:szCs w:val="20"/>
          <w:color w:val="auto"/>
        </w:rPr>
      </w:pPr>
      <w:r>
        <w:rPr>
          <w:rFonts w:ascii="Arial" w:cs="Arial" w:eastAsia="Arial" w:hAnsi="Arial"/>
          <w:sz w:val="18"/>
          <w:szCs w:val="18"/>
          <w:b w:val="1"/>
          <w:bCs w:val="1"/>
          <w:color w:val="FFFFFF"/>
        </w:rPr>
        <w:t xml:space="preserve">Step 2: Determine Annual Incentive Payments to the Named Executives and other Executive Officers </w:t>
      </w:r>
      <w:r>
        <w:rPr>
          <w:rFonts w:ascii="Arial" w:cs="Arial" w:eastAsia="Arial" w:hAnsi="Arial"/>
          <w:sz w:val="18"/>
          <w:szCs w:val="18"/>
          <w:color w:val="FFFFFF"/>
        </w:rPr>
        <w:t>Minimal discretion was applied to the Named Executives by the committee in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7246620" cy="104521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46620" cy="10452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p>
      <w:pPr>
        <w:spacing w:after="0" w:line="233" w:lineRule="exact"/>
        <w:rPr>
          <w:sz w:val="20"/>
          <w:szCs w:val="20"/>
          <w:color w:val="auto"/>
        </w:rPr>
      </w:pPr>
    </w:p>
    <w:p>
      <w:pPr>
        <w:ind w:left="400" w:right="420" w:hanging="302"/>
        <w:spacing w:after="0" w:line="280" w:lineRule="auto"/>
        <w:tabs>
          <w:tab w:leader="none" w:pos="398" w:val="left"/>
        </w:tabs>
        <w:numPr>
          <w:ilvl w:val="0"/>
          <w:numId w:val="165"/>
        </w:numPr>
        <w:rPr>
          <w:rFonts w:ascii="Arial" w:cs="Arial" w:eastAsia="Arial" w:hAnsi="Arial"/>
          <w:sz w:val="17"/>
          <w:szCs w:val="17"/>
          <w:color w:val="105EAB"/>
        </w:rPr>
      </w:pPr>
      <w:r>
        <w:rPr>
          <w:rFonts w:ascii="Arial" w:cs="Arial" w:eastAsia="Arial" w:hAnsi="Arial"/>
          <w:sz w:val="18"/>
          <w:szCs w:val="18"/>
          <w:color w:val="auto"/>
        </w:rPr>
        <w:t xml:space="preserve">Committee’s compensation recommendations </w:t>
      </w:r>
      <w:r>
        <w:rPr>
          <w:rFonts w:ascii="Arial" w:cs="Arial" w:eastAsia="Arial" w:hAnsi="Arial"/>
          <w:sz w:val="18"/>
          <w:szCs w:val="18"/>
          <w:b w:val="1"/>
          <w:bCs w:val="1"/>
          <w:color w:val="auto"/>
        </w:rPr>
        <w:t>for the CEO</w:t>
      </w:r>
      <w:r>
        <w:rPr>
          <w:rFonts w:ascii="Arial" w:cs="Arial" w:eastAsia="Arial" w:hAnsi="Arial"/>
          <w:sz w:val="18"/>
          <w:szCs w:val="18"/>
          <w:color w:val="auto"/>
        </w:rPr>
        <w:t xml:space="preserve"> are reviewed and approved by the independent directors of our Board in executive session.</w:t>
      </w:r>
    </w:p>
    <w:p>
      <w:pPr>
        <w:spacing w:after="0" w:line="43" w:lineRule="exact"/>
        <w:rPr>
          <w:rFonts w:ascii="Arial" w:cs="Arial" w:eastAsia="Arial" w:hAnsi="Arial"/>
          <w:sz w:val="17"/>
          <w:szCs w:val="17"/>
          <w:color w:val="105EAB"/>
        </w:rPr>
      </w:pPr>
    </w:p>
    <w:p>
      <w:pPr>
        <w:ind w:left="400" w:right="640" w:hanging="302"/>
        <w:spacing w:after="0" w:line="280" w:lineRule="auto"/>
        <w:tabs>
          <w:tab w:leader="none" w:pos="398" w:val="left"/>
        </w:tabs>
        <w:numPr>
          <w:ilvl w:val="0"/>
          <w:numId w:val="165"/>
        </w:numPr>
        <w:rPr>
          <w:rFonts w:ascii="Arial" w:cs="Arial" w:eastAsia="Arial" w:hAnsi="Arial"/>
          <w:sz w:val="17"/>
          <w:szCs w:val="17"/>
          <w:color w:val="105EAB"/>
        </w:rPr>
      </w:pPr>
      <w:r>
        <w:rPr>
          <w:rFonts w:ascii="Arial" w:cs="Arial" w:eastAsia="Arial" w:hAnsi="Arial"/>
          <w:sz w:val="18"/>
          <w:szCs w:val="18"/>
          <w:color w:val="auto"/>
        </w:rPr>
        <w:t xml:space="preserve">Committee reviews and approves CEO recommendations </w:t>
      </w:r>
      <w:r>
        <w:rPr>
          <w:rFonts w:ascii="Arial" w:cs="Arial" w:eastAsia="Arial" w:hAnsi="Arial"/>
          <w:sz w:val="18"/>
          <w:szCs w:val="18"/>
          <w:b w:val="1"/>
          <w:bCs w:val="1"/>
          <w:color w:val="auto"/>
        </w:rPr>
        <w:t>for executive officers</w:t>
      </w:r>
      <w:r>
        <w:rPr>
          <w:rFonts w:ascii="Arial" w:cs="Arial" w:eastAsia="Arial" w:hAnsi="Arial"/>
          <w:sz w:val="18"/>
          <w:szCs w:val="18"/>
          <w:color w:val="auto"/>
        </w:rPr>
        <w:t xml:space="preserve"> based on individual performance.</w:t>
      </w:r>
    </w:p>
    <w:p>
      <w:pPr>
        <w:spacing w:after="0" w:line="65" w:lineRule="exact"/>
        <w:rPr>
          <w:rFonts w:ascii="Arial" w:cs="Arial" w:eastAsia="Arial" w:hAnsi="Arial"/>
          <w:sz w:val="17"/>
          <w:szCs w:val="17"/>
          <w:color w:val="105EAB"/>
        </w:rPr>
      </w:pPr>
    </w:p>
    <w:p>
      <w:pPr>
        <w:ind w:left="400" w:hanging="302"/>
        <w:spacing w:after="0" w:line="254" w:lineRule="auto"/>
        <w:tabs>
          <w:tab w:leader="none" w:pos="398" w:val="left"/>
        </w:tabs>
        <w:numPr>
          <w:ilvl w:val="0"/>
          <w:numId w:val="165"/>
        </w:numPr>
        <w:rPr>
          <w:rFonts w:ascii="Arial" w:cs="Arial" w:eastAsia="Arial" w:hAnsi="Arial"/>
          <w:sz w:val="17"/>
          <w:szCs w:val="17"/>
          <w:color w:val="105EAB"/>
        </w:rPr>
      </w:pPr>
      <w:r>
        <w:rPr>
          <w:rFonts w:ascii="Arial" w:cs="Arial" w:eastAsia="Arial" w:hAnsi="Arial"/>
          <w:sz w:val="18"/>
          <w:szCs w:val="18"/>
          <w:color w:val="auto"/>
        </w:rPr>
        <w:t>The individual performance factors considered by the committee for both CEO and executive officer performance are outlined on pages 40-42.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ind w:right="440"/>
        <w:spacing w:after="0" w:line="275" w:lineRule="auto"/>
        <w:rPr>
          <w:sz w:val="20"/>
          <w:szCs w:val="20"/>
          <w:color w:val="auto"/>
        </w:rPr>
      </w:pPr>
      <w:r>
        <w:rPr>
          <w:rFonts w:ascii="Arial" w:cs="Arial" w:eastAsia="Arial" w:hAnsi="Arial"/>
          <w:sz w:val="16"/>
          <w:szCs w:val="16"/>
          <w:color w:val="39B6E9"/>
        </w:rPr>
        <w:t>The payout for the Named Executives ranged from $1.5 million to $6.7 million and the average was 174.7% of target.</w:t>
      </w:r>
    </w:p>
    <w:p>
      <w:pPr>
        <w:spacing w:after="0" w:line="523" w:lineRule="exact"/>
        <w:rPr>
          <w:sz w:val="20"/>
          <w:szCs w:val="20"/>
          <w:color w:val="auto"/>
        </w:rPr>
      </w:pPr>
    </w:p>
    <w:p>
      <w:pPr>
        <w:sectPr>
          <w:pgSz w:w="11900" w:h="16838" w:orient="portrait"/>
          <w:cols w:equalWidth="0" w:num="2">
            <w:col w:w="8100" w:space="500"/>
            <w:col w:w="2820"/>
          </w:cols>
          <w:pgMar w:left="240" w:top="121" w:right="239" w:bottom="1440" w:gutter="0" w:footer="0" w:header="0"/>
          <w:type w:val="continuous"/>
        </w:sectPr>
      </w:pPr>
    </w:p>
    <w:p>
      <w:pPr>
        <w:spacing w:after="0" w:line="86" w:lineRule="exact"/>
        <w:rPr>
          <w:sz w:val="20"/>
          <w:szCs w:val="20"/>
          <w:color w:val="auto"/>
        </w:rPr>
      </w:pPr>
    </w:p>
    <w:p>
      <w:pPr>
        <w:ind w:left="460" w:hanging="452"/>
        <w:spacing w:after="0"/>
        <w:tabs>
          <w:tab w:leader="none" w:pos="460" w:val="left"/>
        </w:tabs>
        <w:numPr>
          <w:ilvl w:val="0"/>
          <w:numId w:val="166"/>
        </w:numPr>
        <w:rPr>
          <w:rFonts w:ascii="Arial" w:cs="Arial" w:eastAsia="Arial" w:hAnsi="Arial"/>
          <w:sz w:val="13"/>
          <w:szCs w:val="13"/>
          <w:b w:val="1"/>
          <w:bCs w:val="1"/>
          <w:color w:val="105EAB"/>
        </w:rPr>
      </w:pPr>
      <w:r>
        <w:rPr>
          <w:rFonts w:ascii="Arial" w:cs="Arial" w:eastAsia="Arial" w:hAnsi="Arial"/>
          <w:sz w:val="13"/>
          <w:szCs w:val="13"/>
          <w:color w:val="105EAB"/>
        </w:rPr>
        <w:t>www.allstateproxy.com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134620</wp:posOffset>
            </wp:positionV>
            <wp:extent cx="7268210" cy="209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45" w:name="page46"/>
    <w:bookmarkEnd w:id="45"/>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jc w:val="right"/>
        <w:ind w:right="20"/>
        <w:spacing w:after="0"/>
        <w:rPr>
          <w:sz w:val="20"/>
          <w:szCs w:val="20"/>
          <w:color w:val="auto"/>
        </w:rPr>
      </w:pPr>
      <w:r>
        <w:rPr>
          <w:rFonts w:ascii="Arial" w:cs="Arial" w:eastAsia="Arial" w:hAnsi="Arial"/>
          <w:sz w:val="13"/>
          <w:szCs w:val="13"/>
          <w:b w:val="1"/>
          <w:bCs w:val="1"/>
          <w:color w:val="auto"/>
        </w:rPr>
        <w:t xml:space="preserve">Compensation Discussion and Analysis </w:t>
      </w:r>
      <w:r>
        <w:rPr>
          <w:rFonts w:ascii="Arial" w:cs="Arial" w:eastAsia="Arial" w:hAnsi="Arial"/>
          <w:sz w:val="13"/>
          <w:szCs w:val="13"/>
          <w:b w:val="1"/>
          <w:bCs w:val="1"/>
          <w:color w:val="105EAB"/>
        </w:rPr>
        <w:t>|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7246620" cy="3429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46620" cy="342900"/>
                    </a:xfrm>
                    <a:prstGeom prst="rect">
                      <a:avLst/>
                    </a:prstGeom>
                    <a:noFill/>
                  </pic:spPr>
                </pic:pic>
              </a:graphicData>
            </a:graphic>
          </wp:anchor>
        </w:drawing>
      </w:r>
    </w:p>
    <w:p>
      <w:pPr>
        <w:spacing w:after="0" w:line="26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FFFFFF"/>
        </w:rPr>
        <w:t>Step 3: Determine Annual Incentive Payment for Other Eligible Participants</w:t>
      </w:r>
    </w:p>
    <w:p>
      <w:pPr>
        <w:spacing w:after="0" w:line="17" w:lineRule="exact"/>
        <w:rPr>
          <w:sz w:val="20"/>
          <w:szCs w:val="20"/>
          <w:color w:val="auto"/>
        </w:rPr>
      </w:pPr>
    </w:p>
    <w:p>
      <w:pPr>
        <w:ind w:left="120"/>
        <w:spacing w:after="0"/>
        <w:rPr>
          <w:sz w:val="20"/>
          <w:szCs w:val="20"/>
          <w:color w:val="auto"/>
        </w:rPr>
      </w:pPr>
      <w:r>
        <w:rPr>
          <w:rFonts w:ascii="Arial" w:cs="Arial" w:eastAsia="Arial" w:hAnsi="Arial"/>
          <w:sz w:val="18"/>
          <w:szCs w:val="18"/>
          <w:color w:val="FFFFFF"/>
        </w:rPr>
        <w:t>The committee was not involved with annual incentive decisions below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255510" cy="141351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55510" cy="141351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p>
      <w:pPr>
        <w:spacing w:after="0" w:line="279" w:lineRule="exact"/>
        <w:rPr>
          <w:sz w:val="20"/>
          <w:szCs w:val="20"/>
          <w:color w:val="auto"/>
        </w:rPr>
      </w:pPr>
    </w:p>
    <w:p>
      <w:pPr>
        <w:ind w:left="400" w:right="600" w:hanging="271"/>
        <w:spacing w:after="0" w:line="254" w:lineRule="auto"/>
        <w:tabs>
          <w:tab w:leader="none" w:pos="407" w:val="left"/>
        </w:tabs>
        <w:numPr>
          <w:ilvl w:val="0"/>
          <w:numId w:val="167"/>
        </w:numPr>
        <w:rPr>
          <w:rFonts w:ascii="Arial" w:cs="Arial" w:eastAsia="Arial" w:hAnsi="Arial"/>
          <w:sz w:val="17"/>
          <w:szCs w:val="17"/>
          <w:color w:val="135DA7"/>
        </w:rPr>
      </w:pPr>
      <w:r>
        <w:rPr>
          <w:rFonts w:ascii="Arial" w:cs="Arial" w:eastAsia="Arial" w:hAnsi="Arial"/>
          <w:sz w:val="18"/>
          <w:szCs w:val="18"/>
          <w:color w:val="auto"/>
        </w:rPr>
        <w:t>The CEO allocated the corporate pool between the market-facing businesses and areas of responsibility based on relative performance against annual operating goals</w:t>
      </w:r>
    </w:p>
    <w:p>
      <w:pPr>
        <w:spacing w:after="0" w:line="200" w:lineRule="exact"/>
        <w:rPr>
          <w:rFonts w:ascii="Arial" w:cs="Arial" w:eastAsia="Arial" w:hAnsi="Arial"/>
          <w:sz w:val="17"/>
          <w:szCs w:val="17"/>
          <w:color w:val="135DA7"/>
        </w:rPr>
      </w:pPr>
    </w:p>
    <w:p>
      <w:pPr>
        <w:spacing w:after="0" w:line="319" w:lineRule="exact"/>
        <w:rPr>
          <w:rFonts w:ascii="Arial" w:cs="Arial" w:eastAsia="Arial" w:hAnsi="Arial"/>
          <w:sz w:val="17"/>
          <w:szCs w:val="17"/>
          <w:color w:val="135DA7"/>
        </w:rPr>
      </w:pPr>
    </w:p>
    <w:p>
      <w:pPr>
        <w:ind w:left="400" w:right="200" w:hanging="271"/>
        <w:spacing w:after="0" w:line="254" w:lineRule="auto"/>
        <w:tabs>
          <w:tab w:leader="none" w:pos="407" w:val="left"/>
        </w:tabs>
        <w:numPr>
          <w:ilvl w:val="0"/>
          <w:numId w:val="167"/>
        </w:numPr>
        <w:rPr>
          <w:rFonts w:ascii="Arial" w:cs="Arial" w:eastAsia="Arial" w:hAnsi="Arial"/>
          <w:sz w:val="17"/>
          <w:szCs w:val="17"/>
          <w:color w:val="135DA7"/>
        </w:rPr>
      </w:pPr>
      <w:r>
        <w:rPr>
          <w:rFonts w:ascii="Arial" w:cs="Arial" w:eastAsia="Arial" w:hAnsi="Arial"/>
          <w:sz w:val="18"/>
          <w:szCs w:val="18"/>
          <w:color w:val="auto"/>
        </w:rPr>
        <w:t>Individual awards for eligible employees were determined by senior leaders and were subject to approval by the CEO</w:t>
      </w:r>
    </w:p>
    <w:p>
      <w:pPr>
        <w:spacing w:after="0" w:line="25" w:lineRule="exact"/>
        <w:rPr>
          <w:rFonts w:ascii="Arial" w:cs="Arial" w:eastAsia="Arial" w:hAnsi="Arial"/>
          <w:sz w:val="17"/>
          <w:szCs w:val="17"/>
          <w:color w:val="135DA7"/>
        </w:rPr>
      </w:pPr>
    </w:p>
    <w:p>
      <w:pPr>
        <w:ind w:left="660" w:hanging="261"/>
        <w:spacing w:after="0" w:line="257" w:lineRule="auto"/>
        <w:tabs>
          <w:tab w:leader="none" w:pos="667" w:val="left"/>
        </w:tabs>
        <w:numPr>
          <w:ilvl w:val="1"/>
          <w:numId w:val="167"/>
        </w:numPr>
        <w:rPr>
          <w:rFonts w:ascii="Arial" w:cs="Arial" w:eastAsia="Arial" w:hAnsi="Arial"/>
          <w:sz w:val="17"/>
          <w:szCs w:val="17"/>
          <w:color w:val="135DA7"/>
        </w:rPr>
      </w:pPr>
      <w:r>
        <w:rPr>
          <w:rFonts w:ascii="Arial" w:cs="Arial" w:eastAsia="Arial" w:hAnsi="Arial"/>
          <w:sz w:val="18"/>
          <w:szCs w:val="18"/>
          <w:b w:val="1"/>
          <w:bCs w:val="1"/>
          <w:color w:val="auto"/>
        </w:rPr>
        <w:t>Senior leaders were tasked to ensure high-performing participants earned awards that were at least two times the awards earned by lower-performing participants on a relative basis.</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b w:val="1"/>
          <w:bCs w:val="1"/>
          <w:color w:val="39B6E9"/>
        </w:rPr>
        <w:t>Performance Stock Awards and Stock Options</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ind w:right="560"/>
        <w:spacing w:after="0" w:line="275" w:lineRule="auto"/>
        <w:rPr>
          <w:sz w:val="20"/>
          <w:szCs w:val="20"/>
          <w:color w:val="auto"/>
        </w:rPr>
      </w:pPr>
      <w:r>
        <w:rPr>
          <w:rFonts w:ascii="Arial" w:cs="Arial" w:eastAsia="Arial" w:hAnsi="Arial"/>
          <w:sz w:val="16"/>
          <w:szCs w:val="16"/>
          <w:color w:val="39B6E9"/>
        </w:rPr>
        <w:t>For 2018, the CEO exercised discretion in allocating pool funding to certain areas of responsibility.</w:t>
      </w:r>
    </w:p>
    <w:p>
      <w:pPr>
        <w:spacing w:after="0" w:line="114"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39B6E9"/>
        </w:rPr>
        <w:t>For 2018, actual differentiation for high performers was 2.2.</w:t>
      </w:r>
    </w:p>
    <w:p>
      <w:pPr>
        <w:spacing w:after="0" w:line="1389" w:lineRule="exact"/>
        <w:rPr>
          <w:sz w:val="20"/>
          <w:szCs w:val="20"/>
          <w:color w:val="auto"/>
        </w:rPr>
      </w:pPr>
    </w:p>
    <w:p>
      <w:pPr>
        <w:sectPr>
          <w:pgSz w:w="11900" w:h="16838" w:orient="portrait"/>
          <w:cols w:equalWidth="0" w:num="2">
            <w:col w:w="8020" w:space="580"/>
            <w:col w:w="2840"/>
          </w:cols>
          <w:pgMar w:left="240" w:top="121" w:right="219" w:bottom="1440" w:gutter="0" w:footer="0" w:header="0"/>
          <w:type w:val="continuous"/>
        </w:sectPr>
      </w:pPr>
    </w:p>
    <w:p>
      <w:pPr>
        <w:spacing w:after="0" w:line="32" w:lineRule="exact"/>
        <w:rPr>
          <w:sz w:val="20"/>
          <w:szCs w:val="20"/>
          <w:color w:val="auto"/>
        </w:rPr>
      </w:pPr>
    </w:p>
    <w:p>
      <w:pPr>
        <w:ind w:left="340" w:right="240" w:hanging="332"/>
        <w:spacing w:after="0" w:line="237" w:lineRule="auto"/>
        <w:tabs>
          <w:tab w:leader="none" w:pos="340" w:val="left"/>
        </w:tabs>
        <w:numPr>
          <w:ilvl w:val="0"/>
          <w:numId w:val="168"/>
        </w:numPr>
        <w:rPr>
          <w:rFonts w:ascii="Arial" w:cs="Arial" w:eastAsia="Arial" w:hAnsi="Arial"/>
          <w:sz w:val="17"/>
          <w:szCs w:val="17"/>
          <w:color w:val="105EAB"/>
        </w:rPr>
      </w:pPr>
      <w:r>
        <w:rPr>
          <w:rFonts w:ascii="Arial" w:cs="Arial" w:eastAsia="Arial" w:hAnsi="Arial"/>
          <w:sz w:val="18"/>
          <w:szCs w:val="18"/>
          <w:color w:val="auto"/>
        </w:rPr>
        <w:t>We grant equity awards annually to executives consistent with market practice and our philosophy that a significant amount of compensation should be in the form of equity. Additionally, from time to time, equity awards are granted to attract new executives and to retain existing executives.</w:t>
      </w:r>
    </w:p>
    <w:p>
      <w:pPr>
        <w:spacing w:after="0" w:line="101" w:lineRule="exact"/>
        <w:rPr>
          <w:rFonts w:ascii="Arial" w:cs="Arial" w:eastAsia="Arial" w:hAnsi="Arial"/>
          <w:sz w:val="17"/>
          <w:szCs w:val="17"/>
          <w:color w:val="105EAB"/>
        </w:rPr>
      </w:pPr>
    </w:p>
    <w:p>
      <w:pPr>
        <w:ind w:left="340" w:right="260" w:hanging="332"/>
        <w:spacing w:after="0" w:line="236" w:lineRule="auto"/>
        <w:tabs>
          <w:tab w:leader="none" w:pos="340" w:val="left"/>
        </w:tabs>
        <w:numPr>
          <w:ilvl w:val="0"/>
          <w:numId w:val="168"/>
        </w:numPr>
        <w:rPr>
          <w:rFonts w:ascii="Arial" w:cs="Arial" w:eastAsia="Arial" w:hAnsi="Arial"/>
          <w:sz w:val="17"/>
          <w:szCs w:val="17"/>
          <w:color w:val="105EAB"/>
        </w:rPr>
      </w:pPr>
      <w:r>
        <w:rPr>
          <w:rFonts w:ascii="Arial" w:cs="Arial" w:eastAsia="Arial" w:hAnsi="Arial"/>
          <w:sz w:val="18"/>
          <w:szCs w:val="18"/>
          <w:color w:val="auto"/>
        </w:rPr>
        <w:t>Since 2016, the mix of equity incentives for senior executives has been 60% PSAs and 40% stock options. We believe both PSAs and stock options are forms of performance-based incentive compensation because PSAs are earned based on achieving established performance goals and stock options require stock price appreciation to deliver value to an executive. The PSAs vest based on results for Average Performance Net Income ROE (70%) and Earned Book Value (30%) over the three-year measurement period. The actual number of PSAs vesting is between 0% to 200% of the target number of PSAs granted.</w:t>
      </w:r>
    </w:p>
    <w:p>
      <w:pPr>
        <w:spacing w:after="0" w:line="101" w:lineRule="exact"/>
        <w:rPr>
          <w:rFonts w:ascii="Arial" w:cs="Arial" w:eastAsia="Arial" w:hAnsi="Arial"/>
          <w:sz w:val="17"/>
          <w:szCs w:val="17"/>
          <w:color w:val="105EAB"/>
        </w:rPr>
      </w:pPr>
    </w:p>
    <w:p>
      <w:pPr>
        <w:ind w:left="340" w:hanging="332"/>
        <w:spacing w:after="0"/>
        <w:tabs>
          <w:tab w:leader="none" w:pos="340" w:val="left"/>
        </w:tabs>
        <w:numPr>
          <w:ilvl w:val="0"/>
          <w:numId w:val="168"/>
        </w:numPr>
        <w:rPr>
          <w:rFonts w:ascii="Arial" w:cs="Arial" w:eastAsia="Arial" w:hAnsi="Arial"/>
          <w:sz w:val="17"/>
          <w:szCs w:val="17"/>
          <w:color w:val="105EAB"/>
        </w:rPr>
      </w:pPr>
      <w:r>
        <w:rPr>
          <w:rFonts w:ascii="Arial" w:cs="Arial" w:eastAsia="Arial" w:hAnsi="Arial"/>
          <w:sz w:val="18"/>
          <w:szCs w:val="18"/>
          <w:color w:val="auto"/>
        </w:rPr>
        <w:t>The committee selected Performance Net Income ROE as one performance measure because it:</w:t>
      </w:r>
    </w:p>
    <w:p>
      <w:pPr>
        <w:spacing w:after="0" w:line="103" w:lineRule="exact"/>
        <w:rPr>
          <w:rFonts w:ascii="Arial" w:cs="Arial" w:eastAsia="Arial" w:hAnsi="Arial"/>
          <w:sz w:val="17"/>
          <w:szCs w:val="17"/>
          <w:color w:val="105EAB"/>
        </w:rPr>
      </w:pPr>
    </w:p>
    <w:p>
      <w:pPr>
        <w:ind w:left="620" w:hanging="306"/>
        <w:spacing w:after="0"/>
        <w:tabs>
          <w:tab w:leader="none" w:pos="620" w:val="left"/>
        </w:tabs>
        <w:numPr>
          <w:ilvl w:val="1"/>
          <w:numId w:val="168"/>
        </w:numPr>
        <w:rPr>
          <w:rFonts w:ascii="Arial" w:cs="Arial" w:eastAsia="Arial" w:hAnsi="Arial"/>
          <w:sz w:val="17"/>
          <w:szCs w:val="17"/>
          <w:color w:val="105EAB"/>
        </w:rPr>
      </w:pPr>
      <w:r>
        <w:rPr>
          <w:rFonts w:ascii="Arial" w:cs="Arial" w:eastAsia="Arial" w:hAnsi="Arial"/>
          <w:sz w:val="18"/>
          <w:szCs w:val="18"/>
          <w:color w:val="auto"/>
        </w:rPr>
        <w:t>Measures performance in a way that is tracked and understood by investors.</w:t>
      </w:r>
    </w:p>
    <w:p>
      <w:pPr>
        <w:spacing w:after="0" w:line="103" w:lineRule="exact"/>
        <w:rPr>
          <w:rFonts w:ascii="Arial" w:cs="Arial" w:eastAsia="Arial" w:hAnsi="Arial"/>
          <w:sz w:val="17"/>
          <w:szCs w:val="17"/>
          <w:color w:val="105EAB"/>
        </w:rPr>
      </w:pPr>
    </w:p>
    <w:p>
      <w:pPr>
        <w:ind w:left="620" w:hanging="306"/>
        <w:spacing w:after="0"/>
        <w:tabs>
          <w:tab w:leader="none" w:pos="620" w:val="left"/>
        </w:tabs>
        <w:numPr>
          <w:ilvl w:val="1"/>
          <w:numId w:val="168"/>
        </w:numPr>
        <w:rPr>
          <w:rFonts w:ascii="Arial" w:cs="Arial" w:eastAsia="Arial" w:hAnsi="Arial"/>
          <w:sz w:val="17"/>
          <w:szCs w:val="17"/>
          <w:color w:val="105EAB"/>
        </w:rPr>
      </w:pPr>
      <w:r>
        <w:rPr>
          <w:rFonts w:ascii="Arial" w:cs="Arial" w:eastAsia="Arial" w:hAnsi="Arial"/>
          <w:sz w:val="18"/>
          <w:szCs w:val="18"/>
          <w:color w:val="auto"/>
        </w:rPr>
        <w:t>Captures both income statement and balance sheet impacts, including capital management actions.</w:t>
      </w:r>
    </w:p>
    <w:p>
      <w:pPr>
        <w:spacing w:after="0" w:line="103" w:lineRule="exact"/>
        <w:rPr>
          <w:rFonts w:ascii="Arial" w:cs="Arial" w:eastAsia="Arial" w:hAnsi="Arial"/>
          <w:sz w:val="17"/>
          <w:szCs w:val="17"/>
          <w:color w:val="105EAB"/>
        </w:rPr>
      </w:pPr>
    </w:p>
    <w:p>
      <w:pPr>
        <w:ind w:left="620" w:hanging="306"/>
        <w:spacing w:after="0"/>
        <w:tabs>
          <w:tab w:leader="none" w:pos="620" w:val="left"/>
        </w:tabs>
        <w:numPr>
          <w:ilvl w:val="1"/>
          <w:numId w:val="168"/>
        </w:numPr>
        <w:rPr>
          <w:rFonts w:ascii="Arial" w:cs="Arial" w:eastAsia="Arial" w:hAnsi="Arial"/>
          <w:sz w:val="17"/>
          <w:szCs w:val="17"/>
          <w:color w:val="105EAB"/>
        </w:rPr>
      </w:pPr>
      <w:r>
        <w:rPr>
          <w:rFonts w:ascii="Arial" w:cs="Arial" w:eastAsia="Arial" w:hAnsi="Arial"/>
          <w:sz w:val="18"/>
          <w:szCs w:val="18"/>
          <w:color w:val="auto"/>
        </w:rPr>
        <w:t>Correlates to changes in long-term stockholder value.</w:t>
      </w:r>
    </w:p>
    <w:p>
      <w:pPr>
        <w:spacing w:after="0" w:line="103" w:lineRule="exact"/>
        <w:rPr>
          <w:rFonts w:ascii="Arial" w:cs="Arial" w:eastAsia="Arial" w:hAnsi="Arial"/>
          <w:sz w:val="17"/>
          <w:szCs w:val="17"/>
          <w:color w:val="105EAB"/>
        </w:rPr>
      </w:pPr>
    </w:p>
    <w:p>
      <w:pPr>
        <w:ind w:left="340" w:right="480" w:hanging="332"/>
        <w:spacing w:after="0" w:line="239" w:lineRule="auto"/>
        <w:tabs>
          <w:tab w:leader="none" w:pos="340" w:val="left"/>
        </w:tabs>
        <w:numPr>
          <w:ilvl w:val="0"/>
          <w:numId w:val="168"/>
        </w:numPr>
        <w:rPr>
          <w:rFonts w:ascii="Arial" w:cs="Arial" w:eastAsia="Arial" w:hAnsi="Arial"/>
          <w:sz w:val="17"/>
          <w:szCs w:val="17"/>
          <w:color w:val="105EAB"/>
        </w:rPr>
      </w:pPr>
      <w:r>
        <w:rPr>
          <w:rFonts w:ascii="Arial" w:cs="Arial" w:eastAsia="Arial" w:hAnsi="Arial"/>
          <w:sz w:val="18"/>
          <w:szCs w:val="18"/>
          <w:color w:val="auto"/>
        </w:rPr>
        <w:t>Earned Book Value was selected as the second measure since it includes unrealized changes in the value of the investment portfolio and excludes the impacts of change in utilization of debt.</w:t>
      </w:r>
    </w:p>
    <w:p>
      <w:pPr>
        <w:spacing w:after="0" w:line="100" w:lineRule="exact"/>
        <w:rPr>
          <w:rFonts w:ascii="Arial" w:cs="Arial" w:eastAsia="Arial" w:hAnsi="Arial"/>
          <w:sz w:val="17"/>
          <w:szCs w:val="17"/>
          <w:color w:val="105EAB"/>
        </w:rPr>
      </w:pPr>
    </w:p>
    <w:p>
      <w:pPr>
        <w:ind w:left="340" w:right="160" w:hanging="332"/>
        <w:spacing w:after="0" w:line="239" w:lineRule="auto"/>
        <w:tabs>
          <w:tab w:leader="none" w:pos="340" w:val="left"/>
        </w:tabs>
        <w:numPr>
          <w:ilvl w:val="0"/>
          <w:numId w:val="168"/>
        </w:numPr>
        <w:rPr>
          <w:rFonts w:ascii="Arial" w:cs="Arial" w:eastAsia="Arial" w:hAnsi="Arial"/>
          <w:sz w:val="17"/>
          <w:szCs w:val="17"/>
          <w:color w:val="105EAB"/>
        </w:rPr>
      </w:pPr>
      <w:r>
        <w:rPr>
          <w:rFonts w:ascii="Arial" w:cs="Arial" w:eastAsia="Arial" w:hAnsi="Arial"/>
          <w:sz w:val="18"/>
          <w:szCs w:val="18"/>
          <w:color w:val="auto"/>
        </w:rPr>
        <w:t>Both measures are further described on page 69. For both measures, the committee considered historical and expected performance, market expectations and industry trends when approving the range of performance.</w:t>
      </w:r>
    </w:p>
    <w:p>
      <w:pPr>
        <w:spacing w:after="0" w:line="100" w:lineRule="exact"/>
        <w:rPr>
          <w:rFonts w:ascii="Arial" w:cs="Arial" w:eastAsia="Arial" w:hAnsi="Arial"/>
          <w:sz w:val="17"/>
          <w:szCs w:val="17"/>
          <w:color w:val="105EAB"/>
        </w:rPr>
      </w:pPr>
    </w:p>
    <w:p>
      <w:pPr>
        <w:jc w:val="both"/>
        <w:ind w:left="340" w:right="60" w:hanging="332"/>
        <w:spacing w:after="0" w:line="298" w:lineRule="auto"/>
        <w:tabs>
          <w:tab w:leader="none" w:pos="340" w:val="left"/>
        </w:tabs>
        <w:numPr>
          <w:ilvl w:val="0"/>
          <w:numId w:val="168"/>
        </w:numPr>
        <w:rPr>
          <w:rFonts w:ascii="Arial" w:cs="Arial" w:eastAsia="Arial" w:hAnsi="Arial"/>
          <w:sz w:val="16"/>
          <w:szCs w:val="16"/>
          <w:color w:val="105EAB"/>
        </w:rPr>
      </w:pPr>
      <w:r>
        <w:rPr>
          <w:rFonts w:ascii="Arial" w:cs="Arial" w:eastAsia="Arial" w:hAnsi="Arial"/>
          <w:sz w:val="16"/>
          <w:szCs w:val="16"/>
          <w:color w:val="auto"/>
        </w:rPr>
        <w:t>For all PSA awards, Performance Net Income and Earned Book Value include a minimum or maximum amount of after-tax catastrophe losses if actual catastrophe losses are less than or exceed those amounts, respectively, which serves to decrease volatility and stabilize the measure.</w:t>
      </w:r>
    </w:p>
    <w:p>
      <w:pPr>
        <w:spacing w:after="0" w:line="55" w:lineRule="exact"/>
        <w:rPr>
          <w:rFonts w:ascii="Arial" w:cs="Arial" w:eastAsia="Arial" w:hAnsi="Arial"/>
          <w:sz w:val="16"/>
          <w:szCs w:val="16"/>
          <w:color w:val="105EAB"/>
        </w:rPr>
      </w:pPr>
    </w:p>
    <w:p>
      <w:pPr>
        <w:ind w:left="340" w:right="100" w:hanging="332"/>
        <w:spacing w:after="0" w:line="236" w:lineRule="auto"/>
        <w:tabs>
          <w:tab w:leader="none" w:pos="340" w:val="left"/>
        </w:tabs>
        <w:numPr>
          <w:ilvl w:val="0"/>
          <w:numId w:val="168"/>
        </w:numPr>
        <w:rPr>
          <w:rFonts w:ascii="Arial" w:cs="Arial" w:eastAsia="Arial" w:hAnsi="Arial"/>
          <w:sz w:val="17"/>
          <w:szCs w:val="17"/>
          <w:color w:val="105EAB"/>
        </w:rPr>
      </w:pPr>
      <w:r>
        <w:rPr>
          <w:rFonts w:ascii="Arial" w:cs="Arial" w:eastAsia="Arial" w:hAnsi="Arial"/>
          <w:sz w:val="18"/>
          <w:szCs w:val="18"/>
          <w:color w:val="auto"/>
        </w:rPr>
        <w:t>The committee requires positive Net Income in order for our executives to earn PSAs based on Average Performance Net Income ROE above target. If Allstate has a net loss in a measurement period, the number of PSAs vested would not exceed target, regardless of the Average Performance Net Income ROE. This positive Net Income hurdle is included to prevent misalignment between Allstate reported net income and the PSAs vested based on the Average Performance Net Income ROE result. This situation could occur if, for example, catastrophe losses or capital losses that are not included in Performance Net Income ROE caused Allstate to report a net loss for the period. For a description of the calculation, see page 69.</w:t>
      </w:r>
    </w:p>
    <w:p>
      <w:pPr>
        <w:spacing w:after="0" w:line="100" w:lineRule="exact"/>
        <w:rPr>
          <w:rFonts w:ascii="Arial" w:cs="Arial" w:eastAsia="Arial" w:hAnsi="Arial"/>
          <w:sz w:val="17"/>
          <w:szCs w:val="17"/>
          <w:color w:val="105EAB"/>
        </w:rPr>
      </w:pPr>
    </w:p>
    <w:p>
      <w:pPr>
        <w:jc w:val="both"/>
        <w:ind w:left="340" w:right="440" w:hanging="332"/>
        <w:spacing w:after="0" w:line="281" w:lineRule="auto"/>
        <w:tabs>
          <w:tab w:leader="none" w:pos="340" w:val="left"/>
        </w:tabs>
        <w:numPr>
          <w:ilvl w:val="0"/>
          <w:numId w:val="168"/>
        </w:numPr>
        <w:rPr>
          <w:rFonts w:ascii="Arial" w:cs="Arial" w:eastAsia="Arial" w:hAnsi="Arial"/>
          <w:sz w:val="16"/>
          <w:szCs w:val="16"/>
          <w:color w:val="105EAB"/>
        </w:rPr>
      </w:pPr>
      <w:r>
        <w:rPr>
          <w:rFonts w:ascii="Arial" w:cs="Arial" w:eastAsia="Arial" w:hAnsi="Arial"/>
          <w:sz w:val="16"/>
          <w:szCs w:val="16"/>
          <w:color w:val="auto"/>
        </w:rPr>
        <w:t>At the end of each measurement period, the committee certifies the level of our Average Performance Net Income ROE and Earned Book Value achievement. PSAs will vest following the end of the three-year performance cycle if the performance conditions are met, subject to continued employment (other than in the event of death, disability, retirement, or a qualifying termination following a change in control).</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1120" w:type="dxa"/>
            <w:vAlign w:val="bottom"/>
          </w:tcPr>
          <w:p>
            <w:pPr>
              <w:ind w:left="9640"/>
              <w:spacing w:after="0"/>
              <w:rPr>
                <w:sz w:val="20"/>
                <w:szCs w:val="20"/>
                <w:color w:val="auto"/>
              </w:rPr>
            </w:pPr>
            <w:r>
              <w:rPr>
                <w:rFonts w:ascii="Arial" w:cs="Arial" w:eastAsia="Arial" w:hAnsi="Arial"/>
                <w:sz w:val="13"/>
                <w:szCs w:val="13"/>
                <w:color w:val="105EAB"/>
              </w:rPr>
              <w:t>2019 Proxy Statement</w:t>
            </w:r>
          </w:p>
        </w:tc>
        <w:tc>
          <w:tcPr>
            <w:tcW w:w="320" w:type="dxa"/>
            <w:vAlign w:val="bottom"/>
          </w:tcPr>
          <w:p>
            <w:pPr>
              <w:jc w:val="right"/>
              <w:spacing w:after="0"/>
              <w:rPr>
                <w:sz w:val="20"/>
                <w:szCs w:val="20"/>
                <w:color w:val="auto"/>
              </w:rPr>
            </w:pPr>
            <w:r>
              <w:rPr>
                <w:rFonts w:ascii="Arial" w:cs="Arial" w:eastAsia="Arial" w:hAnsi="Arial"/>
                <w:sz w:val="13"/>
                <w:szCs w:val="13"/>
                <w:b w:val="1"/>
                <w:bCs w:val="1"/>
                <w:color w:val="105EAB"/>
              </w:rPr>
              <w:t>45</w:t>
            </w:r>
          </w:p>
        </w:tc>
      </w:tr>
      <w:tr>
        <w:trPr>
          <w:trHeight w:val="213"/>
        </w:trPr>
        <w:tc>
          <w:tcPr>
            <w:tcW w:w="1112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-13970</wp:posOffset>
            </wp:positionV>
            <wp:extent cx="1270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type w:val="continuous"/>
        </w:sectPr>
      </w:pPr>
    </w:p>
    <w:bookmarkStart w:id="46" w:name="page47"/>
    <w:bookmarkEnd w:id="46"/>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b w:val="1"/>
          <w:bCs w:val="1"/>
          <w:color w:val="105EAB"/>
        </w:rPr>
        <w:t xml:space="preserve">Executive Compensation | </w:t>
      </w:r>
      <w:r>
        <w:rPr>
          <w:rFonts w:ascii="Arial" w:cs="Arial" w:eastAsia="Arial" w:hAnsi="Arial"/>
          <w:sz w:val="13"/>
          <w:szCs w:val="13"/>
          <w:b w:val="1"/>
          <w:bCs w:val="1"/>
          <w:color w:val="000000"/>
        </w:rPr>
        <w:t>Compensation Discussion and Analysis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For the 2019-2021 award, the Average Performance Net Income ROE and Earned Book Value measures are calculated, respectively, as follows:</w:t>
      </w:r>
    </w:p>
    <w:p>
      <w:pPr>
        <w:sectPr>
          <w:pgSz w:w="11900" w:h="16838" w:orient="portrait"/>
          <w:cols w:equalWidth="0" w:num="1">
            <w:col w:w="11420"/>
          </w:cols>
          <w:pgMar w:left="240" w:top="121" w:right="239" w:bottom="1440" w:gutter="0" w:footer="0" w:header="0"/>
        </w:sectPr>
      </w:pP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105EAB"/>
        </w:rPr>
        <w:t>Performance Net Income</w:t>
      </w:r>
      <w:r>
        <w:rPr>
          <w:rFonts w:ascii="Arial" w:cs="Arial" w:eastAsia="Arial" w:hAnsi="Arial"/>
          <w:sz w:val="28"/>
          <w:szCs w:val="28"/>
          <w:b w:val="1"/>
          <w:bCs w:val="1"/>
          <w:color w:val="105EAB"/>
          <w:vertAlign w:val="superscript"/>
        </w:rPr>
        <w:t>(1)</w:t>
      </w:r>
    </w:p>
    <w:p>
      <w:pPr>
        <w:spacing w:after="0" w:line="246" w:lineRule="exact"/>
        <w:rPr>
          <w:sz w:val="20"/>
          <w:szCs w:val="20"/>
          <w:color w:val="auto"/>
        </w:rPr>
      </w:pPr>
    </w:p>
    <w:p>
      <w:pPr>
        <w:ind w:right="480"/>
        <w:spacing w:after="0" w:line="258" w:lineRule="auto"/>
        <w:rPr>
          <w:sz w:val="20"/>
          <w:szCs w:val="20"/>
          <w:color w:val="auto"/>
        </w:rPr>
      </w:pPr>
      <w:r>
        <w:rPr>
          <w:rFonts w:ascii="Arial" w:cs="Arial" w:eastAsia="Arial" w:hAnsi="Arial"/>
          <w:sz w:val="13"/>
          <w:szCs w:val="13"/>
          <w:color w:val="auto"/>
        </w:rPr>
        <w:t>Average for three years in the performance cycle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335915</wp:posOffset>
            </wp:positionV>
            <wp:extent cx="164465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6446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105EAB"/>
        </w:rPr>
        <w:t>Catastrophe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-118745</wp:posOffset>
            </wp:positionV>
            <wp:extent cx="162560" cy="19685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62560" cy="196850"/>
                    </a:xfrm>
                    <a:prstGeom prst="rect">
                      <a:avLst/>
                    </a:prstGeom>
                    <a:noFill/>
                  </pic:spPr>
                </pic:pic>
              </a:graphicData>
            </a:graphic>
          </wp:anchor>
        </w:drawing>
      </w:r>
    </w:p>
    <w:p>
      <w:pPr>
        <w:spacing w:after="0" w:line="344" w:lineRule="exact"/>
        <w:rPr>
          <w:sz w:val="20"/>
          <w:szCs w:val="20"/>
          <w:color w:val="auto"/>
        </w:rPr>
      </w:pPr>
    </w:p>
    <w:p>
      <w:pPr>
        <w:spacing w:after="0" w:line="258" w:lineRule="auto"/>
        <w:rPr>
          <w:sz w:val="20"/>
          <w:szCs w:val="20"/>
          <w:color w:val="auto"/>
        </w:rPr>
      </w:pPr>
      <w:r>
        <w:rPr>
          <w:rFonts w:ascii="Arial" w:cs="Arial" w:eastAsia="Arial" w:hAnsi="Arial"/>
          <w:sz w:val="13"/>
          <w:szCs w:val="13"/>
          <w:color w:val="auto"/>
        </w:rPr>
        <w:t>Adjusted to reflect a minimum or maximum amount of catastrophe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335915</wp:posOffset>
            </wp:positionV>
            <wp:extent cx="190182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9018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ind w:right="520"/>
        <w:spacing w:after="0" w:line="264" w:lineRule="auto"/>
        <w:rPr>
          <w:sz w:val="20"/>
          <w:szCs w:val="20"/>
          <w:color w:val="auto"/>
        </w:rPr>
      </w:pPr>
      <w:r>
        <w:rPr>
          <w:rFonts w:ascii="Arial" w:cs="Arial" w:eastAsia="Arial" w:hAnsi="Arial"/>
          <w:sz w:val="17"/>
          <w:szCs w:val="17"/>
          <w:b w:val="1"/>
          <w:bCs w:val="1"/>
          <w:color w:val="105EAB"/>
        </w:rPr>
        <w:t>Adjusted Common Shareholders’ Equity</w:t>
      </w:r>
      <w:r>
        <w:rPr>
          <w:rFonts w:ascii="Arial" w:cs="Arial" w:eastAsia="Arial" w:hAnsi="Arial"/>
          <w:sz w:val="28"/>
          <w:szCs w:val="28"/>
          <w:b w:val="1"/>
          <w:bCs w:val="1"/>
          <w:color w:val="105EAB"/>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-245745</wp:posOffset>
            </wp:positionH>
            <wp:positionV relativeFrom="paragraph">
              <wp:posOffset>-306070</wp:posOffset>
            </wp:positionV>
            <wp:extent cx="179705" cy="15430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79705" cy="154305"/>
                    </a:xfrm>
                    <a:prstGeom prst="rect">
                      <a:avLst/>
                    </a:prstGeom>
                    <a:noFill/>
                  </pic:spPr>
                </pic:pic>
              </a:graphicData>
            </a:graphic>
          </wp:anchor>
        </w:drawing>
      </w:r>
    </w:p>
    <w:p>
      <w:pPr>
        <w:spacing w:after="0" w:line="243" w:lineRule="auto"/>
        <w:rPr>
          <w:sz w:val="20"/>
          <w:szCs w:val="20"/>
          <w:color w:val="auto"/>
        </w:rPr>
      </w:pPr>
      <w:r>
        <w:rPr>
          <w:rFonts w:ascii="Arial" w:cs="Arial" w:eastAsia="Arial" w:hAnsi="Arial"/>
          <w:sz w:val="13"/>
          <w:szCs w:val="13"/>
          <w:color w:val="auto"/>
        </w:rPr>
        <w:t>Average of common shareholders’ equity excluding unrealized gains and losses, after tax, at December 2018, and at the end of each year in the performance cycle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wp:posOffset>
            </wp:positionH>
            <wp:positionV relativeFrom="paragraph">
              <wp:posOffset>155575</wp:posOffset>
            </wp:positionV>
            <wp:extent cx="189293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b w:val="1"/>
          <w:bCs w:val="1"/>
          <w:color w:val="39B6E9"/>
        </w:rPr>
        <w:t>Average Performance Net Income ROE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-233680</wp:posOffset>
            </wp:positionV>
            <wp:extent cx="179705" cy="10287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79705" cy="102870"/>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70% of PSA Performance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455295</wp:posOffset>
            </wp:positionV>
            <wp:extent cx="178181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781810" cy="8255"/>
                    </a:xfrm>
                    <a:prstGeom prst="rect">
                      <a:avLst/>
                    </a:prstGeom>
                    <a:noFill/>
                  </pic:spPr>
                </pic:pic>
              </a:graphicData>
            </a:graphic>
          </wp:anchor>
        </w:drawing>
      </w:r>
    </w:p>
    <w:p>
      <w:pPr>
        <w:spacing w:after="0" w:line="671" w:lineRule="exact"/>
        <w:rPr>
          <w:sz w:val="20"/>
          <w:szCs w:val="20"/>
          <w:color w:val="auto"/>
        </w:rPr>
      </w:pPr>
    </w:p>
    <w:p>
      <w:pPr>
        <w:sectPr>
          <w:pgSz w:w="11900" w:h="16838" w:orient="portrait"/>
          <w:cols w:equalWidth="0" w:num="4">
            <w:col w:w="2260" w:space="680"/>
            <w:col w:w="2400" w:space="560"/>
            <w:col w:w="2460" w:space="520"/>
            <w:col w:w="2540"/>
          </w:cols>
          <w:pgMar w:left="240" w:top="121" w:right="239" w:bottom="1440" w:gutter="0" w:footer="0" w:header="0"/>
          <w:type w:val="continuous"/>
        </w:sectPr>
      </w:pP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60" w:type="dxa"/>
            <w:vAlign w:val="bottom"/>
          </w:tcPr>
          <w:p>
            <w:pPr>
              <w:spacing w:after="0"/>
              <w:rPr>
                <w:sz w:val="20"/>
                <w:szCs w:val="20"/>
                <w:color w:val="auto"/>
              </w:rPr>
            </w:pPr>
            <w:r>
              <w:rPr>
                <w:rFonts w:ascii="Arial" w:cs="Arial" w:eastAsia="Arial" w:hAnsi="Arial"/>
                <w:sz w:val="18"/>
                <w:szCs w:val="18"/>
                <w:b w:val="1"/>
                <w:bCs w:val="1"/>
                <w:color w:val="105EAB"/>
              </w:rPr>
              <w:t>Common Shareholders’</w:t>
            </w:r>
          </w:p>
        </w:tc>
        <w:tc>
          <w:tcPr>
            <w:tcW w:w="2980" w:type="dxa"/>
            <w:vAlign w:val="bottom"/>
          </w:tcPr>
          <w:p>
            <w:pPr>
              <w:ind w:left="280"/>
              <w:spacing w:after="0"/>
              <w:rPr>
                <w:sz w:val="20"/>
                <w:szCs w:val="20"/>
                <w:color w:val="auto"/>
              </w:rPr>
            </w:pPr>
            <w:r>
              <w:rPr>
                <w:rFonts w:ascii="Arial" w:cs="Arial" w:eastAsia="Arial" w:hAnsi="Arial"/>
                <w:sz w:val="18"/>
                <w:szCs w:val="18"/>
                <w:b w:val="1"/>
                <w:bCs w:val="1"/>
                <w:color w:val="105EAB"/>
              </w:rPr>
              <w:t>Capital Transactions</w:t>
            </w:r>
          </w:p>
        </w:tc>
        <w:tc>
          <w:tcPr>
            <w:tcW w:w="2640" w:type="dxa"/>
            <w:vAlign w:val="bottom"/>
          </w:tcPr>
          <w:p>
            <w:pPr>
              <w:ind w:left="260"/>
              <w:spacing w:after="0"/>
              <w:rPr>
                <w:sz w:val="20"/>
                <w:szCs w:val="20"/>
                <w:color w:val="auto"/>
              </w:rPr>
            </w:pPr>
            <w:r>
              <w:rPr>
                <w:rFonts w:ascii="Arial" w:cs="Arial" w:eastAsia="Arial" w:hAnsi="Arial"/>
                <w:sz w:val="18"/>
                <w:szCs w:val="18"/>
                <w:b w:val="1"/>
                <w:bCs w:val="1"/>
                <w:color w:val="105EAB"/>
              </w:rPr>
              <w:t>Catastrophe Losses</w:t>
            </w:r>
          </w:p>
        </w:tc>
      </w:tr>
      <w:tr>
        <w:trPr>
          <w:trHeight w:val="233"/>
        </w:trPr>
        <w:tc>
          <w:tcPr>
            <w:tcW w:w="2660" w:type="dxa"/>
            <w:vAlign w:val="bottom"/>
          </w:tcPr>
          <w:p>
            <w:pPr>
              <w:spacing w:after="0"/>
              <w:rPr>
                <w:sz w:val="20"/>
                <w:szCs w:val="20"/>
                <w:color w:val="auto"/>
              </w:rPr>
            </w:pPr>
            <w:r>
              <w:rPr>
                <w:rFonts w:ascii="Arial" w:cs="Arial" w:eastAsia="Arial" w:hAnsi="Arial"/>
                <w:sz w:val="18"/>
                <w:szCs w:val="18"/>
                <w:b w:val="1"/>
                <w:bCs w:val="1"/>
                <w:color w:val="105EAB"/>
              </w:rPr>
              <w:t>Equity</w:t>
            </w:r>
          </w:p>
        </w:tc>
        <w:tc>
          <w:tcPr>
            <w:tcW w:w="2980" w:type="dxa"/>
            <w:vAlign w:val="bottom"/>
          </w:tcPr>
          <w:p>
            <w:pPr>
              <w:spacing w:after="0"/>
              <w:rPr>
                <w:sz w:val="20"/>
                <w:szCs w:val="20"/>
                <w:color w:val="auto"/>
              </w:rPr>
            </w:pPr>
          </w:p>
        </w:tc>
        <w:tc>
          <w:tcPr>
            <w:tcW w:w="2640" w:type="dxa"/>
            <w:vAlign w:val="bottom"/>
          </w:tcPr>
          <w:p>
            <w:pPr>
              <w:spacing w:after="0"/>
              <w:rPr>
                <w:sz w:val="20"/>
                <w:szCs w:val="20"/>
                <w:color w:val="auto"/>
              </w:rPr>
            </w:pPr>
          </w:p>
        </w:tc>
      </w:tr>
      <w:tr>
        <w:trPr>
          <w:trHeight w:val="244"/>
        </w:trPr>
        <w:tc>
          <w:tcPr>
            <w:tcW w:w="2660" w:type="dxa"/>
            <w:vAlign w:val="bottom"/>
          </w:tcPr>
          <w:p>
            <w:pPr>
              <w:spacing w:after="0"/>
              <w:rPr>
                <w:sz w:val="20"/>
                <w:szCs w:val="20"/>
                <w:color w:val="auto"/>
              </w:rPr>
            </w:pPr>
            <w:r>
              <w:rPr>
                <w:rFonts w:ascii="Arial" w:cs="Arial" w:eastAsia="Arial" w:hAnsi="Arial"/>
                <w:sz w:val="13"/>
                <w:szCs w:val="13"/>
                <w:color w:val="auto"/>
              </w:rPr>
              <w:t>Reported common shareholders’ equity</w:t>
            </w:r>
          </w:p>
        </w:tc>
        <w:tc>
          <w:tcPr>
            <w:tcW w:w="2980" w:type="dxa"/>
            <w:vAlign w:val="bottom"/>
          </w:tcPr>
          <w:p>
            <w:pPr>
              <w:ind w:left="280"/>
              <w:spacing w:after="0"/>
              <w:rPr>
                <w:sz w:val="20"/>
                <w:szCs w:val="20"/>
                <w:color w:val="auto"/>
              </w:rPr>
            </w:pPr>
            <w:r>
              <w:rPr>
                <w:rFonts w:ascii="Arial" w:cs="Arial" w:eastAsia="Arial" w:hAnsi="Arial"/>
                <w:sz w:val="13"/>
                <w:szCs w:val="13"/>
                <w:color w:val="auto"/>
              </w:rPr>
              <w:t>Adjusted to add back common share</w:t>
            </w:r>
          </w:p>
        </w:tc>
        <w:tc>
          <w:tcPr>
            <w:tcW w:w="2640" w:type="dxa"/>
            <w:vAlign w:val="bottom"/>
          </w:tcPr>
          <w:p>
            <w:pPr>
              <w:ind w:left="260"/>
              <w:spacing w:after="0"/>
              <w:rPr>
                <w:sz w:val="20"/>
                <w:szCs w:val="20"/>
                <w:color w:val="auto"/>
              </w:rPr>
            </w:pPr>
            <w:r>
              <w:rPr>
                <w:rFonts w:ascii="Arial" w:cs="Arial" w:eastAsia="Arial" w:hAnsi="Arial"/>
                <w:sz w:val="13"/>
                <w:szCs w:val="13"/>
                <w:color w:val="auto"/>
              </w:rPr>
              <w:t>Adjusted to reflect a minimum or</w:t>
            </w:r>
          </w:p>
        </w:tc>
      </w:tr>
      <w:tr>
        <w:trPr>
          <w:trHeight w:val="148"/>
        </w:trPr>
        <w:tc>
          <w:tcPr>
            <w:tcW w:w="2660" w:type="dxa"/>
            <w:vAlign w:val="bottom"/>
          </w:tcPr>
          <w:p>
            <w:pPr>
              <w:spacing w:after="0" w:line="149" w:lineRule="exact"/>
              <w:rPr>
                <w:sz w:val="20"/>
                <w:szCs w:val="20"/>
                <w:color w:val="auto"/>
              </w:rPr>
            </w:pPr>
            <w:r>
              <w:rPr>
                <w:rFonts w:ascii="Arial" w:cs="Arial" w:eastAsia="Arial" w:hAnsi="Arial"/>
                <w:sz w:val="13"/>
                <w:szCs w:val="13"/>
                <w:color w:val="auto"/>
              </w:rPr>
              <w:t>at December 2021</w:t>
            </w:r>
          </w:p>
        </w:tc>
        <w:tc>
          <w:tcPr>
            <w:tcW w:w="2980" w:type="dxa"/>
            <w:vAlign w:val="bottom"/>
          </w:tcPr>
          <w:p>
            <w:pPr>
              <w:ind w:left="280"/>
              <w:spacing w:after="0" w:line="149" w:lineRule="exact"/>
              <w:rPr>
                <w:sz w:val="20"/>
                <w:szCs w:val="20"/>
                <w:color w:val="auto"/>
              </w:rPr>
            </w:pPr>
            <w:r>
              <w:rPr>
                <w:rFonts w:ascii="Arial" w:cs="Arial" w:eastAsia="Arial" w:hAnsi="Arial"/>
                <w:sz w:val="13"/>
                <w:szCs w:val="13"/>
                <w:color w:val="auto"/>
              </w:rPr>
              <w:t>repurchases and common share</w:t>
            </w:r>
          </w:p>
        </w:tc>
        <w:tc>
          <w:tcPr>
            <w:tcW w:w="2640" w:type="dxa"/>
            <w:vAlign w:val="bottom"/>
          </w:tcPr>
          <w:p>
            <w:pPr>
              <w:ind w:left="260"/>
              <w:spacing w:after="0" w:line="149" w:lineRule="exact"/>
              <w:rPr>
                <w:sz w:val="20"/>
                <w:szCs w:val="20"/>
                <w:color w:val="auto"/>
              </w:rPr>
            </w:pPr>
            <w:r>
              <w:rPr>
                <w:rFonts w:ascii="Arial" w:cs="Arial" w:eastAsia="Arial" w:hAnsi="Arial"/>
                <w:sz w:val="13"/>
                <w:szCs w:val="13"/>
                <w:color w:val="auto"/>
              </w:rPr>
              <w:t>maximum amount of catastrophe losses</w:t>
            </w:r>
          </w:p>
        </w:tc>
      </w:tr>
      <w:tr>
        <w:trPr>
          <w:trHeight w:val="162"/>
        </w:trPr>
        <w:tc>
          <w:tcPr>
            <w:tcW w:w="2660" w:type="dxa"/>
            <w:vAlign w:val="bottom"/>
          </w:tcPr>
          <w:p>
            <w:pPr>
              <w:spacing w:after="0"/>
              <w:rPr>
                <w:sz w:val="14"/>
                <w:szCs w:val="14"/>
                <w:color w:val="auto"/>
              </w:rPr>
            </w:pPr>
          </w:p>
        </w:tc>
        <w:tc>
          <w:tcPr>
            <w:tcW w:w="2980" w:type="dxa"/>
            <w:vAlign w:val="bottom"/>
          </w:tcPr>
          <w:p>
            <w:pPr>
              <w:ind w:left="280"/>
              <w:spacing w:after="0"/>
              <w:rPr>
                <w:sz w:val="20"/>
                <w:szCs w:val="20"/>
                <w:color w:val="auto"/>
              </w:rPr>
            </w:pPr>
            <w:r>
              <w:rPr>
                <w:rFonts w:ascii="Arial" w:cs="Arial" w:eastAsia="Arial" w:hAnsi="Arial"/>
                <w:sz w:val="13"/>
                <w:szCs w:val="13"/>
                <w:color w:val="auto"/>
              </w:rPr>
              <w:t>dividends during the performance period</w:t>
            </w:r>
          </w:p>
        </w:tc>
        <w:tc>
          <w:tcPr>
            <w:tcW w:w="264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5319395" cy="16256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319395" cy="162560"/>
                    </a:xfrm>
                    <a:prstGeom prst="rect">
                      <a:avLst/>
                    </a:prstGeom>
                    <a:noFill/>
                  </pic:spPr>
                </pic:pic>
              </a:graphicData>
            </a:graphic>
          </wp:anchor>
        </w:drawing>
        <w:drawing>
          <wp:anchor simplePos="0" relativeHeight="251657728" behindDoc="1" locked="0" layoutInCell="0" allowOverlap="1">
            <wp:simplePos x="0" y="0"/>
            <wp:positionH relativeFrom="column">
              <wp:posOffset>1632585</wp:posOffset>
            </wp:positionH>
            <wp:positionV relativeFrom="paragraph">
              <wp:posOffset>-615950</wp:posOffset>
            </wp:positionV>
            <wp:extent cx="171450" cy="17145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3508375</wp:posOffset>
            </wp:positionH>
            <wp:positionV relativeFrom="paragraph">
              <wp:posOffset>-615950</wp:posOffset>
            </wp:positionV>
            <wp:extent cx="162560" cy="19685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62560" cy="19685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2920"/>
        <w:spacing w:after="0"/>
        <w:rPr>
          <w:sz w:val="20"/>
          <w:szCs w:val="20"/>
          <w:color w:val="auto"/>
        </w:rPr>
      </w:pPr>
      <w:r>
        <w:rPr>
          <w:rFonts w:ascii="Arial" w:cs="Arial" w:eastAsia="Arial" w:hAnsi="Arial"/>
          <w:sz w:val="18"/>
          <w:szCs w:val="18"/>
          <w:color w:val="105EAB"/>
        </w:rPr>
        <w:t>Three-Year Measurement Period</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39B6E9"/>
        </w:rPr>
        <w:t>Earned Book Value</w:t>
      </w:r>
      <w:r>
        <w:rPr>
          <w:rFonts w:ascii="Arial" w:cs="Arial" w:eastAsia="Arial" w:hAnsi="Arial"/>
          <w:sz w:val="29"/>
          <w:szCs w:val="29"/>
          <w:b w:val="1"/>
          <w:bCs w:val="1"/>
          <w:color w:val="39B6E9"/>
          <w:vertAlign w:val="superscript"/>
        </w:rPr>
        <w:t>(3)</w:t>
      </w:r>
      <w:r>
        <w:rPr>
          <w:rFonts w:ascii="Arial" w:cs="Arial" w:eastAsia="Arial" w:hAnsi="Arial"/>
          <w:sz w:val="18"/>
          <w:szCs w:val="18"/>
          <w:b w:val="1"/>
          <w:bCs w:val="1"/>
          <w:color w:val="39B6E9"/>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-201295</wp:posOffset>
            </wp:positionV>
            <wp:extent cx="171450" cy="17145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174" w:lineRule="exact"/>
        <w:rPr>
          <w:sz w:val="20"/>
          <w:szCs w:val="20"/>
          <w:color w:val="auto"/>
        </w:rPr>
      </w:pPr>
    </w:p>
    <w:p>
      <w:pPr>
        <w:ind w:right="100"/>
        <w:spacing w:after="0" w:line="244" w:lineRule="auto"/>
        <w:rPr>
          <w:sz w:val="20"/>
          <w:szCs w:val="20"/>
          <w:color w:val="auto"/>
        </w:rPr>
      </w:pPr>
      <w:r>
        <w:rPr>
          <w:rFonts w:ascii="Arial" w:cs="Arial" w:eastAsia="Arial" w:hAnsi="Arial"/>
          <w:sz w:val="13"/>
          <w:szCs w:val="13"/>
          <w:color w:val="auto"/>
        </w:rPr>
        <w:t>Compound annual growth rate between reported common shareholders’ equity at December 2018 and adjusted common shareholders’ equity at December 2021</w:t>
      </w:r>
    </w:p>
    <w:p>
      <w:pPr>
        <w:spacing w:after="0" w:line="6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30% of PSA</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Performance Measure</w:t>
      </w:r>
    </w:p>
    <w:p>
      <w:pPr>
        <w:spacing w:after="0" w:line="207" w:lineRule="exact"/>
        <w:rPr>
          <w:sz w:val="20"/>
          <w:szCs w:val="20"/>
          <w:color w:val="auto"/>
        </w:rPr>
      </w:pPr>
    </w:p>
    <w:p>
      <w:pPr>
        <w:sectPr>
          <w:pgSz w:w="11900" w:h="16838" w:orient="portrait"/>
          <w:cols w:equalWidth="0" w:num="2">
            <w:col w:w="8280" w:space="600"/>
            <w:col w:w="2540"/>
          </w:cols>
          <w:pgMar w:left="240" w:top="121" w:right="23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20" w:type="dxa"/>
            <w:vAlign w:val="bottom"/>
          </w:tcPr>
          <w:p>
            <w:pPr>
              <w:jc w:val="right"/>
              <w:ind w:right="24"/>
              <w:spacing w:after="0"/>
              <w:rPr>
                <w:sz w:val="20"/>
                <w:szCs w:val="20"/>
                <w:color w:val="auto"/>
              </w:rPr>
            </w:pPr>
            <w:r>
              <w:rPr>
                <w:rFonts w:ascii="Arial" w:cs="Arial" w:eastAsia="Arial" w:hAnsi="Arial"/>
                <w:sz w:val="11"/>
                <w:szCs w:val="11"/>
                <w:color w:val="auto"/>
                <w:w w:val="88"/>
              </w:rPr>
              <w:t>(1)</w:t>
            </w:r>
          </w:p>
        </w:tc>
        <w:tc>
          <w:tcPr>
            <w:tcW w:w="5640" w:type="dxa"/>
            <w:vAlign w:val="bottom"/>
          </w:tcPr>
          <w:p>
            <w:pPr>
              <w:ind w:left="80"/>
              <w:spacing w:after="0"/>
              <w:rPr>
                <w:sz w:val="20"/>
                <w:szCs w:val="20"/>
                <w:color w:val="auto"/>
              </w:rPr>
            </w:pPr>
            <w:r>
              <w:rPr>
                <w:rFonts w:ascii="Arial" w:cs="Arial" w:eastAsia="Arial" w:hAnsi="Arial"/>
                <w:sz w:val="13"/>
                <w:szCs w:val="13"/>
                <w:color w:val="auto"/>
              </w:rPr>
              <w:t>Performance Net Income for the 2019-2021 PSA award is defined on pages 67-69.</w:t>
            </w:r>
          </w:p>
        </w:tc>
      </w:tr>
      <w:tr>
        <w:trPr>
          <w:trHeight w:val="162"/>
        </w:trPr>
        <w:tc>
          <w:tcPr>
            <w:tcW w:w="220" w:type="dxa"/>
            <w:vAlign w:val="bottom"/>
          </w:tcPr>
          <w:p>
            <w:pPr>
              <w:jc w:val="right"/>
              <w:ind w:right="24"/>
              <w:spacing w:after="0"/>
              <w:rPr>
                <w:sz w:val="20"/>
                <w:szCs w:val="20"/>
                <w:color w:val="auto"/>
              </w:rPr>
            </w:pPr>
            <w:r>
              <w:rPr>
                <w:rFonts w:ascii="Arial" w:cs="Arial" w:eastAsia="Arial" w:hAnsi="Arial"/>
                <w:sz w:val="11"/>
                <w:szCs w:val="11"/>
                <w:color w:val="auto"/>
                <w:w w:val="88"/>
              </w:rPr>
              <w:t>(2)</w:t>
            </w:r>
          </w:p>
        </w:tc>
        <w:tc>
          <w:tcPr>
            <w:tcW w:w="5640" w:type="dxa"/>
            <w:vAlign w:val="bottom"/>
          </w:tcPr>
          <w:p>
            <w:pPr>
              <w:ind w:left="80"/>
              <w:spacing w:after="0"/>
              <w:rPr>
                <w:sz w:val="20"/>
                <w:szCs w:val="20"/>
                <w:color w:val="auto"/>
              </w:rPr>
            </w:pPr>
            <w:r>
              <w:rPr>
                <w:rFonts w:ascii="Arial" w:cs="Arial" w:eastAsia="Arial" w:hAnsi="Arial"/>
                <w:sz w:val="13"/>
                <w:szCs w:val="13"/>
                <w:color w:val="auto"/>
              </w:rPr>
              <w:t>Adjusted Common Shareholders’ Equity for the 2019-2021 PSA award is defined on page 69.</w:t>
            </w:r>
          </w:p>
        </w:tc>
      </w:tr>
      <w:tr>
        <w:trPr>
          <w:trHeight w:val="169"/>
        </w:trPr>
        <w:tc>
          <w:tcPr>
            <w:tcW w:w="220" w:type="dxa"/>
            <w:vAlign w:val="bottom"/>
          </w:tcPr>
          <w:p>
            <w:pPr>
              <w:jc w:val="right"/>
              <w:ind w:right="24"/>
              <w:spacing w:after="0"/>
              <w:rPr>
                <w:sz w:val="20"/>
                <w:szCs w:val="20"/>
                <w:color w:val="auto"/>
              </w:rPr>
            </w:pPr>
            <w:r>
              <w:rPr>
                <w:rFonts w:ascii="Arial" w:cs="Arial" w:eastAsia="Arial" w:hAnsi="Arial"/>
                <w:sz w:val="11"/>
                <w:szCs w:val="11"/>
                <w:color w:val="auto"/>
                <w:w w:val="88"/>
              </w:rPr>
              <w:t>(3)</w:t>
            </w:r>
          </w:p>
        </w:tc>
        <w:tc>
          <w:tcPr>
            <w:tcW w:w="5640" w:type="dxa"/>
            <w:vAlign w:val="bottom"/>
          </w:tcPr>
          <w:p>
            <w:pPr>
              <w:ind w:left="80"/>
              <w:spacing w:after="0"/>
              <w:rPr>
                <w:sz w:val="20"/>
                <w:szCs w:val="20"/>
                <w:color w:val="auto"/>
              </w:rPr>
            </w:pPr>
            <w:r>
              <w:rPr>
                <w:rFonts w:ascii="Arial" w:cs="Arial" w:eastAsia="Arial" w:hAnsi="Arial"/>
                <w:sz w:val="13"/>
                <w:szCs w:val="13"/>
                <w:color w:val="auto"/>
              </w:rPr>
              <w:t>Earned Book Value is defined on page 69.</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105EAB"/>
        </w:rPr>
        <w:t>2019-2021 PERFORMANCE STOCK AWARD RANGE OF PERFORMANCE</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9120" w:type="dxa"/>
            <w:vAlign w:val="bottom"/>
          </w:tcPr>
          <w:p>
            <w:pPr>
              <w:spacing w:after="0"/>
              <w:rPr>
                <w:sz w:val="15"/>
                <w:szCs w:val="15"/>
                <w:color w:val="auto"/>
              </w:rPr>
            </w:pPr>
          </w:p>
        </w:tc>
        <w:tc>
          <w:tcPr>
            <w:tcW w:w="2300" w:type="dxa"/>
            <w:vAlign w:val="bottom"/>
            <w:gridSpan w:val="3"/>
          </w:tcPr>
          <w:p>
            <w:pPr>
              <w:jc w:val="right"/>
              <w:ind w:right="353"/>
              <w:spacing w:after="0"/>
              <w:rPr>
                <w:sz w:val="20"/>
                <w:szCs w:val="20"/>
                <w:color w:val="auto"/>
              </w:rPr>
            </w:pPr>
            <w:r>
              <w:rPr>
                <w:rFonts w:ascii="Arial" w:cs="Arial" w:eastAsia="Arial" w:hAnsi="Arial"/>
                <w:sz w:val="13"/>
                <w:szCs w:val="13"/>
                <w:b w:val="1"/>
                <w:bCs w:val="1"/>
                <w:color w:val="105EAB"/>
              </w:rPr>
              <w:t>Performance Measures</w:t>
            </w:r>
          </w:p>
        </w:tc>
      </w:tr>
      <w:tr>
        <w:trPr>
          <w:trHeight w:val="48"/>
        </w:trPr>
        <w:tc>
          <w:tcPr>
            <w:tcW w:w="9120" w:type="dxa"/>
            <w:vAlign w:val="bottom"/>
          </w:tcPr>
          <w:p>
            <w:pPr>
              <w:spacing w:after="0"/>
              <w:rPr>
                <w:sz w:val="4"/>
                <w:szCs w:val="4"/>
                <w:color w:val="auto"/>
              </w:rPr>
            </w:pPr>
          </w:p>
        </w:tc>
        <w:tc>
          <w:tcPr>
            <w:tcW w:w="800" w:type="dxa"/>
            <w:vAlign w:val="bottom"/>
            <w:tcBorders>
              <w:bottom w:val="single" w:sz="8" w:color="105EAB"/>
            </w:tcBorders>
          </w:tcPr>
          <w:p>
            <w:pPr>
              <w:spacing w:after="0"/>
              <w:rPr>
                <w:sz w:val="4"/>
                <w:szCs w:val="4"/>
                <w:color w:val="auto"/>
              </w:rPr>
            </w:pPr>
          </w:p>
        </w:tc>
        <w:tc>
          <w:tcPr>
            <w:tcW w:w="660" w:type="dxa"/>
            <w:vAlign w:val="bottom"/>
            <w:tcBorders>
              <w:bottom w:val="single" w:sz="8" w:color="105EAB"/>
            </w:tcBorders>
          </w:tcPr>
          <w:p>
            <w:pPr>
              <w:spacing w:after="0"/>
              <w:rPr>
                <w:sz w:val="4"/>
                <w:szCs w:val="4"/>
                <w:color w:val="auto"/>
              </w:rPr>
            </w:pPr>
          </w:p>
        </w:tc>
        <w:tc>
          <w:tcPr>
            <w:tcW w:w="840" w:type="dxa"/>
            <w:vAlign w:val="bottom"/>
            <w:tcBorders>
              <w:bottom w:val="single" w:sz="8" w:color="105EAB"/>
            </w:tcBorders>
          </w:tcPr>
          <w:p>
            <w:pPr>
              <w:spacing w:after="0"/>
              <w:rPr>
                <w:sz w:val="4"/>
                <w:szCs w:val="4"/>
                <w:color w:val="auto"/>
              </w:rPr>
            </w:pPr>
          </w:p>
        </w:tc>
      </w:tr>
      <w:tr>
        <w:trPr>
          <w:trHeight w:val="202"/>
        </w:trPr>
        <w:tc>
          <w:tcPr>
            <w:tcW w:w="9120" w:type="dxa"/>
            <w:vAlign w:val="bottom"/>
          </w:tcPr>
          <w:p>
            <w:pPr>
              <w:spacing w:after="0"/>
              <w:rPr>
                <w:sz w:val="17"/>
                <w:szCs w:val="17"/>
                <w:color w:val="auto"/>
              </w:rPr>
            </w:pPr>
          </w:p>
        </w:tc>
        <w:tc>
          <w:tcPr>
            <w:tcW w:w="800" w:type="dxa"/>
            <w:vAlign w:val="bottom"/>
          </w:tcPr>
          <w:p>
            <w:pPr>
              <w:jc w:val="right"/>
              <w:ind w:right="73"/>
              <w:spacing w:after="0"/>
              <w:rPr>
                <w:sz w:val="20"/>
                <w:szCs w:val="20"/>
                <w:color w:val="auto"/>
              </w:rPr>
            </w:pPr>
            <w:r>
              <w:rPr>
                <w:rFonts w:ascii="Arial" w:cs="Arial" w:eastAsia="Arial" w:hAnsi="Arial"/>
                <w:sz w:val="13"/>
                <w:szCs w:val="13"/>
                <w:b w:val="1"/>
                <w:bCs w:val="1"/>
                <w:color w:val="105EAB"/>
              </w:rPr>
              <w:t>Threshold</w:t>
            </w:r>
          </w:p>
        </w:tc>
        <w:tc>
          <w:tcPr>
            <w:tcW w:w="660" w:type="dxa"/>
            <w:vAlign w:val="bottom"/>
          </w:tcPr>
          <w:p>
            <w:pPr>
              <w:jc w:val="right"/>
              <w:ind w:right="73"/>
              <w:spacing w:after="0"/>
              <w:rPr>
                <w:sz w:val="20"/>
                <w:szCs w:val="20"/>
                <w:color w:val="auto"/>
              </w:rPr>
            </w:pPr>
            <w:r>
              <w:rPr>
                <w:rFonts w:ascii="Arial" w:cs="Arial" w:eastAsia="Arial" w:hAnsi="Arial"/>
                <w:sz w:val="13"/>
                <w:szCs w:val="13"/>
                <w:b w:val="1"/>
                <w:bCs w:val="1"/>
                <w:color w:val="105EAB"/>
              </w:rPr>
              <w:t>Target</w:t>
            </w:r>
          </w:p>
        </w:tc>
        <w:tc>
          <w:tcPr>
            <w:tcW w:w="840" w:type="dxa"/>
            <w:vAlign w:val="bottom"/>
          </w:tcPr>
          <w:p>
            <w:pPr>
              <w:jc w:val="right"/>
              <w:ind w:right="13"/>
              <w:spacing w:after="0"/>
              <w:rPr>
                <w:sz w:val="20"/>
                <w:szCs w:val="20"/>
                <w:color w:val="auto"/>
              </w:rPr>
            </w:pPr>
            <w:r>
              <w:rPr>
                <w:rFonts w:ascii="Arial" w:cs="Arial" w:eastAsia="Arial" w:hAnsi="Arial"/>
                <w:sz w:val="13"/>
                <w:szCs w:val="13"/>
                <w:b w:val="1"/>
                <w:bCs w:val="1"/>
                <w:color w:val="105EAB"/>
              </w:rPr>
              <w:t>Maximum</w:t>
            </w:r>
          </w:p>
        </w:tc>
      </w:tr>
      <w:tr>
        <w:trPr>
          <w:trHeight w:val="48"/>
        </w:trPr>
        <w:tc>
          <w:tcPr>
            <w:tcW w:w="9120" w:type="dxa"/>
            <w:vAlign w:val="bottom"/>
            <w:tcBorders>
              <w:bottom w:val="single" w:sz="8" w:color="105EAB"/>
            </w:tcBorders>
          </w:tcPr>
          <w:p>
            <w:pPr>
              <w:spacing w:after="0"/>
              <w:rPr>
                <w:sz w:val="4"/>
                <w:szCs w:val="4"/>
                <w:color w:val="auto"/>
              </w:rPr>
            </w:pPr>
          </w:p>
        </w:tc>
        <w:tc>
          <w:tcPr>
            <w:tcW w:w="800" w:type="dxa"/>
            <w:vAlign w:val="bottom"/>
            <w:tcBorders>
              <w:bottom w:val="single" w:sz="8" w:color="105EAB"/>
            </w:tcBorders>
          </w:tcPr>
          <w:p>
            <w:pPr>
              <w:spacing w:after="0"/>
              <w:rPr>
                <w:sz w:val="4"/>
                <w:szCs w:val="4"/>
                <w:color w:val="auto"/>
              </w:rPr>
            </w:pPr>
          </w:p>
        </w:tc>
        <w:tc>
          <w:tcPr>
            <w:tcW w:w="660" w:type="dxa"/>
            <w:vAlign w:val="bottom"/>
            <w:tcBorders>
              <w:bottom w:val="single" w:sz="8" w:color="105EAB"/>
            </w:tcBorders>
          </w:tcPr>
          <w:p>
            <w:pPr>
              <w:spacing w:after="0"/>
              <w:rPr>
                <w:sz w:val="4"/>
                <w:szCs w:val="4"/>
                <w:color w:val="auto"/>
              </w:rPr>
            </w:pPr>
          </w:p>
        </w:tc>
        <w:tc>
          <w:tcPr>
            <w:tcW w:w="840" w:type="dxa"/>
            <w:vAlign w:val="bottom"/>
            <w:tcBorders>
              <w:bottom w:val="single" w:sz="8" w:color="105EAB"/>
            </w:tcBorders>
          </w:tcPr>
          <w:p>
            <w:pPr>
              <w:spacing w:after="0"/>
              <w:rPr>
                <w:sz w:val="4"/>
                <w:szCs w:val="4"/>
                <w:color w:val="auto"/>
              </w:rPr>
            </w:pPr>
          </w:p>
        </w:tc>
      </w:tr>
      <w:tr>
        <w:trPr>
          <w:trHeight w:val="297"/>
        </w:trPr>
        <w:tc>
          <w:tcPr>
            <w:tcW w:w="9120" w:type="dxa"/>
            <w:vAlign w:val="bottom"/>
            <w:tcBorders>
              <w:bottom w:val="single" w:sz="8" w:color="E9F1FB"/>
            </w:tcBorders>
          </w:tcPr>
          <w:p>
            <w:pPr>
              <w:ind w:left="80"/>
              <w:spacing w:after="0"/>
              <w:rPr>
                <w:sz w:val="20"/>
                <w:szCs w:val="20"/>
                <w:color w:val="auto"/>
              </w:rPr>
            </w:pPr>
            <w:r>
              <w:rPr>
                <w:rFonts w:ascii="Arial" w:cs="Arial" w:eastAsia="Arial" w:hAnsi="Arial"/>
                <w:sz w:val="13"/>
                <w:szCs w:val="13"/>
                <w:color w:val="auto"/>
              </w:rPr>
              <w:t>Average Performance Net Income ROE (70%)</w:t>
            </w:r>
            <w:r>
              <w:rPr>
                <w:rFonts w:ascii="Arial" w:cs="Arial" w:eastAsia="Arial" w:hAnsi="Arial"/>
                <w:sz w:val="22"/>
                <w:szCs w:val="22"/>
                <w:color w:val="auto"/>
                <w:vertAlign w:val="superscript"/>
              </w:rPr>
              <w:t>(1)</w:t>
            </w:r>
          </w:p>
        </w:tc>
        <w:tc>
          <w:tcPr>
            <w:tcW w:w="800" w:type="dxa"/>
            <w:vAlign w:val="bottom"/>
            <w:tcBorders>
              <w:bottom w:val="single" w:sz="8" w:color="E9F1FB"/>
            </w:tcBorders>
          </w:tcPr>
          <w:p>
            <w:pPr>
              <w:jc w:val="right"/>
              <w:ind w:right="73"/>
              <w:spacing w:after="0"/>
              <w:rPr>
                <w:sz w:val="20"/>
                <w:szCs w:val="20"/>
                <w:color w:val="auto"/>
              </w:rPr>
            </w:pPr>
            <w:r>
              <w:rPr>
                <w:rFonts w:ascii="Arial" w:cs="Arial" w:eastAsia="Arial" w:hAnsi="Arial"/>
                <w:sz w:val="13"/>
                <w:szCs w:val="13"/>
                <w:color w:val="auto"/>
              </w:rPr>
              <w:t>7.0%</w:t>
            </w:r>
          </w:p>
        </w:tc>
        <w:tc>
          <w:tcPr>
            <w:tcW w:w="660" w:type="dxa"/>
            <w:vAlign w:val="bottom"/>
            <w:tcBorders>
              <w:bottom w:val="single" w:sz="8" w:color="E9F1FB"/>
            </w:tcBorders>
          </w:tcPr>
          <w:p>
            <w:pPr>
              <w:jc w:val="right"/>
              <w:ind w:right="73"/>
              <w:spacing w:after="0"/>
              <w:rPr>
                <w:sz w:val="20"/>
                <w:szCs w:val="20"/>
                <w:color w:val="auto"/>
              </w:rPr>
            </w:pPr>
            <w:r>
              <w:rPr>
                <w:rFonts w:ascii="Arial" w:cs="Arial" w:eastAsia="Arial" w:hAnsi="Arial"/>
                <w:sz w:val="13"/>
                <w:szCs w:val="13"/>
                <w:color w:val="auto"/>
              </w:rPr>
              <w:t>14.0%</w:t>
            </w:r>
          </w:p>
        </w:tc>
        <w:tc>
          <w:tcPr>
            <w:tcW w:w="840" w:type="dxa"/>
            <w:vAlign w:val="bottom"/>
            <w:tcBorders>
              <w:bottom w:val="single" w:sz="8" w:color="E9F1FB"/>
            </w:tcBorders>
          </w:tcPr>
          <w:p>
            <w:pPr>
              <w:jc w:val="right"/>
              <w:ind w:right="13"/>
              <w:spacing w:after="0"/>
              <w:rPr>
                <w:sz w:val="20"/>
                <w:szCs w:val="20"/>
                <w:color w:val="auto"/>
              </w:rPr>
            </w:pPr>
            <w:r>
              <w:rPr>
                <w:rFonts w:ascii="Arial" w:cs="Arial" w:eastAsia="Arial" w:hAnsi="Arial"/>
                <w:sz w:val="13"/>
                <w:szCs w:val="13"/>
                <w:color w:val="auto"/>
              </w:rPr>
              <w:t>16.0%</w:t>
            </w:r>
          </w:p>
        </w:tc>
      </w:tr>
      <w:tr>
        <w:trPr>
          <w:trHeight w:val="195"/>
        </w:trPr>
        <w:tc>
          <w:tcPr>
            <w:tcW w:w="9120" w:type="dxa"/>
            <w:vAlign w:val="bottom"/>
          </w:tcPr>
          <w:p>
            <w:pPr>
              <w:ind w:left="80"/>
              <w:spacing w:after="0"/>
              <w:rPr>
                <w:sz w:val="20"/>
                <w:szCs w:val="20"/>
                <w:color w:val="auto"/>
              </w:rPr>
            </w:pPr>
            <w:r>
              <w:rPr>
                <w:rFonts w:ascii="Arial" w:cs="Arial" w:eastAsia="Arial" w:hAnsi="Arial"/>
                <w:sz w:val="13"/>
                <w:szCs w:val="13"/>
                <w:color w:val="auto"/>
              </w:rPr>
              <w:t>Earned Book Value (Compound Annual Growth) (30%)</w:t>
            </w:r>
          </w:p>
        </w:tc>
        <w:tc>
          <w:tcPr>
            <w:tcW w:w="800" w:type="dxa"/>
            <w:vAlign w:val="bottom"/>
          </w:tcPr>
          <w:p>
            <w:pPr>
              <w:jc w:val="right"/>
              <w:ind w:right="73"/>
              <w:spacing w:after="0"/>
              <w:rPr>
                <w:sz w:val="20"/>
                <w:szCs w:val="20"/>
                <w:color w:val="auto"/>
              </w:rPr>
            </w:pPr>
            <w:r>
              <w:rPr>
                <w:rFonts w:ascii="Arial" w:cs="Arial" w:eastAsia="Arial" w:hAnsi="Arial"/>
                <w:sz w:val="13"/>
                <w:szCs w:val="13"/>
                <w:color w:val="auto"/>
              </w:rPr>
              <w:t>7.0%</w:t>
            </w:r>
          </w:p>
        </w:tc>
        <w:tc>
          <w:tcPr>
            <w:tcW w:w="660" w:type="dxa"/>
            <w:vAlign w:val="bottom"/>
          </w:tcPr>
          <w:p>
            <w:pPr>
              <w:jc w:val="right"/>
              <w:ind w:right="73"/>
              <w:spacing w:after="0"/>
              <w:rPr>
                <w:sz w:val="20"/>
                <w:szCs w:val="20"/>
                <w:color w:val="auto"/>
              </w:rPr>
            </w:pPr>
            <w:r>
              <w:rPr>
                <w:rFonts w:ascii="Arial" w:cs="Arial" w:eastAsia="Arial" w:hAnsi="Arial"/>
                <w:sz w:val="13"/>
                <w:szCs w:val="13"/>
                <w:color w:val="auto"/>
              </w:rPr>
              <w:t>12.0%</w:t>
            </w:r>
          </w:p>
        </w:tc>
        <w:tc>
          <w:tcPr>
            <w:tcW w:w="840" w:type="dxa"/>
            <w:vAlign w:val="bottom"/>
          </w:tcPr>
          <w:p>
            <w:pPr>
              <w:jc w:val="right"/>
              <w:ind w:right="13"/>
              <w:spacing w:after="0"/>
              <w:rPr>
                <w:sz w:val="20"/>
                <w:szCs w:val="20"/>
                <w:color w:val="auto"/>
              </w:rPr>
            </w:pPr>
            <w:r>
              <w:rPr>
                <w:rFonts w:ascii="Arial" w:cs="Arial" w:eastAsia="Arial" w:hAnsi="Arial"/>
                <w:sz w:val="13"/>
                <w:szCs w:val="13"/>
                <w:color w:val="auto"/>
              </w:rPr>
              <w:t>14.0%</w:t>
            </w:r>
          </w:p>
        </w:tc>
      </w:tr>
      <w:tr>
        <w:trPr>
          <w:trHeight w:val="41"/>
        </w:trPr>
        <w:tc>
          <w:tcPr>
            <w:tcW w:w="9120" w:type="dxa"/>
            <w:vAlign w:val="bottom"/>
            <w:tcBorders>
              <w:bottom w:val="single" w:sz="8" w:color="E9F1FB"/>
            </w:tcBorders>
          </w:tcPr>
          <w:p>
            <w:pPr>
              <w:spacing w:after="0"/>
              <w:rPr>
                <w:sz w:val="3"/>
                <w:szCs w:val="3"/>
                <w:color w:val="auto"/>
              </w:rPr>
            </w:pPr>
          </w:p>
        </w:tc>
        <w:tc>
          <w:tcPr>
            <w:tcW w:w="800" w:type="dxa"/>
            <w:vAlign w:val="bottom"/>
            <w:tcBorders>
              <w:bottom w:val="single" w:sz="8" w:color="E9F1FB"/>
            </w:tcBorders>
          </w:tcPr>
          <w:p>
            <w:pPr>
              <w:spacing w:after="0"/>
              <w:rPr>
                <w:sz w:val="3"/>
                <w:szCs w:val="3"/>
                <w:color w:val="auto"/>
              </w:rPr>
            </w:pPr>
          </w:p>
        </w:tc>
        <w:tc>
          <w:tcPr>
            <w:tcW w:w="660" w:type="dxa"/>
            <w:vAlign w:val="bottom"/>
            <w:tcBorders>
              <w:bottom w:val="single" w:sz="8" w:color="E9F1FB"/>
            </w:tcBorders>
          </w:tcPr>
          <w:p>
            <w:pPr>
              <w:spacing w:after="0"/>
              <w:rPr>
                <w:sz w:val="3"/>
                <w:szCs w:val="3"/>
                <w:color w:val="auto"/>
              </w:rPr>
            </w:pPr>
          </w:p>
        </w:tc>
        <w:tc>
          <w:tcPr>
            <w:tcW w:w="840" w:type="dxa"/>
            <w:vAlign w:val="bottom"/>
            <w:tcBorders>
              <w:bottom w:val="single" w:sz="8" w:color="E9F1FB"/>
            </w:tcBorders>
          </w:tcPr>
          <w:p>
            <w:pPr>
              <w:spacing w:after="0"/>
              <w:rPr>
                <w:sz w:val="3"/>
                <w:szCs w:val="3"/>
                <w:color w:val="auto"/>
              </w:rPr>
            </w:pPr>
          </w:p>
        </w:tc>
      </w:tr>
      <w:tr>
        <w:trPr>
          <w:trHeight w:val="195"/>
        </w:trPr>
        <w:tc>
          <w:tcPr>
            <w:tcW w:w="9120" w:type="dxa"/>
            <w:vAlign w:val="bottom"/>
          </w:tcPr>
          <w:p>
            <w:pPr>
              <w:ind w:left="80"/>
              <w:spacing w:after="0"/>
              <w:rPr>
                <w:sz w:val="20"/>
                <w:szCs w:val="20"/>
                <w:color w:val="auto"/>
              </w:rPr>
            </w:pPr>
            <w:r>
              <w:rPr>
                <w:rFonts w:ascii="Arial" w:cs="Arial" w:eastAsia="Arial" w:hAnsi="Arial"/>
                <w:sz w:val="13"/>
                <w:szCs w:val="13"/>
                <w:color w:val="auto"/>
              </w:rPr>
              <w:t>Payout</w:t>
            </w:r>
          </w:p>
        </w:tc>
        <w:tc>
          <w:tcPr>
            <w:tcW w:w="800" w:type="dxa"/>
            <w:vAlign w:val="bottom"/>
          </w:tcPr>
          <w:p>
            <w:pPr>
              <w:jc w:val="right"/>
              <w:ind w:right="73"/>
              <w:spacing w:after="0"/>
              <w:rPr>
                <w:sz w:val="20"/>
                <w:szCs w:val="20"/>
                <w:color w:val="auto"/>
              </w:rPr>
            </w:pPr>
            <w:r>
              <w:rPr>
                <w:rFonts w:ascii="Arial" w:cs="Arial" w:eastAsia="Arial" w:hAnsi="Arial"/>
                <w:sz w:val="13"/>
                <w:szCs w:val="13"/>
                <w:color w:val="auto"/>
              </w:rPr>
              <w:t>0%</w:t>
            </w:r>
          </w:p>
        </w:tc>
        <w:tc>
          <w:tcPr>
            <w:tcW w:w="660" w:type="dxa"/>
            <w:vAlign w:val="bottom"/>
          </w:tcPr>
          <w:p>
            <w:pPr>
              <w:jc w:val="right"/>
              <w:ind w:right="73"/>
              <w:spacing w:after="0"/>
              <w:rPr>
                <w:sz w:val="20"/>
                <w:szCs w:val="20"/>
                <w:color w:val="auto"/>
              </w:rPr>
            </w:pPr>
            <w:r>
              <w:rPr>
                <w:rFonts w:ascii="Arial" w:cs="Arial" w:eastAsia="Arial" w:hAnsi="Arial"/>
                <w:sz w:val="13"/>
                <w:szCs w:val="13"/>
                <w:color w:val="auto"/>
              </w:rPr>
              <w:t>100%</w:t>
            </w:r>
          </w:p>
        </w:tc>
        <w:tc>
          <w:tcPr>
            <w:tcW w:w="840" w:type="dxa"/>
            <w:vAlign w:val="bottom"/>
          </w:tcPr>
          <w:p>
            <w:pPr>
              <w:jc w:val="right"/>
              <w:ind w:right="13"/>
              <w:spacing w:after="0"/>
              <w:rPr>
                <w:sz w:val="20"/>
                <w:szCs w:val="20"/>
                <w:color w:val="auto"/>
              </w:rPr>
            </w:pPr>
            <w:r>
              <w:rPr>
                <w:rFonts w:ascii="Arial" w:cs="Arial" w:eastAsia="Arial" w:hAnsi="Arial"/>
                <w:sz w:val="13"/>
                <w:szCs w:val="13"/>
                <w:color w:val="auto"/>
              </w:rPr>
              <w:t>200%</w:t>
            </w:r>
          </w:p>
        </w:tc>
      </w:tr>
      <w:tr>
        <w:trPr>
          <w:trHeight w:val="48"/>
        </w:trPr>
        <w:tc>
          <w:tcPr>
            <w:tcW w:w="9120" w:type="dxa"/>
            <w:vAlign w:val="bottom"/>
            <w:tcBorders>
              <w:bottom w:val="single" w:sz="8" w:color="105EAB"/>
            </w:tcBorders>
          </w:tcPr>
          <w:p>
            <w:pPr>
              <w:spacing w:after="0"/>
              <w:rPr>
                <w:sz w:val="4"/>
                <w:szCs w:val="4"/>
                <w:color w:val="auto"/>
              </w:rPr>
            </w:pPr>
          </w:p>
        </w:tc>
        <w:tc>
          <w:tcPr>
            <w:tcW w:w="800" w:type="dxa"/>
            <w:vAlign w:val="bottom"/>
            <w:tcBorders>
              <w:bottom w:val="single" w:sz="8" w:color="105EAB"/>
            </w:tcBorders>
          </w:tcPr>
          <w:p>
            <w:pPr>
              <w:spacing w:after="0"/>
              <w:rPr>
                <w:sz w:val="4"/>
                <w:szCs w:val="4"/>
                <w:color w:val="auto"/>
              </w:rPr>
            </w:pPr>
          </w:p>
        </w:tc>
        <w:tc>
          <w:tcPr>
            <w:tcW w:w="660" w:type="dxa"/>
            <w:vAlign w:val="bottom"/>
            <w:tcBorders>
              <w:bottom w:val="single" w:sz="8" w:color="105EAB"/>
            </w:tcBorders>
          </w:tcPr>
          <w:p>
            <w:pPr>
              <w:spacing w:after="0"/>
              <w:rPr>
                <w:sz w:val="4"/>
                <w:szCs w:val="4"/>
                <w:color w:val="auto"/>
              </w:rPr>
            </w:pPr>
          </w:p>
        </w:tc>
        <w:tc>
          <w:tcPr>
            <w:tcW w:w="840" w:type="dxa"/>
            <w:vAlign w:val="bottom"/>
            <w:tcBorders>
              <w:bottom w:val="single" w:sz="8" w:color="105EAB"/>
            </w:tcBorders>
          </w:tcPr>
          <w:p>
            <w:pPr>
              <w:spacing w:after="0"/>
              <w:rPr>
                <w:sz w:val="4"/>
                <w:szCs w:val="4"/>
                <w:color w:val="auto"/>
              </w:rPr>
            </w:pPr>
          </w:p>
        </w:tc>
      </w:tr>
    </w:tbl>
    <w:p>
      <w:pPr>
        <w:spacing w:after="0" w:line="30" w:lineRule="exact"/>
        <w:rPr>
          <w:sz w:val="20"/>
          <w:szCs w:val="20"/>
          <w:color w:val="auto"/>
        </w:rPr>
      </w:pPr>
    </w:p>
    <w:p>
      <w:pPr>
        <w:ind w:left="300" w:hanging="292"/>
        <w:spacing w:after="0"/>
        <w:tabs>
          <w:tab w:leader="none" w:pos="300" w:val="left"/>
        </w:tabs>
        <w:numPr>
          <w:ilvl w:val="0"/>
          <w:numId w:val="169"/>
        </w:numPr>
        <w:rPr>
          <w:rFonts w:ascii="Arial" w:cs="Arial" w:eastAsia="Arial" w:hAnsi="Arial"/>
          <w:sz w:val="22"/>
          <w:szCs w:val="22"/>
          <w:color w:val="auto"/>
          <w:vertAlign w:val="superscript"/>
        </w:rPr>
      </w:pPr>
      <w:r>
        <w:rPr>
          <w:rFonts w:ascii="Arial" w:cs="Arial" w:eastAsia="Arial" w:hAnsi="Arial"/>
          <w:sz w:val="13"/>
          <w:szCs w:val="13"/>
          <w:color w:val="auto"/>
        </w:rPr>
        <w:t>Subject to positive Net Income hurdle. For a description of how this measure is determined, see page 69.</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39B6E9"/>
        </w:rPr>
        <w:t>Equity Ownership Requirements</w:t>
      </w:r>
    </w:p>
    <w:p>
      <w:pPr>
        <w:spacing w:after="0" w:line="232"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Instituted in 1996, stock ownership requirements oblige each of the named executives to own Allstate common stock worth a multiple of base salary to link management and stockholders’ interests. The following chart shows the salary multiple requirement and the equity holdings that count toward the requirement.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246620" cy="410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46620" cy="410845"/>
                    </a:xfrm>
                    <a:prstGeom prst="rect">
                      <a:avLst/>
                    </a:prstGeom>
                    <a:noFill/>
                  </pic:spPr>
                </pic:pic>
              </a:graphicData>
            </a:graphic>
          </wp:anchor>
        </w:drawing>
      </w:r>
    </w:p>
    <w:p>
      <w:pPr>
        <w:spacing w:after="0" w:line="311" w:lineRule="exact"/>
        <w:rPr>
          <w:sz w:val="20"/>
          <w:szCs w:val="20"/>
          <w:color w:val="auto"/>
        </w:rPr>
      </w:pPr>
    </w:p>
    <w:p>
      <w:pPr>
        <w:ind w:left="120" w:right="240"/>
        <w:spacing w:after="0" w:line="298" w:lineRule="auto"/>
        <w:rPr>
          <w:sz w:val="20"/>
          <w:szCs w:val="20"/>
          <w:color w:val="auto"/>
        </w:rPr>
      </w:pPr>
      <w:r>
        <w:rPr>
          <w:rFonts w:ascii="Arial" w:cs="Arial" w:eastAsia="Arial" w:hAnsi="Arial"/>
          <w:sz w:val="16"/>
          <w:szCs w:val="16"/>
          <w:color w:val="auto"/>
        </w:rPr>
        <w:t>The current stock ownership requirements apply to 107 of our senior executives and other officers as of December 31, 2018, and require these executives to hold 75% of net shares received as a result of equity compensation awards until their salary multiple requirements is met.</w:t>
      </w:r>
    </w:p>
    <w:p>
      <w:pPr>
        <w:spacing w:after="0" w:line="281" w:lineRule="exact"/>
        <w:rPr>
          <w:sz w:val="20"/>
          <w:szCs w:val="20"/>
          <w:color w:val="auto"/>
        </w:rPr>
      </w:pPr>
    </w:p>
    <w:p>
      <w:pPr>
        <w:ind w:left="460" w:hanging="452"/>
        <w:spacing w:after="0"/>
        <w:tabs>
          <w:tab w:leader="none" w:pos="460" w:val="left"/>
        </w:tabs>
        <w:numPr>
          <w:ilvl w:val="0"/>
          <w:numId w:val="170"/>
        </w:numPr>
        <w:rPr>
          <w:rFonts w:ascii="Arial" w:cs="Arial" w:eastAsia="Arial" w:hAnsi="Arial"/>
          <w:sz w:val="13"/>
          <w:szCs w:val="13"/>
          <w:b w:val="1"/>
          <w:bCs w:val="1"/>
          <w:color w:val="105EAB"/>
        </w:rPr>
      </w:pPr>
      <w:r>
        <w:rPr>
          <w:rFonts w:ascii="Arial" w:cs="Arial" w:eastAsia="Arial" w:hAnsi="Arial"/>
          <w:sz w:val="13"/>
          <w:szCs w:val="13"/>
          <w:color w:val="105EAB"/>
        </w:rPr>
        <w:t>www.allstateproxy.com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134620</wp:posOffset>
            </wp:positionV>
            <wp:extent cx="7268210" cy="209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47" w:name="page48"/>
    <w:bookmarkEnd w:id="47"/>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jc w:val="right"/>
        <w:ind w:right="20"/>
        <w:spacing w:after="0"/>
        <w:rPr>
          <w:sz w:val="20"/>
          <w:szCs w:val="20"/>
          <w:color w:val="auto"/>
        </w:rPr>
      </w:pPr>
      <w:r>
        <w:rPr>
          <w:rFonts w:ascii="Arial" w:cs="Arial" w:eastAsia="Arial" w:hAnsi="Arial"/>
          <w:sz w:val="13"/>
          <w:szCs w:val="13"/>
          <w:b w:val="1"/>
          <w:bCs w:val="1"/>
          <w:color w:val="auto"/>
        </w:rPr>
        <w:t xml:space="preserve">Compensation Discussion and Analysis </w:t>
      </w:r>
      <w:r>
        <w:rPr>
          <w:rFonts w:ascii="Arial" w:cs="Arial" w:eastAsia="Arial" w:hAnsi="Arial"/>
          <w:sz w:val="13"/>
          <w:szCs w:val="13"/>
          <w:b w:val="1"/>
          <w:bCs w:val="1"/>
          <w:color w:val="105EAB"/>
        </w:rPr>
        <w:t>| Executive Compensation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105EAB"/>
        </w:rPr>
        <w:t>STOCK OWNERSHIP AS MULTIPLE OF BASE SALARY AS OF DECEMBER 31, 2018</w:t>
      </w:r>
    </w:p>
    <w:p>
      <w:pPr>
        <w:sectPr>
          <w:pgSz w:w="11900" w:h="16838" w:orient="portrait"/>
          <w:cols w:equalWidth="0" w:num="1">
            <w:col w:w="11440"/>
          </w:cols>
          <w:pgMar w:left="240" w:top="121" w:right="219" w:bottom="1440" w:gutter="0" w:footer="0" w:header="0"/>
        </w:sect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4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40" w:type="dxa"/>
            <w:vAlign w:val="bottom"/>
          </w:tcPr>
          <w:p>
            <w:pPr>
              <w:jc w:val="right"/>
              <w:ind w:right="13"/>
              <w:spacing w:after="0"/>
              <w:rPr>
                <w:sz w:val="20"/>
                <w:szCs w:val="20"/>
                <w:color w:val="auto"/>
              </w:rPr>
            </w:pPr>
            <w:r>
              <w:rPr>
                <w:rFonts w:ascii="Arial" w:cs="Arial" w:eastAsia="Arial" w:hAnsi="Arial"/>
                <w:sz w:val="13"/>
                <w:szCs w:val="13"/>
                <w:b w:val="1"/>
                <w:bCs w:val="1"/>
                <w:color w:val="105EAB"/>
              </w:rPr>
              <w:t>Vested in The</w:t>
            </w:r>
          </w:p>
        </w:tc>
      </w:tr>
      <w:tr>
        <w:trPr>
          <w:trHeight w:val="148"/>
        </w:trPr>
        <w:tc>
          <w:tcPr>
            <w:tcW w:w="334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40" w:type="dxa"/>
            <w:vAlign w:val="bottom"/>
          </w:tcPr>
          <w:p>
            <w:pPr>
              <w:jc w:val="right"/>
              <w:ind w:right="13"/>
              <w:spacing w:after="0" w:line="149" w:lineRule="exact"/>
              <w:rPr>
                <w:sz w:val="20"/>
                <w:szCs w:val="20"/>
                <w:color w:val="auto"/>
              </w:rPr>
            </w:pPr>
            <w:r>
              <w:rPr>
                <w:rFonts w:ascii="Arial" w:cs="Arial" w:eastAsia="Arial" w:hAnsi="Arial"/>
                <w:sz w:val="13"/>
                <w:szCs w:val="13"/>
                <w:b w:val="1"/>
                <w:bCs w:val="1"/>
                <w:color w:val="105EAB"/>
              </w:rPr>
              <w:t>Money Option</w:t>
            </w:r>
          </w:p>
        </w:tc>
      </w:tr>
      <w:tr>
        <w:trPr>
          <w:trHeight w:val="199"/>
        </w:trPr>
        <w:tc>
          <w:tcPr>
            <w:tcW w:w="3340" w:type="dxa"/>
            <w:vAlign w:val="bottom"/>
            <w:tcBorders>
              <w:bottom w:val="single" w:sz="8" w:color="105EAB"/>
            </w:tcBorders>
          </w:tcPr>
          <w:p>
            <w:pPr>
              <w:ind w:left="80"/>
              <w:spacing w:after="0"/>
              <w:rPr>
                <w:sz w:val="20"/>
                <w:szCs w:val="20"/>
                <w:color w:val="auto"/>
              </w:rPr>
            </w:pPr>
            <w:r>
              <w:rPr>
                <w:rFonts w:ascii="Arial" w:cs="Arial" w:eastAsia="Arial" w:hAnsi="Arial"/>
                <w:sz w:val="13"/>
                <w:szCs w:val="13"/>
                <w:b w:val="1"/>
                <w:bCs w:val="1"/>
                <w:color w:val="105EAB"/>
              </w:rPr>
              <w:t>Named Executive</w:t>
            </w:r>
          </w:p>
        </w:tc>
        <w:tc>
          <w:tcPr>
            <w:tcW w:w="3120" w:type="dxa"/>
            <w:vAlign w:val="bottom"/>
            <w:tcBorders>
              <w:bottom w:val="single" w:sz="8" w:color="105EAB"/>
            </w:tcBorders>
          </w:tcPr>
          <w:p>
            <w:pPr>
              <w:jc w:val="right"/>
              <w:ind w:right="73"/>
              <w:spacing w:after="0"/>
              <w:rPr>
                <w:sz w:val="20"/>
                <w:szCs w:val="20"/>
                <w:color w:val="auto"/>
              </w:rPr>
            </w:pPr>
            <w:r>
              <w:rPr>
                <w:rFonts w:ascii="Arial" w:cs="Arial" w:eastAsia="Arial" w:hAnsi="Arial"/>
                <w:sz w:val="13"/>
                <w:szCs w:val="13"/>
                <w:b w:val="1"/>
                <w:bCs w:val="1"/>
                <w:color w:val="105EAB"/>
              </w:rPr>
              <w:t>Requirement</w:t>
            </w:r>
          </w:p>
        </w:tc>
        <w:tc>
          <w:tcPr>
            <w:tcW w:w="680" w:type="dxa"/>
            <w:vAlign w:val="bottom"/>
            <w:tcBorders>
              <w:bottom w:val="single" w:sz="8" w:color="105EAB"/>
            </w:tcBorders>
          </w:tcPr>
          <w:p>
            <w:pPr>
              <w:jc w:val="right"/>
              <w:ind w:right="73"/>
              <w:spacing w:after="0"/>
              <w:rPr>
                <w:sz w:val="20"/>
                <w:szCs w:val="20"/>
                <w:color w:val="auto"/>
              </w:rPr>
            </w:pPr>
            <w:r>
              <w:rPr>
                <w:rFonts w:ascii="Arial" w:cs="Arial" w:eastAsia="Arial" w:hAnsi="Arial"/>
                <w:sz w:val="13"/>
                <w:szCs w:val="13"/>
                <w:b w:val="1"/>
                <w:bCs w:val="1"/>
                <w:color w:val="105EAB"/>
              </w:rPr>
              <w:t>Actual</w:t>
            </w:r>
          </w:p>
        </w:tc>
        <w:tc>
          <w:tcPr>
            <w:tcW w:w="1240" w:type="dxa"/>
            <w:vAlign w:val="bottom"/>
            <w:tcBorders>
              <w:bottom w:val="single" w:sz="8" w:color="105EAB"/>
            </w:tcBorders>
          </w:tcPr>
          <w:p>
            <w:pPr>
              <w:jc w:val="right"/>
              <w:ind w:right="13"/>
              <w:spacing w:after="0"/>
              <w:rPr>
                <w:sz w:val="20"/>
                <w:szCs w:val="20"/>
                <w:color w:val="auto"/>
              </w:rPr>
            </w:pPr>
            <w:r>
              <w:rPr>
                <w:rFonts w:ascii="Arial" w:cs="Arial" w:eastAsia="Arial" w:hAnsi="Arial"/>
                <w:sz w:val="13"/>
                <w:szCs w:val="13"/>
                <w:b w:val="1"/>
                <w:bCs w:val="1"/>
                <w:color w:val="105EAB"/>
              </w:rPr>
              <w:t>Value (after-tax)</w:t>
            </w:r>
          </w:p>
        </w:tc>
      </w:tr>
      <w:tr>
        <w:trPr>
          <w:trHeight w:val="202"/>
        </w:trPr>
        <w:tc>
          <w:tcPr>
            <w:tcW w:w="3340" w:type="dxa"/>
            <w:vAlign w:val="bottom"/>
          </w:tcPr>
          <w:p>
            <w:pPr>
              <w:ind w:left="80"/>
              <w:spacing w:after="0"/>
              <w:rPr>
                <w:sz w:val="20"/>
                <w:szCs w:val="20"/>
                <w:color w:val="auto"/>
              </w:rPr>
            </w:pPr>
            <w:r>
              <w:rPr>
                <w:rFonts w:ascii="Arial" w:cs="Arial" w:eastAsia="Arial" w:hAnsi="Arial"/>
                <w:sz w:val="13"/>
                <w:szCs w:val="13"/>
                <w:b w:val="1"/>
                <w:bCs w:val="1"/>
                <w:color w:val="105EAB"/>
              </w:rPr>
              <w:t>Mr. Wilson</w:t>
            </w:r>
          </w:p>
        </w:tc>
        <w:tc>
          <w:tcPr>
            <w:tcW w:w="3120" w:type="dxa"/>
            <w:vAlign w:val="bottom"/>
          </w:tcPr>
          <w:p>
            <w:pPr>
              <w:jc w:val="right"/>
              <w:ind w:right="73"/>
              <w:spacing w:after="0"/>
              <w:rPr>
                <w:sz w:val="20"/>
                <w:szCs w:val="20"/>
                <w:color w:val="auto"/>
              </w:rPr>
            </w:pPr>
            <w:r>
              <w:rPr>
                <w:rFonts w:ascii="Arial" w:cs="Arial" w:eastAsia="Arial" w:hAnsi="Arial"/>
                <w:sz w:val="13"/>
                <w:szCs w:val="13"/>
                <w:color w:val="auto"/>
              </w:rPr>
              <w:t>6</w:t>
            </w:r>
          </w:p>
        </w:tc>
        <w:tc>
          <w:tcPr>
            <w:tcW w:w="680" w:type="dxa"/>
            <w:vAlign w:val="bottom"/>
          </w:tcPr>
          <w:p>
            <w:pPr>
              <w:jc w:val="right"/>
              <w:ind w:right="73"/>
              <w:spacing w:after="0"/>
              <w:rPr>
                <w:sz w:val="20"/>
                <w:szCs w:val="20"/>
                <w:color w:val="auto"/>
              </w:rPr>
            </w:pPr>
            <w:r>
              <w:rPr>
                <w:rFonts w:ascii="Arial" w:cs="Arial" w:eastAsia="Arial" w:hAnsi="Arial"/>
                <w:sz w:val="13"/>
                <w:szCs w:val="13"/>
                <w:color w:val="auto"/>
              </w:rPr>
              <w:t>39</w:t>
            </w:r>
          </w:p>
        </w:tc>
        <w:tc>
          <w:tcPr>
            <w:tcW w:w="1240" w:type="dxa"/>
            <w:vAlign w:val="bottom"/>
          </w:tcPr>
          <w:p>
            <w:pPr>
              <w:jc w:val="right"/>
              <w:ind w:right="13"/>
              <w:spacing w:after="0"/>
              <w:rPr>
                <w:sz w:val="20"/>
                <w:szCs w:val="20"/>
                <w:color w:val="auto"/>
              </w:rPr>
            </w:pPr>
            <w:r>
              <w:rPr>
                <w:rFonts w:ascii="Arial" w:cs="Arial" w:eastAsia="Arial" w:hAnsi="Arial"/>
                <w:sz w:val="13"/>
                <w:szCs w:val="13"/>
                <w:color w:val="auto"/>
              </w:rPr>
              <w:t>33</w:t>
            </w:r>
          </w:p>
        </w:tc>
      </w:tr>
      <w:tr>
        <w:trPr>
          <w:trHeight w:val="41"/>
        </w:trPr>
        <w:tc>
          <w:tcPr>
            <w:tcW w:w="3340" w:type="dxa"/>
            <w:vAlign w:val="bottom"/>
            <w:tcBorders>
              <w:bottom w:val="single" w:sz="8" w:color="E9F1FB"/>
            </w:tcBorders>
          </w:tcPr>
          <w:p>
            <w:pPr>
              <w:spacing w:after="0"/>
              <w:rPr>
                <w:sz w:val="3"/>
                <w:szCs w:val="3"/>
                <w:color w:val="auto"/>
              </w:rPr>
            </w:pPr>
          </w:p>
        </w:tc>
        <w:tc>
          <w:tcPr>
            <w:tcW w:w="3120" w:type="dxa"/>
            <w:vAlign w:val="bottom"/>
            <w:tcBorders>
              <w:bottom w:val="single" w:sz="8" w:color="E9F1FB"/>
            </w:tcBorders>
          </w:tcPr>
          <w:p>
            <w:pPr>
              <w:spacing w:after="0"/>
              <w:rPr>
                <w:sz w:val="3"/>
                <w:szCs w:val="3"/>
                <w:color w:val="auto"/>
              </w:rPr>
            </w:pPr>
          </w:p>
        </w:tc>
        <w:tc>
          <w:tcPr>
            <w:tcW w:w="680" w:type="dxa"/>
            <w:vAlign w:val="bottom"/>
            <w:tcBorders>
              <w:bottom w:val="single" w:sz="8" w:color="E9F1FB"/>
            </w:tcBorders>
          </w:tcPr>
          <w:p>
            <w:pPr>
              <w:spacing w:after="0"/>
              <w:rPr>
                <w:sz w:val="3"/>
                <w:szCs w:val="3"/>
                <w:color w:val="auto"/>
              </w:rPr>
            </w:pPr>
          </w:p>
        </w:tc>
        <w:tc>
          <w:tcPr>
            <w:tcW w:w="1240" w:type="dxa"/>
            <w:vAlign w:val="bottom"/>
            <w:tcBorders>
              <w:bottom w:val="single" w:sz="8" w:color="E9F1FB"/>
            </w:tcBorders>
          </w:tcPr>
          <w:p>
            <w:pPr>
              <w:spacing w:after="0"/>
              <w:rPr>
                <w:sz w:val="3"/>
                <w:szCs w:val="3"/>
                <w:color w:val="auto"/>
              </w:rPr>
            </w:pPr>
          </w:p>
        </w:tc>
      </w:tr>
      <w:tr>
        <w:trPr>
          <w:trHeight w:val="290"/>
        </w:trPr>
        <w:tc>
          <w:tcPr>
            <w:tcW w:w="3340" w:type="dxa"/>
            <w:vAlign w:val="bottom"/>
            <w:tcBorders>
              <w:bottom w:val="single" w:sz="8" w:color="E9F1FB"/>
            </w:tcBorders>
          </w:tcPr>
          <w:p>
            <w:pPr>
              <w:ind w:left="80"/>
              <w:spacing w:after="0"/>
              <w:rPr>
                <w:sz w:val="20"/>
                <w:szCs w:val="20"/>
                <w:color w:val="auto"/>
              </w:rPr>
            </w:pPr>
            <w:r>
              <w:rPr>
                <w:rFonts w:ascii="Arial" w:cs="Arial" w:eastAsia="Arial" w:hAnsi="Arial"/>
                <w:sz w:val="13"/>
                <w:szCs w:val="13"/>
                <w:b w:val="1"/>
                <w:bCs w:val="1"/>
                <w:color w:val="105EAB"/>
              </w:rPr>
              <w:t>Mr. Rizzo</w:t>
            </w:r>
            <w:r>
              <w:rPr>
                <w:rFonts w:ascii="Arial" w:cs="Arial" w:eastAsia="Arial" w:hAnsi="Arial"/>
                <w:sz w:val="22"/>
                <w:szCs w:val="22"/>
                <w:b w:val="1"/>
                <w:bCs w:val="1"/>
                <w:color w:val="105EAB"/>
                <w:vertAlign w:val="superscript"/>
              </w:rPr>
              <w:t>(1)</w:t>
            </w:r>
          </w:p>
        </w:tc>
        <w:tc>
          <w:tcPr>
            <w:tcW w:w="3120" w:type="dxa"/>
            <w:vAlign w:val="bottom"/>
            <w:tcBorders>
              <w:bottom w:val="single" w:sz="8" w:color="E9F1FB"/>
            </w:tcBorders>
          </w:tcPr>
          <w:p>
            <w:pPr>
              <w:jc w:val="right"/>
              <w:ind w:right="73"/>
              <w:spacing w:after="0"/>
              <w:rPr>
                <w:sz w:val="20"/>
                <w:szCs w:val="20"/>
                <w:color w:val="auto"/>
              </w:rPr>
            </w:pPr>
            <w:r>
              <w:rPr>
                <w:rFonts w:ascii="Arial" w:cs="Arial" w:eastAsia="Arial" w:hAnsi="Arial"/>
                <w:sz w:val="13"/>
                <w:szCs w:val="13"/>
                <w:color w:val="auto"/>
              </w:rPr>
              <w:t>3</w:t>
            </w:r>
          </w:p>
        </w:tc>
        <w:tc>
          <w:tcPr>
            <w:tcW w:w="680" w:type="dxa"/>
            <w:vAlign w:val="bottom"/>
            <w:tcBorders>
              <w:bottom w:val="single" w:sz="8" w:color="E9F1FB"/>
            </w:tcBorders>
          </w:tcPr>
          <w:p>
            <w:pPr>
              <w:jc w:val="right"/>
              <w:ind w:right="73"/>
              <w:spacing w:after="0"/>
              <w:rPr>
                <w:sz w:val="20"/>
                <w:szCs w:val="20"/>
                <w:color w:val="auto"/>
              </w:rPr>
            </w:pPr>
            <w:r>
              <w:rPr>
                <w:rFonts w:ascii="Arial" w:cs="Arial" w:eastAsia="Arial" w:hAnsi="Arial"/>
                <w:sz w:val="13"/>
                <w:szCs w:val="13"/>
                <w:color w:val="auto"/>
              </w:rPr>
              <w:t>1</w:t>
            </w:r>
          </w:p>
        </w:tc>
        <w:tc>
          <w:tcPr>
            <w:tcW w:w="1240" w:type="dxa"/>
            <w:vAlign w:val="bottom"/>
            <w:tcBorders>
              <w:bottom w:val="single" w:sz="8" w:color="E9F1FB"/>
            </w:tcBorders>
          </w:tcPr>
          <w:p>
            <w:pPr>
              <w:jc w:val="right"/>
              <w:ind w:right="13"/>
              <w:spacing w:after="0"/>
              <w:rPr>
                <w:sz w:val="20"/>
                <w:szCs w:val="20"/>
                <w:color w:val="auto"/>
              </w:rPr>
            </w:pPr>
            <w:r>
              <w:rPr>
                <w:rFonts w:ascii="Arial" w:cs="Arial" w:eastAsia="Arial" w:hAnsi="Arial"/>
                <w:sz w:val="13"/>
                <w:szCs w:val="13"/>
                <w:color w:val="auto"/>
              </w:rPr>
              <w:t>1</w:t>
            </w:r>
          </w:p>
        </w:tc>
      </w:tr>
      <w:tr>
        <w:trPr>
          <w:trHeight w:val="195"/>
        </w:trPr>
        <w:tc>
          <w:tcPr>
            <w:tcW w:w="3340" w:type="dxa"/>
            <w:vAlign w:val="bottom"/>
          </w:tcPr>
          <w:p>
            <w:pPr>
              <w:ind w:left="80"/>
              <w:spacing w:after="0"/>
              <w:rPr>
                <w:sz w:val="20"/>
                <w:szCs w:val="20"/>
                <w:color w:val="auto"/>
              </w:rPr>
            </w:pPr>
            <w:r>
              <w:rPr>
                <w:rFonts w:ascii="Arial" w:cs="Arial" w:eastAsia="Arial" w:hAnsi="Arial"/>
                <w:sz w:val="13"/>
                <w:szCs w:val="13"/>
                <w:b w:val="1"/>
                <w:bCs w:val="1"/>
                <w:color w:val="105EAB"/>
              </w:rPr>
              <w:t>Mr. Dugenske</w:t>
            </w:r>
          </w:p>
        </w:tc>
        <w:tc>
          <w:tcPr>
            <w:tcW w:w="3120" w:type="dxa"/>
            <w:vAlign w:val="bottom"/>
          </w:tcPr>
          <w:p>
            <w:pPr>
              <w:jc w:val="right"/>
              <w:ind w:right="73"/>
              <w:spacing w:after="0"/>
              <w:rPr>
                <w:sz w:val="20"/>
                <w:szCs w:val="20"/>
                <w:color w:val="auto"/>
              </w:rPr>
            </w:pPr>
            <w:r>
              <w:rPr>
                <w:rFonts w:ascii="Arial" w:cs="Arial" w:eastAsia="Arial" w:hAnsi="Arial"/>
                <w:sz w:val="13"/>
                <w:szCs w:val="13"/>
                <w:color w:val="auto"/>
              </w:rPr>
              <w:t>3</w:t>
            </w:r>
          </w:p>
        </w:tc>
        <w:tc>
          <w:tcPr>
            <w:tcW w:w="680" w:type="dxa"/>
            <w:vAlign w:val="bottom"/>
          </w:tcPr>
          <w:p>
            <w:pPr>
              <w:jc w:val="right"/>
              <w:ind w:right="73"/>
              <w:spacing w:after="0"/>
              <w:rPr>
                <w:sz w:val="20"/>
                <w:szCs w:val="20"/>
                <w:color w:val="auto"/>
              </w:rPr>
            </w:pPr>
            <w:r>
              <w:rPr>
                <w:rFonts w:ascii="Arial" w:cs="Arial" w:eastAsia="Arial" w:hAnsi="Arial"/>
                <w:sz w:val="13"/>
                <w:szCs w:val="13"/>
                <w:color w:val="auto"/>
              </w:rPr>
              <w:t>5</w:t>
            </w:r>
          </w:p>
        </w:tc>
        <w:tc>
          <w:tcPr>
            <w:tcW w:w="1240" w:type="dxa"/>
            <w:vAlign w:val="bottom"/>
          </w:tcPr>
          <w:p>
            <w:pPr>
              <w:jc w:val="right"/>
              <w:ind w:right="13"/>
              <w:spacing w:after="0"/>
              <w:rPr>
                <w:sz w:val="20"/>
                <w:szCs w:val="20"/>
                <w:color w:val="auto"/>
              </w:rPr>
            </w:pPr>
            <w:r>
              <w:rPr>
                <w:rFonts w:ascii="Arial" w:cs="Arial" w:eastAsia="Arial" w:hAnsi="Arial"/>
                <w:sz w:val="13"/>
                <w:szCs w:val="13"/>
                <w:color w:val="auto"/>
              </w:rPr>
              <w:t>0</w:t>
            </w:r>
          </w:p>
        </w:tc>
      </w:tr>
      <w:tr>
        <w:trPr>
          <w:trHeight w:val="41"/>
        </w:trPr>
        <w:tc>
          <w:tcPr>
            <w:tcW w:w="3340" w:type="dxa"/>
            <w:vAlign w:val="bottom"/>
            <w:tcBorders>
              <w:bottom w:val="single" w:sz="8" w:color="E9F1FB"/>
            </w:tcBorders>
          </w:tcPr>
          <w:p>
            <w:pPr>
              <w:spacing w:after="0"/>
              <w:rPr>
                <w:sz w:val="3"/>
                <w:szCs w:val="3"/>
                <w:color w:val="auto"/>
              </w:rPr>
            </w:pPr>
          </w:p>
        </w:tc>
        <w:tc>
          <w:tcPr>
            <w:tcW w:w="3120" w:type="dxa"/>
            <w:vAlign w:val="bottom"/>
            <w:tcBorders>
              <w:bottom w:val="single" w:sz="8" w:color="E9F1FB"/>
            </w:tcBorders>
          </w:tcPr>
          <w:p>
            <w:pPr>
              <w:spacing w:after="0"/>
              <w:rPr>
                <w:sz w:val="3"/>
                <w:szCs w:val="3"/>
                <w:color w:val="auto"/>
              </w:rPr>
            </w:pPr>
          </w:p>
        </w:tc>
        <w:tc>
          <w:tcPr>
            <w:tcW w:w="680" w:type="dxa"/>
            <w:vAlign w:val="bottom"/>
            <w:tcBorders>
              <w:bottom w:val="single" w:sz="8" w:color="E9F1FB"/>
            </w:tcBorders>
          </w:tcPr>
          <w:p>
            <w:pPr>
              <w:spacing w:after="0"/>
              <w:rPr>
                <w:sz w:val="3"/>
                <w:szCs w:val="3"/>
                <w:color w:val="auto"/>
              </w:rPr>
            </w:pPr>
          </w:p>
        </w:tc>
        <w:tc>
          <w:tcPr>
            <w:tcW w:w="1240" w:type="dxa"/>
            <w:vAlign w:val="bottom"/>
            <w:tcBorders>
              <w:bottom w:val="single" w:sz="8" w:color="E9F1FB"/>
            </w:tcBorders>
          </w:tcPr>
          <w:p>
            <w:pPr>
              <w:spacing w:after="0"/>
              <w:rPr>
                <w:sz w:val="3"/>
                <w:szCs w:val="3"/>
                <w:color w:val="auto"/>
              </w:rPr>
            </w:pPr>
          </w:p>
        </w:tc>
      </w:tr>
      <w:tr>
        <w:trPr>
          <w:trHeight w:val="290"/>
        </w:trPr>
        <w:tc>
          <w:tcPr>
            <w:tcW w:w="3340" w:type="dxa"/>
            <w:vAlign w:val="bottom"/>
            <w:tcBorders>
              <w:bottom w:val="single" w:sz="8" w:color="E9F1FB"/>
            </w:tcBorders>
          </w:tcPr>
          <w:p>
            <w:pPr>
              <w:ind w:left="80"/>
              <w:spacing w:after="0"/>
              <w:rPr>
                <w:sz w:val="20"/>
                <w:szCs w:val="20"/>
                <w:color w:val="auto"/>
              </w:rPr>
            </w:pPr>
            <w:r>
              <w:rPr>
                <w:rFonts w:ascii="Arial" w:cs="Arial" w:eastAsia="Arial" w:hAnsi="Arial"/>
                <w:sz w:val="13"/>
                <w:szCs w:val="13"/>
                <w:b w:val="1"/>
                <w:bCs w:val="1"/>
                <w:color w:val="105EAB"/>
              </w:rPr>
              <w:t>Mr. Shapiro</w:t>
            </w:r>
            <w:r>
              <w:rPr>
                <w:rFonts w:ascii="Arial" w:cs="Arial" w:eastAsia="Arial" w:hAnsi="Arial"/>
                <w:sz w:val="22"/>
                <w:szCs w:val="22"/>
                <w:b w:val="1"/>
                <w:bCs w:val="1"/>
                <w:color w:val="105EAB"/>
                <w:vertAlign w:val="superscript"/>
              </w:rPr>
              <w:t>(1)</w:t>
            </w:r>
          </w:p>
        </w:tc>
        <w:tc>
          <w:tcPr>
            <w:tcW w:w="3120" w:type="dxa"/>
            <w:vAlign w:val="bottom"/>
            <w:tcBorders>
              <w:bottom w:val="single" w:sz="8" w:color="E9F1FB"/>
            </w:tcBorders>
          </w:tcPr>
          <w:p>
            <w:pPr>
              <w:jc w:val="right"/>
              <w:ind w:right="73"/>
              <w:spacing w:after="0"/>
              <w:rPr>
                <w:sz w:val="20"/>
                <w:szCs w:val="20"/>
                <w:color w:val="auto"/>
              </w:rPr>
            </w:pPr>
            <w:r>
              <w:rPr>
                <w:rFonts w:ascii="Arial" w:cs="Arial" w:eastAsia="Arial" w:hAnsi="Arial"/>
                <w:sz w:val="13"/>
                <w:szCs w:val="13"/>
                <w:color w:val="auto"/>
              </w:rPr>
              <w:t>3</w:t>
            </w:r>
          </w:p>
        </w:tc>
        <w:tc>
          <w:tcPr>
            <w:tcW w:w="680" w:type="dxa"/>
            <w:vAlign w:val="bottom"/>
            <w:tcBorders>
              <w:bottom w:val="single" w:sz="8" w:color="E9F1FB"/>
            </w:tcBorders>
          </w:tcPr>
          <w:p>
            <w:pPr>
              <w:jc w:val="right"/>
              <w:ind w:right="73"/>
              <w:spacing w:after="0"/>
              <w:rPr>
                <w:sz w:val="20"/>
                <w:szCs w:val="20"/>
                <w:color w:val="auto"/>
              </w:rPr>
            </w:pPr>
            <w:r>
              <w:rPr>
                <w:rFonts w:ascii="Arial" w:cs="Arial" w:eastAsia="Arial" w:hAnsi="Arial"/>
                <w:sz w:val="13"/>
                <w:szCs w:val="13"/>
                <w:color w:val="auto"/>
              </w:rPr>
              <w:t>2</w:t>
            </w:r>
          </w:p>
        </w:tc>
        <w:tc>
          <w:tcPr>
            <w:tcW w:w="1240" w:type="dxa"/>
            <w:vAlign w:val="bottom"/>
            <w:tcBorders>
              <w:bottom w:val="single" w:sz="8" w:color="E9F1FB"/>
            </w:tcBorders>
          </w:tcPr>
          <w:p>
            <w:pPr>
              <w:jc w:val="right"/>
              <w:ind w:right="13"/>
              <w:spacing w:after="0"/>
              <w:rPr>
                <w:sz w:val="20"/>
                <w:szCs w:val="20"/>
                <w:color w:val="auto"/>
              </w:rPr>
            </w:pPr>
            <w:r>
              <w:rPr>
                <w:rFonts w:ascii="Arial" w:cs="Arial" w:eastAsia="Arial" w:hAnsi="Arial"/>
                <w:sz w:val="13"/>
                <w:szCs w:val="13"/>
                <w:color w:val="auto"/>
              </w:rPr>
              <w:t>0</w:t>
            </w:r>
          </w:p>
        </w:tc>
      </w:tr>
      <w:tr>
        <w:trPr>
          <w:trHeight w:val="195"/>
        </w:trPr>
        <w:tc>
          <w:tcPr>
            <w:tcW w:w="3340" w:type="dxa"/>
            <w:vAlign w:val="bottom"/>
          </w:tcPr>
          <w:p>
            <w:pPr>
              <w:ind w:left="80"/>
              <w:spacing w:after="0"/>
              <w:rPr>
                <w:sz w:val="20"/>
                <w:szCs w:val="20"/>
                <w:color w:val="auto"/>
              </w:rPr>
            </w:pPr>
            <w:r>
              <w:rPr>
                <w:rFonts w:ascii="Arial" w:cs="Arial" w:eastAsia="Arial" w:hAnsi="Arial"/>
                <w:sz w:val="13"/>
                <w:szCs w:val="13"/>
                <w:b w:val="1"/>
                <w:bCs w:val="1"/>
                <w:color w:val="105EAB"/>
              </w:rPr>
              <w:t>Mr. Shebik</w:t>
            </w:r>
          </w:p>
        </w:tc>
        <w:tc>
          <w:tcPr>
            <w:tcW w:w="3120" w:type="dxa"/>
            <w:vAlign w:val="bottom"/>
          </w:tcPr>
          <w:p>
            <w:pPr>
              <w:jc w:val="right"/>
              <w:ind w:right="73"/>
              <w:spacing w:after="0"/>
              <w:rPr>
                <w:sz w:val="20"/>
                <w:szCs w:val="20"/>
                <w:color w:val="auto"/>
              </w:rPr>
            </w:pPr>
            <w:r>
              <w:rPr>
                <w:rFonts w:ascii="Arial" w:cs="Arial" w:eastAsia="Arial" w:hAnsi="Arial"/>
                <w:sz w:val="13"/>
                <w:szCs w:val="13"/>
                <w:color w:val="auto"/>
              </w:rPr>
              <w:t>3</w:t>
            </w:r>
          </w:p>
        </w:tc>
        <w:tc>
          <w:tcPr>
            <w:tcW w:w="680" w:type="dxa"/>
            <w:vAlign w:val="bottom"/>
          </w:tcPr>
          <w:p>
            <w:pPr>
              <w:jc w:val="right"/>
              <w:ind w:right="73"/>
              <w:spacing w:after="0"/>
              <w:rPr>
                <w:sz w:val="20"/>
                <w:szCs w:val="20"/>
                <w:color w:val="auto"/>
              </w:rPr>
            </w:pPr>
            <w:r>
              <w:rPr>
                <w:rFonts w:ascii="Arial" w:cs="Arial" w:eastAsia="Arial" w:hAnsi="Arial"/>
                <w:sz w:val="13"/>
                <w:szCs w:val="13"/>
                <w:color w:val="auto"/>
              </w:rPr>
              <w:t>11</w:t>
            </w:r>
          </w:p>
        </w:tc>
        <w:tc>
          <w:tcPr>
            <w:tcW w:w="1240" w:type="dxa"/>
            <w:vAlign w:val="bottom"/>
          </w:tcPr>
          <w:p>
            <w:pPr>
              <w:jc w:val="right"/>
              <w:ind w:right="13"/>
              <w:spacing w:after="0"/>
              <w:rPr>
                <w:sz w:val="20"/>
                <w:szCs w:val="20"/>
                <w:color w:val="auto"/>
              </w:rPr>
            </w:pPr>
            <w:r>
              <w:rPr>
                <w:rFonts w:ascii="Arial" w:cs="Arial" w:eastAsia="Arial" w:hAnsi="Arial"/>
                <w:sz w:val="13"/>
                <w:szCs w:val="13"/>
                <w:color w:val="auto"/>
              </w:rPr>
              <w:t>7</w:t>
            </w:r>
          </w:p>
        </w:tc>
      </w:tr>
      <w:tr>
        <w:trPr>
          <w:trHeight w:val="48"/>
        </w:trPr>
        <w:tc>
          <w:tcPr>
            <w:tcW w:w="3340" w:type="dxa"/>
            <w:vAlign w:val="bottom"/>
            <w:tcBorders>
              <w:bottom w:val="single" w:sz="8" w:color="105EAB"/>
            </w:tcBorders>
          </w:tcPr>
          <w:p>
            <w:pPr>
              <w:spacing w:after="0"/>
              <w:rPr>
                <w:sz w:val="4"/>
                <w:szCs w:val="4"/>
                <w:color w:val="auto"/>
              </w:rPr>
            </w:pPr>
          </w:p>
        </w:tc>
        <w:tc>
          <w:tcPr>
            <w:tcW w:w="3120" w:type="dxa"/>
            <w:vAlign w:val="bottom"/>
            <w:tcBorders>
              <w:bottom w:val="single" w:sz="8" w:color="105EAB"/>
            </w:tcBorders>
          </w:tcPr>
          <w:p>
            <w:pPr>
              <w:spacing w:after="0"/>
              <w:rPr>
                <w:sz w:val="4"/>
                <w:szCs w:val="4"/>
                <w:color w:val="auto"/>
              </w:rPr>
            </w:pPr>
          </w:p>
        </w:tc>
        <w:tc>
          <w:tcPr>
            <w:tcW w:w="680" w:type="dxa"/>
            <w:vAlign w:val="bottom"/>
            <w:tcBorders>
              <w:bottom w:val="single" w:sz="8" w:color="105EAB"/>
            </w:tcBorders>
          </w:tcPr>
          <w:p>
            <w:pPr>
              <w:spacing w:after="0"/>
              <w:rPr>
                <w:sz w:val="4"/>
                <w:szCs w:val="4"/>
                <w:color w:val="auto"/>
              </w:rPr>
            </w:pPr>
          </w:p>
        </w:tc>
        <w:tc>
          <w:tcPr>
            <w:tcW w:w="1240" w:type="dxa"/>
            <w:vAlign w:val="bottom"/>
            <w:tcBorders>
              <w:bottom w:val="single" w:sz="8" w:color="105EAB"/>
            </w:tcBorders>
          </w:tcPr>
          <w:p>
            <w:pPr>
              <w:spacing w:after="0"/>
              <w:rPr>
                <w:sz w:val="4"/>
                <w:szCs w:val="4"/>
                <w:color w:val="auto"/>
              </w:rPr>
            </w:pPr>
          </w:p>
        </w:tc>
      </w:tr>
    </w:tbl>
    <w:p>
      <w:pPr>
        <w:spacing w:after="0" w:line="30" w:lineRule="exact"/>
        <w:rPr>
          <w:sz w:val="20"/>
          <w:szCs w:val="20"/>
          <w:color w:val="auto"/>
        </w:rPr>
      </w:pPr>
    </w:p>
    <w:p>
      <w:pPr>
        <w:ind w:left="300" w:hanging="292"/>
        <w:spacing w:after="0"/>
        <w:tabs>
          <w:tab w:leader="none" w:pos="300" w:val="left"/>
        </w:tabs>
        <w:numPr>
          <w:ilvl w:val="0"/>
          <w:numId w:val="171"/>
        </w:numPr>
        <w:rPr>
          <w:rFonts w:ascii="Arial" w:cs="Arial" w:eastAsia="Arial" w:hAnsi="Arial"/>
          <w:sz w:val="22"/>
          <w:szCs w:val="22"/>
          <w:color w:val="auto"/>
          <w:vertAlign w:val="superscript"/>
        </w:rPr>
      </w:pPr>
      <w:r>
        <w:rPr>
          <w:rFonts w:ascii="Arial" w:cs="Arial" w:eastAsia="Arial" w:hAnsi="Arial"/>
          <w:sz w:val="13"/>
          <w:szCs w:val="13"/>
          <w:color w:val="auto"/>
        </w:rPr>
        <w:t>Messrs. Rizzo’s and Shapiro’s stock ownership requirement and salaries changed in 2018 as a result of their promotions.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188595" cy="17145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88595" cy="171450"/>
                    </a:xfrm>
                    <a:prstGeom prst="rect">
                      <a:avLst/>
                    </a:prstGeom>
                    <a:noFill/>
                  </pic:spPr>
                </pic:pic>
              </a:graphicData>
            </a:graphic>
          </wp:anchor>
        </w:drawing>
        <w:drawing>
          <wp:anchor simplePos="0" relativeHeight="251657728" behindDoc="1" locked="0" layoutInCell="0" allowOverlap="1">
            <wp:simplePos x="0" y="0"/>
            <wp:positionH relativeFrom="column">
              <wp:posOffset>3662680</wp:posOffset>
            </wp:positionH>
            <wp:positionV relativeFrom="paragraph">
              <wp:posOffset>163195</wp:posOffset>
            </wp:positionV>
            <wp:extent cx="179705" cy="18859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79705"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rPr>
          <w:sz w:val="20"/>
          <w:szCs w:val="20"/>
          <w:color w:val="auto"/>
        </w:rPr>
      </w:pPr>
      <w:r>
        <w:rPr>
          <w:rFonts w:ascii="Arial" w:cs="Arial" w:eastAsia="Arial" w:hAnsi="Arial"/>
          <w:sz w:val="36"/>
          <w:szCs w:val="36"/>
          <w:b w:val="1"/>
          <w:bCs w:val="1"/>
          <w:color w:val="39B6E9"/>
        </w:rPr>
        <w:t xml:space="preserve">39 </w:t>
      </w:r>
      <w:r>
        <w:rPr>
          <w:rFonts w:ascii="Arial" w:cs="Arial" w:eastAsia="Arial" w:hAnsi="Arial"/>
          <w:sz w:val="17"/>
          <w:szCs w:val="17"/>
          <w:b w:val="1"/>
          <w:bCs w:val="1"/>
          <w:color w:val="39B6E9"/>
        </w:rPr>
        <w:t>TIMES ANNUAL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50165</wp:posOffset>
            </wp:positionV>
            <wp:extent cx="1772920" cy="89916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772920" cy="899160"/>
                    </a:xfrm>
                    <a:prstGeom prst="rect">
                      <a:avLst/>
                    </a:prstGeom>
                    <a:noFill/>
                  </pic:spPr>
                </pic:pic>
              </a:graphicData>
            </a:graphic>
          </wp:anchor>
        </w:drawing>
      </w:r>
    </w:p>
    <w:p>
      <w:pPr>
        <w:spacing w:after="0" w:line="143"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105EAB"/>
        </w:rPr>
        <w:t>The value of shares of Allstate’s common stock held by Mr. Wilson as of December 31, 2018</w:t>
      </w:r>
    </w:p>
    <w:p>
      <w:pPr>
        <w:spacing w:after="0" w:line="1201" w:lineRule="exact"/>
        <w:rPr>
          <w:sz w:val="20"/>
          <w:szCs w:val="20"/>
          <w:color w:val="auto"/>
        </w:rPr>
      </w:pPr>
    </w:p>
    <w:p>
      <w:pPr>
        <w:sectPr>
          <w:pgSz w:w="11900" w:h="16838" w:orient="portrait"/>
          <w:cols w:equalWidth="0" w:num="2">
            <w:col w:w="8380" w:space="260"/>
            <w:col w:w="2800"/>
          </w:cols>
          <w:pgMar w:left="240" w:top="121" w:right="219" w:bottom="1440" w:gutter="0" w:footer="0" w:header="0"/>
          <w:type w:val="continuous"/>
        </w:sect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105EAB"/>
        </w:rPr>
        <w:t>What Counts Toward the Requirement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495040" cy="59944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495040" cy="599440"/>
                    </a:xfrm>
                    <a:prstGeom prst="rect">
                      <a:avLst/>
                    </a:prstGeom>
                    <a:noFill/>
                  </pic:spPr>
                </pic:pic>
              </a:graphicData>
            </a:graphic>
          </wp:anchor>
        </w:drawing>
      </w:r>
    </w:p>
    <w:p>
      <w:pPr>
        <w:spacing w:after="0" w:line="132" w:lineRule="exact"/>
        <w:rPr>
          <w:sz w:val="20"/>
          <w:szCs w:val="20"/>
          <w:color w:val="auto"/>
        </w:rPr>
      </w:pPr>
    </w:p>
    <w:p>
      <w:pPr>
        <w:ind w:left="340" w:hanging="224"/>
        <w:spacing w:after="0"/>
        <w:tabs>
          <w:tab w:leader="none" w:pos="340" w:val="left"/>
        </w:tabs>
        <w:numPr>
          <w:ilvl w:val="0"/>
          <w:numId w:val="172"/>
        </w:numPr>
        <w:rPr>
          <w:rFonts w:ascii="Arial" w:cs="Arial" w:eastAsia="Arial" w:hAnsi="Arial"/>
          <w:sz w:val="16"/>
          <w:szCs w:val="16"/>
          <w:color w:val="5CA34F"/>
        </w:rPr>
      </w:pPr>
      <w:r>
        <w:rPr>
          <w:rFonts w:ascii="Arial" w:cs="Arial" w:eastAsia="Arial" w:hAnsi="Arial"/>
          <w:sz w:val="16"/>
          <w:szCs w:val="16"/>
          <w:color w:val="105EAB"/>
        </w:rPr>
        <w:t>Allstate shares owned personally and beneficially</w:t>
      </w:r>
    </w:p>
    <w:p>
      <w:pPr>
        <w:spacing w:after="0" w:line="112" w:lineRule="exact"/>
        <w:rPr>
          <w:rFonts w:ascii="Arial" w:cs="Arial" w:eastAsia="Arial" w:hAnsi="Arial"/>
          <w:sz w:val="16"/>
          <w:szCs w:val="16"/>
          <w:color w:val="5CA34F"/>
        </w:rPr>
      </w:pPr>
    </w:p>
    <w:p>
      <w:pPr>
        <w:ind w:left="340" w:hanging="224"/>
        <w:spacing w:after="0"/>
        <w:tabs>
          <w:tab w:leader="none" w:pos="340" w:val="left"/>
        </w:tabs>
        <w:numPr>
          <w:ilvl w:val="0"/>
          <w:numId w:val="172"/>
        </w:numPr>
        <w:rPr>
          <w:rFonts w:ascii="Arial" w:cs="Arial" w:eastAsia="Arial" w:hAnsi="Arial"/>
          <w:sz w:val="17"/>
          <w:szCs w:val="17"/>
          <w:color w:val="5CA34F"/>
        </w:rPr>
      </w:pPr>
      <w:r>
        <w:rPr>
          <w:rFonts w:ascii="Arial" w:cs="Arial" w:eastAsia="Arial" w:hAnsi="Arial"/>
          <w:sz w:val="18"/>
          <w:szCs w:val="18"/>
          <w:color w:val="105EAB"/>
        </w:rPr>
        <w:t>Shares held in the Allstate 401(k) Savings Plan</w:t>
      </w:r>
    </w:p>
    <w:p>
      <w:pPr>
        <w:spacing w:after="0" w:line="76" w:lineRule="exact"/>
        <w:rPr>
          <w:rFonts w:ascii="Arial" w:cs="Arial" w:eastAsia="Arial" w:hAnsi="Arial"/>
          <w:sz w:val="17"/>
          <w:szCs w:val="17"/>
          <w:color w:val="5CA34F"/>
        </w:rPr>
      </w:pPr>
    </w:p>
    <w:p>
      <w:pPr>
        <w:ind w:left="340" w:hanging="224"/>
        <w:spacing w:after="0"/>
        <w:tabs>
          <w:tab w:leader="none" w:pos="340" w:val="left"/>
        </w:tabs>
        <w:numPr>
          <w:ilvl w:val="0"/>
          <w:numId w:val="172"/>
        </w:numPr>
        <w:rPr>
          <w:rFonts w:ascii="Arial" w:cs="Arial" w:eastAsia="Arial" w:hAnsi="Arial"/>
          <w:sz w:val="17"/>
          <w:szCs w:val="17"/>
          <w:color w:val="5CA34F"/>
        </w:rPr>
      </w:pPr>
      <w:r>
        <w:rPr>
          <w:rFonts w:ascii="Arial" w:cs="Arial" w:eastAsia="Arial" w:hAnsi="Arial"/>
          <w:sz w:val="18"/>
          <w:szCs w:val="18"/>
          <w:color w:val="105EAB"/>
        </w:rPr>
        <w:t>Unvested restricted stock units</w:t>
      </w:r>
    </w:p>
    <w:p>
      <w:pPr>
        <w:spacing w:after="0" w:line="20" w:lineRule="exact"/>
        <w:rPr>
          <w:sz w:val="20"/>
          <w:szCs w:val="20"/>
          <w:color w:val="auto"/>
        </w:rPr>
      </w:pPr>
      <w:r>
        <w:rPr>
          <w:sz w:val="20"/>
          <w:szCs w:val="20"/>
          <w:color w:val="auto"/>
        </w:rPr>
        <w:br w:type="column"/>
      </w: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b w:val="1"/>
          <w:bCs w:val="1"/>
          <w:color w:val="959595"/>
        </w:rPr>
        <w:t>What Does Not Count Toward the Requirement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3597910" cy="59944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3597910" cy="599440"/>
                    </a:xfrm>
                    <a:prstGeom prst="rect">
                      <a:avLst/>
                    </a:prstGeom>
                    <a:noFill/>
                  </pic:spPr>
                </pic:pic>
              </a:graphicData>
            </a:graphic>
          </wp:anchor>
        </w:drawing>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7"/>
          <w:szCs w:val="17"/>
          <w:color w:val="E35F5E"/>
        </w:rPr>
        <w:t xml:space="preserve">–  </w:t>
      </w:r>
      <w:r>
        <w:rPr>
          <w:rFonts w:ascii="Arial" w:cs="Arial" w:eastAsia="Arial" w:hAnsi="Arial"/>
          <w:sz w:val="17"/>
          <w:szCs w:val="17"/>
          <w:color w:val="000000"/>
        </w:rPr>
        <w:t>Unexercised stock options</w:t>
      </w:r>
    </w:p>
    <w:p>
      <w:pPr>
        <w:spacing w:after="0" w:line="101" w:lineRule="exact"/>
        <w:rPr>
          <w:sz w:val="20"/>
          <w:szCs w:val="20"/>
          <w:color w:val="auto"/>
        </w:rPr>
      </w:pPr>
    </w:p>
    <w:p>
      <w:pPr>
        <w:ind w:left="120"/>
        <w:spacing w:after="0"/>
        <w:rPr>
          <w:sz w:val="20"/>
          <w:szCs w:val="20"/>
          <w:color w:val="auto"/>
        </w:rPr>
      </w:pPr>
      <w:r>
        <w:rPr>
          <w:rFonts w:ascii="Arial" w:cs="Arial" w:eastAsia="Arial" w:hAnsi="Arial"/>
          <w:sz w:val="17"/>
          <w:szCs w:val="17"/>
          <w:color w:val="E35F5E"/>
        </w:rPr>
        <w:t xml:space="preserve">–  </w:t>
      </w:r>
      <w:r>
        <w:rPr>
          <w:rFonts w:ascii="Arial" w:cs="Arial" w:eastAsia="Arial" w:hAnsi="Arial"/>
          <w:sz w:val="17"/>
          <w:szCs w:val="17"/>
          <w:color w:val="000000"/>
        </w:rPr>
        <w:t>Unvested performance stock awards</w:t>
      </w:r>
    </w:p>
    <w:p>
      <w:pPr>
        <w:spacing w:after="0" w:line="502" w:lineRule="exact"/>
        <w:rPr>
          <w:sz w:val="20"/>
          <w:szCs w:val="20"/>
          <w:color w:val="auto"/>
        </w:rPr>
      </w:pPr>
    </w:p>
    <w:p>
      <w:pPr>
        <w:sectPr>
          <w:pgSz w:w="11900" w:h="16838" w:orient="portrait"/>
          <w:cols w:equalWidth="0" w:num="2">
            <w:col w:w="5040" w:space="720"/>
            <w:col w:w="5680"/>
          </w:cols>
          <w:pgMar w:left="240" w:top="121" w:right="219"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20"/>
          <w:szCs w:val="20"/>
          <w:b w:val="1"/>
          <w:bCs w:val="1"/>
          <w:color w:val="39B6E9"/>
        </w:rPr>
        <w:t>Policies on Hedging and Pledging Securities</w:t>
      </w:r>
    </w:p>
    <w:p>
      <w:pPr>
        <w:spacing w:after="0" w:line="232"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We have a policy that prohibits all officers, directors, and employees from engaging in transactions in securities issued by Allstate or any of its subsidiaries that might be considered speculative or hedging, such as selling short or buying or selling options. We also have a policy that prohibits senior executives and directors from pledging Allstate securities as collateral for a loan or holding such securities in a margin account, unless an exception is granted by the Chair or lead director.</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39B6E9"/>
        </w:rPr>
        <w:t>Timing of Equity Awards and Grant Practices</w:t>
      </w:r>
    </w:p>
    <w:p>
      <w:pPr>
        <w:spacing w:after="0" w:line="232" w:lineRule="exact"/>
        <w:rPr>
          <w:sz w:val="20"/>
          <w:szCs w:val="20"/>
          <w:color w:val="auto"/>
        </w:rPr>
      </w:pPr>
    </w:p>
    <w:p>
      <w:pPr>
        <w:ind w:right="520"/>
        <w:spacing w:after="0" w:line="239" w:lineRule="auto"/>
        <w:rPr>
          <w:sz w:val="20"/>
          <w:szCs w:val="20"/>
          <w:color w:val="auto"/>
        </w:rPr>
      </w:pPr>
      <w:r>
        <w:rPr>
          <w:rFonts w:ascii="Arial" w:cs="Arial" w:eastAsia="Arial" w:hAnsi="Arial"/>
          <w:sz w:val="18"/>
          <w:szCs w:val="18"/>
          <w:color w:val="auto"/>
        </w:rPr>
        <w:t>Typically, the committee approves grants of equity awards during a meeting in the first fiscal quarter. The timing allows the committee to align awards with our annual performance and business goals.</w:t>
      </w:r>
    </w:p>
    <w:p>
      <w:pPr>
        <w:spacing w:after="0" w:line="208"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Throughout the year, the committee may grant equity incentive awards to newly hired or promoted executives or to retain or recognize executives. The grant date for these awards was fixed as the third business day of a month following the later of committee action or the date of hire or promotion, or for recognition grants, such other date specified by the committee.</w:t>
      </w:r>
    </w:p>
    <w:p>
      <w:pPr>
        <w:spacing w:after="0" w:line="210" w:lineRule="exact"/>
        <w:rPr>
          <w:sz w:val="20"/>
          <w:szCs w:val="20"/>
          <w:color w:val="auto"/>
        </w:rPr>
      </w:pPr>
    </w:p>
    <w:p>
      <w:pPr>
        <w:ind w:right="600"/>
        <w:spacing w:after="0" w:line="239" w:lineRule="auto"/>
        <w:rPr>
          <w:sz w:val="20"/>
          <w:szCs w:val="20"/>
          <w:color w:val="auto"/>
        </w:rPr>
      </w:pPr>
      <w:r>
        <w:rPr>
          <w:rFonts w:ascii="Arial" w:cs="Arial" w:eastAsia="Arial" w:hAnsi="Arial"/>
          <w:sz w:val="18"/>
          <w:szCs w:val="18"/>
          <w:color w:val="auto"/>
        </w:rPr>
        <w:t>For additional information on the committee’s practices, see portions of the Board’s Risk Oversight Responsibilities and Board Meetings and Committees sections of this proxy statement on pages 21 and 27, respectively.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1120" w:type="dxa"/>
            <w:vAlign w:val="bottom"/>
          </w:tcPr>
          <w:p>
            <w:pPr>
              <w:ind w:left="9640"/>
              <w:spacing w:after="0"/>
              <w:rPr>
                <w:sz w:val="20"/>
                <w:szCs w:val="20"/>
                <w:color w:val="auto"/>
              </w:rPr>
            </w:pPr>
            <w:r>
              <w:rPr>
                <w:rFonts w:ascii="Arial" w:cs="Arial" w:eastAsia="Arial" w:hAnsi="Arial"/>
                <w:sz w:val="13"/>
                <w:szCs w:val="13"/>
                <w:color w:val="105EAB"/>
              </w:rPr>
              <w:t>2019 Proxy Statement</w:t>
            </w:r>
          </w:p>
        </w:tc>
        <w:tc>
          <w:tcPr>
            <w:tcW w:w="320" w:type="dxa"/>
            <w:vAlign w:val="bottom"/>
          </w:tcPr>
          <w:p>
            <w:pPr>
              <w:jc w:val="right"/>
              <w:spacing w:after="0"/>
              <w:rPr>
                <w:sz w:val="20"/>
                <w:szCs w:val="20"/>
                <w:color w:val="auto"/>
              </w:rPr>
            </w:pPr>
            <w:r>
              <w:rPr>
                <w:rFonts w:ascii="Arial" w:cs="Arial" w:eastAsia="Arial" w:hAnsi="Arial"/>
                <w:sz w:val="13"/>
                <w:szCs w:val="13"/>
                <w:b w:val="1"/>
                <w:bCs w:val="1"/>
                <w:color w:val="105EAB"/>
              </w:rPr>
              <w:t>47</w:t>
            </w:r>
          </w:p>
        </w:tc>
      </w:tr>
      <w:tr>
        <w:trPr>
          <w:trHeight w:val="213"/>
        </w:trPr>
        <w:tc>
          <w:tcPr>
            <w:tcW w:w="1112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-13970</wp:posOffset>
            </wp:positionV>
            <wp:extent cx="1270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type w:val="continuous"/>
        </w:sectPr>
      </w:pPr>
    </w:p>
    <w:bookmarkStart w:id="48" w:name="page49"/>
    <w:bookmarkEnd w:id="48"/>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b w:val="1"/>
          <w:bCs w:val="1"/>
          <w:color w:val="105EAB"/>
        </w:rPr>
        <w:t xml:space="preserve">Executive Compensation | </w:t>
      </w:r>
      <w:r>
        <w:rPr>
          <w:rFonts w:ascii="Arial" w:cs="Arial" w:eastAsia="Arial" w:hAnsi="Arial"/>
          <w:sz w:val="13"/>
          <w:szCs w:val="13"/>
          <w:b w:val="1"/>
          <w:bCs w:val="1"/>
          <w:color w:val="000000"/>
        </w:rPr>
        <w:t>Compensation Discussion and Analysis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39B6E9"/>
        </w:rPr>
        <w:t>Peer Benchmarking</w:t>
      </w:r>
    </w:p>
    <w:p>
      <w:pPr>
        <w:spacing w:after="0" w:line="232" w:lineRule="exact"/>
        <w:rPr>
          <w:sz w:val="20"/>
          <w:szCs w:val="20"/>
          <w:color w:val="auto"/>
        </w:rPr>
      </w:pPr>
    </w:p>
    <w:p>
      <w:pPr>
        <w:ind w:right="40"/>
        <w:spacing w:after="0" w:line="269" w:lineRule="auto"/>
        <w:rPr>
          <w:sz w:val="20"/>
          <w:szCs w:val="20"/>
          <w:color w:val="auto"/>
        </w:rPr>
      </w:pPr>
      <w:r>
        <w:rPr>
          <w:rFonts w:ascii="Arial" w:cs="Arial" w:eastAsia="Arial" w:hAnsi="Arial"/>
          <w:sz w:val="16"/>
          <w:szCs w:val="16"/>
          <w:color w:val="auto"/>
        </w:rPr>
        <w:t>The committee monitors performance toward goals throughout the year and reviews the executive compensation program design and executive pay levels annually. As part of that evaluation, Compensation Advisory Partners, the committee’s independent compensation consultant, provided executive compensation data, information on current market practices, and alternatives to consider when determining compensation for our named executives. The committee benchmarks executive compensation program design, executive pay, and performance against a group of peer companies that are publicly traded. Product mix, market segment, annual revenues, premiums, assets, and market value were considered when identifying peer companies. The committee believes Allstate competes against these companies for executive talent, business and stockholder investment. The committee reviews the composition of the peer group annually with the assistance of its compensation consultant.</w:t>
      </w:r>
    </w:p>
    <w:p>
      <w:pPr>
        <w:spacing w:after="0" w:line="189" w:lineRule="exact"/>
        <w:rPr>
          <w:sz w:val="20"/>
          <w:szCs w:val="20"/>
          <w:color w:val="auto"/>
        </w:rPr>
      </w:pPr>
    </w:p>
    <w:p>
      <w:pPr>
        <w:jc w:val="both"/>
        <w:ind w:right="80"/>
        <w:spacing w:after="0" w:line="237" w:lineRule="auto"/>
        <w:rPr>
          <w:sz w:val="20"/>
          <w:szCs w:val="20"/>
          <w:color w:val="auto"/>
        </w:rPr>
      </w:pPr>
      <w:r>
        <w:rPr>
          <w:rFonts w:ascii="Arial" w:cs="Arial" w:eastAsia="Arial" w:hAnsi="Arial"/>
          <w:sz w:val="18"/>
          <w:szCs w:val="18"/>
          <w:color w:val="auto"/>
        </w:rPr>
        <w:t>The compensation consultant’s recommendation has been to use a peer group that reflects Allstate’s business and operations. Currently, eight out of ten of Allstate’s peer companies also include Allstate in their respective peer company lists. The following table reflects the peer group used for 2018 compensation benchmarking. No changes were made to the peer group for 2019.</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105EAB"/>
        </w:rPr>
        <w:t>PEER COMPANIES</w:t>
      </w:r>
      <w:r>
        <w:rPr>
          <w:rFonts w:ascii="Arial" w:cs="Arial" w:eastAsia="Arial" w:hAnsi="Arial"/>
          <w:sz w:val="29"/>
          <w:szCs w:val="29"/>
          <w:b w:val="1"/>
          <w:bCs w:val="1"/>
          <w:color w:val="105EAB"/>
          <w:vertAlign w:val="superscript"/>
        </w:rPr>
        <w:t>(1)</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8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140" w:type="dxa"/>
            <w:vAlign w:val="bottom"/>
            <w:gridSpan w:val="3"/>
          </w:tcPr>
          <w:p>
            <w:pPr>
              <w:jc w:val="right"/>
              <w:ind w:right="73"/>
              <w:spacing w:after="0"/>
              <w:rPr>
                <w:sz w:val="20"/>
                <w:szCs w:val="20"/>
                <w:color w:val="auto"/>
              </w:rPr>
            </w:pPr>
            <w:r>
              <w:rPr>
                <w:rFonts w:ascii="Arial" w:cs="Arial" w:eastAsia="Arial" w:hAnsi="Arial"/>
                <w:sz w:val="13"/>
                <w:szCs w:val="13"/>
                <w:b w:val="1"/>
                <w:bCs w:val="1"/>
                <w:color w:val="105EAB"/>
              </w:rPr>
              <w:t>Total Shareholder Return (%)</w:t>
            </w:r>
          </w:p>
        </w:tc>
      </w:tr>
      <w:tr>
        <w:trPr>
          <w:trHeight w:val="48"/>
        </w:trPr>
        <w:tc>
          <w:tcPr>
            <w:tcW w:w="3800" w:type="dxa"/>
            <w:vAlign w:val="bottom"/>
          </w:tcPr>
          <w:p>
            <w:pPr>
              <w:spacing w:after="0"/>
              <w:rPr>
                <w:sz w:val="4"/>
                <w:szCs w:val="4"/>
                <w:color w:val="auto"/>
              </w:rPr>
            </w:pPr>
          </w:p>
        </w:tc>
        <w:tc>
          <w:tcPr>
            <w:tcW w:w="21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760" w:type="dxa"/>
            <w:vAlign w:val="bottom"/>
            <w:tcBorders>
              <w:bottom w:val="single" w:sz="8" w:color="105EAB"/>
            </w:tcBorders>
          </w:tcPr>
          <w:p>
            <w:pPr>
              <w:spacing w:after="0"/>
              <w:rPr>
                <w:sz w:val="4"/>
                <w:szCs w:val="4"/>
                <w:color w:val="auto"/>
              </w:rPr>
            </w:pPr>
          </w:p>
        </w:tc>
        <w:tc>
          <w:tcPr>
            <w:tcW w:w="720" w:type="dxa"/>
            <w:vAlign w:val="bottom"/>
            <w:tcBorders>
              <w:bottom w:val="single" w:sz="8" w:color="105EAB"/>
            </w:tcBorders>
          </w:tcPr>
          <w:p>
            <w:pPr>
              <w:spacing w:after="0"/>
              <w:rPr>
                <w:sz w:val="4"/>
                <w:szCs w:val="4"/>
                <w:color w:val="auto"/>
              </w:rPr>
            </w:pPr>
          </w:p>
        </w:tc>
        <w:tc>
          <w:tcPr>
            <w:tcW w:w="660" w:type="dxa"/>
            <w:vAlign w:val="bottom"/>
            <w:tcBorders>
              <w:bottom w:val="single" w:sz="8" w:color="105EAB"/>
            </w:tcBorders>
          </w:tcPr>
          <w:p>
            <w:pPr>
              <w:spacing w:after="0"/>
              <w:rPr>
                <w:sz w:val="4"/>
                <w:szCs w:val="4"/>
                <w:color w:val="auto"/>
              </w:rPr>
            </w:pPr>
          </w:p>
        </w:tc>
      </w:tr>
      <w:tr>
        <w:trPr>
          <w:trHeight w:val="159"/>
        </w:trPr>
        <w:tc>
          <w:tcPr>
            <w:tcW w:w="3800" w:type="dxa"/>
            <w:vAlign w:val="bottom"/>
          </w:tcPr>
          <w:p>
            <w:pPr>
              <w:spacing w:after="0"/>
              <w:rPr>
                <w:sz w:val="13"/>
                <w:szCs w:val="13"/>
                <w:color w:val="auto"/>
              </w:rPr>
            </w:pPr>
          </w:p>
        </w:tc>
        <w:tc>
          <w:tcPr>
            <w:tcW w:w="2160" w:type="dxa"/>
            <w:vAlign w:val="bottom"/>
          </w:tcPr>
          <w:p>
            <w:pPr>
              <w:jc w:val="right"/>
              <w:ind w:right="53"/>
              <w:spacing w:after="0"/>
              <w:rPr>
                <w:sz w:val="20"/>
                <w:szCs w:val="20"/>
                <w:color w:val="auto"/>
              </w:rPr>
            </w:pPr>
            <w:r>
              <w:rPr>
                <w:rFonts w:ascii="Arial" w:cs="Arial" w:eastAsia="Arial" w:hAnsi="Arial"/>
                <w:sz w:val="13"/>
                <w:szCs w:val="13"/>
                <w:b w:val="1"/>
                <w:bCs w:val="1"/>
                <w:color w:val="105EAB"/>
              </w:rPr>
              <w:t>Revenue</w:t>
            </w:r>
          </w:p>
        </w:tc>
        <w:tc>
          <w:tcPr>
            <w:tcW w:w="1060" w:type="dxa"/>
            <w:vAlign w:val="bottom"/>
          </w:tcPr>
          <w:p>
            <w:pPr>
              <w:jc w:val="right"/>
              <w:ind w:right="53"/>
              <w:spacing w:after="0"/>
              <w:rPr>
                <w:sz w:val="20"/>
                <w:szCs w:val="20"/>
                <w:color w:val="auto"/>
              </w:rPr>
            </w:pPr>
            <w:r>
              <w:rPr>
                <w:rFonts w:ascii="Arial" w:cs="Arial" w:eastAsia="Arial" w:hAnsi="Arial"/>
                <w:sz w:val="13"/>
                <w:szCs w:val="13"/>
                <w:b w:val="1"/>
                <w:bCs w:val="1"/>
                <w:color w:val="105EAB"/>
              </w:rPr>
              <w:t>Market Cap</w:t>
            </w:r>
          </w:p>
        </w:tc>
        <w:tc>
          <w:tcPr>
            <w:tcW w:w="1040" w:type="dxa"/>
            <w:vAlign w:val="bottom"/>
          </w:tcPr>
          <w:p>
            <w:pPr>
              <w:jc w:val="right"/>
              <w:ind w:right="33"/>
              <w:spacing w:after="0"/>
              <w:rPr>
                <w:sz w:val="20"/>
                <w:szCs w:val="20"/>
                <w:color w:val="auto"/>
              </w:rPr>
            </w:pPr>
            <w:r>
              <w:rPr>
                <w:rFonts w:ascii="Arial" w:cs="Arial" w:eastAsia="Arial" w:hAnsi="Arial"/>
                <w:sz w:val="13"/>
                <w:szCs w:val="13"/>
                <w:b w:val="1"/>
                <w:bCs w:val="1"/>
                <w:color w:val="105EAB"/>
              </w:rPr>
              <w:t>Assets</w:t>
            </w:r>
          </w:p>
        </w:tc>
        <w:tc>
          <w:tcPr>
            <w:tcW w:w="1220" w:type="dxa"/>
            <w:vAlign w:val="bottom"/>
          </w:tcPr>
          <w:p>
            <w:pPr>
              <w:jc w:val="right"/>
              <w:ind w:right="213"/>
              <w:spacing w:after="0"/>
              <w:rPr>
                <w:sz w:val="20"/>
                <w:szCs w:val="20"/>
                <w:color w:val="auto"/>
              </w:rPr>
            </w:pPr>
            <w:r>
              <w:rPr>
                <w:rFonts w:ascii="Arial" w:cs="Arial" w:eastAsia="Arial" w:hAnsi="Arial"/>
                <w:sz w:val="13"/>
                <w:szCs w:val="13"/>
                <w:b w:val="1"/>
                <w:bCs w:val="1"/>
                <w:color w:val="105EAB"/>
              </w:rPr>
              <w:t>Premiums</w:t>
            </w:r>
          </w:p>
        </w:tc>
        <w:tc>
          <w:tcPr>
            <w:tcW w:w="760" w:type="dxa"/>
            <w:vAlign w:val="bottom"/>
          </w:tcPr>
          <w:p>
            <w:pPr>
              <w:spacing w:after="0"/>
              <w:rPr>
                <w:sz w:val="13"/>
                <w:szCs w:val="13"/>
                <w:color w:val="auto"/>
              </w:rPr>
            </w:pPr>
          </w:p>
        </w:tc>
        <w:tc>
          <w:tcPr>
            <w:tcW w:w="720" w:type="dxa"/>
            <w:vAlign w:val="bottom"/>
          </w:tcPr>
          <w:p>
            <w:pPr>
              <w:jc w:val="right"/>
              <w:ind w:right="113"/>
              <w:spacing w:after="0"/>
              <w:rPr>
                <w:sz w:val="20"/>
                <w:szCs w:val="20"/>
                <w:color w:val="auto"/>
              </w:rPr>
            </w:pPr>
            <w:r>
              <w:rPr>
                <w:rFonts w:ascii="Arial" w:cs="Arial" w:eastAsia="Arial" w:hAnsi="Arial"/>
                <w:sz w:val="13"/>
                <w:szCs w:val="13"/>
                <w:b w:val="1"/>
                <w:bCs w:val="1"/>
                <w:color w:val="105EAB"/>
              </w:rPr>
              <w:t>Three</w:t>
            </w:r>
          </w:p>
        </w:tc>
        <w:tc>
          <w:tcPr>
            <w:tcW w:w="660" w:type="dxa"/>
            <w:vAlign w:val="bottom"/>
          </w:tcPr>
          <w:p>
            <w:pPr>
              <w:jc w:val="right"/>
              <w:ind w:right="53"/>
              <w:spacing w:after="0"/>
              <w:rPr>
                <w:sz w:val="20"/>
                <w:szCs w:val="20"/>
                <w:color w:val="auto"/>
              </w:rPr>
            </w:pPr>
            <w:r>
              <w:rPr>
                <w:rFonts w:ascii="Arial" w:cs="Arial" w:eastAsia="Arial" w:hAnsi="Arial"/>
                <w:sz w:val="13"/>
                <w:szCs w:val="13"/>
                <w:b w:val="1"/>
                <w:bCs w:val="1"/>
                <w:color w:val="105EAB"/>
              </w:rPr>
              <w:t>Five</w:t>
            </w:r>
          </w:p>
        </w:tc>
      </w:tr>
      <w:tr>
        <w:trPr>
          <w:trHeight w:val="199"/>
        </w:trPr>
        <w:tc>
          <w:tcPr>
            <w:tcW w:w="3800" w:type="dxa"/>
            <w:vAlign w:val="bottom"/>
            <w:tcBorders>
              <w:bottom w:val="single" w:sz="8" w:color="105EAB"/>
            </w:tcBorders>
          </w:tcPr>
          <w:p>
            <w:pPr>
              <w:ind w:left="80"/>
              <w:spacing w:after="0"/>
              <w:rPr>
                <w:sz w:val="20"/>
                <w:szCs w:val="20"/>
                <w:color w:val="auto"/>
              </w:rPr>
            </w:pPr>
            <w:r>
              <w:rPr>
                <w:rFonts w:ascii="Arial" w:cs="Arial" w:eastAsia="Arial" w:hAnsi="Arial"/>
                <w:sz w:val="13"/>
                <w:szCs w:val="13"/>
                <w:b w:val="1"/>
                <w:bCs w:val="1"/>
                <w:color w:val="105EAB"/>
              </w:rPr>
              <w:t>Company Name</w:t>
            </w:r>
          </w:p>
        </w:tc>
        <w:tc>
          <w:tcPr>
            <w:tcW w:w="2160" w:type="dxa"/>
            <w:vAlign w:val="bottom"/>
            <w:tcBorders>
              <w:bottom w:val="single" w:sz="8" w:color="105EAB"/>
            </w:tcBorders>
          </w:tcPr>
          <w:p>
            <w:pPr>
              <w:jc w:val="right"/>
              <w:ind w:right="53"/>
              <w:spacing w:after="0"/>
              <w:rPr>
                <w:sz w:val="20"/>
                <w:szCs w:val="20"/>
                <w:color w:val="auto"/>
              </w:rPr>
            </w:pPr>
            <w:r>
              <w:rPr>
                <w:rFonts w:ascii="Arial" w:cs="Arial" w:eastAsia="Arial" w:hAnsi="Arial"/>
                <w:sz w:val="13"/>
                <w:szCs w:val="13"/>
                <w:b w:val="1"/>
                <w:bCs w:val="1"/>
                <w:color w:val="105EAB"/>
              </w:rPr>
              <w:t>($ in billions)</w:t>
            </w:r>
          </w:p>
        </w:tc>
        <w:tc>
          <w:tcPr>
            <w:tcW w:w="1060" w:type="dxa"/>
            <w:vAlign w:val="bottom"/>
            <w:tcBorders>
              <w:bottom w:val="single" w:sz="8" w:color="105EAB"/>
            </w:tcBorders>
          </w:tcPr>
          <w:p>
            <w:pPr>
              <w:jc w:val="right"/>
              <w:ind w:right="53"/>
              <w:spacing w:after="0"/>
              <w:rPr>
                <w:sz w:val="20"/>
                <w:szCs w:val="20"/>
                <w:color w:val="auto"/>
              </w:rPr>
            </w:pPr>
            <w:r>
              <w:rPr>
                <w:rFonts w:ascii="Arial" w:cs="Arial" w:eastAsia="Arial" w:hAnsi="Arial"/>
                <w:sz w:val="13"/>
                <w:szCs w:val="13"/>
                <w:b w:val="1"/>
                <w:bCs w:val="1"/>
                <w:color w:val="105EAB"/>
              </w:rPr>
              <w:t>($ in billions)</w:t>
            </w:r>
          </w:p>
        </w:tc>
        <w:tc>
          <w:tcPr>
            <w:tcW w:w="1040" w:type="dxa"/>
            <w:vAlign w:val="bottom"/>
            <w:tcBorders>
              <w:bottom w:val="single" w:sz="8" w:color="105EAB"/>
            </w:tcBorders>
          </w:tcPr>
          <w:p>
            <w:pPr>
              <w:jc w:val="right"/>
              <w:ind w:right="33"/>
              <w:spacing w:after="0"/>
              <w:rPr>
                <w:sz w:val="20"/>
                <w:szCs w:val="20"/>
                <w:color w:val="auto"/>
              </w:rPr>
            </w:pPr>
            <w:r>
              <w:rPr>
                <w:rFonts w:ascii="Arial" w:cs="Arial" w:eastAsia="Arial" w:hAnsi="Arial"/>
                <w:sz w:val="13"/>
                <w:szCs w:val="13"/>
                <w:b w:val="1"/>
                <w:bCs w:val="1"/>
                <w:color w:val="105EAB"/>
              </w:rPr>
              <w:t>($ in billions)</w:t>
            </w:r>
          </w:p>
        </w:tc>
        <w:tc>
          <w:tcPr>
            <w:tcW w:w="1220" w:type="dxa"/>
            <w:vAlign w:val="bottom"/>
            <w:tcBorders>
              <w:bottom w:val="single" w:sz="8" w:color="105EAB"/>
            </w:tcBorders>
          </w:tcPr>
          <w:p>
            <w:pPr>
              <w:jc w:val="right"/>
              <w:ind w:right="213"/>
              <w:spacing w:after="0"/>
              <w:rPr>
                <w:sz w:val="20"/>
                <w:szCs w:val="20"/>
                <w:color w:val="auto"/>
              </w:rPr>
            </w:pPr>
            <w:r>
              <w:rPr>
                <w:rFonts w:ascii="Arial" w:cs="Arial" w:eastAsia="Arial" w:hAnsi="Arial"/>
                <w:sz w:val="13"/>
                <w:szCs w:val="13"/>
                <w:b w:val="1"/>
                <w:bCs w:val="1"/>
                <w:color w:val="105EAB"/>
              </w:rPr>
              <w:t>($ in billions)</w:t>
            </w:r>
          </w:p>
        </w:tc>
        <w:tc>
          <w:tcPr>
            <w:tcW w:w="760" w:type="dxa"/>
            <w:vAlign w:val="bottom"/>
            <w:tcBorders>
              <w:bottom w:val="single" w:sz="8" w:color="105EAB"/>
            </w:tcBorders>
          </w:tcPr>
          <w:p>
            <w:pPr>
              <w:jc w:val="right"/>
              <w:ind w:right="113"/>
              <w:spacing w:after="0"/>
              <w:rPr>
                <w:sz w:val="20"/>
                <w:szCs w:val="20"/>
                <w:color w:val="auto"/>
              </w:rPr>
            </w:pPr>
            <w:r>
              <w:rPr>
                <w:rFonts w:ascii="Arial" w:cs="Arial" w:eastAsia="Arial" w:hAnsi="Arial"/>
                <w:sz w:val="13"/>
                <w:szCs w:val="13"/>
                <w:b w:val="1"/>
                <w:bCs w:val="1"/>
                <w:color w:val="105EAB"/>
                <w:w w:val="98"/>
              </w:rPr>
              <w:t>One Year</w:t>
            </w:r>
          </w:p>
        </w:tc>
        <w:tc>
          <w:tcPr>
            <w:tcW w:w="720" w:type="dxa"/>
            <w:vAlign w:val="bottom"/>
            <w:tcBorders>
              <w:bottom w:val="single" w:sz="8" w:color="105EAB"/>
            </w:tcBorders>
          </w:tcPr>
          <w:p>
            <w:pPr>
              <w:jc w:val="right"/>
              <w:ind w:right="113"/>
              <w:spacing w:after="0"/>
              <w:rPr>
                <w:sz w:val="20"/>
                <w:szCs w:val="20"/>
                <w:color w:val="auto"/>
              </w:rPr>
            </w:pPr>
            <w:r>
              <w:rPr>
                <w:rFonts w:ascii="Arial" w:cs="Arial" w:eastAsia="Arial" w:hAnsi="Arial"/>
                <w:sz w:val="13"/>
                <w:szCs w:val="13"/>
                <w:b w:val="1"/>
                <w:bCs w:val="1"/>
                <w:color w:val="105EAB"/>
              </w:rPr>
              <w:t>Years</w:t>
            </w:r>
          </w:p>
        </w:tc>
        <w:tc>
          <w:tcPr>
            <w:tcW w:w="660" w:type="dxa"/>
            <w:vAlign w:val="bottom"/>
            <w:tcBorders>
              <w:bottom w:val="single" w:sz="8" w:color="105EAB"/>
            </w:tcBorders>
          </w:tcPr>
          <w:p>
            <w:pPr>
              <w:jc w:val="right"/>
              <w:ind w:right="53"/>
              <w:spacing w:after="0"/>
              <w:rPr>
                <w:sz w:val="20"/>
                <w:szCs w:val="20"/>
                <w:color w:val="auto"/>
              </w:rPr>
            </w:pPr>
            <w:r>
              <w:rPr>
                <w:rFonts w:ascii="Arial" w:cs="Arial" w:eastAsia="Arial" w:hAnsi="Arial"/>
                <w:sz w:val="13"/>
                <w:szCs w:val="13"/>
                <w:b w:val="1"/>
                <w:bCs w:val="1"/>
                <w:color w:val="105EAB"/>
              </w:rPr>
              <w:t>Years</w:t>
            </w:r>
          </w:p>
        </w:tc>
      </w:tr>
      <w:tr>
        <w:trPr>
          <w:trHeight w:val="202"/>
        </w:trPr>
        <w:tc>
          <w:tcPr>
            <w:tcW w:w="3800" w:type="dxa"/>
            <w:vAlign w:val="bottom"/>
          </w:tcPr>
          <w:p>
            <w:pPr>
              <w:ind w:left="80"/>
              <w:spacing w:after="0"/>
              <w:rPr>
                <w:sz w:val="20"/>
                <w:szCs w:val="20"/>
                <w:color w:val="auto"/>
              </w:rPr>
            </w:pPr>
            <w:r>
              <w:rPr>
                <w:rFonts w:ascii="Arial" w:cs="Arial" w:eastAsia="Arial" w:hAnsi="Arial"/>
                <w:sz w:val="13"/>
                <w:szCs w:val="13"/>
                <w:color w:val="auto"/>
              </w:rPr>
              <w:t>AFLAC Inc.</w:t>
            </w:r>
          </w:p>
        </w:tc>
        <w:tc>
          <w:tcPr>
            <w:tcW w:w="2160" w:type="dxa"/>
            <w:vAlign w:val="bottom"/>
          </w:tcPr>
          <w:p>
            <w:pPr>
              <w:jc w:val="right"/>
              <w:ind w:right="53"/>
              <w:spacing w:after="0"/>
              <w:rPr>
                <w:sz w:val="20"/>
                <w:szCs w:val="20"/>
                <w:color w:val="auto"/>
              </w:rPr>
            </w:pPr>
            <w:r>
              <w:rPr>
                <w:rFonts w:ascii="Arial" w:cs="Arial" w:eastAsia="Arial" w:hAnsi="Arial"/>
                <w:sz w:val="13"/>
                <w:szCs w:val="13"/>
                <w:color w:val="auto"/>
              </w:rPr>
              <w:t>21.8</w:t>
            </w:r>
          </w:p>
        </w:tc>
        <w:tc>
          <w:tcPr>
            <w:tcW w:w="1060" w:type="dxa"/>
            <w:vAlign w:val="bottom"/>
          </w:tcPr>
          <w:p>
            <w:pPr>
              <w:jc w:val="right"/>
              <w:ind w:right="53"/>
              <w:spacing w:after="0"/>
              <w:rPr>
                <w:sz w:val="20"/>
                <w:szCs w:val="20"/>
                <w:color w:val="auto"/>
              </w:rPr>
            </w:pPr>
            <w:r>
              <w:rPr>
                <w:rFonts w:ascii="Arial" w:cs="Arial" w:eastAsia="Arial" w:hAnsi="Arial"/>
                <w:sz w:val="13"/>
                <w:szCs w:val="13"/>
                <w:color w:val="auto"/>
              </w:rPr>
              <w:t>34.4</w:t>
            </w:r>
          </w:p>
        </w:tc>
        <w:tc>
          <w:tcPr>
            <w:tcW w:w="1040" w:type="dxa"/>
            <w:vAlign w:val="bottom"/>
          </w:tcPr>
          <w:p>
            <w:pPr>
              <w:jc w:val="right"/>
              <w:ind w:right="33"/>
              <w:spacing w:after="0"/>
              <w:rPr>
                <w:sz w:val="20"/>
                <w:szCs w:val="20"/>
                <w:color w:val="auto"/>
              </w:rPr>
            </w:pPr>
            <w:r>
              <w:rPr>
                <w:rFonts w:ascii="Arial" w:cs="Arial" w:eastAsia="Arial" w:hAnsi="Arial"/>
                <w:sz w:val="13"/>
                <w:szCs w:val="13"/>
                <w:color w:val="auto"/>
              </w:rPr>
              <w:t>140.4</w:t>
            </w:r>
          </w:p>
        </w:tc>
        <w:tc>
          <w:tcPr>
            <w:tcW w:w="1220" w:type="dxa"/>
            <w:vAlign w:val="bottom"/>
          </w:tcPr>
          <w:p>
            <w:pPr>
              <w:jc w:val="right"/>
              <w:ind w:right="213"/>
              <w:spacing w:after="0"/>
              <w:rPr>
                <w:sz w:val="20"/>
                <w:szCs w:val="20"/>
                <w:color w:val="auto"/>
              </w:rPr>
            </w:pPr>
            <w:r>
              <w:rPr>
                <w:rFonts w:ascii="Arial" w:cs="Arial" w:eastAsia="Arial" w:hAnsi="Arial"/>
                <w:sz w:val="13"/>
                <w:szCs w:val="13"/>
                <w:color w:val="auto"/>
              </w:rPr>
              <w:t>18.7</w:t>
            </w:r>
          </w:p>
        </w:tc>
        <w:tc>
          <w:tcPr>
            <w:tcW w:w="760" w:type="dxa"/>
            <w:vAlign w:val="bottom"/>
          </w:tcPr>
          <w:p>
            <w:pPr>
              <w:jc w:val="right"/>
              <w:ind w:right="113"/>
              <w:spacing w:after="0"/>
              <w:rPr>
                <w:sz w:val="20"/>
                <w:szCs w:val="20"/>
                <w:color w:val="auto"/>
              </w:rPr>
            </w:pPr>
            <w:r>
              <w:rPr>
                <w:rFonts w:ascii="Arial" w:cs="Arial" w:eastAsia="Arial" w:hAnsi="Arial"/>
                <w:sz w:val="13"/>
                <w:szCs w:val="13"/>
                <w:color w:val="auto"/>
              </w:rPr>
              <w:t>6.2</w:t>
            </w:r>
          </w:p>
        </w:tc>
        <w:tc>
          <w:tcPr>
            <w:tcW w:w="720" w:type="dxa"/>
            <w:vAlign w:val="bottom"/>
          </w:tcPr>
          <w:p>
            <w:pPr>
              <w:jc w:val="right"/>
              <w:ind w:right="113"/>
              <w:spacing w:after="0"/>
              <w:rPr>
                <w:sz w:val="20"/>
                <w:szCs w:val="20"/>
                <w:color w:val="auto"/>
              </w:rPr>
            </w:pPr>
            <w:r>
              <w:rPr>
                <w:rFonts w:ascii="Arial" w:cs="Arial" w:eastAsia="Arial" w:hAnsi="Arial"/>
                <w:sz w:val="13"/>
                <w:szCs w:val="13"/>
                <w:color w:val="auto"/>
              </w:rPr>
              <w:t>63.2</w:t>
            </w:r>
          </w:p>
        </w:tc>
        <w:tc>
          <w:tcPr>
            <w:tcW w:w="660" w:type="dxa"/>
            <w:vAlign w:val="bottom"/>
          </w:tcPr>
          <w:p>
            <w:pPr>
              <w:jc w:val="right"/>
              <w:ind w:right="53"/>
              <w:spacing w:after="0"/>
              <w:rPr>
                <w:sz w:val="20"/>
                <w:szCs w:val="20"/>
                <w:color w:val="auto"/>
              </w:rPr>
            </w:pPr>
            <w:r>
              <w:rPr>
                <w:rFonts w:ascii="Arial" w:cs="Arial" w:eastAsia="Arial" w:hAnsi="Arial"/>
                <w:sz w:val="13"/>
                <w:szCs w:val="13"/>
                <w:color w:val="auto"/>
              </w:rPr>
              <w:t>53.7</w:t>
            </w:r>
          </w:p>
        </w:tc>
      </w:tr>
      <w:tr>
        <w:trPr>
          <w:trHeight w:val="41"/>
        </w:trPr>
        <w:tc>
          <w:tcPr>
            <w:tcW w:w="3800" w:type="dxa"/>
            <w:vAlign w:val="bottom"/>
            <w:tcBorders>
              <w:bottom w:val="single" w:sz="8" w:color="E9F1FB"/>
            </w:tcBorders>
          </w:tcPr>
          <w:p>
            <w:pPr>
              <w:spacing w:after="0"/>
              <w:rPr>
                <w:sz w:val="3"/>
                <w:szCs w:val="3"/>
                <w:color w:val="auto"/>
              </w:rPr>
            </w:pPr>
          </w:p>
        </w:tc>
        <w:tc>
          <w:tcPr>
            <w:tcW w:w="2160" w:type="dxa"/>
            <w:vAlign w:val="bottom"/>
            <w:tcBorders>
              <w:bottom w:val="single" w:sz="8" w:color="E9F1FB"/>
            </w:tcBorders>
          </w:tcPr>
          <w:p>
            <w:pPr>
              <w:spacing w:after="0"/>
              <w:rPr>
                <w:sz w:val="3"/>
                <w:szCs w:val="3"/>
                <w:color w:val="auto"/>
              </w:rPr>
            </w:pPr>
          </w:p>
        </w:tc>
        <w:tc>
          <w:tcPr>
            <w:tcW w:w="1060" w:type="dxa"/>
            <w:vAlign w:val="bottom"/>
            <w:tcBorders>
              <w:bottom w:val="single" w:sz="8" w:color="E9F1FB"/>
            </w:tcBorders>
          </w:tcPr>
          <w:p>
            <w:pPr>
              <w:spacing w:after="0"/>
              <w:rPr>
                <w:sz w:val="3"/>
                <w:szCs w:val="3"/>
                <w:color w:val="auto"/>
              </w:rPr>
            </w:pPr>
          </w:p>
        </w:tc>
        <w:tc>
          <w:tcPr>
            <w:tcW w:w="1040" w:type="dxa"/>
            <w:vAlign w:val="bottom"/>
            <w:tcBorders>
              <w:bottom w:val="single" w:sz="8" w:color="E9F1FB"/>
            </w:tcBorders>
          </w:tcPr>
          <w:p>
            <w:pPr>
              <w:spacing w:after="0"/>
              <w:rPr>
                <w:sz w:val="3"/>
                <w:szCs w:val="3"/>
                <w:color w:val="auto"/>
              </w:rPr>
            </w:pPr>
          </w:p>
        </w:tc>
        <w:tc>
          <w:tcPr>
            <w:tcW w:w="1220" w:type="dxa"/>
            <w:vAlign w:val="bottom"/>
            <w:tcBorders>
              <w:bottom w:val="single" w:sz="8" w:color="E9F1FB"/>
            </w:tcBorders>
          </w:tcPr>
          <w:p>
            <w:pPr>
              <w:spacing w:after="0"/>
              <w:rPr>
                <w:sz w:val="3"/>
                <w:szCs w:val="3"/>
                <w:color w:val="auto"/>
              </w:rPr>
            </w:pPr>
          </w:p>
        </w:tc>
        <w:tc>
          <w:tcPr>
            <w:tcW w:w="760" w:type="dxa"/>
            <w:vAlign w:val="bottom"/>
            <w:tcBorders>
              <w:bottom w:val="single" w:sz="8" w:color="E9F1FB"/>
            </w:tcBorders>
          </w:tcPr>
          <w:p>
            <w:pPr>
              <w:spacing w:after="0"/>
              <w:rPr>
                <w:sz w:val="3"/>
                <w:szCs w:val="3"/>
                <w:color w:val="auto"/>
              </w:rPr>
            </w:pPr>
          </w:p>
        </w:tc>
        <w:tc>
          <w:tcPr>
            <w:tcW w:w="720" w:type="dxa"/>
            <w:vAlign w:val="bottom"/>
            <w:tcBorders>
              <w:bottom w:val="single" w:sz="8" w:color="E9F1FB"/>
            </w:tcBorders>
          </w:tcPr>
          <w:p>
            <w:pPr>
              <w:spacing w:after="0"/>
              <w:rPr>
                <w:sz w:val="3"/>
                <w:szCs w:val="3"/>
                <w:color w:val="auto"/>
              </w:rPr>
            </w:pPr>
          </w:p>
        </w:tc>
        <w:tc>
          <w:tcPr>
            <w:tcW w:w="660" w:type="dxa"/>
            <w:vAlign w:val="bottom"/>
            <w:tcBorders>
              <w:bottom w:val="single" w:sz="8" w:color="E9F1FB"/>
            </w:tcBorders>
          </w:tcPr>
          <w:p>
            <w:pPr>
              <w:spacing w:after="0"/>
              <w:rPr>
                <w:sz w:val="3"/>
                <w:szCs w:val="3"/>
                <w:color w:val="auto"/>
              </w:rPr>
            </w:pPr>
          </w:p>
        </w:tc>
      </w:tr>
      <w:tr>
        <w:trPr>
          <w:trHeight w:val="195"/>
        </w:trPr>
        <w:tc>
          <w:tcPr>
            <w:tcW w:w="3800" w:type="dxa"/>
            <w:vAlign w:val="bottom"/>
          </w:tcPr>
          <w:p>
            <w:pPr>
              <w:ind w:left="80"/>
              <w:spacing w:after="0"/>
              <w:rPr>
                <w:sz w:val="20"/>
                <w:szCs w:val="20"/>
                <w:color w:val="auto"/>
              </w:rPr>
            </w:pPr>
            <w:r>
              <w:rPr>
                <w:rFonts w:ascii="Arial" w:cs="Arial" w:eastAsia="Arial" w:hAnsi="Arial"/>
                <w:sz w:val="13"/>
                <w:szCs w:val="13"/>
                <w:color w:val="auto"/>
              </w:rPr>
              <w:t>American International Group Inc.</w:t>
            </w:r>
          </w:p>
        </w:tc>
        <w:tc>
          <w:tcPr>
            <w:tcW w:w="2160" w:type="dxa"/>
            <w:vAlign w:val="bottom"/>
          </w:tcPr>
          <w:p>
            <w:pPr>
              <w:jc w:val="right"/>
              <w:ind w:right="53"/>
              <w:spacing w:after="0"/>
              <w:rPr>
                <w:sz w:val="20"/>
                <w:szCs w:val="20"/>
                <w:color w:val="auto"/>
              </w:rPr>
            </w:pPr>
            <w:r>
              <w:rPr>
                <w:rFonts w:ascii="Arial" w:cs="Arial" w:eastAsia="Arial" w:hAnsi="Arial"/>
                <w:sz w:val="13"/>
                <w:szCs w:val="13"/>
                <w:color w:val="auto"/>
              </w:rPr>
              <w:t>47.4</w:t>
            </w:r>
          </w:p>
        </w:tc>
        <w:tc>
          <w:tcPr>
            <w:tcW w:w="1060" w:type="dxa"/>
            <w:vAlign w:val="bottom"/>
          </w:tcPr>
          <w:p>
            <w:pPr>
              <w:jc w:val="right"/>
              <w:ind w:right="53"/>
              <w:spacing w:after="0"/>
              <w:rPr>
                <w:sz w:val="20"/>
                <w:szCs w:val="20"/>
                <w:color w:val="auto"/>
              </w:rPr>
            </w:pPr>
            <w:r>
              <w:rPr>
                <w:rFonts w:ascii="Arial" w:cs="Arial" w:eastAsia="Arial" w:hAnsi="Arial"/>
                <w:sz w:val="13"/>
                <w:szCs w:val="13"/>
                <w:color w:val="auto"/>
              </w:rPr>
              <w:t>34.2</w:t>
            </w:r>
          </w:p>
        </w:tc>
        <w:tc>
          <w:tcPr>
            <w:tcW w:w="1040" w:type="dxa"/>
            <w:vAlign w:val="bottom"/>
          </w:tcPr>
          <w:p>
            <w:pPr>
              <w:jc w:val="right"/>
              <w:ind w:right="33"/>
              <w:spacing w:after="0"/>
              <w:rPr>
                <w:sz w:val="20"/>
                <w:szCs w:val="20"/>
                <w:color w:val="auto"/>
              </w:rPr>
            </w:pPr>
            <w:r>
              <w:rPr>
                <w:rFonts w:ascii="Arial" w:cs="Arial" w:eastAsia="Arial" w:hAnsi="Arial"/>
                <w:sz w:val="13"/>
                <w:szCs w:val="13"/>
                <w:color w:val="auto"/>
              </w:rPr>
              <w:t>492.0</w:t>
            </w:r>
          </w:p>
        </w:tc>
        <w:tc>
          <w:tcPr>
            <w:tcW w:w="1220" w:type="dxa"/>
            <w:vAlign w:val="bottom"/>
          </w:tcPr>
          <w:p>
            <w:pPr>
              <w:jc w:val="right"/>
              <w:ind w:right="213"/>
              <w:spacing w:after="0"/>
              <w:rPr>
                <w:sz w:val="20"/>
                <w:szCs w:val="20"/>
                <w:color w:val="auto"/>
              </w:rPr>
            </w:pPr>
            <w:r>
              <w:rPr>
                <w:rFonts w:ascii="Arial" w:cs="Arial" w:eastAsia="Arial" w:hAnsi="Arial"/>
                <w:sz w:val="13"/>
                <w:szCs w:val="13"/>
                <w:color w:val="auto"/>
              </w:rPr>
              <w:t>33.4</w:t>
            </w:r>
          </w:p>
        </w:tc>
        <w:tc>
          <w:tcPr>
            <w:tcW w:w="760" w:type="dxa"/>
            <w:vAlign w:val="bottom"/>
          </w:tcPr>
          <w:p>
            <w:pPr>
              <w:jc w:val="right"/>
              <w:ind w:right="53"/>
              <w:spacing w:after="0"/>
              <w:rPr>
                <w:sz w:val="20"/>
                <w:szCs w:val="20"/>
                <w:color w:val="auto"/>
              </w:rPr>
            </w:pPr>
            <w:r>
              <w:rPr>
                <w:rFonts w:ascii="Arial" w:cs="Arial" w:eastAsia="Arial" w:hAnsi="Arial"/>
                <w:sz w:val="13"/>
                <w:szCs w:val="13"/>
                <w:color w:val="auto"/>
              </w:rPr>
              <w:t>(32.1)</w:t>
            </w:r>
          </w:p>
        </w:tc>
        <w:tc>
          <w:tcPr>
            <w:tcW w:w="720" w:type="dxa"/>
            <w:vAlign w:val="bottom"/>
          </w:tcPr>
          <w:p>
            <w:pPr>
              <w:jc w:val="right"/>
              <w:ind w:right="73"/>
              <w:spacing w:after="0"/>
              <w:rPr>
                <w:sz w:val="20"/>
                <w:szCs w:val="20"/>
                <w:color w:val="auto"/>
              </w:rPr>
            </w:pPr>
            <w:r>
              <w:rPr>
                <w:rFonts w:ascii="Arial" w:cs="Arial" w:eastAsia="Arial" w:hAnsi="Arial"/>
                <w:sz w:val="13"/>
                <w:szCs w:val="13"/>
                <w:color w:val="auto"/>
              </w:rPr>
              <w:t>(31.8)</w:t>
            </w:r>
          </w:p>
        </w:tc>
        <w:tc>
          <w:tcPr>
            <w:tcW w:w="660" w:type="dxa"/>
            <w:vAlign w:val="bottom"/>
          </w:tcPr>
          <w:p>
            <w:pPr>
              <w:jc w:val="right"/>
              <w:ind w:right="13"/>
              <w:spacing w:after="0"/>
              <w:rPr>
                <w:sz w:val="20"/>
                <w:szCs w:val="20"/>
                <w:color w:val="auto"/>
              </w:rPr>
            </w:pPr>
            <w:r>
              <w:rPr>
                <w:rFonts w:ascii="Arial" w:cs="Arial" w:eastAsia="Arial" w:hAnsi="Arial"/>
                <w:sz w:val="13"/>
                <w:szCs w:val="13"/>
                <w:color w:val="auto"/>
              </w:rPr>
              <w:t>(15.3)</w:t>
            </w:r>
          </w:p>
        </w:tc>
      </w:tr>
      <w:tr>
        <w:trPr>
          <w:trHeight w:val="41"/>
        </w:trPr>
        <w:tc>
          <w:tcPr>
            <w:tcW w:w="3800" w:type="dxa"/>
            <w:vAlign w:val="bottom"/>
            <w:tcBorders>
              <w:bottom w:val="single" w:sz="8" w:color="E9F1FB"/>
            </w:tcBorders>
          </w:tcPr>
          <w:p>
            <w:pPr>
              <w:spacing w:after="0"/>
              <w:rPr>
                <w:sz w:val="3"/>
                <w:szCs w:val="3"/>
                <w:color w:val="auto"/>
              </w:rPr>
            </w:pPr>
          </w:p>
        </w:tc>
        <w:tc>
          <w:tcPr>
            <w:tcW w:w="2160" w:type="dxa"/>
            <w:vAlign w:val="bottom"/>
            <w:tcBorders>
              <w:bottom w:val="single" w:sz="8" w:color="E9F1FB"/>
            </w:tcBorders>
          </w:tcPr>
          <w:p>
            <w:pPr>
              <w:spacing w:after="0"/>
              <w:rPr>
                <w:sz w:val="3"/>
                <w:szCs w:val="3"/>
                <w:color w:val="auto"/>
              </w:rPr>
            </w:pPr>
          </w:p>
        </w:tc>
        <w:tc>
          <w:tcPr>
            <w:tcW w:w="1060" w:type="dxa"/>
            <w:vAlign w:val="bottom"/>
            <w:tcBorders>
              <w:bottom w:val="single" w:sz="8" w:color="E9F1FB"/>
            </w:tcBorders>
          </w:tcPr>
          <w:p>
            <w:pPr>
              <w:spacing w:after="0"/>
              <w:rPr>
                <w:sz w:val="3"/>
                <w:szCs w:val="3"/>
                <w:color w:val="auto"/>
              </w:rPr>
            </w:pPr>
          </w:p>
        </w:tc>
        <w:tc>
          <w:tcPr>
            <w:tcW w:w="1040" w:type="dxa"/>
            <w:vAlign w:val="bottom"/>
            <w:tcBorders>
              <w:bottom w:val="single" w:sz="8" w:color="E9F1FB"/>
            </w:tcBorders>
          </w:tcPr>
          <w:p>
            <w:pPr>
              <w:spacing w:after="0"/>
              <w:rPr>
                <w:sz w:val="3"/>
                <w:szCs w:val="3"/>
                <w:color w:val="auto"/>
              </w:rPr>
            </w:pPr>
          </w:p>
        </w:tc>
        <w:tc>
          <w:tcPr>
            <w:tcW w:w="1220" w:type="dxa"/>
            <w:vAlign w:val="bottom"/>
            <w:tcBorders>
              <w:bottom w:val="single" w:sz="8" w:color="E9F1FB"/>
            </w:tcBorders>
          </w:tcPr>
          <w:p>
            <w:pPr>
              <w:spacing w:after="0"/>
              <w:rPr>
                <w:sz w:val="3"/>
                <w:szCs w:val="3"/>
                <w:color w:val="auto"/>
              </w:rPr>
            </w:pPr>
          </w:p>
        </w:tc>
        <w:tc>
          <w:tcPr>
            <w:tcW w:w="760" w:type="dxa"/>
            <w:vAlign w:val="bottom"/>
            <w:tcBorders>
              <w:bottom w:val="single" w:sz="8" w:color="E9F1FB"/>
            </w:tcBorders>
          </w:tcPr>
          <w:p>
            <w:pPr>
              <w:spacing w:after="0"/>
              <w:rPr>
                <w:sz w:val="3"/>
                <w:szCs w:val="3"/>
                <w:color w:val="auto"/>
              </w:rPr>
            </w:pPr>
          </w:p>
        </w:tc>
        <w:tc>
          <w:tcPr>
            <w:tcW w:w="720" w:type="dxa"/>
            <w:vAlign w:val="bottom"/>
            <w:tcBorders>
              <w:bottom w:val="single" w:sz="8" w:color="E9F1FB"/>
            </w:tcBorders>
          </w:tcPr>
          <w:p>
            <w:pPr>
              <w:spacing w:after="0"/>
              <w:rPr>
                <w:sz w:val="3"/>
                <w:szCs w:val="3"/>
                <w:color w:val="auto"/>
              </w:rPr>
            </w:pPr>
          </w:p>
        </w:tc>
        <w:tc>
          <w:tcPr>
            <w:tcW w:w="660" w:type="dxa"/>
            <w:vAlign w:val="bottom"/>
            <w:tcBorders>
              <w:bottom w:val="single" w:sz="8" w:color="E9F1FB"/>
            </w:tcBorders>
          </w:tcPr>
          <w:p>
            <w:pPr>
              <w:spacing w:after="0"/>
              <w:rPr>
                <w:sz w:val="3"/>
                <w:szCs w:val="3"/>
                <w:color w:val="auto"/>
              </w:rPr>
            </w:pPr>
          </w:p>
        </w:tc>
      </w:tr>
      <w:tr>
        <w:trPr>
          <w:trHeight w:val="195"/>
        </w:trPr>
        <w:tc>
          <w:tcPr>
            <w:tcW w:w="3800" w:type="dxa"/>
            <w:vAlign w:val="bottom"/>
          </w:tcPr>
          <w:p>
            <w:pPr>
              <w:ind w:left="80"/>
              <w:spacing w:after="0"/>
              <w:rPr>
                <w:sz w:val="20"/>
                <w:szCs w:val="20"/>
                <w:color w:val="auto"/>
              </w:rPr>
            </w:pPr>
            <w:r>
              <w:rPr>
                <w:rFonts w:ascii="Arial" w:cs="Arial" w:eastAsia="Arial" w:hAnsi="Arial"/>
                <w:sz w:val="13"/>
                <w:szCs w:val="13"/>
                <w:color w:val="auto"/>
              </w:rPr>
              <w:t>Chubb Limited</w:t>
            </w:r>
          </w:p>
        </w:tc>
        <w:tc>
          <w:tcPr>
            <w:tcW w:w="2160" w:type="dxa"/>
            <w:vAlign w:val="bottom"/>
          </w:tcPr>
          <w:p>
            <w:pPr>
              <w:jc w:val="right"/>
              <w:ind w:right="53"/>
              <w:spacing w:after="0"/>
              <w:rPr>
                <w:sz w:val="20"/>
                <w:szCs w:val="20"/>
                <w:color w:val="auto"/>
              </w:rPr>
            </w:pPr>
            <w:r>
              <w:rPr>
                <w:rFonts w:ascii="Arial" w:cs="Arial" w:eastAsia="Arial" w:hAnsi="Arial"/>
                <w:sz w:val="13"/>
                <w:szCs w:val="13"/>
                <w:color w:val="auto"/>
              </w:rPr>
              <w:t>32.7</w:t>
            </w:r>
          </w:p>
        </w:tc>
        <w:tc>
          <w:tcPr>
            <w:tcW w:w="1060" w:type="dxa"/>
            <w:vAlign w:val="bottom"/>
          </w:tcPr>
          <w:p>
            <w:pPr>
              <w:jc w:val="right"/>
              <w:ind w:right="53"/>
              <w:spacing w:after="0"/>
              <w:rPr>
                <w:sz w:val="20"/>
                <w:szCs w:val="20"/>
                <w:color w:val="auto"/>
              </w:rPr>
            </w:pPr>
            <w:r>
              <w:rPr>
                <w:rFonts w:ascii="Arial" w:cs="Arial" w:eastAsia="Arial" w:hAnsi="Arial"/>
                <w:sz w:val="13"/>
                <w:szCs w:val="13"/>
                <w:color w:val="auto"/>
              </w:rPr>
              <w:t>59.3</w:t>
            </w:r>
          </w:p>
        </w:tc>
        <w:tc>
          <w:tcPr>
            <w:tcW w:w="1040" w:type="dxa"/>
            <w:vAlign w:val="bottom"/>
          </w:tcPr>
          <w:p>
            <w:pPr>
              <w:jc w:val="right"/>
              <w:ind w:right="33"/>
              <w:spacing w:after="0"/>
              <w:rPr>
                <w:sz w:val="20"/>
                <w:szCs w:val="20"/>
                <w:color w:val="auto"/>
              </w:rPr>
            </w:pPr>
            <w:r>
              <w:rPr>
                <w:rFonts w:ascii="Arial" w:cs="Arial" w:eastAsia="Arial" w:hAnsi="Arial"/>
                <w:sz w:val="13"/>
                <w:szCs w:val="13"/>
                <w:color w:val="auto"/>
              </w:rPr>
              <w:t>167.8</w:t>
            </w:r>
          </w:p>
        </w:tc>
        <w:tc>
          <w:tcPr>
            <w:tcW w:w="1220" w:type="dxa"/>
            <w:vAlign w:val="bottom"/>
          </w:tcPr>
          <w:p>
            <w:pPr>
              <w:jc w:val="right"/>
              <w:ind w:right="213"/>
              <w:spacing w:after="0"/>
              <w:rPr>
                <w:sz w:val="20"/>
                <w:szCs w:val="20"/>
                <w:color w:val="auto"/>
              </w:rPr>
            </w:pPr>
            <w:r>
              <w:rPr>
                <w:rFonts w:ascii="Arial" w:cs="Arial" w:eastAsia="Arial" w:hAnsi="Arial"/>
                <w:sz w:val="13"/>
                <w:szCs w:val="13"/>
                <w:color w:val="auto"/>
              </w:rPr>
              <w:t>30.1</w:t>
            </w:r>
          </w:p>
        </w:tc>
        <w:tc>
          <w:tcPr>
            <w:tcW w:w="760" w:type="dxa"/>
            <w:vAlign w:val="bottom"/>
          </w:tcPr>
          <w:p>
            <w:pPr>
              <w:jc w:val="right"/>
              <w:ind w:right="53"/>
              <w:spacing w:after="0"/>
              <w:rPr>
                <w:sz w:val="20"/>
                <w:szCs w:val="20"/>
                <w:color w:val="auto"/>
              </w:rPr>
            </w:pPr>
            <w:r>
              <w:rPr>
                <w:rFonts w:ascii="Arial" w:cs="Arial" w:eastAsia="Arial" w:hAnsi="Arial"/>
                <w:sz w:val="13"/>
                <w:szCs w:val="13"/>
                <w:color w:val="auto"/>
              </w:rPr>
              <w:t>(9.6)</w:t>
            </w:r>
          </w:p>
        </w:tc>
        <w:tc>
          <w:tcPr>
            <w:tcW w:w="720" w:type="dxa"/>
            <w:vAlign w:val="bottom"/>
          </w:tcPr>
          <w:p>
            <w:pPr>
              <w:jc w:val="right"/>
              <w:ind w:right="113"/>
              <w:spacing w:after="0"/>
              <w:rPr>
                <w:sz w:val="20"/>
                <w:szCs w:val="20"/>
                <w:color w:val="auto"/>
              </w:rPr>
            </w:pPr>
            <w:r>
              <w:rPr>
                <w:rFonts w:ascii="Arial" w:cs="Arial" w:eastAsia="Arial" w:hAnsi="Arial"/>
                <w:sz w:val="13"/>
                <w:szCs w:val="13"/>
                <w:color w:val="auto"/>
              </w:rPr>
              <w:t>17.8</w:t>
            </w:r>
          </w:p>
        </w:tc>
        <w:tc>
          <w:tcPr>
            <w:tcW w:w="660" w:type="dxa"/>
            <w:vAlign w:val="bottom"/>
          </w:tcPr>
          <w:p>
            <w:pPr>
              <w:jc w:val="right"/>
              <w:ind w:right="53"/>
              <w:spacing w:after="0"/>
              <w:rPr>
                <w:sz w:val="20"/>
                <w:szCs w:val="20"/>
                <w:color w:val="auto"/>
              </w:rPr>
            </w:pPr>
            <w:r>
              <w:rPr>
                <w:rFonts w:ascii="Arial" w:cs="Arial" w:eastAsia="Arial" w:hAnsi="Arial"/>
                <w:sz w:val="13"/>
                <w:szCs w:val="13"/>
                <w:color w:val="auto"/>
              </w:rPr>
              <w:t>40.6</w:t>
            </w:r>
          </w:p>
        </w:tc>
      </w:tr>
      <w:tr>
        <w:trPr>
          <w:trHeight w:val="41"/>
        </w:trPr>
        <w:tc>
          <w:tcPr>
            <w:tcW w:w="3800" w:type="dxa"/>
            <w:vAlign w:val="bottom"/>
            <w:tcBorders>
              <w:bottom w:val="single" w:sz="8" w:color="E9F1FB"/>
            </w:tcBorders>
          </w:tcPr>
          <w:p>
            <w:pPr>
              <w:spacing w:after="0"/>
              <w:rPr>
                <w:sz w:val="3"/>
                <w:szCs w:val="3"/>
                <w:color w:val="auto"/>
              </w:rPr>
            </w:pPr>
          </w:p>
        </w:tc>
        <w:tc>
          <w:tcPr>
            <w:tcW w:w="2160" w:type="dxa"/>
            <w:vAlign w:val="bottom"/>
            <w:tcBorders>
              <w:bottom w:val="single" w:sz="8" w:color="E9F1FB"/>
            </w:tcBorders>
          </w:tcPr>
          <w:p>
            <w:pPr>
              <w:spacing w:after="0"/>
              <w:rPr>
                <w:sz w:val="3"/>
                <w:szCs w:val="3"/>
                <w:color w:val="auto"/>
              </w:rPr>
            </w:pPr>
          </w:p>
        </w:tc>
        <w:tc>
          <w:tcPr>
            <w:tcW w:w="1060" w:type="dxa"/>
            <w:vAlign w:val="bottom"/>
            <w:tcBorders>
              <w:bottom w:val="single" w:sz="8" w:color="E9F1FB"/>
            </w:tcBorders>
          </w:tcPr>
          <w:p>
            <w:pPr>
              <w:spacing w:after="0"/>
              <w:rPr>
                <w:sz w:val="3"/>
                <w:szCs w:val="3"/>
                <w:color w:val="auto"/>
              </w:rPr>
            </w:pPr>
          </w:p>
        </w:tc>
        <w:tc>
          <w:tcPr>
            <w:tcW w:w="1040" w:type="dxa"/>
            <w:vAlign w:val="bottom"/>
            <w:tcBorders>
              <w:bottom w:val="single" w:sz="8" w:color="E9F1FB"/>
            </w:tcBorders>
          </w:tcPr>
          <w:p>
            <w:pPr>
              <w:spacing w:after="0"/>
              <w:rPr>
                <w:sz w:val="3"/>
                <w:szCs w:val="3"/>
                <w:color w:val="auto"/>
              </w:rPr>
            </w:pPr>
          </w:p>
        </w:tc>
        <w:tc>
          <w:tcPr>
            <w:tcW w:w="1220" w:type="dxa"/>
            <w:vAlign w:val="bottom"/>
            <w:tcBorders>
              <w:bottom w:val="single" w:sz="8" w:color="E9F1FB"/>
            </w:tcBorders>
          </w:tcPr>
          <w:p>
            <w:pPr>
              <w:spacing w:after="0"/>
              <w:rPr>
                <w:sz w:val="3"/>
                <w:szCs w:val="3"/>
                <w:color w:val="auto"/>
              </w:rPr>
            </w:pPr>
          </w:p>
        </w:tc>
        <w:tc>
          <w:tcPr>
            <w:tcW w:w="760" w:type="dxa"/>
            <w:vAlign w:val="bottom"/>
            <w:tcBorders>
              <w:bottom w:val="single" w:sz="8" w:color="E9F1FB"/>
            </w:tcBorders>
          </w:tcPr>
          <w:p>
            <w:pPr>
              <w:spacing w:after="0"/>
              <w:rPr>
                <w:sz w:val="3"/>
                <w:szCs w:val="3"/>
                <w:color w:val="auto"/>
              </w:rPr>
            </w:pPr>
          </w:p>
        </w:tc>
        <w:tc>
          <w:tcPr>
            <w:tcW w:w="720" w:type="dxa"/>
            <w:vAlign w:val="bottom"/>
            <w:tcBorders>
              <w:bottom w:val="single" w:sz="8" w:color="E9F1FB"/>
            </w:tcBorders>
          </w:tcPr>
          <w:p>
            <w:pPr>
              <w:spacing w:after="0"/>
              <w:rPr>
                <w:sz w:val="3"/>
                <w:szCs w:val="3"/>
                <w:color w:val="auto"/>
              </w:rPr>
            </w:pPr>
          </w:p>
        </w:tc>
        <w:tc>
          <w:tcPr>
            <w:tcW w:w="660" w:type="dxa"/>
            <w:vAlign w:val="bottom"/>
            <w:tcBorders>
              <w:bottom w:val="single" w:sz="8" w:color="E9F1FB"/>
            </w:tcBorders>
          </w:tcPr>
          <w:p>
            <w:pPr>
              <w:spacing w:after="0"/>
              <w:rPr>
                <w:sz w:val="3"/>
                <w:szCs w:val="3"/>
                <w:color w:val="auto"/>
              </w:rPr>
            </w:pPr>
          </w:p>
        </w:tc>
      </w:tr>
      <w:tr>
        <w:trPr>
          <w:trHeight w:val="195"/>
        </w:trPr>
        <w:tc>
          <w:tcPr>
            <w:tcW w:w="3800" w:type="dxa"/>
            <w:vAlign w:val="bottom"/>
          </w:tcPr>
          <w:p>
            <w:pPr>
              <w:ind w:left="80"/>
              <w:spacing w:after="0"/>
              <w:rPr>
                <w:sz w:val="20"/>
                <w:szCs w:val="20"/>
                <w:color w:val="auto"/>
              </w:rPr>
            </w:pPr>
            <w:r>
              <w:rPr>
                <w:rFonts w:ascii="Arial" w:cs="Arial" w:eastAsia="Arial" w:hAnsi="Arial"/>
                <w:sz w:val="13"/>
                <w:szCs w:val="13"/>
                <w:color w:val="auto"/>
              </w:rPr>
              <w:t>CNA Financial Corporation</w:t>
            </w:r>
          </w:p>
        </w:tc>
        <w:tc>
          <w:tcPr>
            <w:tcW w:w="2160" w:type="dxa"/>
            <w:vAlign w:val="bottom"/>
          </w:tcPr>
          <w:p>
            <w:pPr>
              <w:jc w:val="right"/>
              <w:ind w:right="53"/>
              <w:spacing w:after="0"/>
              <w:rPr>
                <w:sz w:val="20"/>
                <w:szCs w:val="20"/>
                <w:color w:val="auto"/>
              </w:rPr>
            </w:pPr>
            <w:r>
              <w:rPr>
                <w:rFonts w:ascii="Arial" w:cs="Arial" w:eastAsia="Arial" w:hAnsi="Arial"/>
                <w:sz w:val="13"/>
                <w:szCs w:val="13"/>
                <w:color w:val="auto"/>
              </w:rPr>
              <w:t>9.1</w:t>
            </w:r>
          </w:p>
        </w:tc>
        <w:tc>
          <w:tcPr>
            <w:tcW w:w="1060" w:type="dxa"/>
            <w:vAlign w:val="bottom"/>
          </w:tcPr>
          <w:p>
            <w:pPr>
              <w:jc w:val="right"/>
              <w:ind w:right="53"/>
              <w:spacing w:after="0"/>
              <w:rPr>
                <w:sz w:val="20"/>
                <w:szCs w:val="20"/>
                <w:color w:val="auto"/>
              </w:rPr>
            </w:pPr>
            <w:r>
              <w:rPr>
                <w:rFonts w:ascii="Arial" w:cs="Arial" w:eastAsia="Arial" w:hAnsi="Arial"/>
                <w:sz w:val="13"/>
                <w:szCs w:val="13"/>
                <w:color w:val="auto"/>
              </w:rPr>
              <w:t>12.0</w:t>
            </w:r>
          </w:p>
        </w:tc>
        <w:tc>
          <w:tcPr>
            <w:tcW w:w="1040" w:type="dxa"/>
            <w:vAlign w:val="bottom"/>
          </w:tcPr>
          <w:p>
            <w:pPr>
              <w:jc w:val="right"/>
              <w:ind w:right="33"/>
              <w:spacing w:after="0"/>
              <w:rPr>
                <w:sz w:val="20"/>
                <w:szCs w:val="20"/>
                <w:color w:val="auto"/>
              </w:rPr>
            </w:pPr>
            <w:r>
              <w:rPr>
                <w:rFonts w:ascii="Arial" w:cs="Arial" w:eastAsia="Arial" w:hAnsi="Arial"/>
                <w:sz w:val="13"/>
                <w:szCs w:val="13"/>
                <w:color w:val="auto"/>
              </w:rPr>
              <w:t>57.2</w:t>
            </w:r>
          </w:p>
        </w:tc>
        <w:tc>
          <w:tcPr>
            <w:tcW w:w="1220" w:type="dxa"/>
            <w:vAlign w:val="bottom"/>
          </w:tcPr>
          <w:p>
            <w:pPr>
              <w:jc w:val="right"/>
              <w:ind w:right="213"/>
              <w:spacing w:after="0"/>
              <w:rPr>
                <w:sz w:val="20"/>
                <w:szCs w:val="20"/>
                <w:color w:val="auto"/>
              </w:rPr>
            </w:pPr>
            <w:r>
              <w:rPr>
                <w:rFonts w:ascii="Arial" w:cs="Arial" w:eastAsia="Arial" w:hAnsi="Arial"/>
                <w:sz w:val="13"/>
                <w:szCs w:val="13"/>
                <w:color w:val="auto"/>
              </w:rPr>
              <w:t>7.3</w:t>
            </w:r>
          </w:p>
        </w:tc>
        <w:tc>
          <w:tcPr>
            <w:tcW w:w="760" w:type="dxa"/>
            <w:vAlign w:val="bottom"/>
          </w:tcPr>
          <w:p>
            <w:pPr>
              <w:jc w:val="right"/>
              <w:ind w:right="53"/>
              <w:spacing w:after="0"/>
              <w:rPr>
                <w:sz w:val="20"/>
                <w:szCs w:val="20"/>
                <w:color w:val="auto"/>
              </w:rPr>
            </w:pPr>
            <w:r>
              <w:rPr>
                <w:rFonts w:ascii="Arial" w:cs="Arial" w:eastAsia="Arial" w:hAnsi="Arial"/>
                <w:sz w:val="13"/>
                <w:szCs w:val="13"/>
                <w:color w:val="auto"/>
              </w:rPr>
              <w:t>(11.2)</w:t>
            </w:r>
          </w:p>
        </w:tc>
        <w:tc>
          <w:tcPr>
            <w:tcW w:w="720" w:type="dxa"/>
            <w:vAlign w:val="bottom"/>
          </w:tcPr>
          <w:p>
            <w:pPr>
              <w:jc w:val="right"/>
              <w:ind w:right="113"/>
              <w:spacing w:after="0"/>
              <w:rPr>
                <w:sz w:val="20"/>
                <w:szCs w:val="20"/>
                <w:color w:val="auto"/>
              </w:rPr>
            </w:pPr>
            <w:r>
              <w:rPr>
                <w:rFonts w:ascii="Arial" w:cs="Arial" w:eastAsia="Arial" w:hAnsi="Arial"/>
                <w:sz w:val="13"/>
                <w:szCs w:val="13"/>
                <w:color w:val="auto"/>
              </w:rPr>
              <w:t>58.4</w:t>
            </w:r>
          </w:p>
        </w:tc>
        <w:tc>
          <w:tcPr>
            <w:tcW w:w="660" w:type="dxa"/>
            <w:vAlign w:val="bottom"/>
          </w:tcPr>
          <w:p>
            <w:pPr>
              <w:jc w:val="right"/>
              <w:ind w:right="53"/>
              <w:spacing w:after="0"/>
              <w:rPr>
                <w:sz w:val="20"/>
                <w:szCs w:val="20"/>
                <w:color w:val="auto"/>
              </w:rPr>
            </w:pPr>
            <w:r>
              <w:rPr>
                <w:rFonts w:ascii="Arial" w:cs="Arial" w:eastAsia="Arial" w:hAnsi="Arial"/>
                <w:sz w:val="13"/>
                <w:szCs w:val="13"/>
                <w:color w:val="auto"/>
              </w:rPr>
              <w:t>46.7</w:t>
            </w:r>
          </w:p>
        </w:tc>
      </w:tr>
      <w:tr>
        <w:trPr>
          <w:trHeight w:val="41"/>
        </w:trPr>
        <w:tc>
          <w:tcPr>
            <w:tcW w:w="3800" w:type="dxa"/>
            <w:vAlign w:val="bottom"/>
            <w:tcBorders>
              <w:bottom w:val="single" w:sz="8" w:color="E9F1FB"/>
            </w:tcBorders>
          </w:tcPr>
          <w:p>
            <w:pPr>
              <w:spacing w:after="0"/>
              <w:rPr>
                <w:sz w:val="3"/>
                <w:szCs w:val="3"/>
                <w:color w:val="auto"/>
              </w:rPr>
            </w:pPr>
          </w:p>
        </w:tc>
        <w:tc>
          <w:tcPr>
            <w:tcW w:w="2160" w:type="dxa"/>
            <w:vAlign w:val="bottom"/>
            <w:tcBorders>
              <w:bottom w:val="single" w:sz="8" w:color="E9F1FB"/>
            </w:tcBorders>
          </w:tcPr>
          <w:p>
            <w:pPr>
              <w:spacing w:after="0"/>
              <w:rPr>
                <w:sz w:val="3"/>
                <w:szCs w:val="3"/>
                <w:color w:val="auto"/>
              </w:rPr>
            </w:pPr>
          </w:p>
        </w:tc>
        <w:tc>
          <w:tcPr>
            <w:tcW w:w="1060" w:type="dxa"/>
            <w:vAlign w:val="bottom"/>
            <w:tcBorders>
              <w:bottom w:val="single" w:sz="8" w:color="E9F1FB"/>
            </w:tcBorders>
          </w:tcPr>
          <w:p>
            <w:pPr>
              <w:spacing w:after="0"/>
              <w:rPr>
                <w:sz w:val="3"/>
                <w:szCs w:val="3"/>
                <w:color w:val="auto"/>
              </w:rPr>
            </w:pPr>
          </w:p>
        </w:tc>
        <w:tc>
          <w:tcPr>
            <w:tcW w:w="1040" w:type="dxa"/>
            <w:vAlign w:val="bottom"/>
            <w:tcBorders>
              <w:bottom w:val="single" w:sz="8" w:color="E9F1FB"/>
            </w:tcBorders>
          </w:tcPr>
          <w:p>
            <w:pPr>
              <w:spacing w:after="0"/>
              <w:rPr>
                <w:sz w:val="3"/>
                <w:szCs w:val="3"/>
                <w:color w:val="auto"/>
              </w:rPr>
            </w:pPr>
          </w:p>
        </w:tc>
        <w:tc>
          <w:tcPr>
            <w:tcW w:w="1220" w:type="dxa"/>
            <w:vAlign w:val="bottom"/>
            <w:tcBorders>
              <w:bottom w:val="single" w:sz="8" w:color="E9F1FB"/>
            </w:tcBorders>
          </w:tcPr>
          <w:p>
            <w:pPr>
              <w:spacing w:after="0"/>
              <w:rPr>
                <w:sz w:val="3"/>
                <w:szCs w:val="3"/>
                <w:color w:val="auto"/>
              </w:rPr>
            </w:pPr>
          </w:p>
        </w:tc>
        <w:tc>
          <w:tcPr>
            <w:tcW w:w="760" w:type="dxa"/>
            <w:vAlign w:val="bottom"/>
            <w:tcBorders>
              <w:bottom w:val="single" w:sz="8" w:color="E9F1FB"/>
            </w:tcBorders>
          </w:tcPr>
          <w:p>
            <w:pPr>
              <w:spacing w:after="0"/>
              <w:rPr>
                <w:sz w:val="3"/>
                <w:szCs w:val="3"/>
                <w:color w:val="auto"/>
              </w:rPr>
            </w:pPr>
          </w:p>
        </w:tc>
        <w:tc>
          <w:tcPr>
            <w:tcW w:w="720" w:type="dxa"/>
            <w:vAlign w:val="bottom"/>
            <w:tcBorders>
              <w:bottom w:val="single" w:sz="8" w:color="E9F1FB"/>
            </w:tcBorders>
          </w:tcPr>
          <w:p>
            <w:pPr>
              <w:spacing w:after="0"/>
              <w:rPr>
                <w:sz w:val="3"/>
                <w:szCs w:val="3"/>
                <w:color w:val="auto"/>
              </w:rPr>
            </w:pPr>
          </w:p>
        </w:tc>
        <w:tc>
          <w:tcPr>
            <w:tcW w:w="660" w:type="dxa"/>
            <w:vAlign w:val="bottom"/>
            <w:tcBorders>
              <w:bottom w:val="single" w:sz="8" w:color="E9F1FB"/>
            </w:tcBorders>
          </w:tcPr>
          <w:p>
            <w:pPr>
              <w:spacing w:after="0"/>
              <w:rPr>
                <w:sz w:val="3"/>
                <w:szCs w:val="3"/>
                <w:color w:val="auto"/>
              </w:rPr>
            </w:pPr>
          </w:p>
        </w:tc>
      </w:tr>
      <w:tr>
        <w:trPr>
          <w:trHeight w:val="195"/>
        </w:trPr>
        <w:tc>
          <w:tcPr>
            <w:tcW w:w="3800" w:type="dxa"/>
            <w:vAlign w:val="bottom"/>
          </w:tcPr>
          <w:p>
            <w:pPr>
              <w:ind w:left="80"/>
              <w:spacing w:after="0"/>
              <w:rPr>
                <w:sz w:val="20"/>
                <w:szCs w:val="20"/>
                <w:color w:val="auto"/>
              </w:rPr>
            </w:pPr>
            <w:r>
              <w:rPr>
                <w:rFonts w:ascii="Arial" w:cs="Arial" w:eastAsia="Arial" w:hAnsi="Arial"/>
                <w:sz w:val="13"/>
                <w:szCs w:val="13"/>
                <w:color w:val="auto"/>
              </w:rPr>
              <w:t>The Hartford Financial Services</w:t>
            </w:r>
          </w:p>
        </w:tc>
        <w:tc>
          <w:tcPr>
            <w:tcW w:w="2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43"/>
        </w:trPr>
        <w:tc>
          <w:tcPr>
            <w:tcW w:w="3800" w:type="dxa"/>
            <w:vAlign w:val="bottom"/>
          </w:tcPr>
          <w:p>
            <w:pPr>
              <w:ind w:left="80"/>
              <w:spacing w:after="0"/>
              <w:rPr>
                <w:sz w:val="20"/>
                <w:szCs w:val="20"/>
                <w:color w:val="auto"/>
              </w:rPr>
            </w:pPr>
            <w:r>
              <w:rPr>
                <w:rFonts w:ascii="Arial" w:cs="Arial" w:eastAsia="Arial" w:hAnsi="Arial"/>
                <w:sz w:val="13"/>
                <w:szCs w:val="13"/>
                <w:color w:val="auto"/>
              </w:rPr>
              <w:t>Group Inc.</w:t>
            </w:r>
          </w:p>
        </w:tc>
        <w:tc>
          <w:tcPr>
            <w:tcW w:w="2160" w:type="dxa"/>
            <w:vAlign w:val="bottom"/>
          </w:tcPr>
          <w:p>
            <w:pPr>
              <w:jc w:val="right"/>
              <w:ind w:right="53"/>
              <w:spacing w:after="0"/>
              <w:rPr>
                <w:sz w:val="20"/>
                <w:szCs w:val="20"/>
                <w:color w:val="auto"/>
              </w:rPr>
            </w:pPr>
            <w:r>
              <w:rPr>
                <w:rFonts w:ascii="Arial" w:cs="Arial" w:eastAsia="Arial" w:hAnsi="Arial"/>
                <w:sz w:val="13"/>
                <w:szCs w:val="13"/>
                <w:color w:val="auto"/>
              </w:rPr>
              <w:t>19.0</w:t>
            </w:r>
          </w:p>
        </w:tc>
        <w:tc>
          <w:tcPr>
            <w:tcW w:w="1060" w:type="dxa"/>
            <w:vAlign w:val="bottom"/>
          </w:tcPr>
          <w:p>
            <w:pPr>
              <w:jc w:val="right"/>
              <w:ind w:right="53"/>
              <w:spacing w:after="0"/>
              <w:rPr>
                <w:sz w:val="20"/>
                <w:szCs w:val="20"/>
                <w:color w:val="auto"/>
              </w:rPr>
            </w:pPr>
            <w:r>
              <w:rPr>
                <w:rFonts w:ascii="Arial" w:cs="Arial" w:eastAsia="Arial" w:hAnsi="Arial"/>
                <w:sz w:val="13"/>
                <w:szCs w:val="13"/>
                <w:color w:val="auto"/>
              </w:rPr>
              <w:t>16.0</w:t>
            </w:r>
          </w:p>
        </w:tc>
        <w:tc>
          <w:tcPr>
            <w:tcW w:w="1040" w:type="dxa"/>
            <w:vAlign w:val="bottom"/>
          </w:tcPr>
          <w:p>
            <w:pPr>
              <w:jc w:val="right"/>
              <w:ind w:right="33"/>
              <w:spacing w:after="0"/>
              <w:rPr>
                <w:sz w:val="20"/>
                <w:szCs w:val="20"/>
                <w:color w:val="auto"/>
              </w:rPr>
            </w:pPr>
            <w:r>
              <w:rPr>
                <w:rFonts w:ascii="Arial" w:cs="Arial" w:eastAsia="Arial" w:hAnsi="Arial"/>
                <w:sz w:val="13"/>
                <w:szCs w:val="13"/>
                <w:color w:val="auto"/>
              </w:rPr>
              <w:t>62.3</w:t>
            </w:r>
          </w:p>
        </w:tc>
        <w:tc>
          <w:tcPr>
            <w:tcW w:w="1220" w:type="dxa"/>
            <w:vAlign w:val="bottom"/>
          </w:tcPr>
          <w:p>
            <w:pPr>
              <w:jc w:val="right"/>
              <w:ind w:right="213"/>
              <w:spacing w:after="0"/>
              <w:rPr>
                <w:sz w:val="20"/>
                <w:szCs w:val="20"/>
                <w:color w:val="auto"/>
              </w:rPr>
            </w:pPr>
            <w:r>
              <w:rPr>
                <w:rFonts w:ascii="Arial" w:cs="Arial" w:eastAsia="Arial" w:hAnsi="Arial"/>
                <w:sz w:val="13"/>
                <w:szCs w:val="13"/>
                <w:color w:val="auto"/>
              </w:rPr>
              <w:t>16.2</w:t>
            </w:r>
          </w:p>
        </w:tc>
        <w:tc>
          <w:tcPr>
            <w:tcW w:w="760" w:type="dxa"/>
            <w:vAlign w:val="bottom"/>
          </w:tcPr>
          <w:p>
            <w:pPr>
              <w:jc w:val="right"/>
              <w:ind w:right="53"/>
              <w:spacing w:after="0"/>
              <w:rPr>
                <w:sz w:val="20"/>
                <w:szCs w:val="20"/>
                <w:color w:val="auto"/>
              </w:rPr>
            </w:pPr>
            <w:r>
              <w:rPr>
                <w:rFonts w:ascii="Arial" w:cs="Arial" w:eastAsia="Arial" w:hAnsi="Arial"/>
                <w:sz w:val="13"/>
                <w:szCs w:val="13"/>
                <w:color w:val="auto"/>
              </w:rPr>
              <w:t>(19.2)</w:t>
            </w:r>
          </w:p>
        </w:tc>
        <w:tc>
          <w:tcPr>
            <w:tcW w:w="720" w:type="dxa"/>
            <w:vAlign w:val="bottom"/>
          </w:tcPr>
          <w:p>
            <w:pPr>
              <w:jc w:val="right"/>
              <w:ind w:right="113"/>
              <w:spacing w:after="0"/>
              <w:rPr>
                <w:sz w:val="20"/>
                <w:szCs w:val="20"/>
                <w:color w:val="auto"/>
              </w:rPr>
            </w:pPr>
            <w:r>
              <w:rPr>
                <w:rFonts w:ascii="Arial" w:cs="Arial" w:eastAsia="Arial" w:hAnsi="Arial"/>
                <w:sz w:val="13"/>
                <w:szCs w:val="13"/>
                <w:color w:val="auto"/>
              </w:rPr>
              <w:t>8.6</w:t>
            </w:r>
          </w:p>
        </w:tc>
        <w:tc>
          <w:tcPr>
            <w:tcW w:w="660" w:type="dxa"/>
            <w:vAlign w:val="bottom"/>
          </w:tcPr>
          <w:p>
            <w:pPr>
              <w:jc w:val="right"/>
              <w:ind w:right="53"/>
              <w:spacing w:after="0"/>
              <w:rPr>
                <w:sz w:val="20"/>
                <w:szCs w:val="20"/>
                <w:color w:val="auto"/>
              </w:rPr>
            </w:pPr>
            <w:r>
              <w:rPr>
                <w:rFonts w:ascii="Arial" w:cs="Arial" w:eastAsia="Arial" w:hAnsi="Arial"/>
                <w:sz w:val="13"/>
                <w:szCs w:val="13"/>
                <w:color w:val="auto"/>
              </w:rPr>
              <w:t>34.9</w:t>
            </w:r>
          </w:p>
        </w:tc>
      </w:tr>
      <w:tr>
        <w:trPr>
          <w:trHeight w:val="41"/>
        </w:trPr>
        <w:tc>
          <w:tcPr>
            <w:tcW w:w="3800" w:type="dxa"/>
            <w:vAlign w:val="bottom"/>
            <w:tcBorders>
              <w:bottom w:val="single" w:sz="8" w:color="E9F1FB"/>
            </w:tcBorders>
          </w:tcPr>
          <w:p>
            <w:pPr>
              <w:spacing w:after="0"/>
              <w:rPr>
                <w:sz w:val="3"/>
                <w:szCs w:val="3"/>
                <w:color w:val="auto"/>
              </w:rPr>
            </w:pPr>
          </w:p>
        </w:tc>
        <w:tc>
          <w:tcPr>
            <w:tcW w:w="2160" w:type="dxa"/>
            <w:vAlign w:val="bottom"/>
            <w:tcBorders>
              <w:bottom w:val="single" w:sz="8" w:color="E9F1FB"/>
            </w:tcBorders>
          </w:tcPr>
          <w:p>
            <w:pPr>
              <w:spacing w:after="0"/>
              <w:rPr>
                <w:sz w:val="3"/>
                <w:szCs w:val="3"/>
                <w:color w:val="auto"/>
              </w:rPr>
            </w:pPr>
          </w:p>
        </w:tc>
        <w:tc>
          <w:tcPr>
            <w:tcW w:w="1060" w:type="dxa"/>
            <w:vAlign w:val="bottom"/>
            <w:tcBorders>
              <w:bottom w:val="single" w:sz="8" w:color="E9F1FB"/>
            </w:tcBorders>
          </w:tcPr>
          <w:p>
            <w:pPr>
              <w:spacing w:after="0"/>
              <w:rPr>
                <w:sz w:val="3"/>
                <w:szCs w:val="3"/>
                <w:color w:val="auto"/>
              </w:rPr>
            </w:pPr>
          </w:p>
        </w:tc>
        <w:tc>
          <w:tcPr>
            <w:tcW w:w="1040" w:type="dxa"/>
            <w:vAlign w:val="bottom"/>
            <w:tcBorders>
              <w:bottom w:val="single" w:sz="8" w:color="E9F1FB"/>
            </w:tcBorders>
          </w:tcPr>
          <w:p>
            <w:pPr>
              <w:spacing w:after="0"/>
              <w:rPr>
                <w:sz w:val="3"/>
                <w:szCs w:val="3"/>
                <w:color w:val="auto"/>
              </w:rPr>
            </w:pPr>
          </w:p>
        </w:tc>
        <w:tc>
          <w:tcPr>
            <w:tcW w:w="1220" w:type="dxa"/>
            <w:vAlign w:val="bottom"/>
            <w:tcBorders>
              <w:bottom w:val="single" w:sz="8" w:color="E9F1FB"/>
            </w:tcBorders>
          </w:tcPr>
          <w:p>
            <w:pPr>
              <w:spacing w:after="0"/>
              <w:rPr>
                <w:sz w:val="3"/>
                <w:szCs w:val="3"/>
                <w:color w:val="auto"/>
              </w:rPr>
            </w:pPr>
          </w:p>
        </w:tc>
        <w:tc>
          <w:tcPr>
            <w:tcW w:w="760" w:type="dxa"/>
            <w:vAlign w:val="bottom"/>
            <w:tcBorders>
              <w:bottom w:val="single" w:sz="8" w:color="E9F1FB"/>
            </w:tcBorders>
          </w:tcPr>
          <w:p>
            <w:pPr>
              <w:spacing w:after="0"/>
              <w:rPr>
                <w:sz w:val="3"/>
                <w:szCs w:val="3"/>
                <w:color w:val="auto"/>
              </w:rPr>
            </w:pPr>
          </w:p>
        </w:tc>
        <w:tc>
          <w:tcPr>
            <w:tcW w:w="720" w:type="dxa"/>
            <w:vAlign w:val="bottom"/>
            <w:tcBorders>
              <w:bottom w:val="single" w:sz="8" w:color="E9F1FB"/>
            </w:tcBorders>
          </w:tcPr>
          <w:p>
            <w:pPr>
              <w:spacing w:after="0"/>
              <w:rPr>
                <w:sz w:val="3"/>
                <w:szCs w:val="3"/>
                <w:color w:val="auto"/>
              </w:rPr>
            </w:pPr>
          </w:p>
        </w:tc>
        <w:tc>
          <w:tcPr>
            <w:tcW w:w="660" w:type="dxa"/>
            <w:vAlign w:val="bottom"/>
            <w:tcBorders>
              <w:bottom w:val="single" w:sz="8" w:color="E9F1FB"/>
            </w:tcBorders>
          </w:tcPr>
          <w:p>
            <w:pPr>
              <w:spacing w:after="0"/>
              <w:rPr>
                <w:sz w:val="3"/>
                <w:szCs w:val="3"/>
                <w:color w:val="auto"/>
              </w:rPr>
            </w:pPr>
          </w:p>
        </w:tc>
      </w:tr>
      <w:tr>
        <w:trPr>
          <w:trHeight w:val="195"/>
        </w:trPr>
        <w:tc>
          <w:tcPr>
            <w:tcW w:w="3800" w:type="dxa"/>
            <w:vAlign w:val="bottom"/>
          </w:tcPr>
          <w:p>
            <w:pPr>
              <w:ind w:left="80"/>
              <w:spacing w:after="0"/>
              <w:rPr>
                <w:sz w:val="20"/>
                <w:szCs w:val="20"/>
                <w:color w:val="auto"/>
              </w:rPr>
            </w:pPr>
            <w:r>
              <w:rPr>
                <w:rFonts w:ascii="Arial" w:cs="Arial" w:eastAsia="Arial" w:hAnsi="Arial"/>
                <w:sz w:val="13"/>
                <w:szCs w:val="13"/>
                <w:color w:val="auto"/>
              </w:rPr>
              <w:t>Manulife Financial Corporation</w:t>
            </w:r>
          </w:p>
        </w:tc>
        <w:tc>
          <w:tcPr>
            <w:tcW w:w="2160" w:type="dxa"/>
            <w:vAlign w:val="bottom"/>
          </w:tcPr>
          <w:p>
            <w:pPr>
              <w:jc w:val="right"/>
              <w:ind w:right="53"/>
              <w:spacing w:after="0"/>
              <w:rPr>
                <w:sz w:val="20"/>
                <w:szCs w:val="20"/>
                <w:color w:val="auto"/>
              </w:rPr>
            </w:pPr>
            <w:r>
              <w:rPr>
                <w:rFonts w:ascii="Arial" w:cs="Arial" w:eastAsia="Arial" w:hAnsi="Arial"/>
                <w:sz w:val="13"/>
                <w:szCs w:val="13"/>
                <w:color w:val="auto"/>
              </w:rPr>
              <w:t>28.8</w:t>
            </w:r>
          </w:p>
        </w:tc>
        <w:tc>
          <w:tcPr>
            <w:tcW w:w="1060" w:type="dxa"/>
            <w:vAlign w:val="bottom"/>
          </w:tcPr>
          <w:p>
            <w:pPr>
              <w:jc w:val="right"/>
              <w:ind w:right="53"/>
              <w:spacing w:after="0"/>
              <w:rPr>
                <w:sz w:val="20"/>
                <w:szCs w:val="20"/>
                <w:color w:val="auto"/>
              </w:rPr>
            </w:pPr>
            <w:r>
              <w:rPr>
                <w:rFonts w:ascii="Arial" w:cs="Arial" w:eastAsia="Arial" w:hAnsi="Arial"/>
                <w:sz w:val="13"/>
                <w:szCs w:val="13"/>
                <w:color w:val="auto"/>
              </w:rPr>
              <w:t>28.0</w:t>
            </w:r>
          </w:p>
        </w:tc>
        <w:tc>
          <w:tcPr>
            <w:tcW w:w="1040" w:type="dxa"/>
            <w:vAlign w:val="bottom"/>
          </w:tcPr>
          <w:p>
            <w:pPr>
              <w:jc w:val="right"/>
              <w:ind w:right="33"/>
              <w:spacing w:after="0"/>
              <w:rPr>
                <w:sz w:val="20"/>
                <w:szCs w:val="20"/>
                <w:color w:val="auto"/>
              </w:rPr>
            </w:pPr>
            <w:r>
              <w:rPr>
                <w:rFonts w:ascii="Arial" w:cs="Arial" w:eastAsia="Arial" w:hAnsi="Arial"/>
                <w:sz w:val="13"/>
                <w:szCs w:val="13"/>
                <w:color w:val="auto"/>
              </w:rPr>
              <w:t>549.8</w:t>
            </w:r>
          </w:p>
        </w:tc>
        <w:tc>
          <w:tcPr>
            <w:tcW w:w="1220" w:type="dxa"/>
            <w:vAlign w:val="bottom"/>
          </w:tcPr>
          <w:p>
            <w:pPr>
              <w:jc w:val="right"/>
              <w:ind w:right="213"/>
              <w:spacing w:after="0"/>
              <w:rPr>
                <w:sz w:val="20"/>
                <w:szCs w:val="20"/>
                <w:color w:val="auto"/>
              </w:rPr>
            </w:pPr>
            <w:r>
              <w:rPr>
                <w:rFonts w:ascii="Arial" w:cs="Arial" w:eastAsia="Arial" w:hAnsi="Arial"/>
                <w:sz w:val="13"/>
                <w:szCs w:val="13"/>
                <w:color w:val="auto"/>
              </w:rPr>
              <w:t>18.5</w:t>
            </w:r>
          </w:p>
        </w:tc>
        <w:tc>
          <w:tcPr>
            <w:tcW w:w="760" w:type="dxa"/>
            <w:vAlign w:val="bottom"/>
          </w:tcPr>
          <w:p>
            <w:pPr>
              <w:jc w:val="right"/>
              <w:ind w:right="53"/>
              <w:spacing w:after="0"/>
              <w:rPr>
                <w:sz w:val="20"/>
                <w:szCs w:val="20"/>
                <w:color w:val="auto"/>
              </w:rPr>
            </w:pPr>
            <w:r>
              <w:rPr>
                <w:rFonts w:ascii="Arial" w:cs="Arial" w:eastAsia="Arial" w:hAnsi="Arial"/>
                <w:sz w:val="13"/>
                <w:szCs w:val="13"/>
                <w:color w:val="auto"/>
              </w:rPr>
              <w:t>(29.3)</w:t>
            </w:r>
          </w:p>
        </w:tc>
        <w:tc>
          <w:tcPr>
            <w:tcW w:w="720" w:type="dxa"/>
            <w:vAlign w:val="bottom"/>
          </w:tcPr>
          <w:p>
            <w:pPr>
              <w:jc w:val="right"/>
              <w:ind w:right="113"/>
              <w:spacing w:after="0"/>
              <w:rPr>
                <w:sz w:val="20"/>
                <w:szCs w:val="20"/>
                <w:color w:val="auto"/>
              </w:rPr>
            </w:pPr>
            <w:r>
              <w:rPr>
                <w:rFonts w:ascii="Arial" w:cs="Arial" w:eastAsia="Arial" w:hAnsi="Arial"/>
                <w:sz w:val="13"/>
                <w:szCs w:val="13"/>
                <w:color w:val="auto"/>
              </w:rPr>
              <w:t>5.8</w:t>
            </w:r>
          </w:p>
        </w:tc>
        <w:tc>
          <w:tcPr>
            <w:tcW w:w="660" w:type="dxa"/>
            <w:vAlign w:val="bottom"/>
          </w:tcPr>
          <w:p>
            <w:pPr>
              <w:jc w:val="right"/>
              <w:ind w:right="13"/>
              <w:spacing w:after="0"/>
              <w:rPr>
                <w:sz w:val="20"/>
                <w:szCs w:val="20"/>
                <w:color w:val="auto"/>
              </w:rPr>
            </w:pPr>
            <w:r>
              <w:rPr>
                <w:rFonts w:ascii="Arial" w:cs="Arial" w:eastAsia="Arial" w:hAnsi="Arial"/>
                <w:sz w:val="13"/>
                <w:szCs w:val="13"/>
                <w:color w:val="auto"/>
              </w:rPr>
              <w:t>(15.0)</w:t>
            </w:r>
          </w:p>
        </w:tc>
      </w:tr>
      <w:tr>
        <w:trPr>
          <w:trHeight w:val="41"/>
        </w:trPr>
        <w:tc>
          <w:tcPr>
            <w:tcW w:w="3800" w:type="dxa"/>
            <w:vAlign w:val="bottom"/>
            <w:tcBorders>
              <w:bottom w:val="single" w:sz="8" w:color="E9F1FB"/>
            </w:tcBorders>
          </w:tcPr>
          <w:p>
            <w:pPr>
              <w:spacing w:after="0"/>
              <w:rPr>
                <w:sz w:val="3"/>
                <w:szCs w:val="3"/>
                <w:color w:val="auto"/>
              </w:rPr>
            </w:pPr>
          </w:p>
        </w:tc>
        <w:tc>
          <w:tcPr>
            <w:tcW w:w="2160" w:type="dxa"/>
            <w:vAlign w:val="bottom"/>
            <w:tcBorders>
              <w:bottom w:val="single" w:sz="8" w:color="E9F1FB"/>
            </w:tcBorders>
          </w:tcPr>
          <w:p>
            <w:pPr>
              <w:spacing w:after="0"/>
              <w:rPr>
                <w:sz w:val="3"/>
                <w:szCs w:val="3"/>
                <w:color w:val="auto"/>
              </w:rPr>
            </w:pPr>
          </w:p>
        </w:tc>
        <w:tc>
          <w:tcPr>
            <w:tcW w:w="1060" w:type="dxa"/>
            <w:vAlign w:val="bottom"/>
            <w:tcBorders>
              <w:bottom w:val="single" w:sz="8" w:color="E9F1FB"/>
            </w:tcBorders>
          </w:tcPr>
          <w:p>
            <w:pPr>
              <w:spacing w:after="0"/>
              <w:rPr>
                <w:sz w:val="3"/>
                <w:szCs w:val="3"/>
                <w:color w:val="auto"/>
              </w:rPr>
            </w:pPr>
          </w:p>
        </w:tc>
        <w:tc>
          <w:tcPr>
            <w:tcW w:w="1040" w:type="dxa"/>
            <w:vAlign w:val="bottom"/>
            <w:tcBorders>
              <w:bottom w:val="single" w:sz="8" w:color="E9F1FB"/>
            </w:tcBorders>
          </w:tcPr>
          <w:p>
            <w:pPr>
              <w:spacing w:after="0"/>
              <w:rPr>
                <w:sz w:val="3"/>
                <w:szCs w:val="3"/>
                <w:color w:val="auto"/>
              </w:rPr>
            </w:pPr>
          </w:p>
        </w:tc>
        <w:tc>
          <w:tcPr>
            <w:tcW w:w="1220" w:type="dxa"/>
            <w:vAlign w:val="bottom"/>
            <w:tcBorders>
              <w:bottom w:val="single" w:sz="8" w:color="E9F1FB"/>
            </w:tcBorders>
          </w:tcPr>
          <w:p>
            <w:pPr>
              <w:spacing w:after="0"/>
              <w:rPr>
                <w:sz w:val="3"/>
                <w:szCs w:val="3"/>
                <w:color w:val="auto"/>
              </w:rPr>
            </w:pPr>
          </w:p>
        </w:tc>
        <w:tc>
          <w:tcPr>
            <w:tcW w:w="760" w:type="dxa"/>
            <w:vAlign w:val="bottom"/>
            <w:tcBorders>
              <w:bottom w:val="single" w:sz="8" w:color="E9F1FB"/>
            </w:tcBorders>
          </w:tcPr>
          <w:p>
            <w:pPr>
              <w:spacing w:after="0"/>
              <w:rPr>
                <w:sz w:val="3"/>
                <w:szCs w:val="3"/>
                <w:color w:val="auto"/>
              </w:rPr>
            </w:pPr>
          </w:p>
        </w:tc>
        <w:tc>
          <w:tcPr>
            <w:tcW w:w="720" w:type="dxa"/>
            <w:vAlign w:val="bottom"/>
            <w:tcBorders>
              <w:bottom w:val="single" w:sz="8" w:color="E9F1FB"/>
            </w:tcBorders>
          </w:tcPr>
          <w:p>
            <w:pPr>
              <w:spacing w:after="0"/>
              <w:rPr>
                <w:sz w:val="3"/>
                <w:szCs w:val="3"/>
                <w:color w:val="auto"/>
              </w:rPr>
            </w:pPr>
          </w:p>
        </w:tc>
        <w:tc>
          <w:tcPr>
            <w:tcW w:w="660" w:type="dxa"/>
            <w:vAlign w:val="bottom"/>
            <w:tcBorders>
              <w:bottom w:val="single" w:sz="8" w:color="E9F1FB"/>
            </w:tcBorders>
          </w:tcPr>
          <w:p>
            <w:pPr>
              <w:spacing w:after="0"/>
              <w:rPr>
                <w:sz w:val="3"/>
                <w:szCs w:val="3"/>
                <w:color w:val="auto"/>
              </w:rPr>
            </w:pPr>
          </w:p>
        </w:tc>
      </w:tr>
      <w:tr>
        <w:trPr>
          <w:trHeight w:val="195"/>
        </w:trPr>
        <w:tc>
          <w:tcPr>
            <w:tcW w:w="3800" w:type="dxa"/>
            <w:vAlign w:val="bottom"/>
          </w:tcPr>
          <w:p>
            <w:pPr>
              <w:ind w:left="80"/>
              <w:spacing w:after="0"/>
              <w:rPr>
                <w:sz w:val="20"/>
                <w:szCs w:val="20"/>
                <w:color w:val="auto"/>
              </w:rPr>
            </w:pPr>
            <w:r>
              <w:rPr>
                <w:rFonts w:ascii="Arial" w:cs="Arial" w:eastAsia="Arial" w:hAnsi="Arial"/>
                <w:sz w:val="13"/>
                <w:szCs w:val="13"/>
                <w:color w:val="auto"/>
              </w:rPr>
              <w:t>MetLife Inc.</w:t>
            </w:r>
          </w:p>
        </w:tc>
        <w:tc>
          <w:tcPr>
            <w:tcW w:w="2160" w:type="dxa"/>
            <w:vAlign w:val="bottom"/>
          </w:tcPr>
          <w:p>
            <w:pPr>
              <w:jc w:val="right"/>
              <w:ind w:right="53"/>
              <w:spacing w:after="0"/>
              <w:rPr>
                <w:sz w:val="20"/>
                <w:szCs w:val="20"/>
                <w:color w:val="auto"/>
              </w:rPr>
            </w:pPr>
            <w:r>
              <w:rPr>
                <w:rFonts w:ascii="Arial" w:cs="Arial" w:eastAsia="Arial" w:hAnsi="Arial"/>
                <w:sz w:val="13"/>
                <w:szCs w:val="13"/>
                <w:color w:val="auto"/>
              </w:rPr>
              <w:t>67.9</w:t>
            </w:r>
          </w:p>
        </w:tc>
        <w:tc>
          <w:tcPr>
            <w:tcW w:w="1060" w:type="dxa"/>
            <w:vAlign w:val="bottom"/>
          </w:tcPr>
          <w:p>
            <w:pPr>
              <w:jc w:val="right"/>
              <w:ind w:right="53"/>
              <w:spacing w:after="0"/>
              <w:rPr>
                <w:sz w:val="20"/>
                <w:szCs w:val="20"/>
                <w:color w:val="auto"/>
              </w:rPr>
            </w:pPr>
            <w:r>
              <w:rPr>
                <w:rFonts w:ascii="Arial" w:cs="Arial" w:eastAsia="Arial" w:hAnsi="Arial"/>
                <w:sz w:val="13"/>
                <w:szCs w:val="13"/>
                <w:color w:val="auto"/>
              </w:rPr>
              <w:t>39.4</w:t>
            </w:r>
          </w:p>
        </w:tc>
        <w:tc>
          <w:tcPr>
            <w:tcW w:w="1040" w:type="dxa"/>
            <w:vAlign w:val="bottom"/>
          </w:tcPr>
          <w:p>
            <w:pPr>
              <w:jc w:val="right"/>
              <w:ind w:right="33"/>
              <w:spacing w:after="0"/>
              <w:rPr>
                <w:sz w:val="20"/>
                <w:szCs w:val="20"/>
                <w:color w:val="auto"/>
              </w:rPr>
            </w:pPr>
            <w:r>
              <w:rPr>
                <w:rFonts w:ascii="Arial" w:cs="Arial" w:eastAsia="Arial" w:hAnsi="Arial"/>
                <w:sz w:val="13"/>
                <w:szCs w:val="13"/>
                <w:color w:val="auto"/>
              </w:rPr>
              <w:t>687.5</w:t>
            </w:r>
          </w:p>
        </w:tc>
        <w:tc>
          <w:tcPr>
            <w:tcW w:w="1220" w:type="dxa"/>
            <w:vAlign w:val="bottom"/>
          </w:tcPr>
          <w:p>
            <w:pPr>
              <w:jc w:val="right"/>
              <w:ind w:right="213"/>
              <w:spacing w:after="0"/>
              <w:rPr>
                <w:sz w:val="20"/>
                <w:szCs w:val="20"/>
                <w:color w:val="auto"/>
              </w:rPr>
            </w:pPr>
            <w:r>
              <w:rPr>
                <w:rFonts w:ascii="Arial" w:cs="Arial" w:eastAsia="Arial" w:hAnsi="Arial"/>
                <w:sz w:val="13"/>
                <w:szCs w:val="13"/>
                <w:color w:val="auto"/>
              </w:rPr>
              <w:t>49.3</w:t>
            </w:r>
          </w:p>
        </w:tc>
        <w:tc>
          <w:tcPr>
            <w:tcW w:w="760" w:type="dxa"/>
            <w:vAlign w:val="bottom"/>
          </w:tcPr>
          <w:p>
            <w:pPr>
              <w:jc w:val="right"/>
              <w:ind w:right="53"/>
              <w:spacing w:after="0"/>
              <w:rPr>
                <w:sz w:val="20"/>
                <w:szCs w:val="20"/>
                <w:color w:val="auto"/>
              </w:rPr>
            </w:pPr>
            <w:r>
              <w:rPr>
                <w:rFonts w:ascii="Arial" w:cs="Arial" w:eastAsia="Arial" w:hAnsi="Arial"/>
                <w:sz w:val="13"/>
                <w:szCs w:val="13"/>
                <w:color w:val="auto"/>
              </w:rPr>
              <w:t>(15.8)</w:t>
            </w:r>
          </w:p>
        </w:tc>
        <w:tc>
          <w:tcPr>
            <w:tcW w:w="720" w:type="dxa"/>
            <w:vAlign w:val="bottom"/>
          </w:tcPr>
          <w:p>
            <w:pPr>
              <w:jc w:val="right"/>
              <w:ind w:right="113"/>
              <w:spacing w:after="0"/>
              <w:rPr>
                <w:sz w:val="20"/>
                <w:szCs w:val="20"/>
                <w:color w:val="auto"/>
              </w:rPr>
            </w:pPr>
            <w:r>
              <w:rPr>
                <w:rFonts w:ascii="Arial" w:cs="Arial" w:eastAsia="Arial" w:hAnsi="Arial"/>
                <w:sz w:val="13"/>
                <w:szCs w:val="13"/>
                <w:color w:val="auto"/>
              </w:rPr>
              <w:t>5.9</w:t>
            </w:r>
          </w:p>
        </w:tc>
        <w:tc>
          <w:tcPr>
            <w:tcW w:w="660" w:type="dxa"/>
            <w:vAlign w:val="bottom"/>
          </w:tcPr>
          <w:p>
            <w:pPr>
              <w:jc w:val="right"/>
              <w:ind w:right="53"/>
              <w:spacing w:after="0"/>
              <w:rPr>
                <w:sz w:val="20"/>
                <w:szCs w:val="20"/>
                <w:color w:val="auto"/>
              </w:rPr>
            </w:pPr>
            <w:r>
              <w:rPr>
                <w:rFonts w:ascii="Arial" w:cs="Arial" w:eastAsia="Arial" w:hAnsi="Arial"/>
                <w:sz w:val="13"/>
                <w:szCs w:val="13"/>
                <w:color w:val="auto"/>
              </w:rPr>
              <w:t>0.0</w:t>
            </w:r>
          </w:p>
        </w:tc>
      </w:tr>
      <w:tr>
        <w:trPr>
          <w:trHeight w:val="41"/>
        </w:trPr>
        <w:tc>
          <w:tcPr>
            <w:tcW w:w="3800" w:type="dxa"/>
            <w:vAlign w:val="bottom"/>
            <w:tcBorders>
              <w:bottom w:val="single" w:sz="8" w:color="E9F1FB"/>
            </w:tcBorders>
          </w:tcPr>
          <w:p>
            <w:pPr>
              <w:spacing w:after="0"/>
              <w:rPr>
                <w:sz w:val="3"/>
                <w:szCs w:val="3"/>
                <w:color w:val="auto"/>
              </w:rPr>
            </w:pPr>
          </w:p>
        </w:tc>
        <w:tc>
          <w:tcPr>
            <w:tcW w:w="2160" w:type="dxa"/>
            <w:vAlign w:val="bottom"/>
            <w:tcBorders>
              <w:bottom w:val="single" w:sz="8" w:color="E9F1FB"/>
            </w:tcBorders>
          </w:tcPr>
          <w:p>
            <w:pPr>
              <w:spacing w:after="0"/>
              <w:rPr>
                <w:sz w:val="3"/>
                <w:szCs w:val="3"/>
                <w:color w:val="auto"/>
              </w:rPr>
            </w:pPr>
          </w:p>
        </w:tc>
        <w:tc>
          <w:tcPr>
            <w:tcW w:w="1060" w:type="dxa"/>
            <w:vAlign w:val="bottom"/>
            <w:tcBorders>
              <w:bottom w:val="single" w:sz="8" w:color="E9F1FB"/>
            </w:tcBorders>
          </w:tcPr>
          <w:p>
            <w:pPr>
              <w:spacing w:after="0"/>
              <w:rPr>
                <w:sz w:val="3"/>
                <w:szCs w:val="3"/>
                <w:color w:val="auto"/>
              </w:rPr>
            </w:pPr>
          </w:p>
        </w:tc>
        <w:tc>
          <w:tcPr>
            <w:tcW w:w="1040" w:type="dxa"/>
            <w:vAlign w:val="bottom"/>
            <w:tcBorders>
              <w:bottom w:val="single" w:sz="8" w:color="E9F1FB"/>
            </w:tcBorders>
          </w:tcPr>
          <w:p>
            <w:pPr>
              <w:spacing w:after="0"/>
              <w:rPr>
                <w:sz w:val="3"/>
                <w:szCs w:val="3"/>
                <w:color w:val="auto"/>
              </w:rPr>
            </w:pPr>
          </w:p>
        </w:tc>
        <w:tc>
          <w:tcPr>
            <w:tcW w:w="1220" w:type="dxa"/>
            <w:vAlign w:val="bottom"/>
            <w:tcBorders>
              <w:bottom w:val="single" w:sz="8" w:color="E9F1FB"/>
            </w:tcBorders>
          </w:tcPr>
          <w:p>
            <w:pPr>
              <w:spacing w:after="0"/>
              <w:rPr>
                <w:sz w:val="3"/>
                <w:szCs w:val="3"/>
                <w:color w:val="auto"/>
              </w:rPr>
            </w:pPr>
          </w:p>
        </w:tc>
        <w:tc>
          <w:tcPr>
            <w:tcW w:w="760" w:type="dxa"/>
            <w:vAlign w:val="bottom"/>
            <w:tcBorders>
              <w:bottom w:val="single" w:sz="8" w:color="E9F1FB"/>
            </w:tcBorders>
          </w:tcPr>
          <w:p>
            <w:pPr>
              <w:spacing w:after="0"/>
              <w:rPr>
                <w:sz w:val="3"/>
                <w:szCs w:val="3"/>
                <w:color w:val="auto"/>
              </w:rPr>
            </w:pPr>
          </w:p>
        </w:tc>
        <w:tc>
          <w:tcPr>
            <w:tcW w:w="720" w:type="dxa"/>
            <w:vAlign w:val="bottom"/>
            <w:tcBorders>
              <w:bottom w:val="single" w:sz="8" w:color="E9F1FB"/>
            </w:tcBorders>
          </w:tcPr>
          <w:p>
            <w:pPr>
              <w:spacing w:after="0"/>
              <w:rPr>
                <w:sz w:val="3"/>
                <w:szCs w:val="3"/>
                <w:color w:val="auto"/>
              </w:rPr>
            </w:pPr>
          </w:p>
        </w:tc>
        <w:tc>
          <w:tcPr>
            <w:tcW w:w="660" w:type="dxa"/>
            <w:vAlign w:val="bottom"/>
            <w:tcBorders>
              <w:bottom w:val="single" w:sz="8" w:color="E9F1FB"/>
            </w:tcBorders>
          </w:tcPr>
          <w:p>
            <w:pPr>
              <w:spacing w:after="0"/>
              <w:rPr>
                <w:sz w:val="3"/>
                <w:szCs w:val="3"/>
                <w:color w:val="auto"/>
              </w:rPr>
            </w:pPr>
          </w:p>
        </w:tc>
      </w:tr>
      <w:tr>
        <w:trPr>
          <w:trHeight w:val="195"/>
        </w:trPr>
        <w:tc>
          <w:tcPr>
            <w:tcW w:w="3800" w:type="dxa"/>
            <w:vAlign w:val="bottom"/>
          </w:tcPr>
          <w:p>
            <w:pPr>
              <w:ind w:left="80"/>
              <w:spacing w:after="0"/>
              <w:rPr>
                <w:sz w:val="20"/>
                <w:szCs w:val="20"/>
                <w:color w:val="auto"/>
              </w:rPr>
            </w:pPr>
            <w:r>
              <w:rPr>
                <w:rFonts w:ascii="Arial" w:cs="Arial" w:eastAsia="Arial" w:hAnsi="Arial"/>
                <w:sz w:val="13"/>
                <w:szCs w:val="13"/>
                <w:color w:val="auto"/>
              </w:rPr>
              <w:t>The Progressive Corporation</w:t>
            </w:r>
          </w:p>
        </w:tc>
        <w:tc>
          <w:tcPr>
            <w:tcW w:w="2160" w:type="dxa"/>
            <w:vAlign w:val="bottom"/>
          </w:tcPr>
          <w:p>
            <w:pPr>
              <w:jc w:val="right"/>
              <w:ind w:right="53"/>
              <w:spacing w:after="0"/>
              <w:rPr>
                <w:sz w:val="20"/>
                <w:szCs w:val="20"/>
                <w:color w:val="auto"/>
              </w:rPr>
            </w:pPr>
            <w:r>
              <w:rPr>
                <w:rFonts w:ascii="Arial" w:cs="Arial" w:eastAsia="Arial" w:hAnsi="Arial"/>
                <w:sz w:val="13"/>
                <w:szCs w:val="13"/>
                <w:color w:val="auto"/>
              </w:rPr>
              <w:t>32.0</w:t>
            </w:r>
          </w:p>
        </w:tc>
        <w:tc>
          <w:tcPr>
            <w:tcW w:w="1060" w:type="dxa"/>
            <w:vAlign w:val="bottom"/>
          </w:tcPr>
          <w:p>
            <w:pPr>
              <w:jc w:val="right"/>
              <w:ind w:right="53"/>
              <w:spacing w:after="0"/>
              <w:rPr>
                <w:sz w:val="20"/>
                <w:szCs w:val="20"/>
                <w:color w:val="auto"/>
              </w:rPr>
            </w:pPr>
            <w:r>
              <w:rPr>
                <w:rFonts w:ascii="Arial" w:cs="Arial" w:eastAsia="Arial" w:hAnsi="Arial"/>
                <w:sz w:val="13"/>
                <w:szCs w:val="13"/>
                <w:color w:val="auto"/>
              </w:rPr>
              <w:t>35.2</w:t>
            </w:r>
          </w:p>
        </w:tc>
        <w:tc>
          <w:tcPr>
            <w:tcW w:w="1040" w:type="dxa"/>
            <w:vAlign w:val="bottom"/>
          </w:tcPr>
          <w:p>
            <w:pPr>
              <w:jc w:val="right"/>
              <w:ind w:right="33"/>
              <w:spacing w:after="0"/>
              <w:rPr>
                <w:sz w:val="20"/>
                <w:szCs w:val="20"/>
                <w:color w:val="auto"/>
              </w:rPr>
            </w:pPr>
            <w:r>
              <w:rPr>
                <w:rFonts w:ascii="Arial" w:cs="Arial" w:eastAsia="Arial" w:hAnsi="Arial"/>
                <w:sz w:val="13"/>
                <w:szCs w:val="13"/>
                <w:color w:val="auto"/>
              </w:rPr>
              <w:t>46.6</w:t>
            </w:r>
          </w:p>
        </w:tc>
        <w:tc>
          <w:tcPr>
            <w:tcW w:w="1220" w:type="dxa"/>
            <w:vAlign w:val="bottom"/>
          </w:tcPr>
          <w:p>
            <w:pPr>
              <w:jc w:val="right"/>
              <w:ind w:right="213"/>
              <w:spacing w:after="0"/>
              <w:rPr>
                <w:sz w:val="20"/>
                <w:szCs w:val="20"/>
                <w:color w:val="auto"/>
              </w:rPr>
            </w:pPr>
            <w:r>
              <w:rPr>
                <w:rFonts w:ascii="Arial" w:cs="Arial" w:eastAsia="Arial" w:hAnsi="Arial"/>
                <w:sz w:val="13"/>
                <w:szCs w:val="13"/>
                <w:color w:val="auto"/>
              </w:rPr>
              <w:t>30.9</w:t>
            </w:r>
          </w:p>
        </w:tc>
        <w:tc>
          <w:tcPr>
            <w:tcW w:w="760" w:type="dxa"/>
            <w:vAlign w:val="bottom"/>
          </w:tcPr>
          <w:p>
            <w:pPr>
              <w:jc w:val="right"/>
              <w:ind w:right="113"/>
              <w:spacing w:after="0"/>
              <w:rPr>
                <w:sz w:val="20"/>
                <w:szCs w:val="20"/>
                <w:color w:val="auto"/>
              </w:rPr>
            </w:pPr>
            <w:r>
              <w:rPr>
                <w:rFonts w:ascii="Arial" w:cs="Arial" w:eastAsia="Arial" w:hAnsi="Arial"/>
                <w:sz w:val="13"/>
                <w:szCs w:val="13"/>
                <w:color w:val="auto"/>
              </w:rPr>
              <w:t>9.4</w:t>
            </w:r>
          </w:p>
        </w:tc>
        <w:tc>
          <w:tcPr>
            <w:tcW w:w="720" w:type="dxa"/>
            <w:vAlign w:val="bottom"/>
          </w:tcPr>
          <w:p>
            <w:pPr>
              <w:jc w:val="right"/>
              <w:ind w:right="113"/>
              <w:spacing w:after="0"/>
              <w:rPr>
                <w:sz w:val="20"/>
                <w:szCs w:val="20"/>
                <w:color w:val="auto"/>
              </w:rPr>
            </w:pPr>
            <w:r>
              <w:rPr>
                <w:rFonts w:ascii="Arial" w:cs="Arial" w:eastAsia="Arial" w:hAnsi="Arial"/>
                <w:sz w:val="13"/>
                <w:szCs w:val="13"/>
                <w:color w:val="auto"/>
              </w:rPr>
              <w:t>103.0</w:t>
            </w:r>
          </w:p>
        </w:tc>
        <w:tc>
          <w:tcPr>
            <w:tcW w:w="660" w:type="dxa"/>
            <w:vAlign w:val="bottom"/>
          </w:tcPr>
          <w:p>
            <w:pPr>
              <w:jc w:val="right"/>
              <w:ind w:right="53"/>
              <w:spacing w:after="0"/>
              <w:rPr>
                <w:sz w:val="20"/>
                <w:szCs w:val="20"/>
                <w:color w:val="auto"/>
              </w:rPr>
            </w:pPr>
            <w:r>
              <w:rPr>
                <w:rFonts w:ascii="Arial" w:cs="Arial" w:eastAsia="Arial" w:hAnsi="Arial"/>
                <w:sz w:val="13"/>
                <w:szCs w:val="13"/>
                <w:color w:val="auto"/>
              </w:rPr>
              <w:t>158.7</w:t>
            </w:r>
          </w:p>
        </w:tc>
      </w:tr>
      <w:tr>
        <w:trPr>
          <w:trHeight w:val="41"/>
        </w:trPr>
        <w:tc>
          <w:tcPr>
            <w:tcW w:w="3800" w:type="dxa"/>
            <w:vAlign w:val="bottom"/>
            <w:tcBorders>
              <w:bottom w:val="single" w:sz="8" w:color="E9F1FB"/>
            </w:tcBorders>
          </w:tcPr>
          <w:p>
            <w:pPr>
              <w:spacing w:after="0"/>
              <w:rPr>
                <w:sz w:val="3"/>
                <w:szCs w:val="3"/>
                <w:color w:val="auto"/>
              </w:rPr>
            </w:pPr>
          </w:p>
        </w:tc>
        <w:tc>
          <w:tcPr>
            <w:tcW w:w="2160" w:type="dxa"/>
            <w:vAlign w:val="bottom"/>
            <w:tcBorders>
              <w:bottom w:val="single" w:sz="8" w:color="E9F1FB"/>
            </w:tcBorders>
          </w:tcPr>
          <w:p>
            <w:pPr>
              <w:spacing w:after="0"/>
              <w:rPr>
                <w:sz w:val="3"/>
                <w:szCs w:val="3"/>
                <w:color w:val="auto"/>
              </w:rPr>
            </w:pPr>
          </w:p>
        </w:tc>
        <w:tc>
          <w:tcPr>
            <w:tcW w:w="1060" w:type="dxa"/>
            <w:vAlign w:val="bottom"/>
            <w:tcBorders>
              <w:bottom w:val="single" w:sz="8" w:color="E9F1FB"/>
            </w:tcBorders>
          </w:tcPr>
          <w:p>
            <w:pPr>
              <w:spacing w:after="0"/>
              <w:rPr>
                <w:sz w:val="3"/>
                <w:szCs w:val="3"/>
                <w:color w:val="auto"/>
              </w:rPr>
            </w:pPr>
          </w:p>
        </w:tc>
        <w:tc>
          <w:tcPr>
            <w:tcW w:w="1040" w:type="dxa"/>
            <w:vAlign w:val="bottom"/>
            <w:tcBorders>
              <w:bottom w:val="single" w:sz="8" w:color="E9F1FB"/>
            </w:tcBorders>
          </w:tcPr>
          <w:p>
            <w:pPr>
              <w:spacing w:after="0"/>
              <w:rPr>
                <w:sz w:val="3"/>
                <w:szCs w:val="3"/>
                <w:color w:val="auto"/>
              </w:rPr>
            </w:pPr>
          </w:p>
        </w:tc>
        <w:tc>
          <w:tcPr>
            <w:tcW w:w="1220" w:type="dxa"/>
            <w:vAlign w:val="bottom"/>
            <w:tcBorders>
              <w:bottom w:val="single" w:sz="8" w:color="E9F1FB"/>
            </w:tcBorders>
          </w:tcPr>
          <w:p>
            <w:pPr>
              <w:spacing w:after="0"/>
              <w:rPr>
                <w:sz w:val="3"/>
                <w:szCs w:val="3"/>
                <w:color w:val="auto"/>
              </w:rPr>
            </w:pPr>
          </w:p>
        </w:tc>
        <w:tc>
          <w:tcPr>
            <w:tcW w:w="760" w:type="dxa"/>
            <w:vAlign w:val="bottom"/>
            <w:tcBorders>
              <w:bottom w:val="single" w:sz="8" w:color="E9F1FB"/>
            </w:tcBorders>
          </w:tcPr>
          <w:p>
            <w:pPr>
              <w:spacing w:after="0"/>
              <w:rPr>
                <w:sz w:val="3"/>
                <w:szCs w:val="3"/>
                <w:color w:val="auto"/>
              </w:rPr>
            </w:pPr>
          </w:p>
        </w:tc>
        <w:tc>
          <w:tcPr>
            <w:tcW w:w="720" w:type="dxa"/>
            <w:vAlign w:val="bottom"/>
            <w:tcBorders>
              <w:bottom w:val="single" w:sz="8" w:color="E9F1FB"/>
            </w:tcBorders>
          </w:tcPr>
          <w:p>
            <w:pPr>
              <w:spacing w:after="0"/>
              <w:rPr>
                <w:sz w:val="3"/>
                <w:szCs w:val="3"/>
                <w:color w:val="auto"/>
              </w:rPr>
            </w:pPr>
          </w:p>
        </w:tc>
        <w:tc>
          <w:tcPr>
            <w:tcW w:w="660" w:type="dxa"/>
            <w:vAlign w:val="bottom"/>
            <w:tcBorders>
              <w:bottom w:val="single" w:sz="8" w:color="E9F1FB"/>
            </w:tcBorders>
          </w:tcPr>
          <w:p>
            <w:pPr>
              <w:spacing w:after="0"/>
              <w:rPr>
                <w:sz w:val="3"/>
                <w:szCs w:val="3"/>
                <w:color w:val="auto"/>
              </w:rPr>
            </w:pPr>
          </w:p>
        </w:tc>
      </w:tr>
      <w:tr>
        <w:trPr>
          <w:trHeight w:val="195"/>
        </w:trPr>
        <w:tc>
          <w:tcPr>
            <w:tcW w:w="3800" w:type="dxa"/>
            <w:vAlign w:val="bottom"/>
          </w:tcPr>
          <w:p>
            <w:pPr>
              <w:ind w:left="80"/>
              <w:spacing w:after="0"/>
              <w:rPr>
                <w:sz w:val="20"/>
                <w:szCs w:val="20"/>
                <w:color w:val="auto"/>
              </w:rPr>
            </w:pPr>
            <w:r>
              <w:rPr>
                <w:rFonts w:ascii="Arial" w:cs="Arial" w:eastAsia="Arial" w:hAnsi="Arial"/>
                <w:sz w:val="13"/>
                <w:szCs w:val="13"/>
                <w:color w:val="auto"/>
              </w:rPr>
              <w:t>Prudential Financial Inc.</w:t>
            </w:r>
          </w:p>
        </w:tc>
        <w:tc>
          <w:tcPr>
            <w:tcW w:w="2160" w:type="dxa"/>
            <w:vAlign w:val="bottom"/>
          </w:tcPr>
          <w:p>
            <w:pPr>
              <w:jc w:val="right"/>
              <w:ind w:right="53"/>
              <w:spacing w:after="0"/>
              <w:rPr>
                <w:sz w:val="20"/>
                <w:szCs w:val="20"/>
                <w:color w:val="auto"/>
              </w:rPr>
            </w:pPr>
            <w:r>
              <w:rPr>
                <w:rFonts w:ascii="Arial" w:cs="Arial" w:eastAsia="Arial" w:hAnsi="Arial"/>
                <w:sz w:val="13"/>
                <w:szCs w:val="13"/>
                <w:color w:val="auto"/>
              </w:rPr>
              <w:t>63.0</w:t>
            </w:r>
          </w:p>
        </w:tc>
        <w:tc>
          <w:tcPr>
            <w:tcW w:w="1060" w:type="dxa"/>
            <w:vAlign w:val="bottom"/>
          </w:tcPr>
          <w:p>
            <w:pPr>
              <w:jc w:val="right"/>
              <w:ind w:right="53"/>
              <w:spacing w:after="0"/>
              <w:rPr>
                <w:sz w:val="20"/>
                <w:szCs w:val="20"/>
                <w:color w:val="auto"/>
              </w:rPr>
            </w:pPr>
            <w:r>
              <w:rPr>
                <w:rFonts w:ascii="Arial" w:cs="Arial" w:eastAsia="Arial" w:hAnsi="Arial"/>
                <w:sz w:val="13"/>
                <w:szCs w:val="13"/>
                <w:color w:val="auto"/>
              </w:rPr>
              <w:t>33.5</w:t>
            </w:r>
          </w:p>
        </w:tc>
        <w:tc>
          <w:tcPr>
            <w:tcW w:w="1040" w:type="dxa"/>
            <w:vAlign w:val="bottom"/>
          </w:tcPr>
          <w:p>
            <w:pPr>
              <w:jc w:val="right"/>
              <w:ind w:right="33"/>
              <w:spacing w:after="0"/>
              <w:rPr>
                <w:sz w:val="20"/>
                <w:szCs w:val="20"/>
                <w:color w:val="auto"/>
              </w:rPr>
            </w:pPr>
            <w:r>
              <w:rPr>
                <w:rFonts w:ascii="Arial" w:cs="Arial" w:eastAsia="Arial" w:hAnsi="Arial"/>
                <w:sz w:val="13"/>
                <w:szCs w:val="13"/>
                <w:color w:val="auto"/>
              </w:rPr>
              <w:t>815.1</w:t>
            </w:r>
          </w:p>
        </w:tc>
        <w:tc>
          <w:tcPr>
            <w:tcW w:w="1220" w:type="dxa"/>
            <w:vAlign w:val="bottom"/>
          </w:tcPr>
          <w:p>
            <w:pPr>
              <w:jc w:val="right"/>
              <w:ind w:right="213"/>
              <w:spacing w:after="0"/>
              <w:rPr>
                <w:sz w:val="20"/>
                <w:szCs w:val="20"/>
                <w:color w:val="auto"/>
              </w:rPr>
            </w:pPr>
            <w:r>
              <w:rPr>
                <w:rFonts w:ascii="Arial" w:cs="Arial" w:eastAsia="Arial" w:hAnsi="Arial"/>
                <w:sz w:val="13"/>
                <w:szCs w:val="13"/>
                <w:color w:val="auto"/>
              </w:rPr>
              <w:t>41.8</w:t>
            </w:r>
          </w:p>
        </w:tc>
        <w:tc>
          <w:tcPr>
            <w:tcW w:w="760" w:type="dxa"/>
            <w:vAlign w:val="bottom"/>
          </w:tcPr>
          <w:p>
            <w:pPr>
              <w:jc w:val="right"/>
              <w:ind w:right="53"/>
              <w:spacing w:after="0"/>
              <w:rPr>
                <w:sz w:val="20"/>
                <w:szCs w:val="20"/>
                <w:color w:val="auto"/>
              </w:rPr>
            </w:pPr>
            <w:r>
              <w:rPr>
                <w:rFonts w:ascii="Arial" w:cs="Arial" w:eastAsia="Arial" w:hAnsi="Arial"/>
                <w:sz w:val="13"/>
                <w:szCs w:val="13"/>
                <w:color w:val="auto"/>
              </w:rPr>
              <w:t>(26.5)</w:t>
            </w:r>
          </w:p>
        </w:tc>
        <w:tc>
          <w:tcPr>
            <w:tcW w:w="720" w:type="dxa"/>
            <w:vAlign w:val="bottom"/>
          </w:tcPr>
          <w:p>
            <w:pPr>
              <w:jc w:val="right"/>
              <w:ind w:right="113"/>
              <w:spacing w:after="0"/>
              <w:rPr>
                <w:sz w:val="20"/>
                <w:szCs w:val="20"/>
                <w:color w:val="auto"/>
              </w:rPr>
            </w:pPr>
            <w:r>
              <w:rPr>
                <w:rFonts w:ascii="Arial" w:cs="Arial" w:eastAsia="Arial" w:hAnsi="Arial"/>
                <w:sz w:val="13"/>
                <w:szCs w:val="13"/>
                <w:color w:val="auto"/>
              </w:rPr>
              <w:t>10.7</w:t>
            </w:r>
          </w:p>
        </w:tc>
        <w:tc>
          <w:tcPr>
            <w:tcW w:w="660" w:type="dxa"/>
            <w:vAlign w:val="bottom"/>
          </w:tcPr>
          <w:p>
            <w:pPr>
              <w:jc w:val="right"/>
              <w:ind w:right="53"/>
              <w:spacing w:after="0"/>
              <w:rPr>
                <w:sz w:val="20"/>
                <w:szCs w:val="20"/>
                <w:color w:val="auto"/>
              </w:rPr>
            </w:pPr>
            <w:r>
              <w:rPr>
                <w:rFonts w:ascii="Arial" w:cs="Arial" w:eastAsia="Arial" w:hAnsi="Arial"/>
                <w:sz w:val="13"/>
                <w:szCs w:val="13"/>
                <w:color w:val="auto"/>
              </w:rPr>
              <w:t>3.2</w:t>
            </w:r>
          </w:p>
        </w:tc>
      </w:tr>
      <w:tr>
        <w:trPr>
          <w:trHeight w:val="41"/>
        </w:trPr>
        <w:tc>
          <w:tcPr>
            <w:tcW w:w="3800" w:type="dxa"/>
            <w:vAlign w:val="bottom"/>
            <w:tcBorders>
              <w:bottom w:val="single" w:sz="8" w:color="E9F1FB"/>
            </w:tcBorders>
          </w:tcPr>
          <w:p>
            <w:pPr>
              <w:spacing w:after="0"/>
              <w:rPr>
                <w:sz w:val="3"/>
                <w:szCs w:val="3"/>
                <w:color w:val="auto"/>
              </w:rPr>
            </w:pPr>
          </w:p>
        </w:tc>
        <w:tc>
          <w:tcPr>
            <w:tcW w:w="2160" w:type="dxa"/>
            <w:vAlign w:val="bottom"/>
            <w:tcBorders>
              <w:bottom w:val="single" w:sz="8" w:color="E9F1FB"/>
            </w:tcBorders>
          </w:tcPr>
          <w:p>
            <w:pPr>
              <w:spacing w:after="0"/>
              <w:rPr>
                <w:sz w:val="3"/>
                <w:szCs w:val="3"/>
                <w:color w:val="auto"/>
              </w:rPr>
            </w:pPr>
          </w:p>
        </w:tc>
        <w:tc>
          <w:tcPr>
            <w:tcW w:w="1060" w:type="dxa"/>
            <w:vAlign w:val="bottom"/>
            <w:tcBorders>
              <w:bottom w:val="single" w:sz="8" w:color="E9F1FB"/>
            </w:tcBorders>
          </w:tcPr>
          <w:p>
            <w:pPr>
              <w:spacing w:after="0"/>
              <w:rPr>
                <w:sz w:val="3"/>
                <w:szCs w:val="3"/>
                <w:color w:val="auto"/>
              </w:rPr>
            </w:pPr>
          </w:p>
        </w:tc>
        <w:tc>
          <w:tcPr>
            <w:tcW w:w="1040" w:type="dxa"/>
            <w:vAlign w:val="bottom"/>
            <w:tcBorders>
              <w:bottom w:val="single" w:sz="8" w:color="E9F1FB"/>
            </w:tcBorders>
          </w:tcPr>
          <w:p>
            <w:pPr>
              <w:spacing w:after="0"/>
              <w:rPr>
                <w:sz w:val="3"/>
                <w:szCs w:val="3"/>
                <w:color w:val="auto"/>
              </w:rPr>
            </w:pPr>
          </w:p>
        </w:tc>
        <w:tc>
          <w:tcPr>
            <w:tcW w:w="1220" w:type="dxa"/>
            <w:vAlign w:val="bottom"/>
            <w:tcBorders>
              <w:bottom w:val="single" w:sz="8" w:color="E9F1FB"/>
            </w:tcBorders>
          </w:tcPr>
          <w:p>
            <w:pPr>
              <w:spacing w:after="0"/>
              <w:rPr>
                <w:sz w:val="3"/>
                <w:szCs w:val="3"/>
                <w:color w:val="auto"/>
              </w:rPr>
            </w:pPr>
          </w:p>
        </w:tc>
        <w:tc>
          <w:tcPr>
            <w:tcW w:w="760" w:type="dxa"/>
            <w:vAlign w:val="bottom"/>
            <w:tcBorders>
              <w:bottom w:val="single" w:sz="8" w:color="E9F1FB"/>
            </w:tcBorders>
          </w:tcPr>
          <w:p>
            <w:pPr>
              <w:spacing w:after="0"/>
              <w:rPr>
                <w:sz w:val="3"/>
                <w:szCs w:val="3"/>
                <w:color w:val="auto"/>
              </w:rPr>
            </w:pPr>
          </w:p>
        </w:tc>
        <w:tc>
          <w:tcPr>
            <w:tcW w:w="720" w:type="dxa"/>
            <w:vAlign w:val="bottom"/>
            <w:tcBorders>
              <w:bottom w:val="single" w:sz="8" w:color="E9F1FB"/>
            </w:tcBorders>
          </w:tcPr>
          <w:p>
            <w:pPr>
              <w:spacing w:after="0"/>
              <w:rPr>
                <w:sz w:val="3"/>
                <w:szCs w:val="3"/>
                <w:color w:val="auto"/>
              </w:rPr>
            </w:pPr>
          </w:p>
        </w:tc>
        <w:tc>
          <w:tcPr>
            <w:tcW w:w="660" w:type="dxa"/>
            <w:vAlign w:val="bottom"/>
            <w:tcBorders>
              <w:bottom w:val="single" w:sz="8" w:color="E9F1FB"/>
            </w:tcBorders>
          </w:tcPr>
          <w:p>
            <w:pPr>
              <w:spacing w:after="0"/>
              <w:rPr>
                <w:sz w:val="3"/>
                <w:szCs w:val="3"/>
                <w:color w:val="auto"/>
              </w:rPr>
            </w:pPr>
          </w:p>
        </w:tc>
      </w:tr>
      <w:tr>
        <w:trPr>
          <w:trHeight w:val="195"/>
        </w:trPr>
        <w:tc>
          <w:tcPr>
            <w:tcW w:w="3800" w:type="dxa"/>
            <w:vAlign w:val="bottom"/>
          </w:tcPr>
          <w:p>
            <w:pPr>
              <w:ind w:left="80"/>
              <w:spacing w:after="0"/>
              <w:rPr>
                <w:sz w:val="20"/>
                <w:szCs w:val="20"/>
                <w:color w:val="auto"/>
              </w:rPr>
            </w:pPr>
            <w:r>
              <w:rPr>
                <w:rFonts w:ascii="Arial" w:cs="Arial" w:eastAsia="Arial" w:hAnsi="Arial"/>
                <w:sz w:val="13"/>
                <w:szCs w:val="13"/>
                <w:color w:val="auto"/>
              </w:rPr>
              <w:t>The Travelers Companies Inc.</w:t>
            </w:r>
          </w:p>
        </w:tc>
        <w:tc>
          <w:tcPr>
            <w:tcW w:w="2160" w:type="dxa"/>
            <w:vAlign w:val="bottom"/>
          </w:tcPr>
          <w:p>
            <w:pPr>
              <w:jc w:val="right"/>
              <w:ind w:right="53"/>
              <w:spacing w:after="0"/>
              <w:rPr>
                <w:sz w:val="20"/>
                <w:szCs w:val="20"/>
                <w:color w:val="auto"/>
              </w:rPr>
            </w:pPr>
            <w:r>
              <w:rPr>
                <w:rFonts w:ascii="Arial" w:cs="Arial" w:eastAsia="Arial" w:hAnsi="Arial"/>
                <w:sz w:val="13"/>
                <w:szCs w:val="13"/>
                <w:color w:val="auto"/>
              </w:rPr>
              <w:t>30.3</w:t>
            </w:r>
          </w:p>
        </w:tc>
        <w:tc>
          <w:tcPr>
            <w:tcW w:w="1060" w:type="dxa"/>
            <w:vAlign w:val="bottom"/>
          </w:tcPr>
          <w:p>
            <w:pPr>
              <w:jc w:val="right"/>
              <w:ind w:right="53"/>
              <w:spacing w:after="0"/>
              <w:rPr>
                <w:sz w:val="20"/>
                <w:szCs w:val="20"/>
                <w:color w:val="auto"/>
              </w:rPr>
            </w:pPr>
            <w:r>
              <w:rPr>
                <w:rFonts w:ascii="Arial" w:cs="Arial" w:eastAsia="Arial" w:hAnsi="Arial"/>
                <w:sz w:val="13"/>
                <w:szCs w:val="13"/>
                <w:color w:val="auto"/>
              </w:rPr>
              <w:t>31.6</w:t>
            </w:r>
          </w:p>
        </w:tc>
        <w:tc>
          <w:tcPr>
            <w:tcW w:w="1040" w:type="dxa"/>
            <w:vAlign w:val="bottom"/>
          </w:tcPr>
          <w:p>
            <w:pPr>
              <w:jc w:val="right"/>
              <w:ind w:right="33"/>
              <w:spacing w:after="0"/>
              <w:rPr>
                <w:sz w:val="20"/>
                <w:szCs w:val="20"/>
                <w:color w:val="auto"/>
              </w:rPr>
            </w:pPr>
            <w:r>
              <w:rPr>
                <w:rFonts w:ascii="Arial" w:cs="Arial" w:eastAsia="Arial" w:hAnsi="Arial"/>
                <w:sz w:val="13"/>
                <w:szCs w:val="13"/>
                <w:color w:val="auto"/>
              </w:rPr>
              <w:t>104.2</w:t>
            </w:r>
          </w:p>
        </w:tc>
        <w:tc>
          <w:tcPr>
            <w:tcW w:w="1220" w:type="dxa"/>
            <w:vAlign w:val="bottom"/>
          </w:tcPr>
          <w:p>
            <w:pPr>
              <w:jc w:val="right"/>
              <w:ind w:right="213"/>
              <w:spacing w:after="0"/>
              <w:rPr>
                <w:sz w:val="20"/>
                <w:szCs w:val="20"/>
                <w:color w:val="auto"/>
              </w:rPr>
            </w:pPr>
            <w:r>
              <w:rPr>
                <w:rFonts w:ascii="Arial" w:cs="Arial" w:eastAsia="Arial" w:hAnsi="Arial"/>
                <w:sz w:val="13"/>
                <w:szCs w:val="13"/>
                <w:color w:val="auto"/>
              </w:rPr>
              <w:t>27.1</w:t>
            </w:r>
          </w:p>
        </w:tc>
        <w:tc>
          <w:tcPr>
            <w:tcW w:w="760" w:type="dxa"/>
            <w:vAlign w:val="bottom"/>
          </w:tcPr>
          <w:p>
            <w:pPr>
              <w:jc w:val="right"/>
              <w:ind w:right="53"/>
              <w:spacing w:after="0"/>
              <w:rPr>
                <w:sz w:val="20"/>
                <w:szCs w:val="20"/>
                <w:color w:val="auto"/>
              </w:rPr>
            </w:pPr>
            <w:r>
              <w:rPr>
                <w:rFonts w:ascii="Arial" w:cs="Arial" w:eastAsia="Arial" w:hAnsi="Arial"/>
                <w:sz w:val="13"/>
                <w:szCs w:val="13"/>
                <w:color w:val="auto"/>
              </w:rPr>
              <w:t>(9.6)</w:t>
            </w:r>
          </w:p>
        </w:tc>
        <w:tc>
          <w:tcPr>
            <w:tcW w:w="720" w:type="dxa"/>
            <w:vAlign w:val="bottom"/>
          </w:tcPr>
          <w:p>
            <w:pPr>
              <w:jc w:val="right"/>
              <w:ind w:right="113"/>
              <w:spacing w:after="0"/>
              <w:rPr>
                <w:sz w:val="20"/>
                <w:szCs w:val="20"/>
                <w:color w:val="auto"/>
              </w:rPr>
            </w:pPr>
            <w:r>
              <w:rPr>
                <w:rFonts w:ascii="Arial" w:cs="Arial" w:eastAsia="Arial" w:hAnsi="Arial"/>
                <w:sz w:val="13"/>
                <w:szCs w:val="13"/>
                <w:color w:val="auto"/>
              </w:rPr>
              <w:t>13.7</w:t>
            </w:r>
          </w:p>
        </w:tc>
        <w:tc>
          <w:tcPr>
            <w:tcW w:w="660" w:type="dxa"/>
            <w:vAlign w:val="bottom"/>
          </w:tcPr>
          <w:p>
            <w:pPr>
              <w:jc w:val="right"/>
              <w:ind w:right="53"/>
              <w:spacing w:after="0"/>
              <w:rPr>
                <w:sz w:val="20"/>
                <w:szCs w:val="20"/>
                <w:color w:val="auto"/>
              </w:rPr>
            </w:pPr>
            <w:r>
              <w:rPr>
                <w:rFonts w:ascii="Arial" w:cs="Arial" w:eastAsia="Arial" w:hAnsi="Arial"/>
                <w:sz w:val="13"/>
                <w:szCs w:val="13"/>
                <w:color w:val="auto"/>
              </w:rPr>
              <w:t>48.3</w:t>
            </w:r>
          </w:p>
        </w:tc>
      </w:tr>
      <w:tr>
        <w:trPr>
          <w:trHeight w:val="41"/>
        </w:trPr>
        <w:tc>
          <w:tcPr>
            <w:tcW w:w="3800" w:type="dxa"/>
            <w:vAlign w:val="bottom"/>
            <w:tcBorders>
              <w:bottom w:val="single" w:sz="8" w:color="E9F1FB"/>
            </w:tcBorders>
          </w:tcPr>
          <w:p>
            <w:pPr>
              <w:spacing w:after="0"/>
              <w:rPr>
                <w:sz w:val="3"/>
                <w:szCs w:val="3"/>
                <w:color w:val="auto"/>
              </w:rPr>
            </w:pPr>
          </w:p>
        </w:tc>
        <w:tc>
          <w:tcPr>
            <w:tcW w:w="2160" w:type="dxa"/>
            <w:vAlign w:val="bottom"/>
            <w:tcBorders>
              <w:bottom w:val="single" w:sz="8" w:color="E9F1FB"/>
            </w:tcBorders>
          </w:tcPr>
          <w:p>
            <w:pPr>
              <w:spacing w:after="0"/>
              <w:rPr>
                <w:sz w:val="3"/>
                <w:szCs w:val="3"/>
                <w:color w:val="auto"/>
              </w:rPr>
            </w:pPr>
          </w:p>
        </w:tc>
        <w:tc>
          <w:tcPr>
            <w:tcW w:w="1060" w:type="dxa"/>
            <w:vAlign w:val="bottom"/>
            <w:tcBorders>
              <w:bottom w:val="single" w:sz="8" w:color="E9F1FB"/>
            </w:tcBorders>
          </w:tcPr>
          <w:p>
            <w:pPr>
              <w:spacing w:after="0"/>
              <w:rPr>
                <w:sz w:val="3"/>
                <w:szCs w:val="3"/>
                <w:color w:val="auto"/>
              </w:rPr>
            </w:pPr>
          </w:p>
        </w:tc>
        <w:tc>
          <w:tcPr>
            <w:tcW w:w="1040" w:type="dxa"/>
            <w:vAlign w:val="bottom"/>
            <w:tcBorders>
              <w:bottom w:val="single" w:sz="8" w:color="E9F1FB"/>
            </w:tcBorders>
          </w:tcPr>
          <w:p>
            <w:pPr>
              <w:spacing w:after="0"/>
              <w:rPr>
                <w:sz w:val="3"/>
                <w:szCs w:val="3"/>
                <w:color w:val="auto"/>
              </w:rPr>
            </w:pPr>
          </w:p>
        </w:tc>
        <w:tc>
          <w:tcPr>
            <w:tcW w:w="1220" w:type="dxa"/>
            <w:vAlign w:val="bottom"/>
            <w:tcBorders>
              <w:bottom w:val="single" w:sz="8" w:color="E9F1FB"/>
            </w:tcBorders>
          </w:tcPr>
          <w:p>
            <w:pPr>
              <w:spacing w:after="0"/>
              <w:rPr>
                <w:sz w:val="3"/>
                <w:szCs w:val="3"/>
                <w:color w:val="auto"/>
              </w:rPr>
            </w:pPr>
          </w:p>
        </w:tc>
        <w:tc>
          <w:tcPr>
            <w:tcW w:w="760" w:type="dxa"/>
            <w:vAlign w:val="bottom"/>
            <w:tcBorders>
              <w:bottom w:val="single" w:sz="8" w:color="E9F1FB"/>
            </w:tcBorders>
          </w:tcPr>
          <w:p>
            <w:pPr>
              <w:spacing w:after="0"/>
              <w:rPr>
                <w:sz w:val="3"/>
                <w:szCs w:val="3"/>
                <w:color w:val="auto"/>
              </w:rPr>
            </w:pPr>
          </w:p>
        </w:tc>
        <w:tc>
          <w:tcPr>
            <w:tcW w:w="720" w:type="dxa"/>
            <w:vAlign w:val="bottom"/>
            <w:tcBorders>
              <w:bottom w:val="single" w:sz="8" w:color="E9F1FB"/>
            </w:tcBorders>
          </w:tcPr>
          <w:p>
            <w:pPr>
              <w:spacing w:after="0"/>
              <w:rPr>
                <w:sz w:val="3"/>
                <w:szCs w:val="3"/>
                <w:color w:val="auto"/>
              </w:rPr>
            </w:pPr>
          </w:p>
        </w:tc>
        <w:tc>
          <w:tcPr>
            <w:tcW w:w="660" w:type="dxa"/>
            <w:vAlign w:val="bottom"/>
            <w:tcBorders>
              <w:bottom w:val="single" w:sz="8" w:color="E9F1FB"/>
            </w:tcBorders>
          </w:tcPr>
          <w:p>
            <w:pPr>
              <w:spacing w:after="0"/>
              <w:rPr>
                <w:sz w:val="3"/>
                <w:szCs w:val="3"/>
                <w:color w:val="auto"/>
              </w:rPr>
            </w:pPr>
          </w:p>
        </w:tc>
      </w:tr>
      <w:tr>
        <w:trPr>
          <w:trHeight w:val="195"/>
        </w:trPr>
        <w:tc>
          <w:tcPr>
            <w:tcW w:w="3800" w:type="dxa"/>
            <w:vAlign w:val="bottom"/>
          </w:tcPr>
          <w:p>
            <w:pPr>
              <w:ind w:left="80"/>
              <w:spacing w:after="0"/>
              <w:rPr>
                <w:sz w:val="20"/>
                <w:szCs w:val="20"/>
                <w:color w:val="auto"/>
              </w:rPr>
            </w:pPr>
            <w:r>
              <w:rPr>
                <w:rFonts w:ascii="Arial" w:cs="Arial" w:eastAsia="Arial" w:hAnsi="Arial"/>
                <w:sz w:val="13"/>
                <w:szCs w:val="13"/>
                <w:color w:val="auto"/>
              </w:rPr>
              <w:t>Allstate</w:t>
            </w:r>
          </w:p>
        </w:tc>
        <w:tc>
          <w:tcPr>
            <w:tcW w:w="2160" w:type="dxa"/>
            <w:vAlign w:val="bottom"/>
          </w:tcPr>
          <w:p>
            <w:pPr>
              <w:jc w:val="right"/>
              <w:ind w:right="53"/>
              <w:spacing w:after="0"/>
              <w:rPr>
                <w:sz w:val="20"/>
                <w:szCs w:val="20"/>
                <w:color w:val="auto"/>
              </w:rPr>
            </w:pPr>
            <w:r>
              <w:rPr>
                <w:rFonts w:ascii="Arial" w:cs="Arial" w:eastAsia="Arial" w:hAnsi="Arial"/>
                <w:sz w:val="13"/>
                <w:szCs w:val="13"/>
                <w:color w:val="auto"/>
              </w:rPr>
              <w:t>39.8</w:t>
            </w:r>
          </w:p>
        </w:tc>
        <w:tc>
          <w:tcPr>
            <w:tcW w:w="1060" w:type="dxa"/>
            <w:vAlign w:val="bottom"/>
          </w:tcPr>
          <w:p>
            <w:pPr>
              <w:jc w:val="right"/>
              <w:ind w:right="53"/>
              <w:spacing w:after="0"/>
              <w:rPr>
                <w:sz w:val="20"/>
                <w:szCs w:val="20"/>
                <w:color w:val="auto"/>
              </w:rPr>
            </w:pPr>
            <w:r>
              <w:rPr>
                <w:rFonts w:ascii="Arial" w:cs="Arial" w:eastAsia="Arial" w:hAnsi="Arial"/>
                <w:sz w:val="13"/>
                <w:szCs w:val="13"/>
                <w:color w:val="auto"/>
              </w:rPr>
              <w:t>27.4</w:t>
            </w:r>
          </w:p>
        </w:tc>
        <w:tc>
          <w:tcPr>
            <w:tcW w:w="1040" w:type="dxa"/>
            <w:vAlign w:val="bottom"/>
          </w:tcPr>
          <w:p>
            <w:pPr>
              <w:jc w:val="right"/>
              <w:ind w:right="33"/>
              <w:spacing w:after="0"/>
              <w:rPr>
                <w:sz w:val="20"/>
                <w:szCs w:val="20"/>
                <w:color w:val="auto"/>
              </w:rPr>
            </w:pPr>
            <w:r>
              <w:rPr>
                <w:rFonts w:ascii="Arial" w:cs="Arial" w:eastAsia="Arial" w:hAnsi="Arial"/>
                <w:sz w:val="13"/>
                <w:szCs w:val="13"/>
                <w:color w:val="auto"/>
              </w:rPr>
              <w:t>112.2</w:t>
            </w:r>
          </w:p>
        </w:tc>
        <w:tc>
          <w:tcPr>
            <w:tcW w:w="1220" w:type="dxa"/>
            <w:vAlign w:val="bottom"/>
          </w:tcPr>
          <w:p>
            <w:pPr>
              <w:jc w:val="right"/>
              <w:ind w:right="213"/>
              <w:spacing w:after="0"/>
              <w:rPr>
                <w:sz w:val="20"/>
                <w:szCs w:val="20"/>
                <w:color w:val="auto"/>
              </w:rPr>
            </w:pPr>
            <w:r>
              <w:rPr>
                <w:rFonts w:ascii="Arial" w:cs="Arial" w:eastAsia="Arial" w:hAnsi="Arial"/>
                <w:sz w:val="13"/>
                <w:szCs w:val="13"/>
                <w:color w:val="auto"/>
              </w:rPr>
              <w:t>36.5</w:t>
            </w:r>
          </w:p>
        </w:tc>
        <w:tc>
          <w:tcPr>
            <w:tcW w:w="760" w:type="dxa"/>
            <w:vAlign w:val="bottom"/>
          </w:tcPr>
          <w:p>
            <w:pPr>
              <w:jc w:val="right"/>
              <w:ind w:right="53"/>
              <w:spacing w:after="0"/>
              <w:rPr>
                <w:sz w:val="20"/>
                <w:szCs w:val="20"/>
                <w:color w:val="auto"/>
              </w:rPr>
            </w:pPr>
            <w:r>
              <w:rPr>
                <w:rFonts w:ascii="Arial" w:cs="Arial" w:eastAsia="Arial" w:hAnsi="Arial"/>
                <w:sz w:val="13"/>
                <w:szCs w:val="13"/>
                <w:color w:val="auto"/>
              </w:rPr>
              <w:t>(19.5)</w:t>
            </w:r>
          </w:p>
        </w:tc>
        <w:tc>
          <w:tcPr>
            <w:tcW w:w="720" w:type="dxa"/>
            <w:vAlign w:val="bottom"/>
          </w:tcPr>
          <w:p>
            <w:pPr>
              <w:jc w:val="right"/>
              <w:ind w:right="113"/>
              <w:spacing w:after="0"/>
              <w:rPr>
                <w:sz w:val="20"/>
                <w:szCs w:val="20"/>
                <w:color w:val="auto"/>
              </w:rPr>
            </w:pPr>
            <w:r>
              <w:rPr>
                <w:rFonts w:ascii="Arial" w:cs="Arial" w:eastAsia="Arial" w:hAnsi="Arial"/>
                <w:sz w:val="13"/>
                <w:szCs w:val="13"/>
                <w:color w:val="auto"/>
              </w:rPr>
              <w:t>40.7</w:t>
            </w:r>
          </w:p>
        </w:tc>
        <w:tc>
          <w:tcPr>
            <w:tcW w:w="660" w:type="dxa"/>
            <w:vAlign w:val="bottom"/>
          </w:tcPr>
          <w:p>
            <w:pPr>
              <w:jc w:val="right"/>
              <w:ind w:right="53"/>
              <w:spacing w:after="0"/>
              <w:rPr>
                <w:sz w:val="20"/>
                <w:szCs w:val="20"/>
                <w:color w:val="auto"/>
              </w:rPr>
            </w:pPr>
            <w:r>
              <w:rPr>
                <w:rFonts w:ascii="Arial" w:cs="Arial" w:eastAsia="Arial" w:hAnsi="Arial"/>
                <w:sz w:val="13"/>
                <w:szCs w:val="13"/>
                <w:color w:val="auto"/>
              </w:rPr>
              <w:t>66.2</w:t>
            </w:r>
          </w:p>
        </w:tc>
      </w:tr>
      <w:tr>
        <w:trPr>
          <w:trHeight w:val="41"/>
        </w:trPr>
        <w:tc>
          <w:tcPr>
            <w:tcW w:w="3800" w:type="dxa"/>
            <w:vAlign w:val="bottom"/>
            <w:tcBorders>
              <w:bottom w:val="single" w:sz="8" w:color="E9F1FB"/>
            </w:tcBorders>
          </w:tcPr>
          <w:p>
            <w:pPr>
              <w:spacing w:after="0"/>
              <w:rPr>
                <w:sz w:val="3"/>
                <w:szCs w:val="3"/>
                <w:color w:val="auto"/>
              </w:rPr>
            </w:pPr>
          </w:p>
        </w:tc>
        <w:tc>
          <w:tcPr>
            <w:tcW w:w="2160" w:type="dxa"/>
            <w:vAlign w:val="bottom"/>
            <w:tcBorders>
              <w:bottom w:val="single" w:sz="8" w:color="E9F1FB"/>
            </w:tcBorders>
          </w:tcPr>
          <w:p>
            <w:pPr>
              <w:spacing w:after="0"/>
              <w:rPr>
                <w:sz w:val="3"/>
                <w:szCs w:val="3"/>
                <w:color w:val="auto"/>
              </w:rPr>
            </w:pPr>
          </w:p>
        </w:tc>
        <w:tc>
          <w:tcPr>
            <w:tcW w:w="1060" w:type="dxa"/>
            <w:vAlign w:val="bottom"/>
            <w:tcBorders>
              <w:bottom w:val="single" w:sz="8" w:color="E9F1FB"/>
            </w:tcBorders>
          </w:tcPr>
          <w:p>
            <w:pPr>
              <w:spacing w:after="0"/>
              <w:rPr>
                <w:sz w:val="3"/>
                <w:szCs w:val="3"/>
                <w:color w:val="auto"/>
              </w:rPr>
            </w:pPr>
          </w:p>
        </w:tc>
        <w:tc>
          <w:tcPr>
            <w:tcW w:w="1040" w:type="dxa"/>
            <w:vAlign w:val="bottom"/>
            <w:tcBorders>
              <w:bottom w:val="single" w:sz="8" w:color="E9F1FB"/>
            </w:tcBorders>
          </w:tcPr>
          <w:p>
            <w:pPr>
              <w:spacing w:after="0"/>
              <w:rPr>
                <w:sz w:val="3"/>
                <w:szCs w:val="3"/>
                <w:color w:val="auto"/>
              </w:rPr>
            </w:pPr>
          </w:p>
        </w:tc>
        <w:tc>
          <w:tcPr>
            <w:tcW w:w="1220" w:type="dxa"/>
            <w:vAlign w:val="bottom"/>
            <w:tcBorders>
              <w:bottom w:val="single" w:sz="8" w:color="E9F1FB"/>
            </w:tcBorders>
          </w:tcPr>
          <w:p>
            <w:pPr>
              <w:spacing w:after="0"/>
              <w:rPr>
                <w:sz w:val="3"/>
                <w:szCs w:val="3"/>
                <w:color w:val="auto"/>
              </w:rPr>
            </w:pPr>
          </w:p>
        </w:tc>
        <w:tc>
          <w:tcPr>
            <w:tcW w:w="760" w:type="dxa"/>
            <w:vAlign w:val="bottom"/>
            <w:tcBorders>
              <w:bottom w:val="single" w:sz="8" w:color="E9F1FB"/>
            </w:tcBorders>
          </w:tcPr>
          <w:p>
            <w:pPr>
              <w:spacing w:after="0"/>
              <w:rPr>
                <w:sz w:val="3"/>
                <w:szCs w:val="3"/>
                <w:color w:val="auto"/>
              </w:rPr>
            </w:pPr>
          </w:p>
        </w:tc>
        <w:tc>
          <w:tcPr>
            <w:tcW w:w="720" w:type="dxa"/>
            <w:vAlign w:val="bottom"/>
            <w:tcBorders>
              <w:bottom w:val="single" w:sz="8" w:color="E9F1FB"/>
            </w:tcBorders>
          </w:tcPr>
          <w:p>
            <w:pPr>
              <w:spacing w:after="0"/>
              <w:rPr>
                <w:sz w:val="3"/>
                <w:szCs w:val="3"/>
                <w:color w:val="auto"/>
              </w:rPr>
            </w:pPr>
          </w:p>
        </w:tc>
        <w:tc>
          <w:tcPr>
            <w:tcW w:w="660" w:type="dxa"/>
            <w:vAlign w:val="bottom"/>
            <w:tcBorders>
              <w:bottom w:val="single" w:sz="8" w:color="E9F1FB"/>
            </w:tcBorders>
          </w:tcPr>
          <w:p>
            <w:pPr>
              <w:spacing w:after="0"/>
              <w:rPr>
                <w:sz w:val="3"/>
                <w:szCs w:val="3"/>
                <w:color w:val="auto"/>
              </w:rPr>
            </w:pPr>
          </w:p>
        </w:tc>
      </w:tr>
      <w:tr>
        <w:trPr>
          <w:trHeight w:val="195"/>
        </w:trPr>
        <w:tc>
          <w:tcPr>
            <w:tcW w:w="3800" w:type="dxa"/>
            <w:vAlign w:val="bottom"/>
          </w:tcPr>
          <w:p>
            <w:pPr>
              <w:ind w:left="80"/>
              <w:spacing w:after="0"/>
              <w:rPr>
                <w:sz w:val="20"/>
                <w:szCs w:val="20"/>
                <w:color w:val="auto"/>
              </w:rPr>
            </w:pPr>
            <w:r>
              <w:rPr>
                <w:rFonts w:ascii="Arial" w:cs="Arial" w:eastAsia="Arial" w:hAnsi="Arial"/>
                <w:sz w:val="13"/>
                <w:szCs w:val="13"/>
                <w:color w:val="auto"/>
              </w:rPr>
              <w:t>Allstate Ranking Relative to Peers:</w:t>
            </w:r>
          </w:p>
        </w:tc>
        <w:tc>
          <w:tcPr>
            <w:tcW w:w="2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41"/>
        </w:trPr>
        <w:tc>
          <w:tcPr>
            <w:tcW w:w="3800" w:type="dxa"/>
            <w:vAlign w:val="bottom"/>
            <w:tcBorders>
              <w:bottom w:val="single" w:sz="8" w:color="E9F1FB"/>
            </w:tcBorders>
          </w:tcPr>
          <w:p>
            <w:pPr>
              <w:spacing w:after="0"/>
              <w:rPr>
                <w:sz w:val="3"/>
                <w:szCs w:val="3"/>
                <w:color w:val="auto"/>
              </w:rPr>
            </w:pPr>
          </w:p>
        </w:tc>
        <w:tc>
          <w:tcPr>
            <w:tcW w:w="2160" w:type="dxa"/>
            <w:vAlign w:val="bottom"/>
            <w:tcBorders>
              <w:bottom w:val="single" w:sz="8" w:color="E9F1FB"/>
            </w:tcBorders>
          </w:tcPr>
          <w:p>
            <w:pPr>
              <w:spacing w:after="0"/>
              <w:rPr>
                <w:sz w:val="3"/>
                <w:szCs w:val="3"/>
                <w:color w:val="auto"/>
              </w:rPr>
            </w:pPr>
          </w:p>
        </w:tc>
        <w:tc>
          <w:tcPr>
            <w:tcW w:w="1060" w:type="dxa"/>
            <w:vAlign w:val="bottom"/>
            <w:tcBorders>
              <w:bottom w:val="single" w:sz="8" w:color="E9F1FB"/>
            </w:tcBorders>
          </w:tcPr>
          <w:p>
            <w:pPr>
              <w:spacing w:after="0"/>
              <w:rPr>
                <w:sz w:val="3"/>
                <w:szCs w:val="3"/>
                <w:color w:val="auto"/>
              </w:rPr>
            </w:pPr>
          </w:p>
        </w:tc>
        <w:tc>
          <w:tcPr>
            <w:tcW w:w="1040" w:type="dxa"/>
            <w:vAlign w:val="bottom"/>
            <w:tcBorders>
              <w:bottom w:val="single" w:sz="8" w:color="E9F1FB"/>
            </w:tcBorders>
          </w:tcPr>
          <w:p>
            <w:pPr>
              <w:spacing w:after="0"/>
              <w:rPr>
                <w:sz w:val="3"/>
                <w:szCs w:val="3"/>
                <w:color w:val="auto"/>
              </w:rPr>
            </w:pPr>
          </w:p>
        </w:tc>
        <w:tc>
          <w:tcPr>
            <w:tcW w:w="1220" w:type="dxa"/>
            <w:vAlign w:val="bottom"/>
            <w:tcBorders>
              <w:bottom w:val="single" w:sz="8" w:color="E9F1FB"/>
            </w:tcBorders>
          </w:tcPr>
          <w:p>
            <w:pPr>
              <w:spacing w:after="0"/>
              <w:rPr>
                <w:sz w:val="3"/>
                <w:szCs w:val="3"/>
                <w:color w:val="auto"/>
              </w:rPr>
            </w:pPr>
          </w:p>
        </w:tc>
        <w:tc>
          <w:tcPr>
            <w:tcW w:w="760" w:type="dxa"/>
            <w:vAlign w:val="bottom"/>
            <w:tcBorders>
              <w:bottom w:val="single" w:sz="8" w:color="E9F1FB"/>
            </w:tcBorders>
          </w:tcPr>
          <w:p>
            <w:pPr>
              <w:spacing w:after="0"/>
              <w:rPr>
                <w:sz w:val="3"/>
                <w:szCs w:val="3"/>
                <w:color w:val="auto"/>
              </w:rPr>
            </w:pPr>
          </w:p>
        </w:tc>
        <w:tc>
          <w:tcPr>
            <w:tcW w:w="720" w:type="dxa"/>
            <w:vAlign w:val="bottom"/>
            <w:tcBorders>
              <w:bottom w:val="single" w:sz="8" w:color="E9F1FB"/>
            </w:tcBorders>
          </w:tcPr>
          <w:p>
            <w:pPr>
              <w:spacing w:after="0"/>
              <w:rPr>
                <w:sz w:val="3"/>
                <w:szCs w:val="3"/>
                <w:color w:val="auto"/>
              </w:rPr>
            </w:pPr>
          </w:p>
        </w:tc>
        <w:tc>
          <w:tcPr>
            <w:tcW w:w="660" w:type="dxa"/>
            <w:vAlign w:val="bottom"/>
            <w:tcBorders>
              <w:bottom w:val="single" w:sz="8" w:color="E9F1FB"/>
            </w:tcBorders>
          </w:tcPr>
          <w:p>
            <w:pPr>
              <w:spacing w:after="0"/>
              <w:rPr>
                <w:sz w:val="3"/>
                <w:szCs w:val="3"/>
                <w:color w:val="auto"/>
              </w:rPr>
            </w:pPr>
          </w:p>
        </w:tc>
      </w:tr>
      <w:tr>
        <w:trPr>
          <w:trHeight w:val="195"/>
        </w:trPr>
        <w:tc>
          <w:tcPr>
            <w:tcW w:w="3800" w:type="dxa"/>
            <w:vAlign w:val="bottom"/>
          </w:tcPr>
          <w:p>
            <w:pPr>
              <w:ind w:left="340"/>
              <w:spacing w:after="0"/>
              <w:rPr>
                <w:sz w:val="20"/>
                <w:szCs w:val="20"/>
                <w:color w:val="auto"/>
              </w:rPr>
            </w:pPr>
            <w:r>
              <w:rPr>
                <w:rFonts w:ascii="Arial" w:cs="Arial" w:eastAsia="Arial" w:hAnsi="Arial"/>
                <w:sz w:val="13"/>
                <w:szCs w:val="13"/>
                <w:color w:val="auto"/>
              </w:rPr>
              <w:t>Property and Casualty</w:t>
            </w:r>
          </w:p>
        </w:tc>
        <w:tc>
          <w:tcPr>
            <w:tcW w:w="2160" w:type="dxa"/>
            <w:vAlign w:val="bottom"/>
          </w:tcPr>
          <w:p>
            <w:pPr>
              <w:jc w:val="right"/>
              <w:ind w:right="53"/>
              <w:spacing w:after="0"/>
              <w:rPr>
                <w:sz w:val="20"/>
                <w:szCs w:val="20"/>
                <w:color w:val="auto"/>
              </w:rPr>
            </w:pPr>
            <w:r>
              <w:rPr>
                <w:rFonts w:ascii="Arial" w:cs="Arial" w:eastAsia="Arial" w:hAnsi="Arial"/>
                <w:sz w:val="13"/>
                <w:szCs w:val="13"/>
                <w:color w:val="auto"/>
              </w:rPr>
              <w:t>3 of 8</w:t>
            </w:r>
          </w:p>
        </w:tc>
        <w:tc>
          <w:tcPr>
            <w:tcW w:w="1060" w:type="dxa"/>
            <w:vAlign w:val="bottom"/>
          </w:tcPr>
          <w:p>
            <w:pPr>
              <w:jc w:val="right"/>
              <w:ind w:right="53"/>
              <w:spacing w:after="0"/>
              <w:rPr>
                <w:sz w:val="20"/>
                <w:szCs w:val="20"/>
                <w:color w:val="auto"/>
              </w:rPr>
            </w:pPr>
            <w:r>
              <w:rPr>
                <w:rFonts w:ascii="Arial" w:cs="Arial" w:eastAsia="Arial" w:hAnsi="Arial"/>
                <w:sz w:val="13"/>
                <w:szCs w:val="13"/>
                <w:color w:val="auto"/>
              </w:rPr>
              <w:t>6 of 8</w:t>
            </w:r>
          </w:p>
        </w:tc>
        <w:tc>
          <w:tcPr>
            <w:tcW w:w="1040" w:type="dxa"/>
            <w:vAlign w:val="bottom"/>
          </w:tcPr>
          <w:p>
            <w:pPr>
              <w:jc w:val="right"/>
              <w:ind w:right="33"/>
              <w:spacing w:after="0"/>
              <w:rPr>
                <w:sz w:val="20"/>
                <w:szCs w:val="20"/>
                <w:color w:val="auto"/>
              </w:rPr>
            </w:pPr>
            <w:r>
              <w:rPr>
                <w:rFonts w:ascii="Arial" w:cs="Arial" w:eastAsia="Arial" w:hAnsi="Arial"/>
                <w:sz w:val="13"/>
                <w:szCs w:val="13"/>
                <w:color w:val="auto"/>
              </w:rPr>
              <w:t>4 of 8</w:t>
            </w:r>
          </w:p>
        </w:tc>
        <w:tc>
          <w:tcPr>
            <w:tcW w:w="1220" w:type="dxa"/>
            <w:vAlign w:val="bottom"/>
          </w:tcPr>
          <w:p>
            <w:pPr>
              <w:jc w:val="right"/>
              <w:ind w:right="213"/>
              <w:spacing w:after="0"/>
              <w:rPr>
                <w:sz w:val="20"/>
                <w:szCs w:val="20"/>
                <w:color w:val="auto"/>
              </w:rPr>
            </w:pPr>
            <w:r>
              <w:rPr>
                <w:rFonts w:ascii="Arial" w:cs="Arial" w:eastAsia="Arial" w:hAnsi="Arial"/>
                <w:sz w:val="13"/>
                <w:szCs w:val="13"/>
                <w:color w:val="auto"/>
              </w:rPr>
              <w:t>2 of 8</w:t>
            </w:r>
          </w:p>
        </w:tc>
        <w:tc>
          <w:tcPr>
            <w:tcW w:w="760" w:type="dxa"/>
            <w:vAlign w:val="bottom"/>
          </w:tcPr>
          <w:p>
            <w:pPr>
              <w:jc w:val="right"/>
              <w:ind w:right="113"/>
              <w:spacing w:after="0"/>
              <w:rPr>
                <w:sz w:val="20"/>
                <w:szCs w:val="20"/>
                <w:color w:val="auto"/>
              </w:rPr>
            </w:pPr>
            <w:r>
              <w:rPr>
                <w:rFonts w:ascii="Arial" w:cs="Arial" w:eastAsia="Arial" w:hAnsi="Arial"/>
                <w:sz w:val="13"/>
                <w:szCs w:val="13"/>
                <w:color w:val="auto"/>
              </w:rPr>
              <w:t>7 of 8</w:t>
            </w:r>
          </w:p>
        </w:tc>
        <w:tc>
          <w:tcPr>
            <w:tcW w:w="720" w:type="dxa"/>
            <w:vAlign w:val="bottom"/>
          </w:tcPr>
          <w:p>
            <w:pPr>
              <w:jc w:val="right"/>
              <w:ind w:right="113"/>
              <w:spacing w:after="0"/>
              <w:rPr>
                <w:sz w:val="20"/>
                <w:szCs w:val="20"/>
                <w:color w:val="auto"/>
              </w:rPr>
            </w:pPr>
            <w:r>
              <w:rPr>
                <w:rFonts w:ascii="Arial" w:cs="Arial" w:eastAsia="Arial" w:hAnsi="Arial"/>
                <w:sz w:val="13"/>
                <w:szCs w:val="13"/>
                <w:color w:val="auto"/>
              </w:rPr>
              <w:t>3 of 8</w:t>
            </w:r>
          </w:p>
        </w:tc>
        <w:tc>
          <w:tcPr>
            <w:tcW w:w="660" w:type="dxa"/>
            <w:vAlign w:val="bottom"/>
          </w:tcPr>
          <w:p>
            <w:pPr>
              <w:jc w:val="right"/>
              <w:ind w:right="53"/>
              <w:spacing w:after="0"/>
              <w:rPr>
                <w:sz w:val="20"/>
                <w:szCs w:val="20"/>
                <w:color w:val="auto"/>
              </w:rPr>
            </w:pPr>
            <w:r>
              <w:rPr>
                <w:rFonts w:ascii="Arial" w:cs="Arial" w:eastAsia="Arial" w:hAnsi="Arial"/>
                <w:sz w:val="13"/>
                <w:szCs w:val="13"/>
                <w:color w:val="auto"/>
              </w:rPr>
              <w:t>2 of 8</w:t>
            </w:r>
          </w:p>
        </w:tc>
      </w:tr>
      <w:tr>
        <w:trPr>
          <w:trHeight w:val="243"/>
        </w:trPr>
        <w:tc>
          <w:tcPr>
            <w:tcW w:w="3800" w:type="dxa"/>
            <w:vAlign w:val="bottom"/>
          </w:tcPr>
          <w:p>
            <w:pPr>
              <w:ind w:left="340"/>
              <w:spacing w:after="0"/>
              <w:rPr>
                <w:sz w:val="20"/>
                <w:szCs w:val="20"/>
                <w:color w:val="auto"/>
              </w:rPr>
            </w:pPr>
            <w:r>
              <w:rPr>
                <w:rFonts w:ascii="Arial" w:cs="Arial" w:eastAsia="Arial" w:hAnsi="Arial"/>
                <w:sz w:val="13"/>
                <w:szCs w:val="13"/>
                <w:color w:val="auto"/>
              </w:rPr>
              <w:t>Insurance Products</w:t>
            </w:r>
          </w:p>
        </w:tc>
        <w:tc>
          <w:tcPr>
            <w:tcW w:w="2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41"/>
        </w:trPr>
        <w:tc>
          <w:tcPr>
            <w:tcW w:w="3800" w:type="dxa"/>
            <w:vAlign w:val="bottom"/>
            <w:tcBorders>
              <w:bottom w:val="single" w:sz="8" w:color="E9F1FB"/>
            </w:tcBorders>
          </w:tcPr>
          <w:p>
            <w:pPr>
              <w:spacing w:after="0"/>
              <w:rPr>
                <w:sz w:val="3"/>
                <w:szCs w:val="3"/>
                <w:color w:val="auto"/>
              </w:rPr>
            </w:pPr>
          </w:p>
        </w:tc>
        <w:tc>
          <w:tcPr>
            <w:tcW w:w="2160" w:type="dxa"/>
            <w:vAlign w:val="bottom"/>
            <w:tcBorders>
              <w:bottom w:val="single" w:sz="8" w:color="E9F1FB"/>
            </w:tcBorders>
          </w:tcPr>
          <w:p>
            <w:pPr>
              <w:spacing w:after="0"/>
              <w:rPr>
                <w:sz w:val="3"/>
                <w:szCs w:val="3"/>
                <w:color w:val="auto"/>
              </w:rPr>
            </w:pPr>
          </w:p>
        </w:tc>
        <w:tc>
          <w:tcPr>
            <w:tcW w:w="1060" w:type="dxa"/>
            <w:vAlign w:val="bottom"/>
            <w:tcBorders>
              <w:bottom w:val="single" w:sz="8" w:color="E9F1FB"/>
            </w:tcBorders>
          </w:tcPr>
          <w:p>
            <w:pPr>
              <w:spacing w:after="0"/>
              <w:rPr>
                <w:sz w:val="3"/>
                <w:szCs w:val="3"/>
                <w:color w:val="auto"/>
              </w:rPr>
            </w:pPr>
          </w:p>
        </w:tc>
        <w:tc>
          <w:tcPr>
            <w:tcW w:w="1040" w:type="dxa"/>
            <w:vAlign w:val="bottom"/>
            <w:tcBorders>
              <w:bottom w:val="single" w:sz="8" w:color="E9F1FB"/>
            </w:tcBorders>
          </w:tcPr>
          <w:p>
            <w:pPr>
              <w:spacing w:after="0"/>
              <w:rPr>
                <w:sz w:val="3"/>
                <w:szCs w:val="3"/>
                <w:color w:val="auto"/>
              </w:rPr>
            </w:pPr>
          </w:p>
        </w:tc>
        <w:tc>
          <w:tcPr>
            <w:tcW w:w="1220" w:type="dxa"/>
            <w:vAlign w:val="bottom"/>
            <w:tcBorders>
              <w:bottom w:val="single" w:sz="8" w:color="E9F1FB"/>
            </w:tcBorders>
          </w:tcPr>
          <w:p>
            <w:pPr>
              <w:spacing w:after="0"/>
              <w:rPr>
                <w:sz w:val="3"/>
                <w:szCs w:val="3"/>
                <w:color w:val="auto"/>
              </w:rPr>
            </w:pPr>
          </w:p>
        </w:tc>
        <w:tc>
          <w:tcPr>
            <w:tcW w:w="760" w:type="dxa"/>
            <w:vAlign w:val="bottom"/>
            <w:tcBorders>
              <w:bottom w:val="single" w:sz="8" w:color="E9F1FB"/>
            </w:tcBorders>
          </w:tcPr>
          <w:p>
            <w:pPr>
              <w:spacing w:after="0"/>
              <w:rPr>
                <w:sz w:val="3"/>
                <w:szCs w:val="3"/>
                <w:color w:val="auto"/>
              </w:rPr>
            </w:pPr>
          </w:p>
        </w:tc>
        <w:tc>
          <w:tcPr>
            <w:tcW w:w="720" w:type="dxa"/>
            <w:vAlign w:val="bottom"/>
            <w:tcBorders>
              <w:bottom w:val="single" w:sz="8" w:color="E9F1FB"/>
            </w:tcBorders>
          </w:tcPr>
          <w:p>
            <w:pPr>
              <w:spacing w:after="0"/>
              <w:rPr>
                <w:sz w:val="3"/>
                <w:szCs w:val="3"/>
                <w:color w:val="auto"/>
              </w:rPr>
            </w:pPr>
          </w:p>
        </w:tc>
        <w:tc>
          <w:tcPr>
            <w:tcW w:w="660" w:type="dxa"/>
            <w:vAlign w:val="bottom"/>
            <w:tcBorders>
              <w:bottom w:val="single" w:sz="8" w:color="E9F1FB"/>
            </w:tcBorders>
          </w:tcPr>
          <w:p>
            <w:pPr>
              <w:spacing w:after="0"/>
              <w:rPr>
                <w:sz w:val="3"/>
                <w:szCs w:val="3"/>
                <w:color w:val="auto"/>
              </w:rPr>
            </w:pPr>
          </w:p>
        </w:tc>
      </w:tr>
      <w:tr>
        <w:trPr>
          <w:trHeight w:val="195"/>
        </w:trPr>
        <w:tc>
          <w:tcPr>
            <w:tcW w:w="3800" w:type="dxa"/>
            <w:vAlign w:val="bottom"/>
          </w:tcPr>
          <w:p>
            <w:pPr>
              <w:ind w:left="340"/>
              <w:spacing w:after="0"/>
              <w:rPr>
                <w:sz w:val="20"/>
                <w:szCs w:val="20"/>
                <w:color w:val="auto"/>
              </w:rPr>
            </w:pPr>
            <w:r>
              <w:rPr>
                <w:rFonts w:ascii="Arial" w:cs="Arial" w:eastAsia="Arial" w:hAnsi="Arial"/>
                <w:sz w:val="13"/>
                <w:szCs w:val="13"/>
                <w:color w:val="auto"/>
              </w:rPr>
              <w:t>Life Insurance and Financial Products</w:t>
            </w:r>
          </w:p>
        </w:tc>
        <w:tc>
          <w:tcPr>
            <w:tcW w:w="2160" w:type="dxa"/>
            <w:vAlign w:val="bottom"/>
          </w:tcPr>
          <w:p>
            <w:pPr>
              <w:jc w:val="right"/>
              <w:ind w:right="53"/>
              <w:spacing w:after="0"/>
              <w:rPr>
                <w:sz w:val="20"/>
                <w:szCs w:val="20"/>
                <w:color w:val="auto"/>
              </w:rPr>
            </w:pPr>
            <w:r>
              <w:rPr>
                <w:rFonts w:ascii="Arial" w:cs="Arial" w:eastAsia="Arial" w:hAnsi="Arial"/>
                <w:sz w:val="13"/>
                <w:szCs w:val="13"/>
                <w:color w:val="auto"/>
              </w:rPr>
              <w:t>4 of 7</w:t>
            </w:r>
          </w:p>
        </w:tc>
        <w:tc>
          <w:tcPr>
            <w:tcW w:w="1060" w:type="dxa"/>
            <w:vAlign w:val="bottom"/>
          </w:tcPr>
          <w:p>
            <w:pPr>
              <w:jc w:val="right"/>
              <w:ind w:right="53"/>
              <w:spacing w:after="0"/>
              <w:rPr>
                <w:sz w:val="20"/>
                <w:szCs w:val="20"/>
                <w:color w:val="auto"/>
              </w:rPr>
            </w:pPr>
            <w:r>
              <w:rPr>
                <w:rFonts w:ascii="Arial" w:cs="Arial" w:eastAsia="Arial" w:hAnsi="Arial"/>
                <w:sz w:val="13"/>
                <w:szCs w:val="13"/>
                <w:color w:val="auto"/>
              </w:rPr>
              <w:t>6 of 7</w:t>
            </w:r>
          </w:p>
        </w:tc>
        <w:tc>
          <w:tcPr>
            <w:tcW w:w="1040" w:type="dxa"/>
            <w:vAlign w:val="bottom"/>
          </w:tcPr>
          <w:p>
            <w:pPr>
              <w:jc w:val="right"/>
              <w:ind w:right="33"/>
              <w:spacing w:after="0"/>
              <w:rPr>
                <w:sz w:val="20"/>
                <w:szCs w:val="20"/>
                <w:color w:val="auto"/>
              </w:rPr>
            </w:pPr>
            <w:r>
              <w:rPr>
                <w:rFonts w:ascii="Arial" w:cs="Arial" w:eastAsia="Arial" w:hAnsi="Arial"/>
                <w:sz w:val="13"/>
                <w:szCs w:val="13"/>
                <w:color w:val="auto"/>
              </w:rPr>
              <w:t>6 of 7</w:t>
            </w:r>
          </w:p>
        </w:tc>
        <w:tc>
          <w:tcPr>
            <w:tcW w:w="1220" w:type="dxa"/>
            <w:vAlign w:val="bottom"/>
          </w:tcPr>
          <w:p>
            <w:pPr>
              <w:jc w:val="right"/>
              <w:ind w:right="213"/>
              <w:spacing w:after="0"/>
              <w:rPr>
                <w:sz w:val="20"/>
                <w:szCs w:val="20"/>
                <w:color w:val="auto"/>
              </w:rPr>
            </w:pPr>
            <w:r>
              <w:rPr>
                <w:rFonts w:ascii="Arial" w:cs="Arial" w:eastAsia="Arial" w:hAnsi="Arial"/>
                <w:sz w:val="13"/>
                <w:szCs w:val="13"/>
                <w:color w:val="auto"/>
              </w:rPr>
              <w:t>3 of 7</w:t>
            </w:r>
          </w:p>
        </w:tc>
        <w:tc>
          <w:tcPr>
            <w:tcW w:w="760" w:type="dxa"/>
            <w:vAlign w:val="bottom"/>
          </w:tcPr>
          <w:p>
            <w:pPr>
              <w:jc w:val="right"/>
              <w:ind w:right="113"/>
              <w:spacing w:after="0"/>
              <w:rPr>
                <w:sz w:val="20"/>
                <w:szCs w:val="20"/>
                <w:color w:val="auto"/>
              </w:rPr>
            </w:pPr>
            <w:r>
              <w:rPr>
                <w:rFonts w:ascii="Arial" w:cs="Arial" w:eastAsia="Arial" w:hAnsi="Arial"/>
                <w:sz w:val="13"/>
                <w:szCs w:val="13"/>
                <w:color w:val="auto"/>
              </w:rPr>
              <w:t>4 of 7</w:t>
            </w:r>
          </w:p>
        </w:tc>
        <w:tc>
          <w:tcPr>
            <w:tcW w:w="720" w:type="dxa"/>
            <w:vAlign w:val="bottom"/>
          </w:tcPr>
          <w:p>
            <w:pPr>
              <w:jc w:val="right"/>
              <w:ind w:right="113"/>
              <w:spacing w:after="0"/>
              <w:rPr>
                <w:sz w:val="20"/>
                <w:szCs w:val="20"/>
                <w:color w:val="auto"/>
              </w:rPr>
            </w:pPr>
            <w:r>
              <w:rPr>
                <w:rFonts w:ascii="Arial" w:cs="Arial" w:eastAsia="Arial" w:hAnsi="Arial"/>
                <w:sz w:val="13"/>
                <w:szCs w:val="13"/>
                <w:color w:val="auto"/>
              </w:rPr>
              <w:t>2 of 7</w:t>
            </w:r>
          </w:p>
        </w:tc>
        <w:tc>
          <w:tcPr>
            <w:tcW w:w="660" w:type="dxa"/>
            <w:vAlign w:val="bottom"/>
          </w:tcPr>
          <w:p>
            <w:pPr>
              <w:jc w:val="right"/>
              <w:ind w:right="53"/>
              <w:spacing w:after="0"/>
              <w:rPr>
                <w:sz w:val="20"/>
                <w:szCs w:val="20"/>
                <w:color w:val="auto"/>
              </w:rPr>
            </w:pPr>
            <w:r>
              <w:rPr>
                <w:rFonts w:ascii="Arial" w:cs="Arial" w:eastAsia="Arial" w:hAnsi="Arial"/>
                <w:sz w:val="13"/>
                <w:szCs w:val="13"/>
                <w:color w:val="auto"/>
              </w:rPr>
              <w:t>1 of 7</w:t>
            </w:r>
          </w:p>
        </w:tc>
      </w:tr>
      <w:tr>
        <w:trPr>
          <w:trHeight w:val="41"/>
        </w:trPr>
        <w:tc>
          <w:tcPr>
            <w:tcW w:w="3800" w:type="dxa"/>
            <w:vAlign w:val="bottom"/>
            <w:tcBorders>
              <w:bottom w:val="single" w:sz="8" w:color="E9F1FB"/>
            </w:tcBorders>
          </w:tcPr>
          <w:p>
            <w:pPr>
              <w:spacing w:after="0"/>
              <w:rPr>
                <w:sz w:val="3"/>
                <w:szCs w:val="3"/>
                <w:color w:val="auto"/>
              </w:rPr>
            </w:pPr>
          </w:p>
        </w:tc>
        <w:tc>
          <w:tcPr>
            <w:tcW w:w="2160" w:type="dxa"/>
            <w:vAlign w:val="bottom"/>
            <w:tcBorders>
              <w:bottom w:val="single" w:sz="8" w:color="E9F1FB"/>
            </w:tcBorders>
          </w:tcPr>
          <w:p>
            <w:pPr>
              <w:spacing w:after="0"/>
              <w:rPr>
                <w:sz w:val="3"/>
                <w:szCs w:val="3"/>
                <w:color w:val="auto"/>
              </w:rPr>
            </w:pPr>
          </w:p>
        </w:tc>
        <w:tc>
          <w:tcPr>
            <w:tcW w:w="1060" w:type="dxa"/>
            <w:vAlign w:val="bottom"/>
            <w:tcBorders>
              <w:bottom w:val="single" w:sz="8" w:color="E9F1FB"/>
            </w:tcBorders>
          </w:tcPr>
          <w:p>
            <w:pPr>
              <w:spacing w:after="0"/>
              <w:rPr>
                <w:sz w:val="3"/>
                <w:szCs w:val="3"/>
                <w:color w:val="auto"/>
              </w:rPr>
            </w:pPr>
          </w:p>
        </w:tc>
        <w:tc>
          <w:tcPr>
            <w:tcW w:w="1040" w:type="dxa"/>
            <w:vAlign w:val="bottom"/>
            <w:tcBorders>
              <w:bottom w:val="single" w:sz="8" w:color="E9F1FB"/>
            </w:tcBorders>
          </w:tcPr>
          <w:p>
            <w:pPr>
              <w:spacing w:after="0"/>
              <w:rPr>
                <w:sz w:val="3"/>
                <w:szCs w:val="3"/>
                <w:color w:val="auto"/>
              </w:rPr>
            </w:pPr>
          </w:p>
        </w:tc>
        <w:tc>
          <w:tcPr>
            <w:tcW w:w="1220" w:type="dxa"/>
            <w:vAlign w:val="bottom"/>
            <w:tcBorders>
              <w:bottom w:val="single" w:sz="8" w:color="E9F1FB"/>
            </w:tcBorders>
          </w:tcPr>
          <w:p>
            <w:pPr>
              <w:spacing w:after="0"/>
              <w:rPr>
                <w:sz w:val="3"/>
                <w:szCs w:val="3"/>
                <w:color w:val="auto"/>
              </w:rPr>
            </w:pPr>
          </w:p>
        </w:tc>
        <w:tc>
          <w:tcPr>
            <w:tcW w:w="760" w:type="dxa"/>
            <w:vAlign w:val="bottom"/>
            <w:tcBorders>
              <w:bottom w:val="single" w:sz="8" w:color="E9F1FB"/>
            </w:tcBorders>
          </w:tcPr>
          <w:p>
            <w:pPr>
              <w:spacing w:after="0"/>
              <w:rPr>
                <w:sz w:val="3"/>
                <w:szCs w:val="3"/>
                <w:color w:val="auto"/>
              </w:rPr>
            </w:pPr>
          </w:p>
        </w:tc>
        <w:tc>
          <w:tcPr>
            <w:tcW w:w="720" w:type="dxa"/>
            <w:vAlign w:val="bottom"/>
            <w:tcBorders>
              <w:bottom w:val="single" w:sz="8" w:color="E9F1FB"/>
            </w:tcBorders>
          </w:tcPr>
          <w:p>
            <w:pPr>
              <w:spacing w:after="0"/>
              <w:rPr>
                <w:sz w:val="3"/>
                <w:szCs w:val="3"/>
                <w:color w:val="auto"/>
              </w:rPr>
            </w:pPr>
          </w:p>
        </w:tc>
        <w:tc>
          <w:tcPr>
            <w:tcW w:w="660" w:type="dxa"/>
            <w:vAlign w:val="bottom"/>
            <w:tcBorders>
              <w:bottom w:val="single" w:sz="8" w:color="E9F1FB"/>
            </w:tcBorders>
          </w:tcPr>
          <w:p>
            <w:pPr>
              <w:spacing w:after="0"/>
              <w:rPr>
                <w:sz w:val="3"/>
                <w:szCs w:val="3"/>
                <w:color w:val="auto"/>
              </w:rPr>
            </w:pPr>
          </w:p>
        </w:tc>
      </w:tr>
      <w:tr>
        <w:trPr>
          <w:trHeight w:val="195"/>
        </w:trPr>
        <w:tc>
          <w:tcPr>
            <w:tcW w:w="3800" w:type="dxa"/>
            <w:vAlign w:val="bottom"/>
          </w:tcPr>
          <w:p>
            <w:pPr>
              <w:ind w:left="80"/>
              <w:spacing w:after="0"/>
              <w:rPr>
                <w:sz w:val="20"/>
                <w:szCs w:val="20"/>
                <w:color w:val="auto"/>
              </w:rPr>
            </w:pPr>
            <w:r>
              <w:rPr>
                <w:rFonts w:ascii="Arial" w:cs="Arial" w:eastAsia="Arial" w:hAnsi="Arial"/>
                <w:sz w:val="13"/>
                <w:szCs w:val="13"/>
                <w:color w:val="auto"/>
              </w:rPr>
              <w:t>All Peer Companies</w:t>
            </w:r>
          </w:p>
        </w:tc>
        <w:tc>
          <w:tcPr>
            <w:tcW w:w="2160" w:type="dxa"/>
            <w:vAlign w:val="bottom"/>
          </w:tcPr>
          <w:p>
            <w:pPr>
              <w:jc w:val="right"/>
              <w:ind w:right="53"/>
              <w:spacing w:after="0"/>
              <w:rPr>
                <w:sz w:val="20"/>
                <w:szCs w:val="20"/>
                <w:color w:val="auto"/>
              </w:rPr>
            </w:pPr>
            <w:r>
              <w:rPr>
                <w:rFonts w:ascii="Arial" w:cs="Arial" w:eastAsia="Arial" w:hAnsi="Arial"/>
                <w:sz w:val="13"/>
                <w:szCs w:val="13"/>
                <w:color w:val="auto"/>
              </w:rPr>
              <w:t>4 of 11</w:t>
            </w:r>
          </w:p>
        </w:tc>
        <w:tc>
          <w:tcPr>
            <w:tcW w:w="1060" w:type="dxa"/>
            <w:vAlign w:val="bottom"/>
          </w:tcPr>
          <w:p>
            <w:pPr>
              <w:jc w:val="right"/>
              <w:ind w:right="53"/>
              <w:spacing w:after="0"/>
              <w:rPr>
                <w:sz w:val="20"/>
                <w:szCs w:val="20"/>
                <w:color w:val="auto"/>
              </w:rPr>
            </w:pPr>
            <w:r>
              <w:rPr>
                <w:rFonts w:ascii="Arial" w:cs="Arial" w:eastAsia="Arial" w:hAnsi="Arial"/>
                <w:sz w:val="13"/>
                <w:szCs w:val="13"/>
                <w:color w:val="auto"/>
              </w:rPr>
              <w:t>9 of 11</w:t>
            </w:r>
          </w:p>
        </w:tc>
        <w:tc>
          <w:tcPr>
            <w:tcW w:w="1040" w:type="dxa"/>
            <w:vAlign w:val="bottom"/>
          </w:tcPr>
          <w:p>
            <w:pPr>
              <w:jc w:val="right"/>
              <w:ind w:right="33"/>
              <w:spacing w:after="0"/>
              <w:rPr>
                <w:sz w:val="20"/>
                <w:szCs w:val="20"/>
                <w:color w:val="auto"/>
              </w:rPr>
            </w:pPr>
            <w:r>
              <w:rPr>
                <w:rFonts w:ascii="Arial" w:cs="Arial" w:eastAsia="Arial" w:hAnsi="Arial"/>
                <w:sz w:val="13"/>
                <w:szCs w:val="13"/>
                <w:color w:val="auto"/>
              </w:rPr>
              <w:t>7 of 11</w:t>
            </w:r>
          </w:p>
        </w:tc>
        <w:tc>
          <w:tcPr>
            <w:tcW w:w="1220" w:type="dxa"/>
            <w:vAlign w:val="bottom"/>
          </w:tcPr>
          <w:p>
            <w:pPr>
              <w:jc w:val="right"/>
              <w:ind w:right="213"/>
              <w:spacing w:after="0"/>
              <w:rPr>
                <w:sz w:val="20"/>
                <w:szCs w:val="20"/>
                <w:color w:val="auto"/>
              </w:rPr>
            </w:pPr>
            <w:r>
              <w:rPr>
                <w:rFonts w:ascii="Arial" w:cs="Arial" w:eastAsia="Arial" w:hAnsi="Arial"/>
                <w:sz w:val="13"/>
                <w:szCs w:val="13"/>
                <w:color w:val="auto"/>
              </w:rPr>
              <w:t>3 of 11</w:t>
            </w:r>
          </w:p>
        </w:tc>
        <w:tc>
          <w:tcPr>
            <w:tcW w:w="760" w:type="dxa"/>
            <w:vAlign w:val="bottom"/>
          </w:tcPr>
          <w:p>
            <w:pPr>
              <w:jc w:val="right"/>
              <w:ind w:right="113"/>
              <w:spacing w:after="0"/>
              <w:rPr>
                <w:sz w:val="20"/>
                <w:szCs w:val="20"/>
                <w:color w:val="auto"/>
              </w:rPr>
            </w:pPr>
            <w:r>
              <w:rPr>
                <w:rFonts w:ascii="Arial" w:cs="Arial" w:eastAsia="Arial" w:hAnsi="Arial"/>
                <w:sz w:val="13"/>
                <w:szCs w:val="13"/>
                <w:color w:val="auto"/>
              </w:rPr>
              <w:t>8 of 11</w:t>
            </w:r>
          </w:p>
        </w:tc>
        <w:tc>
          <w:tcPr>
            <w:tcW w:w="720" w:type="dxa"/>
            <w:vAlign w:val="bottom"/>
          </w:tcPr>
          <w:p>
            <w:pPr>
              <w:jc w:val="right"/>
              <w:ind w:right="113"/>
              <w:spacing w:after="0"/>
              <w:rPr>
                <w:sz w:val="20"/>
                <w:szCs w:val="20"/>
                <w:color w:val="auto"/>
              </w:rPr>
            </w:pPr>
            <w:r>
              <w:rPr>
                <w:rFonts w:ascii="Arial" w:cs="Arial" w:eastAsia="Arial" w:hAnsi="Arial"/>
                <w:sz w:val="13"/>
                <w:szCs w:val="13"/>
                <w:color w:val="auto"/>
              </w:rPr>
              <w:t>4 of 11</w:t>
            </w:r>
          </w:p>
        </w:tc>
        <w:tc>
          <w:tcPr>
            <w:tcW w:w="660" w:type="dxa"/>
            <w:vAlign w:val="bottom"/>
          </w:tcPr>
          <w:p>
            <w:pPr>
              <w:jc w:val="right"/>
              <w:ind w:right="53"/>
              <w:spacing w:after="0"/>
              <w:rPr>
                <w:sz w:val="20"/>
                <w:szCs w:val="20"/>
                <w:color w:val="auto"/>
              </w:rPr>
            </w:pPr>
            <w:r>
              <w:rPr>
                <w:rFonts w:ascii="Arial" w:cs="Arial" w:eastAsia="Arial" w:hAnsi="Arial"/>
                <w:sz w:val="13"/>
                <w:szCs w:val="13"/>
                <w:color w:val="auto"/>
              </w:rPr>
              <w:t>2 of 11</w:t>
            </w:r>
          </w:p>
        </w:tc>
      </w:tr>
      <w:tr>
        <w:trPr>
          <w:trHeight w:val="48"/>
        </w:trPr>
        <w:tc>
          <w:tcPr>
            <w:tcW w:w="3800" w:type="dxa"/>
            <w:vAlign w:val="bottom"/>
            <w:tcBorders>
              <w:bottom w:val="single" w:sz="8" w:color="105EAB"/>
            </w:tcBorders>
          </w:tcPr>
          <w:p>
            <w:pPr>
              <w:spacing w:after="0"/>
              <w:rPr>
                <w:sz w:val="4"/>
                <w:szCs w:val="4"/>
                <w:color w:val="auto"/>
              </w:rPr>
            </w:pPr>
          </w:p>
        </w:tc>
        <w:tc>
          <w:tcPr>
            <w:tcW w:w="2160" w:type="dxa"/>
            <w:vAlign w:val="bottom"/>
            <w:tcBorders>
              <w:bottom w:val="single" w:sz="8" w:color="105EAB"/>
            </w:tcBorders>
          </w:tcPr>
          <w:p>
            <w:pPr>
              <w:spacing w:after="0"/>
              <w:rPr>
                <w:sz w:val="4"/>
                <w:szCs w:val="4"/>
                <w:color w:val="auto"/>
              </w:rPr>
            </w:pPr>
          </w:p>
        </w:tc>
        <w:tc>
          <w:tcPr>
            <w:tcW w:w="1060" w:type="dxa"/>
            <w:vAlign w:val="bottom"/>
            <w:tcBorders>
              <w:bottom w:val="single" w:sz="8" w:color="105EAB"/>
            </w:tcBorders>
          </w:tcPr>
          <w:p>
            <w:pPr>
              <w:spacing w:after="0"/>
              <w:rPr>
                <w:sz w:val="4"/>
                <w:szCs w:val="4"/>
                <w:color w:val="auto"/>
              </w:rPr>
            </w:pPr>
          </w:p>
        </w:tc>
        <w:tc>
          <w:tcPr>
            <w:tcW w:w="1040" w:type="dxa"/>
            <w:vAlign w:val="bottom"/>
            <w:tcBorders>
              <w:bottom w:val="single" w:sz="8" w:color="105EAB"/>
            </w:tcBorders>
          </w:tcPr>
          <w:p>
            <w:pPr>
              <w:spacing w:after="0"/>
              <w:rPr>
                <w:sz w:val="4"/>
                <w:szCs w:val="4"/>
                <w:color w:val="auto"/>
              </w:rPr>
            </w:pPr>
          </w:p>
        </w:tc>
        <w:tc>
          <w:tcPr>
            <w:tcW w:w="1220" w:type="dxa"/>
            <w:vAlign w:val="bottom"/>
            <w:tcBorders>
              <w:bottom w:val="single" w:sz="8" w:color="105EAB"/>
            </w:tcBorders>
          </w:tcPr>
          <w:p>
            <w:pPr>
              <w:spacing w:after="0"/>
              <w:rPr>
                <w:sz w:val="4"/>
                <w:szCs w:val="4"/>
                <w:color w:val="auto"/>
              </w:rPr>
            </w:pPr>
          </w:p>
        </w:tc>
        <w:tc>
          <w:tcPr>
            <w:tcW w:w="760" w:type="dxa"/>
            <w:vAlign w:val="bottom"/>
            <w:tcBorders>
              <w:bottom w:val="single" w:sz="8" w:color="105EAB"/>
            </w:tcBorders>
          </w:tcPr>
          <w:p>
            <w:pPr>
              <w:spacing w:after="0"/>
              <w:rPr>
                <w:sz w:val="4"/>
                <w:szCs w:val="4"/>
                <w:color w:val="auto"/>
              </w:rPr>
            </w:pPr>
          </w:p>
        </w:tc>
        <w:tc>
          <w:tcPr>
            <w:tcW w:w="720" w:type="dxa"/>
            <w:vAlign w:val="bottom"/>
            <w:tcBorders>
              <w:bottom w:val="single" w:sz="8" w:color="105EAB"/>
            </w:tcBorders>
          </w:tcPr>
          <w:p>
            <w:pPr>
              <w:spacing w:after="0"/>
              <w:rPr>
                <w:sz w:val="4"/>
                <w:szCs w:val="4"/>
                <w:color w:val="auto"/>
              </w:rPr>
            </w:pPr>
          </w:p>
        </w:tc>
        <w:tc>
          <w:tcPr>
            <w:tcW w:w="660" w:type="dxa"/>
            <w:vAlign w:val="bottom"/>
            <w:tcBorders>
              <w:bottom w:val="single" w:sz="8" w:color="105EAB"/>
            </w:tcBorders>
          </w:tcPr>
          <w:p>
            <w:pPr>
              <w:spacing w:after="0"/>
              <w:rPr>
                <w:sz w:val="4"/>
                <w:szCs w:val="4"/>
                <w:color w:val="auto"/>
              </w:rPr>
            </w:pPr>
          </w:p>
        </w:tc>
      </w:tr>
      <w:tr>
        <w:trPr>
          <w:trHeight w:val="400"/>
        </w:trPr>
        <w:tc>
          <w:tcPr>
            <w:tcW w:w="3800" w:type="dxa"/>
            <w:vAlign w:val="bottom"/>
          </w:tcPr>
          <w:p>
            <w:pPr>
              <w:spacing w:after="0"/>
              <w:rPr>
                <w:sz w:val="20"/>
                <w:szCs w:val="20"/>
                <w:color w:val="auto"/>
              </w:rPr>
            </w:pPr>
            <w:r>
              <w:rPr>
                <w:rFonts w:ascii="Arial" w:cs="Arial" w:eastAsia="Arial" w:hAnsi="Arial"/>
                <w:sz w:val="22"/>
                <w:szCs w:val="22"/>
                <w:color w:val="auto"/>
                <w:vertAlign w:val="superscript"/>
              </w:rPr>
              <w:t>(1)</w:t>
            </w:r>
            <w:r>
              <w:rPr>
                <w:rFonts w:ascii="Arial" w:cs="Arial" w:eastAsia="Arial" w:hAnsi="Arial"/>
                <w:sz w:val="13"/>
                <w:szCs w:val="13"/>
                <w:color w:val="auto"/>
              </w:rPr>
              <w:t xml:space="preserve">   Information as of year-end 2018.</w:t>
            </w:r>
          </w:p>
        </w:tc>
        <w:tc>
          <w:tcPr>
            <w:tcW w:w="2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pacing w:after="0" w:line="88" w:lineRule="exact"/>
        <w:rPr>
          <w:sz w:val="20"/>
          <w:szCs w:val="20"/>
          <w:color w:val="auto"/>
        </w:rPr>
      </w:pPr>
    </w:p>
    <w:p>
      <w:pPr>
        <w:ind w:right="560"/>
        <w:spacing w:after="0" w:line="239" w:lineRule="auto"/>
        <w:rPr>
          <w:sz w:val="20"/>
          <w:szCs w:val="20"/>
          <w:color w:val="auto"/>
        </w:rPr>
      </w:pPr>
      <w:r>
        <w:rPr>
          <w:rFonts w:ascii="Arial" w:cs="Arial" w:eastAsia="Arial" w:hAnsi="Arial"/>
          <w:sz w:val="18"/>
          <w:szCs w:val="18"/>
          <w:color w:val="auto"/>
        </w:rPr>
        <w:t>The committee uses compensation surveys for certain executives that provide information on companies of similar size and business mix as Allstate, as well as companies with a broader market context.</w:t>
      </w:r>
    </w:p>
    <w:p>
      <w:pPr>
        <w:spacing w:after="0" w:line="186" w:lineRule="exact"/>
        <w:rPr>
          <w:sz w:val="20"/>
          <w:szCs w:val="20"/>
          <w:color w:val="auto"/>
        </w:rPr>
      </w:pPr>
    </w:p>
    <w:p>
      <w:pPr>
        <w:ind w:right="300"/>
        <w:spacing w:after="0" w:line="249" w:lineRule="auto"/>
        <w:rPr>
          <w:sz w:val="20"/>
          <w:szCs w:val="20"/>
          <w:color w:val="auto"/>
        </w:rPr>
      </w:pPr>
      <w:r>
        <w:rPr>
          <w:rFonts w:ascii="Arial" w:cs="Arial" w:eastAsia="Arial" w:hAnsi="Arial"/>
          <w:sz w:val="18"/>
          <w:szCs w:val="18"/>
          <w:b w:val="1"/>
          <w:bCs w:val="1"/>
          <w:color w:val="auto"/>
        </w:rPr>
        <w:t>The committee uses the 50th percentile of our peer group as a guideline in setting the target total direct compensation of our named executives</w:t>
      </w:r>
      <w:r>
        <w:rPr>
          <w:rFonts w:ascii="Arial" w:cs="Arial" w:eastAsia="Arial" w:hAnsi="Arial"/>
          <w:sz w:val="18"/>
          <w:szCs w:val="18"/>
          <w:color w:val="auto"/>
        </w:rPr>
        <w:t>. Within the guideline, the committee balances the various elements of compensation based on individual experience, job scope and</w:t>
      </w:r>
      <w:r>
        <w:rPr>
          <w:rFonts w:ascii="Arial" w:cs="Arial" w:eastAsia="Arial" w:hAnsi="Arial"/>
          <w:sz w:val="18"/>
          <w:szCs w:val="18"/>
          <w:b w:val="1"/>
          <w:bCs w:val="1"/>
          <w:color w:val="auto"/>
        </w:rPr>
        <w:t xml:space="preserve"> </w:t>
      </w:r>
      <w:r>
        <w:rPr>
          <w:rFonts w:ascii="Arial" w:cs="Arial" w:eastAsia="Arial" w:hAnsi="Arial"/>
          <w:sz w:val="18"/>
          <w:szCs w:val="18"/>
          <w:color w:val="auto"/>
        </w:rPr>
        <w:t>responsibilities, performance, tenure, and market practices.</w:t>
      </w:r>
    </w:p>
    <w:p>
      <w:pPr>
        <w:spacing w:after="0" w:line="197" w:lineRule="exact"/>
        <w:rPr>
          <w:sz w:val="20"/>
          <w:szCs w:val="20"/>
          <w:color w:val="auto"/>
        </w:rPr>
      </w:pPr>
    </w:p>
    <w:p>
      <w:pPr>
        <w:ind w:left="460" w:hanging="452"/>
        <w:spacing w:after="0"/>
        <w:tabs>
          <w:tab w:leader="none" w:pos="460" w:val="left"/>
        </w:tabs>
        <w:numPr>
          <w:ilvl w:val="0"/>
          <w:numId w:val="174"/>
        </w:numPr>
        <w:rPr>
          <w:rFonts w:ascii="Arial" w:cs="Arial" w:eastAsia="Arial" w:hAnsi="Arial"/>
          <w:sz w:val="13"/>
          <w:szCs w:val="13"/>
          <w:b w:val="1"/>
          <w:bCs w:val="1"/>
          <w:color w:val="105EAB"/>
        </w:rPr>
      </w:pPr>
      <w:r>
        <w:rPr>
          <w:rFonts w:ascii="Arial" w:cs="Arial" w:eastAsia="Arial" w:hAnsi="Arial"/>
          <w:sz w:val="13"/>
          <w:szCs w:val="13"/>
          <w:color w:val="105EAB"/>
        </w:rPr>
        <w:t>www.allstateproxy.com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134620</wp:posOffset>
            </wp:positionV>
            <wp:extent cx="7268210" cy="209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jc w:val="right"/>
        <w:ind w:right="20"/>
        <w:spacing w:after="0"/>
        <w:rPr>
          <w:sz w:val="20"/>
          <w:szCs w:val="20"/>
          <w:color w:val="auto"/>
        </w:rPr>
      </w:pPr>
      <w:r>
        <w:rPr>
          <w:rFonts w:ascii="Arial" w:cs="Arial" w:eastAsia="Arial" w:hAnsi="Arial"/>
          <w:sz w:val="13"/>
          <w:szCs w:val="13"/>
          <w:b w:val="1"/>
          <w:bCs w:val="1"/>
          <w:color w:val="auto"/>
        </w:rPr>
        <w:t xml:space="preserve">Compensation Discussion and Analysis </w:t>
      </w:r>
      <w:r>
        <w:rPr>
          <w:rFonts w:ascii="Arial" w:cs="Arial" w:eastAsia="Arial" w:hAnsi="Arial"/>
          <w:sz w:val="13"/>
          <w:szCs w:val="13"/>
          <w:b w:val="1"/>
          <w:bCs w:val="1"/>
          <w:color w:val="105EAB"/>
        </w:rPr>
        <w:t>| Executive Compensation</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39B6E9"/>
        </w:rPr>
        <w:t>Other Elements of Compensation</w:t>
      </w:r>
    </w:p>
    <w:p>
      <w:pPr>
        <w:spacing w:after="0" w:line="232" w:lineRule="exact"/>
        <w:rPr>
          <w:sz w:val="20"/>
          <w:szCs w:val="20"/>
          <w:color w:val="auto"/>
        </w:rPr>
      </w:pPr>
    </w:p>
    <w:p>
      <w:pPr>
        <w:ind w:right="600"/>
        <w:spacing w:after="0" w:line="239" w:lineRule="auto"/>
        <w:rPr>
          <w:sz w:val="20"/>
          <w:szCs w:val="20"/>
          <w:color w:val="auto"/>
        </w:rPr>
      </w:pPr>
      <w:r>
        <w:rPr>
          <w:rFonts w:ascii="Arial" w:cs="Arial" w:eastAsia="Arial" w:hAnsi="Arial"/>
          <w:sz w:val="18"/>
          <w:szCs w:val="18"/>
          <w:color w:val="auto"/>
        </w:rPr>
        <w:t>To remain competitive with other employers and to attract, retain, and motivate highly talented executives and other employees, we offer the benefits listed in the following table.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04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105EAB"/>
              </w:rPr>
              <w:t>All Full-time</w:t>
            </w:r>
          </w:p>
        </w:tc>
      </w:tr>
      <w:tr>
        <w:trPr>
          <w:trHeight w:val="148"/>
        </w:trPr>
        <w:tc>
          <w:tcPr>
            <w:tcW w:w="604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3"/>
                <w:szCs w:val="13"/>
                <w:b w:val="1"/>
                <w:bCs w:val="1"/>
                <w:color w:val="105EAB"/>
              </w:rPr>
              <w:t>Other Officers</w:t>
            </w:r>
          </w:p>
        </w:tc>
        <w:tc>
          <w:tcPr>
            <w:tcW w:w="1000" w:type="dxa"/>
            <w:vAlign w:val="bottom"/>
          </w:tcPr>
          <w:p>
            <w:pPr>
              <w:jc w:val="center"/>
              <w:spacing w:after="0" w:line="149" w:lineRule="exact"/>
              <w:rPr>
                <w:sz w:val="20"/>
                <w:szCs w:val="20"/>
                <w:color w:val="auto"/>
              </w:rPr>
            </w:pPr>
            <w:r>
              <w:rPr>
                <w:rFonts w:ascii="Arial" w:cs="Arial" w:eastAsia="Arial" w:hAnsi="Arial"/>
                <w:sz w:val="13"/>
                <w:szCs w:val="13"/>
                <w:b w:val="1"/>
                <w:bCs w:val="1"/>
                <w:color w:val="105EAB"/>
              </w:rPr>
              <w:t>and Regular</w:t>
            </w:r>
          </w:p>
        </w:tc>
      </w:tr>
      <w:tr>
        <w:trPr>
          <w:trHeight w:val="148"/>
        </w:trPr>
        <w:tc>
          <w:tcPr>
            <w:tcW w:w="604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3"/>
                <w:szCs w:val="13"/>
                <w:b w:val="1"/>
                <w:bCs w:val="1"/>
                <w:color w:val="105EAB"/>
              </w:rPr>
              <w:t>and Certain</w:t>
            </w:r>
          </w:p>
        </w:tc>
        <w:tc>
          <w:tcPr>
            <w:tcW w:w="1000" w:type="dxa"/>
            <w:vAlign w:val="bottom"/>
          </w:tcPr>
          <w:p>
            <w:pPr>
              <w:jc w:val="center"/>
              <w:spacing w:after="0" w:line="149" w:lineRule="exact"/>
              <w:rPr>
                <w:sz w:val="20"/>
                <w:szCs w:val="20"/>
                <w:color w:val="auto"/>
              </w:rPr>
            </w:pPr>
            <w:r>
              <w:rPr>
                <w:rFonts w:ascii="Arial" w:cs="Arial" w:eastAsia="Arial" w:hAnsi="Arial"/>
                <w:sz w:val="13"/>
                <w:szCs w:val="13"/>
                <w:b w:val="1"/>
                <w:bCs w:val="1"/>
                <w:color w:val="105EAB"/>
              </w:rPr>
              <w:t>Part-time</w:t>
            </w:r>
          </w:p>
        </w:tc>
      </w:tr>
      <w:tr>
        <w:trPr>
          <w:trHeight w:val="172"/>
        </w:trPr>
        <w:tc>
          <w:tcPr>
            <w:tcW w:w="6040" w:type="dxa"/>
            <w:vAlign w:val="bottom"/>
            <w:tcBorders>
              <w:bottom w:val="single" w:sz="8" w:color="105EAB"/>
            </w:tcBorders>
          </w:tcPr>
          <w:p>
            <w:pPr>
              <w:ind w:left="80"/>
              <w:spacing w:after="0"/>
              <w:rPr>
                <w:sz w:val="20"/>
                <w:szCs w:val="20"/>
                <w:color w:val="auto"/>
              </w:rPr>
            </w:pPr>
            <w:r>
              <w:rPr>
                <w:rFonts w:ascii="Arial" w:cs="Arial" w:eastAsia="Arial" w:hAnsi="Arial"/>
                <w:sz w:val="13"/>
                <w:szCs w:val="13"/>
                <w:b w:val="1"/>
                <w:bCs w:val="1"/>
                <w:color w:val="105EAB"/>
              </w:rPr>
              <w:t>Benefit or Perquisite</w:t>
            </w:r>
          </w:p>
        </w:tc>
        <w:tc>
          <w:tcPr>
            <w:tcW w:w="3200" w:type="dxa"/>
            <w:vAlign w:val="bottom"/>
            <w:tcBorders>
              <w:bottom w:val="single" w:sz="8" w:color="105EAB"/>
            </w:tcBorders>
          </w:tcPr>
          <w:p>
            <w:pPr>
              <w:jc w:val="center"/>
              <w:ind w:left="1617"/>
              <w:spacing w:after="0"/>
              <w:rPr>
                <w:sz w:val="20"/>
                <w:szCs w:val="20"/>
                <w:color w:val="auto"/>
              </w:rPr>
            </w:pPr>
            <w:r>
              <w:rPr>
                <w:rFonts w:ascii="Arial" w:cs="Arial" w:eastAsia="Arial" w:hAnsi="Arial"/>
                <w:sz w:val="13"/>
                <w:szCs w:val="13"/>
                <w:b w:val="1"/>
                <w:bCs w:val="1"/>
                <w:color w:val="105EAB"/>
              </w:rPr>
              <w:t>Named Executives</w:t>
            </w:r>
          </w:p>
        </w:tc>
        <w:tc>
          <w:tcPr>
            <w:tcW w:w="1180" w:type="dxa"/>
            <w:vAlign w:val="bottom"/>
            <w:tcBorders>
              <w:bottom w:val="single" w:sz="8" w:color="105EAB"/>
            </w:tcBorders>
          </w:tcPr>
          <w:p>
            <w:pPr>
              <w:jc w:val="center"/>
              <w:spacing w:after="0"/>
              <w:rPr>
                <w:sz w:val="20"/>
                <w:szCs w:val="20"/>
                <w:color w:val="auto"/>
              </w:rPr>
            </w:pPr>
            <w:r>
              <w:rPr>
                <w:rFonts w:ascii="Arial" w:cs="Arial" w:eastAsia="Arial" w:hAnsi="Arial"/>
                <w:sz w:val="13"/>
                <w:szCs w:val="13"/>
                <w:b w:val="1"/>
                <w:bCs w:val="1"/>
                <w:color w:val="105EAB"/>
              </w:rPr>
              <w:t>Managers</w:t>
            </w:r>
          </w:p>
        </w:tc>
        <w:tc>
          <w:tcPr>
            <w:tcW w:w="1000" w:type="dxa"/>
            <w:vAlign w:val="bottom"/>
            <w:tcBorders>
              <w:bottom w:val="single" w:sz="8" w:color="105EAB"/>
            </w:tcBorders>
          </w:tcPr>
          <w:p>
            <w:pPr>
              <w:jc w:val="center"/>
              <w:spacing w:after="0"/>
              <w:rPr>
                <w:sz w:val="20"/>
                <w:szCs w:val="20"/>
                <w:color w:val="auto"/>
              </w:rPr>
            </w:pPr>
            <w:r>
              <w:rPr>
                <w:rFonts w:ascii="Arial" w:cs="Arial" w:eastAsia="Arial" w:hAnsi="Arial"/>
                <w:sz w:val="13"/>
                <w:szCs w:val="13"/>
                <w:b w:val="1"/>
                <w:bCs w:val="1"/>
                <w:color w:val="105EAB"/>
              </w:rPr>
              <w:t>Employees</w:t>
            </w:r>
          </w:p>
        </w:tc>
      </w:tr>
      <w:tr>
        <w:trPr>
          <w:trHeight w:val="297"/>
        </w:trPr>
        <w:tc>
          <w:tcPr>
            <w:tcW w:w="6040" w:type="dxa"/>
            <w:vAlign w:val="bottom"/>
            <w:tcBorders>
              <w:bottom w:val="single" w:sz="8" w:color="DFF1FB"/>
            </w:tcBorders>
          </w:tcPr>
          <w:p>
            <w:pPr>
              <w:ind w:left="80"/>
              <w:spacing w:after="0"/>
              <w:rPr>
                <w:sz w:val="20"/>
                <w:szCs w:val="20"/>
                <w:color w:val="auto"/>
              </w:rPr>
            </w:pPr>
            <w:r>
              <w:rPr>
                <w:rFonts w:ascii="Arial" w:cs="Arial" w:eastAsia="Arial" w:hAnsi="Arial"/>
                <w:sz w:val="13"/>
                <w:szCs w:val="13"/>
                <w:color w:val="auto"/>
              </w:rPr>
              <w:t>401(k)</w:t>
            </w:r>
            <w:r>
              <w:rPr>
                <w:rFonts w:ascii="Arial" w:cs="Arial" w:eastAsia="Arial" w:hAnsi="Arial"/>
                <w:sz w:val="22"/>
                <w:szCs w:val="22"/>
                <w:color w:val="auto"/>
                <w:vertAlign w:val="superscript"/>
              </w:rPr>
              <w:t>(1)</w:t>
            </w:r>
            <w:r>
              <w:rPr>
                <w:rFonts w:ascii="Arial" w:cs="Arial" w:eastAsia="Arial" w:hAnsi="Arial"/>
                <w:sz w:val="13"/>
                <w:szCs w:val="13"/>
                <w:color w:val="auto"/>
              </w:rPr>
              <w:t xml:space="preserve"> and defined benefit pension</w:t>
            </w:r>
          </w:p>
        </w:tc>
        <w:tc>
          <w:tcPr>
            <w:tcW w:w="3200" w:type="dxa"/>
            <w:vAlign w:val="bottom"/>
            <w:tcBorders>
              <w:bottom w:val="single" w:sz="8" w:color="DFF1FB"/>
            </w:tcBorders>
          </w:tcPr>
          <w:p>
            <w:pPr>
              <w:jc w:val="center"/>
              <w:ind w:left="1617"/>
              <w:spacing w:after="0"/>
              <w:rPr>
                <w:sz w:val="20"/>
                <w:szCs w:val="20"/>
                <w:color w:val="auto"/>
              </w:rPr>
            </w:pPr>
            <w:r>
              <w:rPr>
                <w:rFonts w:ascii="Arial" w:cs="Arial" w:eastAsia="Arial" w:hAnsi="Arial"/>
                <w:sz w:val="22"/>
                <w:szCs w:val="22"/>
                <w:color w:val="105EAB"/>
                <w:w w:val="89"/>
              </w:rPr>
              <w:t>●</w:t>
            </w:r>
          </w:p>
        </w:tc>
        <w:tc>
          <w:tcPr>
            <w:tcW w:w="1180" w:type="dxa"/>
            <w:vAlign w:val="bottom"/>
            <w:tcBorders>
              <w:bottom w:val="single" w:sz="8" w:color="DFF1FB"/>
            </w:tcBorders>
          </w:tcPr>
          <w:p>
            <w:pPr>
              <w:jc w:val="center"/>
              <w:spacing w:after="0"/>
              <w:rPr>
                <w:sz w:val="20"/>
                <w:szCs w:val="20"/>
                <w:color w:val="auto"/>
              </w:rPr>
            </w:pPr>
            <w:r>
              <w:rPr>
                <w:rFonts w:ascii="Arial" w:cs="Arial" w:eastAsia="Arial" w:hAnsi="Arial"/>
                <w:sz w:val="22"/>
                <w:szCs w:val="22"/>
                <w:color w:val="105EAB"/>
              </w:rPr>
              <w:t>●</w:t>
            </w:r>
          </w:p>
        </w:tc>
        <w:tc>
          <w:tcPr>
            <w:tcW w:w="1000" w:type="dxa"/>
            <w:vAlign w:val="bottom"/>
            <w:tcBorders>
              <w:bottom w:val="single" w:sz="8" w:color="DFF1FB"/>
            </w:tcBorders>
          </w:tcPr>
          <w:p>
            <w:pPr>
              <w:jc w:val="center"/>
              <w:spacing w:after="0"/>
              <w:rPr>
                <w:sz w:val="20"/>
                <w:szCs w:val="20"/>
                <w:color w:val="auto"/>
              </w:rPr>
            </w:pPr>
            <w:r>
              <w:rPr>
                <w:rFonts w:ascii="Arial" w:cs="Arial" w:eastAsia="Arial" w:hAnsi="Arial"/>
                <w:sz w:val="22"/>
                <w:szCs w:val="22"/>
                <w:color w:val="105EAB"/>
              </w:rPr>
              <w:t>●</w:t>
            </w:r>
          </w:p>
        </w:tc>
      </w:tr>
      <w:tr>
        <w:trPr>
          <w:trHeight w:val="236"/>
        </w:trPr>
        <w:tc>
          <w:tcPr>
            <w:tcW w:w="6040" w:type="dxa"/>
            <w:vAlign w:val="bottom"/>
            <w:tcBorders>
              <w:bottom w:val="single" w:sz="8" w:color="DFF1FB"/>
            </w:tcBorders>
          </w:tcPr>
          <w:p>
            <w:pPr>
              <w:ind w:left="80"/>
              <w:spacing w:after="0"/>
              <w:rPr>
                <w:sz w:val="20"/>
                <w:szCs w:val="20"/>
                <w:color w:val="auto"/>
              </w:rPr>
            </w:pPr>
            <w:r>
              <w:rPr>
                <w:rFonts w:ascii="Arial" w:cs="Arial" w:eastAsia="Arial" w:hAnsi="Arial"/>
                <w:sz w:val="13"/>
                <w:szCs w:val="13"/>
                <w:color w:val="auto"/>
              </w:rPr>
              <w:t>Supplemental retirement benefit</w:t>
            </w:r>
          </w:p>
        </w:tc>
        <w:tc>
          <w:tcPr>
            <w:tcW w:w="3200" w:type="dxa"/>
            <w:vAlign w:val="bottom"/>
            <w:tcBorders>
              <w:bottom w:val="single" w:sz="8" w:color="DFF1FB"/>
            </w:tcBorders>
          </w:tcPr>
          <w:p>
            <w:pPr>
              <w:jc w:val="center"/>
              <w:ind w:left="1617"/>
              <w:spacing w:after="0" w:line="237" w:lineRule="exact"/>
              <w:rPr>
                <w:sz w:val="20"/>
                <w:szCs w:val="20"/>
                <w:color w:val="auto"/>
              </w:rPr>
            </w:pPr>
            <w:r>
              <w:rPr>
                <w:rFonts w:ascii="Arial" w:cs="Arial" w:eastAsia="Arial" w:hAnsi="Arial"/>
                <w:sz w:val="22"/>
                <w:szCs w:val="22"/>
                <w:color w:val="105EAB"/>
                <w:w w:val="89"/>
              </w:rPr>
              <w:t>●</w:t>
            </w:r>
          </w:p>
        </w:tc>
        <w:tc>
          <w:tcPr>
            <w:tcW w:w="1180" w:type="dxa"/>
            <w:vAlign w:val="bottom"/>
            <w:tcBorders>
              <w:bottom w:val="single" w:sz="8" w:color="DFF1FB"/>
            </w:tcBorders>
          </w:tcPr>
          <w:p>
            <w:pPr>
              <w:jc w:val="center"/>
              <w:spacing w:after="0" w:line="237" w:lineRule="exact"/>
              <w:rPr>
                <w:sz w:val="20"/>
                <w:szCs w:val="20"/>
                <w:color w:val="auto"/>
              </w:rPr>
            </w:pPr>
            <w:r>
              <w:rPr>
                <w:rFonts w:ascii="Arial" w:cs="Arial" w:eastAsia="Arial" w:hAnsi="Arial"/>
                <w:sz w:val="22"/>
                <w:szCs w:val="22"/>
                <w:color w:val="105EAB"/>
              </w:rPr>
              <w:t>●</w:t>
            </w:r>
          </w:p>
        </w:tc>
        <w:tc>
          <w:tcPr>
            <w:tcW w:w="1000" w:type="dxa"/>
            <w:vAlign w:val="bottom"/>
            <w:tcBorders>
              <w:bottom w:val="single" w:sz="8" w:color="DFF1FB"/>
            </w:tcBorders>
          </w:tcPr>
          <w:p>
            <w:pPr>
              <w:spacing w:after="0"/>
              <w:rPr>
                <w:sz w:val="20"/>
                <w:szCs w:val="20"/>
                <w:color w:val="auto"/>
              </w:rPr>
            </w:pPr>
          </w:p>
        </w:tc>
      </w:tr>
      <w:tr>
        <w:trPr>
          <w:trHeight w:val="290"/>
        </w:trPr>
        <w:tc>
          <w:tcPr>
            <w:tcW w:w="6040" w:type="dxa"/>
            <w:vAlign w:val="bottom"/>
            <w:tcBorders>
              <w:bottom w:val="single" w:sz="8" w:color="DFF1FB"/>
            </w:tcBorders>
          </w:tcPr>
          <w:p>
            <w:pPr>
              <w:ind w:left="80"/>
              <w:spacing w:after="0"/>
              <w:rPr>
                <w:sz w:val="20"/>
                <w:szCs w:val="20"/>
                <w:color w:val="auto"/>
              </w:rPr>
            </w:pPr>
            <w:r>
              <w:rPr>
                <w:rFonts w:ascii="Arial" w:cs="Arial" w:eastAsia="Arial" w:hAnsi="Arial"/>
                <w:sz w:val="13"/>
                <w:szCs w:val="13"/>
                <w:color w:val="auto"/>
              </w:rPr>
              <w:t>Health and welfare benefits</w:t>
            </w:r>
            <w:r>
              <w:rPr>
                <w:rFonts w:ascii="Arial" w:cs="Arial" w:eastAsia="Arial" w:hAnsi="Arial"/>
                <w:sz w:val="22"/>
                <w:szCs w:val="22"/>
                <w:color w:val="auto"/>
                <w:vertAlign w:val="superscript"/>
              </w:rPr>
              <w:t>(2)</w:t>
            </w:r>
          </w:p>
        </w:tc>
        <w:tc>
          <w:tcPr>
            <w:tcW w:w="3200" w:type="dxa"/>
            <w:vAlign w:val="bottom"/>
            <w:tcBorders>
              <w:bottom w:val="single" w:sz="8" w:color="DFF1FB"/>
            </w:tcBorders>
          </w:tcPr>
          <w:p>
            <w:pPr>
              <w:jc w:val="center"/>
              <w:ind w:left="1617"/>
              <w:spacing w:after="0"/>
              <w:rPr>
                <w:sz w:val="20"/>
                <w:szCs w:val="20"/>
                <w:color w:val="auto"/>
              </w:rPr>
            </w:pPr>
            <w:r>
              <w:rPr>
                <w:rFonts w:ascii="Arial" w:cs="Arial" w:eastAsia="Arial" w:hAnsi="Arial"/>
                <w:sz w:val="22"/>
                <w:szCs w:val="22"/>
                <w:color w:val="105EAB"/>
                <w:w w:val="89"/>
              </w:rPr>
              <w:t>●</w:t>
            </w:r>
          </w:p>
        </w:tc>
        <w:tc>
          <w:tcPr>
            <w:tcW w:w="1180" w:type="dxa"/>
            <w:vAlign w:val="bottom"/>
            <w:tcBorders>
              <w:bottom w:val="single" w:sz="8" w:color="DFF1FB"/>
            </w:tcBorders>
          </w:tcPr>
          <w:p>
            <w:pPr>
              <w:jc w:val="center"/>
              <w:spacing w:after="0"/>
              <w:rPr>
                <w:sz w:val="20"/>
                <w:szCs w:val="20"/>
                <w:color w:val="auto"/>
              </w:rPr>
            </w:pPr>
            <w:r>
              <w:rPr>
                <w:rFonts w:ascii="Arial" w:cs="Arial" w:eastAsia="Arial" w:hAnsi="Arial"/>
                <w:sz w:val="22"/>
                <w:szCs w:val="22"/>
                <w:color w:val="105EAB"/>
              </w:rPr>
              <w:t>●</w:t>
            </w:r>
          </w:p>
        </w:tc>
        <w:tc>
          <w:tcPr>
            <w:tcW w:w="1000" w:type="dxa"/>
            <w:vAlign w:val="bottom"/>
            <w:tcBorders>
              <w:bottom w:val="single" w:sz="8" w:color="DFF1FB"/>
            </w:tcBorders>
          </w:tcPr>
          <w:p>
            <w:pPr>
              <w:jc w:val="center"/>
              <w:spacing w:after="0"/>
              <w:rPr>
                <w:sz w:val="20"/>
                <w:szCs w:val="20"/>
                <w:color w:val="auto"/>
              </w:rPr>
            </w:pPr>
            <w:r>
              <w:rPr>
                <w:rFonts w:ascii="Arial" w:cs="Arial" w:eastAsia="Arial" w:hAnsi="Arial"/>
                <w:sz w:val="22"/>
                <w:szCs w:val="22"/>
                <w:color w:val="105EAB"/>
              </w:rPr>
              <w:t>●</w:t>
            </w:r>
          </w:p>
        </w:tc>
      </w:tr>
      <w:tr>
        <w:trPr>
          <w:trHeight w:val="236"/>
        </w:trPr>
        <w:tc>
          <w:tcPr>
            <w:tcW w:w="6040" w:type="dxa"/>
            <w:vAlign w:val="bottom"/>
            <w:tcBorders>
              <w:bottom w:val="single" w:sz="8" w:color="DFF1FB"/>
            </w:tcBorders>
          </w:tcPr>
          <w:p>
            <w:pPr>
              <w:ind w:left="80"/>
              <w:spacing w:after="0"/>
              <w:rPr>
                <w:sz w:val="20"/>
                <w:szCs w:val="20"/>
                <w:color w:val="auto"/>
              </w:rPr>
            </w:pPr>
            <w:r>
              <w:rPr>
                <w:rFonts w:ascii="Arial" w:cs="Arial" w:eastAsia="Arial" w:hAnsi="Arial"/>
                <w:sz w:val="13"/>
                <w:szCs w:val="13"/>
                <w:color w:val="auto"/>
              </w:rPr>
              <w:t>Supplemental long-term disability</w:t>
            </w:r>
          </w:p>
        </w:tc>
        <w:tc>
          <w:tcPr>
            <w:tcW w:w="3200" w:type="dxa"/>
            <w:vAlign w:val="bottom"/>
            <w:tcBorders>
              <w:bottom w:val="single" w:sz="8" w:color="DFF1FB"/>
            </w:tcBorders>
          </w:tcPr>
          <w:p>
            <w:pPr>
              <w:jc w:val="center"/>
              <w:ind w:left="1617"/>
              <w:spacing w:after="0" w:line="237" w:lineRule="exact"/>
              <w:rPr>
                <w:sz w:val="20"/>
                <w:szCs w:val="20"/>
                <w:color w:val="auto"/>
              </w:rPr>
            </w:pPr>
            <w:r>
              <w:rPr>
                <w:rFonts w:ascii="Arial" w:cs="Arial" w:eastAsia="Arial" w:hAnsi="Arial"/>
                <w:sz w:val="22"/>
                <w:szCs w:val="22"/>
                <w:color w:val="105EAB"/>
                <w:w w:val="89"/>
              </w:rPr>
              <w:t>●</w:t>
            </w:r>
          </w:p>
        </w:tc>
        <w:tc>
          <w:tcPr>
            <w:tcW w:w="1180" w:type="dxa"/>
            <w:vAlign w:val="bottom"/>
            <w:tcBorders>
              <w:bottom w:val="single" w:sz="8" w:color="DFF1FB"/>
            </w:tcBorders>
          </w:tcPr>
          <w:p>
            <w:pPr>
              <w:jc w:val="center"/>
              <w:spacing w:after="0" w:line="237" w:lineRule="exact"/>
              <w:rPr>
                <w:sz w:val="20"/>
                <w:szCs w:val="20"/>
                <w:color w:val="auto"/>
              </w:rPr>
            </w:pPr>
            <w:r>
              <w:rPr>
                <w:rFonts w:ascii="Arial" w:cs="Arial" w:eastAsia="Arial" w:hAnsi="Arial"/>
                <w:sz w:val="22"/>
                <w:szCs w:val="22"/>
                <w:color w:val="105EAB"/>
              </w:rPr>
              <w:t>●</w:t>
            </w:r>
          </w:p>
        </w:tc>
        <w:tc>
          <w:tcPr>
            <w:tcW w:w="1000" w:type="dxa"/>
            <w:vAlign w:val="bottom"/>
            <w:tcBorders>
              <w:bottom w:val="single" w:sz="8" w:color="DFF1FB"/>
            </w:tcBorders>
          </w:tcPr>
          <w:p>
            <w:pPr>
              <w:spacing w:after="0"/>
              <w:rPr>
                <w:sz w:val="20"/>
                <w:szCs w:val="20"/>
                <w:color w:val="auto"/>
              </w:rPr>
            </w:pPr>
          </w:p>
        </w:tc>
      </w:tr>
      <w:tr>
        <w:trPr>
          <w:trHeight w:val="236"/>
        </w:trPr>
        <w:tc>
          <w:tcPr>
            <w:tcW w:w="6040" w:type="dxa"/>
            <w:vAlign w:val="bottom"/>
            <w:tcBorders>
              <w:bottom w:val="single" w:sz="8" w:color="DFF1FB"/>
            </w:tcBorders>
          </w:tcPr>
          <w:p>
            <w:pPr>
              <w:ind w:left="80"/>
              <w:spacing w:after="0"/>
              <w:rPr>
                <w:sz w:val="20"/>
                <w:szCs w:val="20"/>
                <w:color w:val="auto"/>
              </w:rPr>
            </w:pPr>
            <w:r>
              <w:rPr>
                <w:rFonts w:ascii="Arial" w:cs="Arial" w:eastAsia="Arial" w:hAnsi="Arial"/>
                <w:sz w:val="13"/>
                <w:szCs w:val="13"/>
                <w:color w:val="auto"/>
              </w:rPr>
              <w:t>Deferred compensation</w:t>
            </w:r>
          </w:p>
        </w:tc>
        <w:tc>
          <w:tcPr>
            <w:tcW w:w="3200" w:type="dxa"/>
            <w:vAlign w:val="bottom"/>
            <w:tcBorders>
              <w:bottom w:val="single" w:sz="8" w:color="DFF1FB"/>
            </w:tcBorders>
          </w:tcPr>
          <w:p>
            <w:pPr>
              <w:jc w:val="center"/>
              <w:ind w:left="1617"/>
              <w:spacing w:after="0" w:line="237" w:lineRule="exact"/>
              <w:rPr>
                <w:sz w:val="20"/>
                <w:szCs w:val="20"/>
                <w:color w:val="auto"/>
              </w:rPr>
            </w:pPr>
            <w:r>
              <w:rPr>
                <w:rFonts w:ascii="Arial" w:cs="Arial" w:eastAsia="Arial" w:hAnsi="Arial"/>
                <w:sz w:val="22"/>
                <w:szCs w:val="22"/>
                <w:color w:val="105EAB"/>
                <w:w w:val="89"/>
              </w:rPr>
              <w:t>●</w:t>
            </w:r>
          </w:p>
        </w:tc>
        <w:tc>
          <w:tcPr>
            <w:tcW w:w="1180" w:type="dxa"/>
            <w:vAlign w:val="bottom"/>
            <w:tcBorders>
              <w:bottom w:val="single" w:sz="8" w:color="DFF1FB"/>
            </w:tcBorders>
          </w:tcPr>
          <w:p>
            <w:pPr>
              <w:jc w:val="center"/>
              <w:spacing w:after="0" w:line="237" w:lineRule="exact"/>
              <w:rPr>
                <w:sz w:val="20"/>
                <w:szCs w:val="20"/>
                <w:color w:val="auto"/>
              </w:rPr>
            </w:pPr>
            <w:r>
              <w:rPr>
                <w:rFonts w:ascii="Arial" w:cs="Arial" w:eastAsia="Arial" w:hAnsi="Arial"/>
                <w:sz w:val="22"/>
                <w:szCs w:val="22"/>
                <w:color w:val="105EAB"/>
              </w:rPr>
              <w:t>●</w:t>
            </w:r>
          </w:p>
        </w:tc>
        <w:tc>
          <w:tcPr>
            <w:tcW w:w="1000" w:type="dxa"/>
            <w:vAlign w:val="bottom"/>
            <w:tcBorders>
              <w:bottom w:val="single" w:sz="8" w:color="DFF1FB"/>
            </w:tcBorders>
          </w:tcPr>
          <w:p>
            <w:pPr>
              <w:spacing w:after="0"/>
              <w:rPr>
                <w:sz w:val="20"/>
                <w:szCs w:val="20"/>
                <w:color w:val="auto"/>
              </w:rPr>
            </w:pPr>
          </w:p>
        </w:tc>
      </w:tr>
      <w:tr>
        <w:trPr>
          <w:trHeight w:val="290"/>
        </w:trPr>
        <w:tc>
          <w:tcPr>
            <w:tcW w:w="6040" w:type="dxa"/>
            <w:vAlign w:val="bottom"/>
            <w:tcBorders>
              <w:bottom w:val="single" w:sz="8" w:color="DFF1FB"/>
            </w:tcBorders>
          </w:tcPr>
          <w:p>
            <w:pPr>
              <w:ind w:left="80"/>
              <w:spacing w:after="0"/>
              <w:rPr>
                <w:sz w:val="20"/>
                <w:szCs w:val="20"/>
                <w:color w:val="auto"/>
              </w:rPr>
            </w:pPr>
            <w:r>
              <w:rPr>
                <w:rFonts w:ascii="Arial" w:cs="Arial" w:eastAsia="Arial" w:hAnsi="Arial"/>
                <w:sz w:val="13"/>
                <w:szCs w:val="13"/>
                <w:color w:val="auto"/>
              </w:rPr>
              <w:t>Tax preparation and financial planning services</w:t>
            </w:r>
            <w:r>
              <w:rPr>
                <w:rFonts w:ascii="Arial" w:cs="Arial" w:eastAsia="Arial" w:hAnsi="Arial"/>
                <w:sz w:val="22"/>
                <w:szCs w:val="22"/>
                <w:color w:val="auto"/>
                <w:vertAlign w:val="superscript"/>
              </w:rPr>
              <w:t>(3)</w:t>
            </w:r>
          </w:p>
        </w:tc>
        <w:tc>
          <w:tcPr>
            <w:tcW w:w="3200" w:type="dxa"/>
            <w:vAlign w:val="bottom"/>
            <w:tcBorders>
              <w:bottom w:val="single" w:sz="8" w:color="DFF1FB"/>
            </w:tcBorders>
          </w:tcPr>
          <w:p>
            <w:pPr>
              <w:jc w:val="center"/>
              <w:ind w:left="1617"/>
              <w:spacing w:after="0"/>
              <w:rPr>
                <w:sz w:val="20"/>
                <w:szCs w:val="20"/>
                <w:color w:val="auto"/>
              </w:rPr>
            </w:pPr>
            <w:r>
              <w:rPr>
                <w:rFonts w:ascii="Arial" w:cs="Arial" w:eastAsia="Arial" w:hAnsi="Arial"/>
                <w:sz w:val="22"/>
                <w:szCs w:val="22"/>
                <w:color w:val="105EAB"/>
                <w:w w:val="89"/>
              </w:rPr>
              <w:t>●</w:t>
            </w:r>
          </w:p>
        </w:tc>
        <w:tc>
          <w:tcPr>
            <w:tcW w:w="1180" w:type="dxa"/>
            <w:vAlign w:val="bottom"/>
            <w:tcBorders>
              <w:bottom w:val="single" w:sz="8" w:color="DFF1FB"/>
            </w:tcBorders>
          </w:tcPr>
          <w:p>
            <w:pPr>
              <w:jc w:val="center"/>
              <w:spacing w:after="0"/>
              <w:rPr>
                <w:sz w:val="20"/>
                <w:szCs w:val="20"/>
                <w:color w:val="auto"/>
              </w:rPr>
            </w:pPr>
            <w:r>
              <w:rPr>
                <w:rFonts w:ascii="Arial" w:cs="Arial" w:eastAsia="Arial" w:hAnsi="Arial"/>
                <w:sz w:val="22"/>
                <w:szCs w:val="22"/>
                <w:color w:val="105EAB"/>
              </w:rPr>
              <w:t>●</w:t>
            </w:r>
          </w:p>
        </w:tc>
        <w:tc>
          <w:tcPr>
            <w:tcW w:w="1000" w:type="dxa"/>
            <w:vAlign w:val="bottom"/>
            <w:tcBorders>
              <w:bottom w:val="single" w:sz="8" w:color="DFF1FB"/>
            </w:tcBorders>
          </w:tcPr>
          <w:p>
            <w:pPr>
              <w:spacing w:after="0"/>
              <w:rPr>
                <w:sz w:val="24"/>
                <w:szCs w:val="24"/>
                <w:color w:val="auto"/>
              </w:rPr>
            </w:pPr>
          </w:p>
        </w:tc>
      </w:tr>
      <w:tr>
        <w:trPr>
          <w:trHeight w:val="290"/>
        </w:trPr>
        <w:tc>
          <w:tcPr>
            <w:tcW w:w="6040" w:type="dxa"/>
            <w:vAlign w:val="bottom"/>
            <w:tcBorders>
              <w:bottom w:val="single" w:sz="8" w:color="DFF1FB"/>
            </w:tcBorders>
          </w:tcPr>
          <w:p>
            <w:pPr>
              <w:ind w:left="80"/>
              <w:spacing w:after="0"/>
              <w:rPr>
                <w:sz w:val="20"/>
                <w:szCs w:val="20"/>
                <w:color w:val="auto"/>
              </w:rPr>
            </w:pPr>
            <w:r>
              <w:rPr>
                <w:rFonts w:ascii="Arial" w:cs="Arial" w:eastAsia="Arial" w:hAnsi="Arial"/>
                <w:sz w:val="13"/>
                <w:szCs w:val="13"/>
                <w:color w:val="auto"/>
              </w:rPr>
              <w:t>Personal use of aircraft, ground transportation, and mobile devices</w:t>
            </w:r>
            <w:r>
              <w:rPr>
                <w:rFonts w:ascii="Arial" w:cs="Arial" w:eastAsia="Arial" w:hAnsi="Arial"/>
                <w:sz w:val="22"/>
                <w:szCs w:val="22"/>
                <w:color w:val="auto"/>
                <w:vertAlign w:val="superscript"/>
              </w:rPr>
              <w:t>(4)</w:t>
            </w:r>
          </w:p>
        </w:tc>
        <w:tc>
          <w:tcPr>
            <w:tcW w:w="3200" w:type="dxa"/>
            <w:vAlign w:val="bottom"/>
            <w:tcBorders>
              <w:bottom w:val="single" w:sz="8" w:color="DFF1FB"/>
            </w:tcBorders>
          </w:tcPr>
          <w:p>
            <w:pPr>
              <w:jc w:val="center"/>
              <w:ind w:left="1617"/>
              <w:spacing w:after="0"/>
              <w:rPr>
                <w:sz w:val="20"/>
                <w:szCs w:val="20"/>
                <w:color w:val="auto"/>
              </w:rPr>
            </w:pPr>
            <w:r>
              <w:rPr>
                <w:rFonts w:ascii="Arial" w:cs="Arial" w:eastAsia="Arial" w:hAnsi="Arial"/>
                <w:sz w:val="22"/>
                <w:szCs w:val="22"/>
                <w:color w:val="105EAB"/>
                <w:w w:val="89"/>
              </w:rPr>
              <w:t>●</w:t>
            </w:r>
          </w:p>
        </w:tc>
        <w:tc>
          <w:tcPr>
            <w:tcW w:w="1180" w:type="dxa"/>
            <w:vAlign w:val="bottom"/>
            <w:tcBorders>
              <w:bottom w:val="single" w:sz="8" w:color="DFF1FB"/>
            </w:tcBorders>
          </w:tcPr>
          <w:p>
            <w:pPr>
              <w:jc w:val="center"/>
              <w:spacing w:after="0"/>
              <w:rPr>
                <w:sz w:val="20"/>
                <w:szCs w:val="20"/>
                <w:color w:val="auto"/>
              </w:rPr>
            </w:pPr>
            <w:r>
              <w:rPr>
                <w:rFonts w:ascii="Arial" w:cs="Arial" w:eastAsia="Arial" w:hAnsi="Arial"/>
                <w:sz w:val="22"/>
                <w:szCs w:val="22"/>
                <w:color w:val="105EAB"/>
              </w:rPr>
              <w:t>●</w:t>
            </w:r>
          </w:p>
        </w:tc>
        <w:tc>
          <w:tcPr>
            <w:tcW w:w="1000" w:type="dxa"/>
            <w:vAlign w:val="bottom"/>
            <w:tcBorders>
              <w:bottom w:val="single" w:sz="8" w:color="DFF1FB"/>
            </w:tcBorders>
          </w:tcPr>
          <w:p>
            <w:pPr>
              <w:spacing w:after="0"/>
              <w:rPr>
                <w:sz w:val="24"/>
                <w:szCs w:val="24"/>
                <w:color w:val="auto"/>
              </w:rPr>
            </w:pPr>
          </w:p>
        </w:tc>
      </w:tr>
      <w:tr>
        <w:trPr>
          <w:trHeight w:val="297"/>
        </w:trPr>
        <w:tc>
          <w:tcPr>
            <w:tcW w:w="6040" w:type="dxa"/>
            <w:vAlign w:val="bottom"/>
            <w:tcBorders>
              <w:bottom w:val="single" w:sz="8" w:color="105EAB"/>
            </w:tcBorders>
          </w:tcPr>
          <w:p>
            <w:pPr>
              <w:ind w:left="80"/>
              <w:spacing w:after="0"/>
              <w:rPr>
                <w:sz w:val="20"/>
                <w:szCs w:val="20"/>
                <w:color w:val="auto"/>
              </w:rPr>
            </w:pPr>
            <w:r>
              <w:rPr>
                <w:rFonts w:ascii="Arial" w:cs="Arial" w:eastAsia="Arial" w:hAnsi="Arial"/>
                <w:sz w:val="13"/>
                <w:szCs w:val="13"/>
                <w:color w:val="auto"/>
              </w:rPr>
              <w:t>Tickets to Allstate events</w:t>
            </w:r>
            <w:r>
              <w:rPr>
                <w:rFonts w:ascii="Arial" w:cs="Arial" w:eastAsia="Arial" w:hAnsi="Arial"/>
                <w:sz w:val="22"/>
                <w:szCs w:val="22"/>
                <w:color w:val="auto"/>
                <w:vertAlign w:val="superscript"/>
              </w:rPr>
              <w:t>(5)</w:t>
            </w:r>
          </w:p>
        </w:tc>
        <w:tc>
          <w:tcPr>
            <w:tcW w:w="3200" w:type="dxa"/>
            <w:vAlign w:val="bottom"/>
            <w:tcBorders>
              <w:bottom w:val="single" w:sz="8" w:color="105EAB"/>
            </w:tcBorders>
          </w:tcPr>
          <w:p>
            <w:pPr>
              <w:jc w:val="center"/>
              <w:ind w:left="1617"/>
              <w:spacing w:after="0"/>
              <w:rPr>
                <w:sz w:val="20"/>
                <w:szCs w:val="20"/>
                <w:color w:val="auto"/>
              </w:rPr>
            </w:pPr>
            <w:r>
              <w:rPr>
                <w:rFonts w:ascii="Arial" w:cs="Arial" w:eastAsia="Arial" w:hAnsi="Arial"/>
                <w:sz w:val="22"/>
                <w:szCs w:val="22"/>
                <w:color w:val="105EAB"/>
                <w:w w:val="89"/>
              </w:rPr>
              <w:t>●</w:t>
            </w:r>
          </w:p>
        </w:tc>
        <w:tc>
          <w:tcPr>
            <w:tcW w:w="1180" w:type="dxa"/>
            <w:vAlign w:val="bottom"/>
            <w:tcBorders>
              <w:bottom w:val="single" w:sz="8" w:color="105EAB"/>
            </w:tcBorders>
          </w:tcPr>
          <w:p>
            <w:pPr>
              <w:jc w:val="center"/>
              <w:spacing w:after="0"/>
              <w:rPr>
                <w:sz w:val="20"/>
                <w:szCs w:val="20"/>
                <w:color w:val="auto"/>
              </w:rPr>
            </w:pPr>
            <w:r>
              <w:rPr>
                <w:rFonts w:ascii="Arial" w:cs="Arial" w:eastAsia="Arial" w:hAnsi="Arial"/>
                <w:sz w:val="22"/>
                <w:szCs w:val="22"/>
                <w:color w:val="105EAB"/>
              </w:rPr>
              <w:t>●</w:t>
            </w:r>
          </w:p>
        </w:tc>
        <w:tc>
          <w:tcPr>
            <w:tcW w:w="1000" w:type="dxa"/>
            <w:vAlign w:val="bottom"/>
            <w:tcBorders>
              <w:bottom w:val="single" w:sz="8" w:color="105EAB"/>
            </w:tcBorders>
          </w:tcPr>
          <w:p>
            <w:pPr>
              <w:jc w:val="center"/>
              <w:spacing w:after="0"/>
              <w:rPr>
                <w:sz w:val="20"/>
                <w:szCs w:val="20"/>
                <w:color w:val="auto"/>
              </w:rPr>
            </w:pPr>
            <w:r>
              <w:rPr>
                <w:rFonts w:ascii="Arial" w:cs="Arial" w:eastAsia="Arial" w:hAnsi="Arial"/>
                <w:sz w:val="22"/>
                <w:szCs w:val="22"/>
                <w:color w:val="105EAB"/>
              </w:rPr>
              <w:t>●</w:t>
            </w:r>
          </w:p>
        </w:tc>
      </w:tr>
    </w:tbl>
    <w:p>
      <w:pPr>
        <w:spacing w:after="0" w:line="107" w:lineRule="exact"/>
        <w:rPr>
          <w:sz w:val="20"/>
          <w:szCs w:val="20"/>
          <w:color w:val="auto"/>
        </w:rPr>
      </w:pPr>
    </w:p>
    <w:p>
      <w:pPr>
        <w:ind w:left="300" w:hanging="292"/>
        <w:spacing w:after="0"/>
        <w:tabs>
          <w:tab w:leader="none" w:pos="300" w:val="left"/>
        </w:tabs>
        <w:numPr>
          <w:ilvl w:val="0"/>
          <w:numId w:val="175"/>
        </w:numPr>
        <w:rPr>
          <w:rFonts w:ascii="Arial" w:cs="Arial" w:eastAsia="Arial" w:hAnsi="Arial"/>
          <w:sz w:val="11"/>
          <w:szCs w:val="11"/>
          <w:color w:val="auto"/>
        </w:rPr>
      </w:pPr>
      <w:r>
        <w:rPr>
          <w:rFonts w:ascii="Arial" w:cs="Arial" w:eastAsia="Arial" w:hAnsi="Arial"/>
          <w:sz w:val="13"/>
          <w:szCs w:val="13"/>
          <w:color w:val="auto"/>
        </w:rPr>
        <w:t>Allstate contributed $0.80 for every dollar of matchable pre-tax or Roth 401(k) deposits made in 2018 (up to 5% of eligible pay).</w:t>
      </w:r>
    </w:p>
    <w:p>
      <w:pPr>
        <w:spacing w:after="0" w:line="12" w:lineRule="exact"/>
        <w:rPr>
          <w:rFonts w:ascii="Arial" w:cs="Arial" w:eastAsia="Arial" w:hAnsi="Arial"/>
          <w:sz w:val="11"/>
          <w:szCs w:val="11"/>
          <w:color w:val="auto"/>
        </w:rPr>
      </w:pPr>
    </w:p>
    <w:p>
      <w:pPr>
        <w:ind w:left="300" w:right="80" w:hanging="292"/>
        <w:spacing w:after="0" w:line="238" w:lineRule="auto"/>
        <w:tabs>
          <w:tab w:leader="none" w:pos="300" w:val="left"/>
        </w:tabs>
        <w:numPr>
          <w:ilvl w:val="0"/>
          <w:numId w:val="175"/>
        </w:numPr>
        <w:rPr>
          <w:rFonts w:ascii="Arial" w:cs="Arial" w:eastAsia="Arial" w:hAnsi="Arial"/>
          <w:sz w:val="11"/>
          <w:szCs w:val="11"/>
          <w:color w:val="auto"/>
        </w:rPr>
      </w:pPr>
      <w:r>
        <w:rPr>
          <w:rFonts w:ascii="Arial" w:cs="Arial" w:eastAsia="Arial" w:hAnsi="Arial"/>
          <w:sz w:val="13"/>
          <w:szCs w:val="13"/>
          <w:color w:val="auto"/>
        </w:rPr>
        <w:t>Including medical, dental, vision, life, accidental death and dismemberment, long-term disability, and group legal insurance. For named executives and other senior officers, Allstate offers an executive physical program.</w:t>
      </w:r>
    </w:p>
    <w:p>
      <w:pPr>
        <w:ind w:left="300" w:hanging="292"/>
        <w:spacing w:after="0"/>
        <w:tabs>
          <w:tab w:leader="none" w:pos="300" w:val="left"/>
        </w:tabs>
        <w:numPr>
          <w:ilvl w:val="0"/>
          <w:numId w:val="175"/>
        </w:numPr>
        <w:rPr>
          <w:rFonts w:ascii="Arial" w:cs="Arial" w:eastAsia="Arial" w:hAnsi="Arial"/>
          <w:sz w:val="11"/>
          <w:szCs w:val="11"/>
          <w:color w:val="auto"/>
        </w:rPr>
      </w:pPr>
      <w:r>
        <w:rPr>
          <w:rFonts w:ascii="Arial" w:cs="Arial" w:eastAsia="Arial" w:hAnsi="Arial"/>
          <w:sz w:val="13"/>
          <w:szCs w:val="13"/>
          <w:color w:val="auto"/>
        </w:rPr>
        <w:t>All officers are eligible for tax preparation services. Financial planning services were provided only to senior executives.</w:t>
      </w:r>
    </w:p>
    <w:p>
      <w:pPr>
        <w:spacing w:after="0" w:line="12" w:lineRule="exact"/>
        <w:rPr>
          <w:rFonts w:ascii="Arial" w:cs="Arial" w:eastAsia="Arial" w:hAnsi="Arial"/>
          <w:sz w:val="11"/>
          <w:szCs w:val="11"/>
          <w:color w:val="auto"/>
        </w:rPr>
      </w:pPr>
    </w:p>
    <w:p>
      <w:pPr>
        <w:ind w:left="300" w:right="140" w:hanging="292"/>
        <w:spacing w:after="0" w:line="238" w:lineRule="auto"/>
        <w:tabs>
          <w:tab w:leader="none" w:pos="300" w:val="left"/>
        </w:tabs>
        <w:numPr>
          <w:ilvl w:val="0"/>
          <w:numId w:val="175"/>
        </w:numPr>
        <w:rPr>
          <w:rFonts w:ascii="Arial" w:cs="Arial" w:eastAsia="Arial" w:hAnsi="Arial"/>
          <w:sz w:val="11"/>
          <w:szCs w:val="11"/>
          <w:color w:val="auto"/>
        </w:rPr>
      </w:pPr>
      <w:r>
        <w:rPr>
          <w:rFonts w:ascii="Arial" w:cs="Arial" w:eastAsia="Arial" w:hAnsi="Arial"/>
          <w:sz w:val="13"/>
          <w:szCs w:val="13"/>
          <w:color w:val="auto"/>
        </w:rPr>
        <w:t>The Board encourages the CEO to use our corporate aircraft when it improves his efficiency in managing the company, even if it is for personal purposes. Personal usage is counted as taxable compensation. In limited circumstances approved by the CEO, other senior executives are permitted to use our corporate aircraft for personal purposes. Ground transportation is available to senior executives. Mobile devices are available to senior executives, other officers, and certain managers and employees depending on their job responsibilities.</w:t>
      </w:r>
    </w:p>
    <w:p>
      <w:pPr>
        <w:ind w:left="300" w:hanging="292"/>
        <w:spacing w:after="0"/>
        <w:tabs>
          <w:tab w:leader="none" w:pos="300" w:val="left"/>
        </w:tabs>
        <w:numPr>
          <w:ilvl w:val="0"/>
          <w:numId w:val="175"/>
        </w:numPr>
        <w:rPr>
          <w:rFonts w:ascii="Arial" w:cs="Arial" w:eastAsia="Arial" w:hAnsi="Arial"/>
          <w:sz w:val="11"/>
          <w:szCs w:val="11"/>
          <w:color w:val="auto"/>
        </w:rPr>
      </w:pPr>
      <w:r>
        <w:rPr>
          <w:rFonts w:ascii="Arial" w:cs="Arial" w:eastAsia="Arial" w:hAnsi="Arial"/>
          <w:sz w:val="13"/>
          <w:szCs w:val="13"/>
          <w:color w:val="auto"/>
        </w:rPr>
        <w:t>Tickets to Allstate-sponsored events or the Allstate Arena are offered as recognition for service.</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39B6E9"/>
        </w:rPr>
        <w:t>Retirement Benefits</w:t>
      </w:r>
    </w:p>
    <w:p>
      <w:pPr>
        <w:spacing w:after="0" w:line="232" w:lineRule="exact"/>
        <w:rPr>
          <w:sz w:val="20"/>
          <w:szCs w:val="20"/>
          <w:color w:val="auto"/>
        </w:rPr>
      </w:pPr>
    </w:p>
    <w:p>
      <w:pPr>
        <w:ind w:right="80"/>
        <w:spacing w:after="0" w:line="263" w:lineRule="auto"/>
        <w:rPr>
          <w:sz w:val="20"/>
          <w:szCs w:val="20"/>
          <w:color w:val="auto"/>
        </w:rPr>
      </w:pPr>
      <w:r>
        <w:rPr>
          <w:rFonts w:ascii="Arial" w:cs="Arial" w:eastAsia="Arial" w:hAnsi="Arial"/>
          <w:sz w:val="16"/>
          <w:szCs w:val="16"/>
          <w:color w:val="auto"/>
        </w:rPr>
        <w:t>Each named executive participates in two different defined benefit pension plans. The Allstate Retirement Plan (ARP) is a tax qualified defined benefit pension plan available to all of our regular full-time and regular part-time employees who meet certain age and service requirements. The ARP provides an assured retirement income based on an employee’s level of compensation and length of service at no cost to the employee. As the ARP is a tax qualified plan, federal tax law limits (1) the amount of an individual’s compensation that can be used to calculate plan benefits and</w:t>
      </w:r>
    </w:p>
    <w:p>
      <w:pPr>
        <w:spacing w:after="0" w:line="3" w:lineRule="exact"/>
        <w:rPr>
          <w:sz w:val="20"/>
          <w:szCs w:val="20"/>
          <w:color w:val="auto"/>
        </w:rPr>
      </w:pPr>
    </w:p>
    <w:p>
      <w:pPr>
        <w:ind w:right="100" w:firstLine="8"/>
        <w:spacing w:after="0" w:line="270" w:lineRule="auto"/>
        <w:tabs>
          <w:tab w:leader="none" w:pos="263" w:val="left"/>
        </w:tabs>
        <w:numPr>
          <w:ilvl w:val="0"/>
          <w:numId w:val="176"/>
        </w:numPr>
        <w:rPr>
          <w:rFonts w:ascii="Arial" w:cs="Arial" w:eastAsia="Arial" w:hAnsi="Arial"/>
          <w:sz w:val="16"/>
          <w:szCs w:val="16"/>
          <w:color w:val="auto"/>
        </w:rPr>
      </w:pPr>
      <w:r>
        <w:rPr>
          <w:rFonts w:ascii="Arial" w:cs="Arial" w:eastAsia="Arial" w:hAnsi="Arial"/>
          <w:sz w:val="16"/>
          <w:szCs w:val="16"/>
          <w:color w:val="auto"/>
        </w:rPr>
        <w:t>the total amount of benefits payable to a plan participant on an annual basis. For certain employees, these limits may result in a lower benefit under the ARP than would have been payable otherwise. Therefore, the Supplemental Retirement Income Plan (SRIP) is used to provide ARP-eligible employees whose compensation or benefit amount exceeds the federal limits with an additional defined benefit in an amount equal to what would have been payable under the ARP if the federal limits did not exist. Effective January 1, 2014, Allstate modified its defined benefit pension plans so that thereafter, all eligible employees earn pension benefits under a new cash balance formula. The total value of Mr. Wilson’s pension benefit as of December 31, 2018, is $18,422,050 less than it would have been without the 2014 pension change.</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color w:val="39B6E9"/>
        </w:rPr>
        <w:t>Change in Control and Post-Termination Benefits</w:t>
      </w:r>
    </w:p>
    <w:p>
      <w:pPr>
        <w:spacing w:after="0" w:line="232"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Consistent with our compensation objectives, we offer these benefits to attract, motivate, and retain executives. Change in control benefits and post-termination benefits are designed to maintain alignment between the interests of our executives and our stockholders in the event of a sale or merger of the Company.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Allstate’s change-in-control benefits for the executive officers:</w:t>
      </w:r>
    </w:p>
    <w:p>
      <w:pPr>
        <w:spacing w:after="0" w:line="207" w:lineRule="exact"/>
        <w:rPr>
          <w:sz w:val="20"/>
          <w:szCs w:val="20"/>
          <w:color w:val="auto"/>
        </w:rPr>
      </w:pPr>
    </w:p>
    <w:p>
      <w:pPr>
        <w:ind w:left="340" w:right="600" w:hanging="332"/>
        <w:spacing w:after="0" w:line="245" w:lineRule="auto"/>
        <w:tabs>
          <w:tab w:leader="none" w:pos="340" w:val="left"/>
        </w:tabs>
        <w:numPr>
          <w:ilvl w:val="0"/>
          <w:numId w:val="177"/>
        </w:numPr>
        <w:rPr>
          <w:rFonts w:ascii="Arial" w:cs="Arial" w:eastAsia="Arial" w:hAnsi="Arial"/>
          <w:sz w:val="17"/>
          <w:szCs w:val="17"/>
          <w:color w:val="105EAB"/>
        </w:rPr>
      </w:pPr>
      <w:r>
        <w:rPr>
          <w:rFonts w:ascii="Arial" w:cs="Arial" w:eastAsia="Arial" w:hAnsi="Arial"/>
          <w:sz w:val="18"/>
          <w:szCs w:val="18"/>
          <w:color w:val="auto"/>
        </w:rPr>
        <w:t>For the CEO, the amount of cash severance payable is three times the sum of base salary and target annual incentive. For the other executive officers, the amount of cash severance payable is two times the sum of base salary and target annual incentive.</w:t>
      </w:r>
    </w:p>
    <w:p>
      <w:pPr>
        <w:spacing w:after="0" w:line="90" w:lineRule="exact"/>
        <w:rPr>
          <w:rFonts w:ascii="Arial" w:cs="Arial" w:eastAsia="Arial" w:hAnsi="Arial"/>
          <w:sz w:val="17"/>
          <w:szCs w:val="17"/>
          <w:color w:val="105EAB"/>
        </w:rPr>
      </w:pPr>
    </w:p>
    <w:p>
      <w:pPr>
        <w:ind w:left="340" w:hanging="332"/>
        <w:spacing w:after="0"/>
        <w:tabs>
          <w:tab w:leader="none" w:pos="340" w:val="left"/>
        </w:tabs>
        <w:numPr>
          <w:ilvl w:val="0"/>
          <w:numId w:val="177"/>
        </w:numPr>
        <w:rPr>
          <w:rFonts w:ascii="Arial" w:cs="Arial" w:eastAsia="Arial" w:hAnsi="Arial"/>
          <w:sz w:val="17"/>
          <w:szCs w:val="17"/>
          <w:color w:val="105EAB"/>
        </w:rPr>
      </w:pPr>
      <w:r>
        <w:rPr>
          <w:rFonts w:ascii="Arial" w:cs="Arial" w:eastAsia="Arial" w:hAnsi="Arial"/>
          <w:sz w:val="18"/>
          <w:szCs w:val="18"/>
          <w:color w:val="auto"/>
        </w:rPr>
        <w:t>The change in control severance plan (“CIC Plan”) does not include excise tax gross ups or a lump sum cash pension enhancement.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1120" w:type="dxa"/>
            <w:vAlign w:val="bottom"/>
          </w:tcPr>
          <w:p>
            <w:pPr>
              <w:ind w:left="9640"/>
              <w:spacing w:after="0"/>
              <w:rPr>
                <w:sz w:val="20"/>
                <w:szCs w:val="20"/>
                <w:color w:val="auto"/>
              </w:rPr>
            </w:pPr>
            <w:r>
              <w:rPr>
                <w:rFonts w:ascii="Arial" w:cs="Arial" w:eastAsia="Arial" w:hAnsi="Arial"/>
                <w:sz w:val="13"/>
                <w:szCs w:val="13"/>
                <w:color w:val="105EAB"/>
              </w:rPr>
              <w:t>2019 Proxy Statement</w:t>
            </w:r>
          </w:p>
        </w:tc>
        <w:tc>
          <w:tcPr>
            <w:tcW w:w="320" w:type="dxa"/>
            <w:vAlign w:val="bottom"/>
          </w:tcPr>
          <w:p>
            <w:pPr>
              <w:jc w:val="right"/>
              <w:spacing w:after="0"/>
              <w:rPr>
                <w:sz w:val="20"/>
                <w:szCs w:val="20"/>
                <w:color w:val="auto"/>
              </w:rPr>
            </w:pPr>
            <w:r>
              <w:rPr>
                <w:rFonts w:ascii="Arial" w:cs="Arial" w:eastAsia="Arial" w:hAnsi="Arial"/>
                <w:sz w:val="13"/>
                <w:szCs w:val="13"/>
                <w:b w:val="1"/>
                <w:bCs w:val="1"/>
                <w:color w:val="105EAB"/>
              </w:rPr>
              <w:t>49</w:t>
            </w:r>
          </w:p>
        </w:tc>
      </w:tr>
      <w:tr>
        <w:trPr>
          <w:trHeight w:val="213"/>
        </w:trPr>
        <w:tc>
          <w:tcPr>
            <w:tcW w:w="1112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-13970</wp:posOffset>
            </wp:positionV>
            <wp:extent cx="1270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b w:val="1"/>
          <w:bCs w:val="1"/>
          <w:color w:val="105EAB"/>
        </w:rPr>
        <w:t xml:space="preserve">Executive Compensation | </w:t>
      </w:r>
      <w:r>
        <w:rPr>
          <w:rFonts w:ascii="Arial" w:cs="Arial" w:eastAsia="Arial" w:hAnsi="Arial"/>
          <w:sz w:val="13"/>
          <w:szCs w:val="13"/>
          <w:b w:val="1"/>
          <w:bCs w:val="1"/>
          <w:color w:val="000000"/>
        </w:rPr>
        <w:t>Compensation Discussion and Analysis</w:t>
      </w:r>
    </w:p>
    <w:p>
      <w:pPr>
        <w:spacing w:after="0" w:line="231" w:lineRule="exact"/>
        <w:rPr>
          <w:sz w:val="20"/>
          <w:szCs w:val="20"/>
          <w:color w:val="auto"/>
        </w:rPr>
      </w:pPr>
    </w:p>
    <w:p>
      <w:pPr>
        <w:jc w:val="both"/>
        <w:ind w:left="340" w:right="140" w:hanging="332"/>
        <w:spacing w:after="0" w:line="238" w:lineRule="auto"/>
        <w:tabs>
          <w:tab w:leader="none" w:pos="340" w:val="left"/>
        </w:tabs>
        <w:numPr>
          <w:ilvl w:val="0"/>
          <w:numId w:val="178"/>
        </w:numPr>
        <w:rPr>
          <w:rFonts w:ascii="Arial" w:cs="Arial" w:eastAsia="Arial" w:hAnsi="Arial"/>
          <w:sz w:val="17"/>
          <w:szCs w:val="17"/>
          <w:color w:val="105EAB"/>
        </w:rPr>
      </w:pPr>
      <w:r>
        <w:rPr>
          <w:rFonts w:ascii="Arial" w:cs="Arial" w:eastAsia="Arial" w:hAnsi="Arial"/>
          <w:sz w:val="18"/>
          <w:szCs w:val="18"/>
          <w:color w:val="auto"/>
        </w:rPr>
        <w:t>In order to receive the cash severance benefits under the CIC Plan, a participant must have been terminated (other than for cause, death, or disability) or the participant must have terminated employment for good reason (such as adverse changes in the terms or conditions of employment, including a material reduction in base compensation, a material change in authority, duties, or responsibilities, or a material change in job location) within two years following a change in control.</w:t>
      </w:r>
    </w:p>
    <w:p>
      <w:pPr>
        <w:spacing w:after="0" w:line="96" w:lineRule="exact"/>
        <w:rPr>
          <w:rFonts w:ascii="Arial" w:cs="Arial" w:eastAsia="Arial" w:hAnsi="Arial"/>
          <w:sz w:val="17"/>
          <w:szCs w:val="17"/>
          <w:color w:val="105EAB"/>
        </w:rPr>
      </w:pPr>
    </w:p>
    <w:p>
      <w:pPr>
        <w:ind w:left="340" w:right="300" w:hanging="332"/>
        <w:spacing w:after="0"/>
        <w:tabs>
          <w:tab w:leader="none" w:pos="340" w:val="left"/>
        </w:tabs>
        <w:numPr>
          <w:ilvl w:val="0"/>
          <w:numId w:val="178"/>
        </w:numPr>
        <w:rPr>
          <w:rFonts w:ascii="Arial" w:cs="Arial" w:eastAsia="Arial" w:hAnsi="Arial"/>
          <w:sz w:val="17"/>
          <w:szCs w:val="17"/>
          <w:color w:val="105EAB"/>
        </w:rPr>
      </w:pPr>
      <w:r>
        <w:rPr>
          <w:rFonts w:ascii="Arial" w:cs="Arial" w:eastAsia="Arial" w:hAnsi="Arial"/>
          <w:sz w:val="18"/>
          <w:szCs w:val="18"/>
          <w:color w:val="auto"/>
        </w:rPr>
        <w:t>Long-term equity incentive awards vest on an accelerated basis due to a change in control only if the participant has been terminated (other than for cause, death, or disability) or the participant terminated employment for good reason (as defined above) within two years following a change in control.</w:t>
      </w:r>
    </w:p>
    <w:p>
      <w:pPr>
        <w:spacing w:after="0" w:line="188" w:lineRule="exact"/>
        <w:rPr>
          <w:sz w:val="20"/>
          <w:szCs w:val="20"/>
          <w:color w:val="auto"/>
        </w:rPr>
      </w:pPr>
    </w:p>
    <w:p>
      <w:pPr>
        <w:ind w:right="300"/>
        <w:spacing w:after="0" w:line="247" w:lineRule="auto"/>
        <w:rPr>
          <w:sz w:val="20"/>
          <w:szCs w:val="20"/>
          <w:color w:val="auto"/>
        </w:rPr>
      </w:pPr>
      <w:r>
        <w:rPr>
          <w:rFonts w:ascii="Arial" w:cs="Arial" w:eastAsia="Arial" w:hAnsi="Arial"/>
          <w:sz w:val="18"/>
          <w:szCs w:val="18"/>
          <w:color w:val="auto"/>
        </w:rPr>
        <w:t xml:space="preserve">The change in control and post-termination arrangements that are described in the </w:t>
      </w:r>
      <w:r>
        <w:rPr>
          <w:rFonts w:ascii="Arial" w:cs="Arial" w:eastAsia="Arial" w:hAnsi="Arial"/>
          <w:sz w:val="18"/>
          <w:szCs w:val="18"/>
          <w:i w:val="1"/>
          <w:iCs w:val="1"/>
          <w:color w:val="auto"/>
        </w:rPr>
        <w:t>Potential Payments as a Result of Termination or Change 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Control </w:t>
      </w:r>
      <w:r>
        <w:rPr>
          <w:rFonts w:ascii="Arial" w:cs="Arial" w:eastAsia="Arial" w:hAnsi="Arial"/>
          <w:sz w:val="18"/>
          <w:szCs w:val="18"/>
          <w:color w:val="auto"/>
        </w:rPr>
        <w:t>section on pages 63-65 are not provided exclusively to the named executives. A larger group of management employees is eligible to</w:t>
      </w:r>
      <w:r>
        <w:rPr>
          <w:rFonts w:ascii="Arial" w:cs="Arial" w:eastAsia="Arial" w:hAnsi="Arial"/>
          <w:sz w:val="18"/>
          <w:szCs w:val="18"/>
          <w:i w:val="1"/>
          <w:iCs w:val="1"/>
          <w:color w:val="auto"/>
        </w:rPr>
        <w:t xml:space="preserve"> </w:t>
      </w:r>
      <w:r>
        <w:rPr>
          <w:rFonts w:ascii="Arial" w:cs="Arial" w:eastAsia="Arial" w:hAnsi="Arial"/>
          <w:sz w:val="18"/>
          <w:szCs w:val="18"/>
          <w:color w:val="auto"/>
        </w:rPr>
        <w:t>receive many of the post-termination benefits described in that section.</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39B6E9"/>
        </w:rPr>
        <w:t>Clawback of Compensation</w:t>
      </w:r>
    </w:p>
    <w:p>
      <w:pPr>
        <w:spacing w:after="0" w:line="232"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Awards made to executive officers after May 19, 2009, under short- and long-term incentive compensation plans, are subject to clawback in the event of certain financial restatements. Annual cash incentive and equity awards granted after May 19, 2009, are also subject to cancellation or recovery in certain circumstances if the recipient violates non-solicitation covenants. Equity awards granted after February 21, 2012, are subject to cancellation in certain circumstances if the recipient violates non-competition covenants.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39B6E9"/>
        </w:rPr>
        <w:t>Impact of Tax Considerations on Compensation</w:t>
      </w:r>
    </w:p>
    <w:p>
      <w:pPr>
        <w:spacing w:after="0" w:line="232"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Internal Revenue Code Section 162(m) generally precludes Allstate from taking a tax deduction for compensation paid in excess of $1 million annually to certain current and former executive officers, including our CEO, CFO and the three other most highly compensated executives, unless the compensation is paid pursuant to certain “grandfathered” arrangements entered into prior to November 2, 2017. Prior to the passage of the Tax Cuts and Jobs Act of 2017 the (“Tax Legislation”), we were able to deduct more than $1 million in compensation if the compensation was performance-based, was paid under a plan that met certain performance-based requirements and otherwise met certain requirements under Internal Revenue Code Section 162(m).</w:t>
      </w:r>
    </w:p>
    <w:p>
      <w:pPr>
        <w:spacing w:after="0" w:line="209"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In determining compensation for our executive officers, the committee considers the extent to which the compensation is deductible, including the effect of Internal Revenue Code Section 162(m). In prior years, the committee generally sought to structure our executive incentive compensation so that it qualified as performance-based compensation under Section 162(m) where doing so was consistent with Allstate’s compensation objectives, but it reserved the right to award nondeductible compensation and on occasion did so. The committee continues to evaluate the changes to Internal Revenue Code Section 162(m) and their significance to Allstate’s compensation programs, but in any event its primary focus in its compensation decisions will remain on most productively furthering Allstate’s business objectives and not on whether the compensation is deductible. The committee did not make significant changes to Allstate’s executive compensation program for 2018 in response to the Tax Legislation.</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39B6E9"/>
        </w:rPr>
        <w:t>Earned Annual Cash Incentive Awards</w:t>
      </w:r>
    </w:p>
    <w:p>
      <w:pPr>
        <w:spacing w:after="0" w:line="232"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In 2018, the total corporate pool was based on three measures: Total Premiums, Performance Net Income, and Net Investment Income. The 2018 annual incentive plan targets for the Total Premiums and Performance Net Income measures were 2.8% and 3.6% above 2017 actual results, respectively. The Net Investment Income measure was lower than prior year performance to reflect greater than expected results in 2017 from performance-based investments in Allstate’s portfolio. Modest adjustments were made to the range between threshold and maximum for the performance measures in alignment with sensitivities in the operating plan.</w:t>
      </w:r>
    </w:p>
    <w:p>
      <w:pPr>
        <w:spacing w:after="0" w:line="210"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2019 annual incentive plan targets are not included since those targets do not relate to 2018 pay, and because target performance is set at the 2019 operating plan, which is proprietary information.</w:t>
      </w:r>
    </w:p>
    <w:p>
      <w:pPr>
        <w:spacing w:after="0" w:line="204" w:lineRule="exact"/>
        <w:rPr>
          <w:sz w:val="20"/>
          <w:szCs w:val="20"/>
          <w:color w:val="auto"/>
        </w:rPr>
      </w:pPr>
    </w:p>
    <w:p>
      <w:pPr>
        <w:ind w:left="460" w:hanging="452"/>
        <w:spacing w:after="0"/>
        <w:tabs>
          <w:tab w:leader="none" w:pos="460" w:val="left"/>
        </w:tabs>
        <w:numPr>
          <w:ilvl w:val="0"/>
          <w:numId w:val="179"/>
        </w:numPr>
        <w:rPr>
          <w:rFonts w:ascii="Arial" w:cs="Arial" w:eastAsia="Arial" w:hAnsi="Arial"/>
          <w:sz w:val="13"/>
          <w:szCs w:val="13"/>
          <w:b w:val="1"/>
          <w:bCs w:val="1"/>
          <w:color w:val="105EAB"/>
        </w:rPr>
      </w:pPr>
      <w:r>
        <w:rPr>
          <w:rFonts w:ascii="Arial" w:cs="Arial" w:eastAsia="Arial" w:hAnsi="Arial"/>
          <w:sz w:val="13"/>
          <w:szCs w:val="13"/>
          <w:color w:val="105EAB"/>
        </w:rPr>
        <w:t>www.allstateproxy.com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134620</wp:posOffset>
            </wp:positionV>
            <wp:extent cx="7268210" cy="209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ind w:left="7060"/>
        <w:spacing w:after="0"/>
        <w:rPr>
          <w:sz w:val="20"/>
          <w:szCs w:val="20"/>
          <w:color w:val="auto"/>
        </w:rPr>
      </w:pPr>
      <w:r>
        <w:rPr>
          <w:rFonts w:ascii="Arial" w:cs="Arial" w:eastAsia="Arial" w:hAnsi="Arial"/>
          <w:sz w:val="13"/>
          <w:szCs w:val="13"/>
          <w:b w:val="1"/>
          <w:bCs w:val="1"/>
          <w:color w:val="auto"/>
        </w:rPr>
        <w:t xml:space="preserve">Compensation Discussion and Analysis </w:t>
      </w:r>
      <w:r>
        <w:rPr>
          <w:rFonts w:ascii="Arial" w:cs="Arial" w:eastAsia="Arial" w:hAnsi="Arial"/>
          <w:sz w:val="13"/>
          <w:szCs w:val="13"/>
          <w:b w:val="1"/>
          <w:bCs w:val="1"/>
          <w:color w:val="105EAB"/>
        </w:rPr>
        <w:t>| Executive Compensation</w:t>
      </w:r>
    </w:p>
    <w:p>
      <w:pPr>
        <w:spacing w:after="0" w:line="235" w:lineRule="exact"/>
        <w:rPr>
          <w:sz w:val="20"/>
          <w:szCs w:val="20"/>
          <w:color w:val="auto"/>
        </w:rPr>
      </w:pPr>
    </w:p>
    <w:p>
      <w:pPr>
        <w:ind w:right="340"/>
        <w:spacing w:after="0" w:line="239" w:lineRule="auto"/>
        <w:rPr>
          <w:sz w:val="20"/>
          <w:szCs w:val="20"/>
          <w:color w:val="auto"/>
        </w:rPr>
      </w:pPr>
      <w:r>
        <w:rPr>
          <w:rFonts w:ascii="Arial" w:cs="Arial" w:eastAsia="Arial" w:hAnsi="Arial"/>
          <w:sz w:val="18"/>
          <w:szCs w:val="18"/>
          <w:color w:val="auto"/>
        </w:rPr>
        <w:t>The compensation and succession committee considers the Company’s operating plan as well as prior year targets and actual results in setting annual incentive plan goals.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660" w:type="dxa"/>
            <w:vAlign w:val="bottom"/>
          </w:tcPr>
          <w:p>
            <w:pPr>
              <w:spacing w:after="0"/>
              <w:rPr>
                <w:sz w:val="17"/>
                <w:szCs w:val="17"/>
                <w:color w:val="auto"/>
              </w:rPr>
            </w:pPr>
          </w:p>
        </w:tc>
        <w:tc>
          <w:tcPr>
            <w:tcW w:w="100" w:type="dxa"/>
            <w:vAlign w:val="bottom"/>
            <w:tcBorders>
              <w:bottom w:val="single" w:sz="8" w:color="105EAB"/>
            </w:tcBorders>
          </w:tcPr>
          <w:p>
            <w:pPr>
              <w:spacing w:after="0"/>
              <w:rPr>
                <w:sz w:val="17"/>
                <w:szCs w:val="17"/>
                <w:color w:val="auto"/>
              </w:rPr>
            </w:pPr>
          </w:p>
        </w:tc>
        <w:tc>
          <w:tcPr>
            <w:tcW w:w="580" w:type="dxa"/>
            <w:vAlign w:val="bottom"/>
            <w:tcBorders>
              <w:bottom w:val="single" w:sz="8" w:color="105EAB"/>
            </w:tcBorders>
          </w:tcPr>
          <w:p>
            <w:pPr>
              <w:spacing w:after="0"/>
              <w:rPr>
                <w:sz w:val="17"/>
                <w:szCs w:val="17"/>
                <w:color w:val="auto"/>
              </w:rPr>
            </w:pPr>
          </w:p>
        </w:tc>
        <w:tc>
          <w:tcPr>
            <w:tcW w:w="220" w:type="dxa"/>
            <w:vAlign w:val="bottom"/>
            <w:tcBorders>
              <w:bottom w:val="single" w:sz="8" w:color="105EAB"/>
            </w:tcBorders>
          </w:tcPr>
          <w:p>
            <w:pPr>
              <w:spacing w:after="0"/>
              <w:rPr>
                <w:sz w:val="17"/>
                <w:szCs w:val="17"/>
                <w:color w:val="auto"/>
              </w:rPr>
            </w:pPr>
          </w:p>
        </w:tc>
        <w:tc>
          <w:tcPr>
            <w:tcW w:w="560" w:type="dxa"/>
            <w:vAlign w:val="bottom"/>
            <w:tcBorders>
              <w:bottom w:val="single" w:sz="8" w:color="105EAB"/>
            </w:tcBorders>
          </w:tcPr>
          <w:p>
            <w:pPr>
              <w:jc w:val="right"/>
              <w:ind w:right="133"/>
              <w:spacing w:after="0"/>
              <w:rPr>
                <w:sz w:val="20"/>
                <w:szCs w:val="20"/>
                <w:color w:val="auto"/>
              </w:rPr>
            </w:pPr>
            <w:r>
              <w:rPr>
                <w:rFonts w:ascii="Arial" w:cs="Arial" w:eastAsia="Arial" w:hAnsi="Arial"/>
                <w:sz w:val="13"/>
                <w:szCs w:val="13"/>
                <w:b w:val="1"/>
                <w:bCs w:val="1"/>
                <w:color w:val="105EAB"/>
              </w:rPr>
              <w:t>2017</w:t>
            </w:r>
          </w:p>
        </w:tc>
        <w:tc>
          <w:tcPr>
            <w:tcW w:w="760" w:type="dxa"/>
            <w:vAlign w:val="bottom"/>
            <w:tcBorders>
              <w:bottom w:val="single" w:sz="8" w:color="105EAB"/>
            </w:tcBorders>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Borders>
              <w:bottom w:val="single" w:sz="8" w:color="105EAB"/>
            </w:tcBorders>
          </w:tcPr>
          <w:p>
            <w:pPr>
              <w:spacing w:after="0"/>
              <w:rPr>
                <w:sz w:val="17"/>
                <w:szCs w:val="17"/>
                <w:color w:val="auto"/>
              </w:rPr>
            </w:pPr>
          </w:p>
        </w:tc>
        <w:tc>
          <w:tcPr>
            <w:tcW w:w="560" w:type="dxa"/>
            <w:vAlign w:val="bottom"/>
            <w:tcBorders>
              <w:bottom w:val="single" w:sz="8" w:color="105EAB"/>
            </w:tcBorders>
          </w:tcPr>
          <w:p>
            <w:pPr>
              <w:spacing w:after="0"/>
              <w:rPr>
                <w:sz w:val="17"/>
                <w:szCs w:val="17"/>
                <w:color w:val="auto"/>
              </w:rPr>
            </w:pPr>
          </w:p>
        </w:tc>
        <w:tc>
          <w:tcPr>
            <w:tcW w:w="220" w:type="dxa"/>
            <w:vAlign w:val="bottom"/>
            <w:tcBorders>
              <w:bottom w:val="single" w:sz="8" w:color="105EAB"/>
            </w:tcBorders>
          </w:tcPr>
          <w:p>
            <w:pPr>
              <w:spacing w:after="0"/>
              <w:rPr>
                <w:sz w:val="17"/>
                <w:szCs w:val="17"/>
                <w:color w:val="auto"/>
              </w:rPr>
            </w:pPr>
          </w:p>
        </w:tc>
        <w:tc>
          <w:tcPr>
            <w:tcW w:w="560" w:type="dxa"/>
            <w:vAlign w:val="bottom"/>
            <w:tcBorders>
              <w:bottom w:val="single" w:sz="8" w:color="105EAB"/>
            </w:tcBorders>
          </w:tcPr>
          <w:p>
            <w:pPr>
              <w:jc w:val="right"/>
              <w:ind w:right="133"/>
              <w:spacing w:after="0"/>
              <w:rPr>
                <w:sz w:val="20"/>
                <w:szCs w:val="20"/>
                <w:color w:val="auto"/>
              </w:rPr>
            </w:pPr>
            <w:r>
              <w:rPr>
                <w:rFonts w:ascii="Arial" w:cs="Arial" w:eastAsia="Arial" w:hAnsi="Arial"/>
                <w:sz w:val="13"/>
                <w:szCs w:val="13"/>
                <w:b w:val="1"/>
                <w:bCs w:val="1"/>
                <w:color w:val="105EAB"/>
              </w:rPr>
              <w:t>2018</w:t>
            </w:r>
          </w:p>
        </w:tc>
        <w:tc>
          <w:tcPr>
            <w:tcW w:w="820" w:type="dxa"/>
            <w:vAlign w:val="bottom"/>
            <w:tcBorders>
              <w:bottom w:val="single" w:sz="8" w:color="105EAB"/>
            </w:tcBorders>
          </w:tcPr>
          <w:p>
            <w:pPr>
              <w:spacing w:after="0"/>
              <w:rPr>
                <w:sz w:val="17"/>
                <w:szCs w:val="17"/>
                <w:color w:val="auto"/>
              </w:rPr>
            </w:pPr>
          </w:p>
        </w:tc>
      </w:tr>
      <w:tr>
        <w:trPr>
          <w:trHeight w:val="209"/>
        </w:trPr>
        <w:tc>
          <w:tcPr>
            <w:tcW w:w="6660" w:type="dxa"/>
            <w:vAlign w:val="bottom"/>
            <w:tcBorders>
              <w:bottom w:val="single" w:sz="8" w:color="105EAB"/>
            </w:tcBorders>
          </w:tcPr>
          <w:p>
            <w:pPr>
              <w:ind w:left="80"/>
              <w:spacing w:after="0"/>
              <w:rPr>
                <w:sz w:val="20"/>
                <w:szCs w:val="20"/>
                <w:color w:val="auto"/>
              </w:rPr>
            </w:pPr>
            <w:r>
              <w:rPr>
                <w:rFonts w:ascii="Arial" w:cs="Arial" w:eastAsia="Arial" w:hAnsi="Arial"/>
                <w:sz w:val="13"/>
                <w:szCs w:val="13"/>
                <w:b w:val="1"/>
                <w:bCs w:val="1"/>
                <w:color w:val="105EAB"/>
              </w:rPr>
              <w:t>Measure</w:t>
            </w:r>
          </w:p>
        </w:tc>
        <w:tc>
          <w:tcPr>
            <w:tcW w:w="680" w:type="dxa"/>
            <w:vAlign w:val="bottom"/>
            <w:tcBorders>
              <w:bottom w:val="single" w:sz="8" w:color="105EAB"/>
            </w:tcBorders>
            <w:gridSpan w:val="2"/>
          </w:tcPr>
          <w:p>
            <w:pPr>
              <w:jc w:val="right"/>
              <w:ind w:right="153"/>
              <w:spacing w:after="0"/>
              <w:rPr>
                <w:sz w:val="20"/>
                <w:szCs w:val="20"/>
                <w:color w:val="auto"/>
              </w:rPr>
            </w:pPr>
            <w:r>
              <w:rPr>
                <w:rFonts w:ascii="Arial" w:cs="Arial" w:eastAsia="Arial" w:hAnsi="Arial"/>
                <w:sz w:val="13"/>
                <w:szCs w:val="13"/>
                <w:b w:val="1"/>
                <w:bCs w:val="1"/>
                <w:color w:val="105EAB"/>
              </w:rPr>
              <w:t>Target</w:t>
            </w:r>
          </w:p>
        </w:tc>
        <w:tc>
          <w:tcPr>
            <w:tcW w:w="780" w:type="dxa"/>
            <w:vAlign w:val="bottom"/>
            <w:tcBorders>
              <w:bottom w:val="single" w:sz="8" w:color="105EAB"/>
            </w:tcBorders>
            <w:gridSpan w:val="2"/>
          </w:tcPr>
          <w:p>
            <w:pPr>
              <w:jc w:val="right"/>
              <w:ind w:right="133"/>
              <w:spacing w:after="0"/>
              <w:rPr>
                <w:sz w:val="20"/>
                <w:szCs w:val="20"/>
                <w:color w:val="auto"/>
              </w:rPr>
            </w:pPr>
            <w:r>
              <w:rPr>
                <w:rFonts w:ascii="Arial" w:cs="Arial" w:eastAsia="Arial" w:hAnsi="Arial"/>
                <w:sz w:val="13"/>
                <w:szCs w:val="13"/>
                <w:b w:val="1"/>
                <w:bCs w:val="1"/>
                <w:color w:val="105EAB"/>
              </w:rPr>
              <w:t>Actual</w:t>
            </w:r>
          </w:p>
        </w:tc>
        <w:tc>
          <w:tcPr>
            <w:tcW w:w="1020" w:type="dxa"/>
            <w:vAlign w:val="bottom"/>
            <w:tcBorders>
              <w:bottom w:val="single" w:sz="8" w:color="105EAB"/>
            </w:tcBorders>
            <w:gridSpan w:val="2"/>
          </w:tcPr>
          <w:p>
            <w:pPr>
              <w:jc w:val="right"/>
              <w:ind w:right="280"/>
              <w:spacing w:after="0"/>
              <w:rPr>
                <w:sz w:val="20"/>
                <w:szCs w:val="20"/>
                <w:color w:val="auto"/>
              </w:rPr>
            </w:pPr>
            <w:r>
              <w:rPr>
                <w:rFonts w:ascii="Arial" w:cs="Arial" w:eastAsia="Arial" w:hAnsi="Arial"/>
                <w:sz w:val="13"/>
                <w:szCs w:val="13"/>
                <w:b w:val="1"/>
                <w:bCs w:val="1"/>
                <w:color w:val="105EAB"/>
              </w:rPr>
              <w:t>Payout %</w:t>
            </w:r>
          </w:p>
        </w:tc>
        <w:tc>
          <w:tcPr>
            <w:tcW w:w="680" w:type="dxa"/>
            <w:vAlign w:val="bottom"/>
            <w:tcBorders>
              <w:bottom w:val="single" w:sz="8" w:color="105EAB"/>
            </w:tcBorders>
            <w:gridSpan w:val="2"/>
          </w:tcPr>
          <w:p>
            <w:pPr>
              <w:jc w:val="right"/>
              <w:ind w:right="153"/>
              <w:spacing w:after="0"/>
              <w:rPr>
                <w:sz w:val="20"/>
                <w:szCs w:val="20"/>
                <w:color w:val="auto"/>
              </w:rPr>
            </w:pPr>
            <w:r>
              <w:rPr>
                <w:rFonts w:ascii="Arial" w:cs="Arial" w:eastAsia="Arial" w:hAnsi="Arial"/>
                <w:sz w:val="13"/>
                <w:szCs w:val="13"/>
                <w:b w:val="1"/>
                <w:bCs w:val="1"/>
                <w:color w:val="105EAB"/>
              </w:rPr>
              <w:t>Target</w:t>
            </w:r>
          </w:p>
        </w:tc>
        <w:tc>
          <w:tcPr>
            <w:tcW w:w="780" w:type="dxa"/>
            <w:vAlign w:val="bottom"/>
            <w:tcBorders>
              <w:bottom w:val="single" w:sz="8" w:color="105EAB"/>
            </w:tcBorders>
            <w:gridSpan w:val="2"/>
          </w:tcPr>
          <w:p>
            <w:pPr>
              <w:jc w:val="right"/>
              <w:ind w:right="133"/>
              <w:spacing w:after="0"/>
              <w:rPr>
                <w:sz w:val="20"/>
                <w:szCs w:val="20"/>
                <w:color w:val="auto"/>
              </w:rPr>
            </w:pPr>
            <w:r>
              <w:rPr>
                <w:rFonts w:ascii="Arial" w:cs="Arial" w:eastAsia="Arial" w:hAnsi="Arial"/>
                <w:sz w:val="13"/>
                <w:szCs w:val="13"/>
                <w:b w:val="1"/>
                <w:bCs w:val="1"/>
                <w:color w:val="105EAB"/>
              </w:rPr>
              <w:t>Actual</w:t>
            </w:r>
          </w:p>
        </w:tc>
        <w:tc>
          <w:tcPr>
            <w:tcW w:w="820" w:type="dxa"/>
            <w:vAlign w:val="bottom"/>
            <w:tcBorders>
              <w:bottom w:val="single" w:sz="8" w:color="105EAB"/>
            </w:tcBorders>
          </w:tcPr>
          <w:p>
            <w:pPr>
              <w:jc w:val="right"/>
              <w:ind w:right="13"/>
              <w:spacing w:after="0"/>
              <w:rPr>
                <w:sz w:val="20"/>
                <w:szCs w:val="20"/>
                <w:color w:val="auto"/>
              </w:rPr>
            </w:pPr>
            <w:r>
              <w:rPr>
                <w:rFonts w:ascii="Arial" w:cs="Arial" w:eastAsia="Arial" w:hAnsi="Arial"/>
                <w:sz w:val="13"/>
                <w:szCs w:val="13"/>
                <w:b w:val="1"/>
                <w:bCs w:val="1"/>
                <w:color w:val="105EAB"/>
              </w:rPr>
              <w:t>Payout %</w:t>
            </w:r>
          </w:p>
        </w:tc>
      </w:tr>
      <w:tr>
        <w:trPr>
          <w:trHeight w:val="202"/>
        </w:trPr>
        <w:tc>
          <w:tcPr>
            <w:tcW w:w="6660" w:type="dxa"/>
            <w:vAlign w:val="bottom"/>
          </w:tcPr>
          <w:p>
            <w:pPr>
              <w:ind w:left="80"/>
              <w:spacing w:after="0"/>
              <w:rPr>
                <w:sz w:val="20"/>
                <w:szCs w:val="20"/>
                <w:color w:val="auto"/>
              </w:rPr>
            </w:pPr>
            <w:r>
              <w:rPr>
                <w:rFonts w:ascii="Arial" w:cs="Arial" w:eastAsia="Arial" w:hAnsi="Arial"/>
                <w:sz w:val="13"/>
                <w:szCs w:val="13"/>
                <w:color w:val="auto"/>
              </w:rPr>
              <w:t xml:space="preserve">Total Premiums </w:t>
            </w:r>
            <w:r>
              <w:rPr>
                <w:rFonts w:ascii="Arial" w:cs="Arial" w:eastAsia="Arial" w:hAnsi="Arial"/>
                <w:sz w:val="13"/>
                <w:szCs w:val="13"/>
                <w:i w:val="1"/>
                <w:iCs w:val="1"/>
                <w:color w:val="auto"/>
              </w:rPr>
              <w:t>(in millions)</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93"/>
              <w:spacing w:after="0"/>
              <w:rPr>
                <w:sz w:val="20"/>
                <w:szCs w:val="20"/>
                <w:color w:val="auto"/>
              </w:rPr>
            </w:pPr>
            <w:r>
              <w:rPr>
                <w:rFonts w:ascii="Arial" w:cs="Arial" w:eastAsia="Arial" w:hAnsi="Arial"/>
                <w:sz w:val="13"/>
                <w:szCs w:val="13"/>
                <w:color w:val="auto"/>
              </w:rPr>
              <w:t>34,900</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73"/>
              <w:spacing w:after="0"/>
              <w:rPr>
                <w:sz w:val="20"/>
                <w:szCs w:val="20"/>
                <w:color w:val="auto"/>
              </w:rPr>
            </w:pPr>
            <w:r>
              <w:rPr>
                <w:rFonts w:ascii="Arial" w:cs="Arial" w:eastAsia="Arial" w:hAnsi="Arial"/>
                <w:sz w:val="13"/>
                <w:szCs w:val="13"/>
                <w:color w:val="auto"/>
              </w:rPr>
              <w:t>35,120</w:t>
            </w:r>
          </w:p>
        </w:tc>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158.7%</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93"/>
              <w:spacing w:after="0"/>
              <w:rPr>
                <w:sz w:val="20"/>
                <w:szCs w:val="20"/>
                <w:color w:val="auto"/>
              </w:rPr>
            </w:pPr>
            <w:r>
              <w:rPr>
                <w:rFonts w:ascii="Arial" w:cs="Arial" w:eastAsia="Arial" w:hAnsi="Arial"/>
                <w:sz w:val="13"/>
                <w:szCs w:val="13"/>
                <w:color w:val="auto"/>
                <w:w w:val="95"/>
              </w:rPr>
              <w:t>36,100</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73"/>
              <w:spacing w:after="0"/>
              <w:rPr>
                <w:sz w:val="20"/>
                <w:szCs w:val="20"/>
                <w:color w:val="auto"/>
              </w:rPr>
            </w:pPr>
            <w:r>
              <w:rPr>
                <w:rFonts w:ascii="Arial" w:cs="Arial" w:eastAsia="Arial" w:hAnsi="Arial"/>
                <w:sz w:val="13"/>
                <w:szCs w:val="13"/>
                <w:color w:val="auto"/>
              </w:rPr>
              <w:t>37,451</w:t>
            </w:r>
          </w:p>
        </w:tc>
        <w:tc>
          <w:tcPr>
            <w:tcW w:w="820" w:type="dxa"/>
            <w:vAlign w:val="bottom"/>
          </w:tcPr>
          <w:p>
            <w:pPr>
              <w:jc w:val="right"/>
              <w:ind w:right="13"/>
              <w:spacing w:after="0"/>
              <w:rPr>
                <w:sz w:val="20"/>
                <w:szCs w:val="20"/>
                <w:color w:val="auto"/>
              </w:rPr>
            </w:pPr>
            <w:r>
              <w:rPr>
                <w:rFonts w:ascii="Arial" w:cs="Arial" w:eastAsia="Arial" w:hAnsi="Arial"/>
                <w:sz w:val="13"/>
                <w:szCs w:val="13"/>
                <w:color w:val="auto"/>
              </w:rPr>
              <w:t>200.0%</w:t>
            </w:r>
          </w:p>
        </w:tc>
      </w:tr>
      <w:tr>
        <w:trPr>
          <w:trHeight w:val="41"/>
        </w:trPr>
        <w:tc>
          <w:tcPr>
            <w:tcW w:w="6660" w:type="dxa"/>
            <w:vAlign w:val="bottom"/>
            <w:tcBorders>
              <w:bottom w:val="single" w:sz="8" w:color="DFF1FB"/>
            </w:tcBorders>
          </w:tcPr>
          <w:p>
            <w:pPr>
              <w:spacing w:after="0"/>
              <w:rPr>
                <w:sz w:val="3"/>
                <w:szCs w:val="3"/>
                <w:color w:val="auto"/>
              </w:rPr>
            </w:pPr>
          </w:p>
        </w:tc>
        <w:tc>
          <w:tcPr>
            <w:tcW w:w="100" w:type="dxa"/>
            <w:vAlign w:val="bottom"/>
            <w:tcBorders>
              <w:bottom w:val="single" w:sz="8" w:color="DFF1FB"/>
            </w:tcBorders>
          </w:tcPr>
          <w:p>
            <w:pPr>
              <w:spacing w:after="0"/>
              <w:rPr>
                <w:sz w:val="3"/>
                <w:szCs w:val="3"/>
                <w:color w:val="auto"/>
              </w:rPr>
            </w:pPr>
          </w:p>
        </w:tc>
        <w:tc>
          <w:tcPr>
            <w:tcW w:w="580" w:type="dxa"/>
            <w:vAlign w:val="bottom"/>
            <w:tcBorders>
              <w:bottom w:val="single" w:sz="8" w:color="DFF1FB"/>
            </w:tcBorders>
          </w:tcPr>
          <w:p>
            <w:pPr>
              <w:spacing w:after="0"/>
              <w:rPr>
                <w:sz w:val="3"/>
                <w:szCs w:val="3"/>
                <w:color w:val="auto"/>
              </w:rPr>
            </w:pPr>
          </w:p>
        </w:tc>
        <w:tc>
          <w:tcPr>
            <w:tcW w:w="220" w:type="dxa"/>
            <w:vAlign w:val="bottom"/>
            <w:tcBorders>
              <w:bottom w:val="single" w:sz="8" w:color="DFF1FB"/>
            </w:tcBorders>
          </w:tcPr>
          <w:p>
            <w:pPr>
              <w:spacing w:after="0"/>
              <w:rPr>
                <w:sz w:val="3"/>
                <w:szCs w:val="3"/>
                <w:color w:val="auto"/>
              </w:rPr>
            </w:pPr>
          </w:p>
        </w:tc>
        <w:tc>
          <w:tcPr>
            <w:tcW w:w="560" w:type="dxa"/>
            <w:vAlign w:val="bottom"/>
            <w:tcBorders>
              <w:bottom w:val="single" w:sz="8" w:color="DFF1FB"/>
            </w:tcBorders>
          </w:tcPr>
          <w:p>
            <w:pPr>
              <w:spacing w:after="0"/>
              <w:rPr>
                <w:sz w:val="3"/>
                <w:szCs w:val="3"/>
                <w:color w:val="auto"/>
              </w:rPr>
            </w:pPr>
          </w:p>
        </w:tc>
        <w:tc>
          <w:tcPr>
            <w:tcW w:w="760" w:type="dxa"/>
            <w:vAlign w:val="bottom"/>
            <w:tcBorders>
              <w:bottom w:val="single" w:sz="8" w:color="DFF1FB"/>
            </w:tcBorders>
          </w:tcPr>
          <w:p>
            <w:pPr>
              <w:spacing w:after="0"/>
              <w:rPr>
                <w:sz w:val="3"/>
                <w:szCs w:val="3"/>
                <w:color w:val="auto"/>
              </w:rPr>
            </w:pPr>
          </w:p>
        </w:tc>
        <w:tc>
          <w:tcPr>
            <w:tcW w:w="260" w:type="dxa"/>
            <w:vAlign w:val="bottom"/>
            <w:tcBorders>
              <w:bottom w:val="single" w:sz="8" w:color="DFF1FB"/>
            </w:tcBorders>
          </w:tcPr>
          <w:p>
            <w:pPr>
              <w:spacing w:after="0"/>
              <w:rPr>
                <w:sz w:val="3"/>
                <w:szCs w:val="3"/>
                <w:color w:val="auto"/>
              </w:rPr>
            </w:pPr>
          </w:p>
        </w:tc>
        <w:tc>
          <w:tcPr>
            <w:tcW w:w="120" w:type="dxa"/>
            <w:vAlign w:val="bottom"/>
            <w:tcBorders>
              <w:bottom w:val="single" w:sz="8" w:color="DFF1FB"/>
            </w:tcBorders>
          </w:tcPr>
          <w:p>
            <w:pPr>
              <w:spacing w:after="0"/>
              <w:rPr>
                <w:sz w:val="3"/>
                <w:szCs w:val="3"/>
                <w:color w:val="auto"/>
              </w:rPr>
            </w:pPr>
          </w:p>
        </w:tc>
        <w:tc>
          <w:tcPr>
            <w:tcW w:w="560" w:type="dxa"/>
            <w:vAlign w:val="bottom"/>
            <w:tcBorders>
              <w:bottom w:val="single" w:sz="8" w:color="DFF1FB"/>
            </w:tcBorders>
          </w:tcPr>
          <w:p>
            <w:pPr>
              <w:spacing w:after="0"/>
              <w:rPr>
                <w:sz w:val="3"/>
                <w:szCs w:val="3"/>
                <w:color w:val="auto"/>
              </w:rPr>
            </w:pPr>
          </w:p>
        </w:tc>
        <w:tc>
          <w:tcPr>
            <w:tcW w:w="220" w:type="dxa"/>
            <w:vAlign w:val="bottom"/>
            <w:tcBorders>
              <w:bottom w:val="single" w:sz="8" w:color="DFF1FB"/>
            </w:tcBorders>
          </w:tcPr>
          <w:p>
            <w:pPr>
              <w:spacing w:after="0"/>
              <w:rPr>
                <w:sz w:val="3"/>
                <w:szCs w:val="3"/>
                <w:color w:val="auto"/>
              </w:rPr>
            </w:pPr>
          </w:p>
        </w:tc>
        <w:tc>
          <w:tcPr>
            <w:tcW w:w="560" w:type="dxa"/>
            <w:vAlign w:val="bottom"/>
            <w:tcBorders>
              <w:bottom w:val="single" w:sz="8" w:color="DFF1FB"/>
            </w:tcBorders>
          </w:tcPr>
          <w:p>
            <w:pPr>
              <w:spacing w:after="0"/>
              <w:rPr>
                <w:sz w:val="3"/>
                <w:szCs w:val="3"/>
                <w:color w:val="auto"/>
              </w:rPr>
            </w:pPr>
          </w:p>
        </w:tc>
        <w:tc>
          <w:tcPr>
            <w:tcW w:w="820" w:type="dxa"/>
            <w:vAlign w:val="bottom"/>
            <w:tcBorders>
              <w:bottom w:val="single" w:sz="8" w:color="DFF1FB"/>
            </w:tcBorders>
          </w:tcPr>
          <w:p>
            <w:pPr>
              <w:spacing w:after="0"/>
              <w:rPr>
                <w:sz w:val="3"/>
                <w:szCs w:val="3"/>
                <w:color w:val="auto"/>
              </w:rPr>
            </w:pPr>
          </w:p>
        </w:tc>
      </w:tr>
      <w:tr>
        <w:trPr>
          <w:trHeight w:val="195"/>
        </w:trPr>
        <w:tc>
          <w:tcPr>
            <w:tcW w:w="6660" w:type="dxa"/>
            <w:vAlign w:val="bottom"/>
          </w:tcPr>
          <w:p>
            <w:pPr>
              <w:ind w:left="80"/>
              <w:spacing w:after="0"/>
              <w:rPr>
                <w:sz w:val="20"/>
                <w:szCs w:val="20"/>
                <w:color w:val="auto"/>
              </w:rPr>
            </w:pPr>
            <w:r>
              <w:rPr>
                <w:rFonts w:ascii="Arial" w:cs="Arial" w:eastAsia="Arial" w:hAnsi="Arial"/>
                <w:sz w:val="13"/>
                <w:szCs w:val="13"/>
                <w:color w:val="auto"/>
              </w:rPr>
              <w:t xml:space="preserve">Performance Net Income </w:t>
            </w:r>
            <w:r>
              <w:rPr>
                <w:rFonts w:ascii="Arial" w:cs="Arial" w:eastAsia="Arial" w:hAnsi="Arial"/>
                <w:sz w:val="13"/>
                <w:szCs w:val="13"/>
                <w:i w:val="1"/>
                <w:iCs w:val="1"/>
                <w:color w:val="auto"/>
              </w:rPr>
              <w:t>(in millions)</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93"/>
              <w:spacing w:after="0"/>
              <w:rPr>
                <w:sz w:val="20"/>
                <w:szCs w:val="20"/>
                <w:color w:val="auto"/>
              </w:rPr>
            </w:pPr>
            <w:r>
              <w:rPr>
                <w:rFonts w:ascii="Arial" w:cs="Arial" w:eastAsia="Arial" w:hAnsi="Arial"/>
                <w:sz w:val="13"/>
                <w:szCs w:val="13"/>
                <w:color w:val="auto"/>
              </w:rPr>
              <w:t>2,000</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73"/>
              <w:spacing w:after="0"/>
              <w:rPr>
                <w:sz w:val="20"/>
                <w:szCs w:val="20"/>
                <w:color w:val="auto"/>
              </w:rPr>
            </w:pPr>
            <w:r>
              <w:rPr>
                <w:rFonts w:ascii="Arial" w:cs="Arial" w:eastAsia="Arial" w:hAnsi="Arial"/>
                <w:sz w:val="13"/>
                <w:szCs w:val="13"/>
                <w:color w:val="auto"/>
              </w:rPr>
              <w:t>2,703</w:t>
            </w:r>
          </w:p>
        </w:tc>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200.0%</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93"/>
              <w:spacing w:after="0"/>
              <w:rPr>
                <w:sz w:val="20"/>
                <w:szCs w:val="20"/>
                <w:color w:val="auto"/>
              </w:rPr>
            </w:pPr>
            <w:r>
              <w:rPr>
                <w:rFonts w:ascii="Arial" w:cs="Arial" w:eastAsia="Arial" w:hAnsi="Arial"/>
                <w:sz w:val="13"/>
                <w:szCs w:val="13"/>
                <w:color w:val="auto"/>
              </w:rPr>
              <w:t>2,800</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73"/>
              <w:spacing w:after="0"/>
              <w:rPr>
                <w:sz w:val="20"/>
                <w:szCs w:val="20"/>
                <w:color w:val="auto"/>
              </w:rPr>
            </w:pPr>
            <w:r>
              <w:rPr>
                <w:rFonts w:ascii="Arial" w:cs="Arial" w:eastAsia="Arial" w:hAnsi="Arial"/>
                <w:sz w:val="13"/>
                <w:szCs w:val="13"/>
                <w:color w:val="auto"/>
              </w:rPr>
              <w:t>3,095</w:t>
            </w:r>
          </w:p>
        </w:tc>
        <w:tc>
          <w:tcPr>
            <w:tcW w:w="820" w:type="dxa"/>
            <w:vAlign w:val="bottom"/>
          </w:tcPr>
          <w:p>
            <w:pPr>
              <w:jc w:val="right"/>
              <w:ind w:right="13"/>
              <w:spacing w:after="0"/>
              <w:rPr>
                <w:sz w:val="20"/>
                <w:szCs w:val="20"/>
                <w:color w:val="auto"/>
              </w:rPr>
            </w:pPr>
            <w:r>
              <w:rPr>
                <w:rFonts w:ascii="Arial" w:cs="Arial" w:eastAsia="Arial" w:hAnsi="Arial"/>
                <w:sz w:val="13"/>
                <w:szCs w:val="13"/>
                <w:color w:val="auto"/>
              </w:rPr>
              <w:t>149.2%</w:t>
            </w:r>
          </w:p>
        </w:tc>
      </w:tr>
      <w:tr>
        <w:trPr>
          <w:trHeight w:val="41"/>
        </w:trPr>
        <w:tc>
          <w:tcPr>
            <w:tcW w:w="6660" w:type="dxa"/>
            <w:vAlign w:val="bottom"/>
            <w:tcBorders>
              <w:bottom w:val="single" w:sz="8" w:color="DFF1FB"/>
            </w:tcBorders>
          </w:tcPr>
          <w:p>
            <w:pPr>
              <w:spacing w:after="0"/>
              <w:rPr>
                <w:sz w:val="3"/>
                <w:szCs w:val="3"/>
                <w:color w:val="auto"/>
              </w:rPr>
            </w:pPr>
          </w:p>
        </w:tc>
        <w:tc>
          <w:tcPr>
            <w:tcW w:w="100" w:type="dxa"/>
            <w:vAlign w:val="bottom"/>
            <w:tcBorders>
              <w:bottom w:val="single" w:sz="8" w:color="DFF1FB"/>
            </w:tcBorders>
          </w:tcPr>
          <w:p>
            <w:pPr>
              <w:spacing w:after="0"/>
              <w:rPr>
                <w:sz w:val="3"/>
                <w:szCs w:val="3"/>
                <w:color w:val="auto"/>
              </w:rPr>
            </w:pPr>
          </w:p>
        </w:tc>
        <w:tc>
          <w:tcPr>
            <w:tcW w:w="580" w:type="dxa"/>
            <w:vAlign w:val="bottom"/>
            <w:tcBorders>
              <w:bottom w:val="single" w:sz="8" w:color="DFF1FB"/>
            </w:tcBorders>
          </w:tcPr>
          <w:p>
            <w:pPr>
              <w:spacing w:after="0"/>
              <w:rPr>
                <w:sz w:val="3"/>
                <w:szCs w:val="3"/>
                <w:color w:val="auto"/>
              </w:rPr>
            </w:pPr>
          </w:p>
        </w:tc>
        <w:tc>
          <w:tcPr>
            <w:tcW w:w="220" w:type="dxa"/>
            <w:vAlign w:val="bottom"/>
            <w:tcBorders>
              <w:bottom w:val="single" w:sz="8" w:color="DFF1FB"/>
            </w:tcBorders>
          </w:tcPr>
          <w:p>
            <w:pPr>
              <w:spacing w:after="0"/>
              <w:rPr>
                <w:sz w:val="3"/>
                <w:szCs w:val="3"/>
                <w:color w:val="auto"/>
              </w:rPr>
            </w:pPr>
          </w:p>
        </w:tc>
        <w:tc>
          <w:tcPr>
            <w:tcW w:w="560" w:type="dxa"/>
            <w:vAlign w:val="bottom"/>
            <w:tcBorders>
              <w:bottom w:val="single" w:sz="8" w:color="DFF1FB"/>
            </w:tcBorders>
          </w:tcPr>
          <w:p>
            <w:pPr>
              <w:spacing w:after="0"/>
              <w:rPr>
                <w:sz w:val="3"/>
                <w:szCs w:val="3"/>
                <w:color w:val="auto"/>
              </w:rPr>
            </w:pPr>
          </w:p>
        </w:tc>
        <w:tc>
          <w:tcPr>
            <w:tcW w:w="760" w:type="dxa"/>
            <w:vAlign w:val="bottom"/>
            <w:tcBorders>
              <w:bottom w:val="single" w:sz="8" w:color="DFF1FB"/>
            </w:tcBorders>
          </w:tcPr>
          <w:p>
            <w:pPr>
              <w:spacing w:after="0"/>
              <w:rPr>
                <w:sz w:val="3"/>
                <w:szCs w:val="3"/>
                <w:color w:val="auto"/>
              </w:rPr>
            </w:pPr>
          </w:p>
        </w:tc>
        <w:tc>
          <w:tcPr>
            <w:tcW w:w="260" w:type="dxa"/>
            <w:vAlign w:val="bottom"/>
            <w:tcBorders>
              <w:bottom w:val="single" w:sz="8" w:color="DFF1FB"/>
            </w:tcBorders>
          </w:tcPr>
          <w:p>
            <w:pPr>
              <w:spacing w:after="0"/>
              <w:rPr>
                <w:sz w:val="3"/>
                <w:szCs w:val="3"/>
                <w:color w:val="auto"/>
              </w:rPr>
            </w:pPr>
          </w:p>
        </w:tc>
        <w:tc>
          <w:tcPr>
            <w:tcW w:w="120" w:type="dxa"/>
            <w:vAlign w:val="bottom"/>
            <w:tcBorders>
              <w:bottom w:val="single" w:sz="8" w:color="DFF1FB"/>
            </w:tcBorders>
          </w:tcPr>
          <w:p>
            <w:pPr>
              <w:spacing w:after="0"/>
              <w:rPr>
                <w:sz w:val="3"/>
                <w:szCs w:val="3"/>
                <w:color w:val="auto"/>
              </w:rPr>
            </w:pPr>
          </w:p>
        </w:tc>
        <w:tc>
          <w:tcPr>
            <w:tcW w:w="560" w:type="dxa"/>
            <w:vAlign w:val="bottom"/>
            <w:tcBorders>
              <w:bottom w:val="single" w:sz="8" w:color="DFF1FB"/>
            </w:tcBorders>
          </w:tcPr>
          <w:p>
            <w:pPr>
              <w:spacing w:after="0"/>
              <w:rPr>
                <w:sz w:val="3"/>
                <w:szCs w:val="3"/>
                <w:color w:val="auto"/>
              </w:rPr>
            </w:pPr>
          </w:p>
        </w:tc>
        <w:tc>
          <w:tcPr>
            <w:tcW w:w="220" w:type="dxa"/>
            <w:vAlign w:val="bottom"/>
            <w:tcBorders>
              <w:bottom w:val="single" w:sz="8" w:color="DFF1FB"/>
            </w:tcBorders>
          </w:tcPr>
          <w:p>
            <w:pPr>
              <w:spacing w:after="0"/>
              <w:rPr>
                <w:sz w:val="3"/>
                <w:szCs w:val="3"/>
                <w:color w:val="auto"/>
              </w:rPr>
            </w:pPr>
          </w:p>
        </w:tc>
        <w:tc>
          <w:tcPr>
            <w:tcW w:w="560" w:type="dxa"/>
            <w:vAlign w:val="bottom"/>
            <w:tcBorders>
              <w:bottom w:val="single" w:sz="8" w:color="DFF1FB"/>
            </w:tcBorders>
          </w:tcPr>
          <w:p>
            <w:pPr>
              <w:spacing w:after="0"/>
              <w:rPr>
                <w:sz w:val="3"/>
                <w:szCs w:val="3"/>
                <w:color w:val="auto"/>
              </w:rPr>
            </w:pPr>
          </w:p>
        </w:tc>
        <w:tc>
          <w:tcPr>
            <w:tcW w:w="820" w:type="dxa"/>
            <w:vAlign w:val="bottom"/>
            <w:tcBorders>
              <w:bottom w:val="single" w:sz="8" w:color="DFF1FB"/>
            </w:tcBorders>
          </w:tcPr>
          <w:p>
            <w:pPr>
              <w:spacing w:after="0"/>
              <w:rPr>
                <w:sz w:val="3"/>
                <w:szCs w:val="3"/>
                <w:color w:val="auto"/>
              </w:rPr>
            </w:pPr>
          </w:p>
        </w:tc>
      </w:tr>
      <w:tr>
        <w:trPr>
          <w:trHeight w:val="195"/>
        </w:trPr>
        <w:tc>
          <w:tcPr>
            <w:tcW w:w="6660" w:type="dxa"/>
            <w:vAlign w:val="bottom"/>
          </w:tcPr>
          <w:p>
            <w:pPr>
              <w:ind w:left="80"/>
              <w:spacing w:after="0"/>
              <w:rPr>
                <w:sz w:val="20"/>
                <w:szCs w:val="20"/>
                <w:color w:val="auto"/>
              </w:rPr>
            </w:pPr>
            <w:r>
              <w:rPr>
                <w:rFonts w:ascii="Arial" w:cs="Arial" w:eastAsia="Arial" w:hAnsi="Arial"/>
                <w:sz w:val="13"/>
                <w:szCs w:val="13"/>
                <w:color w:val="auto"/>
              </w:rPr>
              <w:t xml:space="preserve">Net Investment Income </w:t>
            </w:r>
            <w:r>
              <w:rPr>
                <w:rFonts w:ascii="Arial" w:cs="Arial" w:eastAsia="Arial" w:hAnsi="Arial"/>
                <w:sz w:val="13"/>
                <w:szCs w:val="13"/>
                <w:i w:val="1"/>
                <w:iCs w:val="1"/>
                <w:color w:val="auto"/>
              </w:rPr>
              <w:t>(in millions)</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93"/>
              <w:spacing w:after="0"/>
              <w:rPr>
                <w:sz w:val="20"/>
                <w:szCs w:val="20"/>
                <w:color w:val="auto"/>
              </w:rPr>
            </w:pPr>
            <w:r>
              <w:rPr>
                <w:rFonts w:ascii="Arial" w:cs="Arial" w:eastAsia="Arial" w:hAnsi="Arial"/>
                <w:sz w:val="13"/>
                <w:szCs w:val="13"/>
                <w:color w:val="auto"/>
              </w:rPr>
              <w:t>3,000</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73"/>
              <w:spacing w:after="0"/>
              <w:rPr>
                <w:sz w:val="20"/>
                <w:szCs w:val="20"/>
                <w:color w:val="auto"/>
              </w:rPr>
            </w:pPr>
            <w:r>
              <w:rPr>
                <w:rFonts w:ascii="Arial" w:cs="Arial" w:eastAsia="Arial" w:hAnsi="Arial"/>
                <w:sz w:val="13"/>
                <w:szCs w:val="13"/>
                <w:color w:val="auto"/>
              </w:rPr>
              <w:t>3,188</w:t>
            </w:r>
          </w:p>
        </w:tc>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200.0%</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93"/>
              <w:spacing w:after="0"/>
              <w:rPr>
                <w:sz w:val="20"/>
                <w:szCs w:val="20"/>
                <w:color w:val="auto"/>
              </w:rPr>
            </w:pPr>
            <w:r>
              <w:rPr>
                <w:rFonts w:ascii="Arial" w:cs="Arial" w:eastAsia="Arial" w:hAnsi="Arial"/>
                <w:sz w:val="13"/>
                <w:szCs w:val="13"/>
                <w:color w:val="auto"/>
              </w:rPr>
              <w:t>3,100</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73"/>
              <w:spacing w:after="0"/>
              <w:rPr>
                <w:sz w:val="20"/>
                <w:szCs w:val="20"/>
                <w:color w:val="auto"/>
              </w:rPr>
            </w:pPr>
            <w:r>
              <w:rPr>
                <w:rFonts w:ascii="Arial" w:cs="Arial" w:eastAsia="Arial" w:hAnsi="Arial"/>
                <w:sz w:val="13"/>
                <w:szCs w:val="13"/>
                <w:color w:val="auto"/>
              </w:rPr>
              <w:t>3,240</w:t>
            </w:r>
          </w:p>
        </w:tc>
        <w:tc>
          <w:tcPr>
            <w:tcW w:w="820" w:type="dxa"/>
            <w:vAlign w:val="bottom"/>
          </w:tcPr>
          <w:p>
            <w:pPr>
              <w:jc w:val="right"/>
              <w:ind w:right="13"/>
              <w:spacing w:after="0"/>
              <w:rPr>
                <w:sz w:val="20"/>
                <w:szCs w:val="20"/>
                <w:color w:val="auto"/>
              </w:rPr>
            </w:pPr>
            <w:r>
              <w:rPr>
                <w:rFonts w:ascii="Arial" w:cs="Arial" w:eastAsia="Arial" w:hAnsi="Arial"/>
                <w:sz w:val="13"/>
                <w:szCs w:val="13"/>
                <w:color w:val="auto"/>
              </w:rPr>
              <w:t>162.2%</w:t>
            </w:r>
          </w:p>
        </w:tc>
      </w:tr>
      <w:tr>
        <w:trPr>
          <w:trHeight w:val="41"/>
        </w:trPr>
        <w:tc>
          <w:tcPr>
            <w:tcW w:w="6660" w:type="dxa"/>
            <w:vAlign w:val="bottom"/>
            <w:tcBorders>
              <w:bottom w:val="single" w:sz="8" w:color="DFF1FB"/>
            </w:tcBorders>
          </w:tcPr>
          <w:p>
            <w:pPr>
              <w:spacing w:after="0"/>
              <w:rPr>
                <w:sz w:val="3"/>
                <w:szCs w:val="3"/>
                <w:color w:val="auto"/>
              </w:rPr>
            </w:pPr>
          </w:p>
        </w:tc>
        <w:tc>
          <w:tcPr>
            <w:tcW w:w="100" w:type="dxa"/>
            <w:vAlign w:val="bottom"/>
            <w:tcBorders>
              <w:bottom w:val="single" w:sz="8" w:color="DFF1FB"/>
            </w:tcBorders>
          </w:tcPr>
          <w:p>
            <w:pPr>
              <w:spacing w:after="0"/>
              <w:rPr>
                <w:sz w:val="3"/>
                <w:szCs w:val="3"/>
                <w:color w:val="auto"/>
              </w:rPr>
            </w:pPr>
          </w:p>
        </w:tc>
        <w:tc>
          <w:tcPr>
            <w:tcW w:w="580" w:type="dxa"/>
            <w:vAlign w:val="bottom"/>
            <w:tcBorders>
              <w:bottom w:val="single" w:sz="8" w:color="DFF1FB"/>
            </w:tcBorders>
          </w:tcPr>
          <w:p>
            <w:pPr>
              <w:spacing w:after="0"/>
              <w:rPr>
                <w:sz w:val="3"/>
                <w:szCs w:val="3"/>
                <w:color w:val="auto"/>
              </w:rPr>
            </w:pPr>
          </w:p>
        </w:tc>
        <w:tc>
          <w:tcPr>
            <w:tcW w:w="220" w:type="dxa"/>
            <w:vAlign w:val="bottom"/>
            <w:tcBorders>
              <w:bottom w:val="single" w:sz="8" w:color="DFF1FB"/>
            </w:tcBorders>
          </w:tcPr>
          <w:p>
            <w:pPr>
              <w:spacing w:after="0"/>
              <w:rPr>
                <w:sz w:val="3"/>
                <w:szCs w:val="3"/>
                <w:color w:val="auto"/>
              </w:rPr>
            </w:pPr>
          </w:p>
        </w:tc>
        <w:tc>
          <w:tcPr>
            <w:tcW w:w="560" w:type="dxa"/>
            <w:vAlign w:val="bottom"/>
            <w:tcBorders>
              <w:bottom w:val="single" w:sz="8" w:color="DFF1FB"/>
            </w:tcBorders>
          </w:tcPr>
          <w:p>
            <w:pPr>
              <w:spacing w:after="0"/>
              <w:rPr>
                <w:sz w:val="3"/>
                <w:szCs w:val="3"/>
                <w:color w:val="auto"/>
              </w:rPr>
            </w:pPr>
          </w:p>
        </w:tc>
        <w:tc>
          <w:tcPr>
            <w:tcW w:w="760" w:type="dxa"/>
            <w:vAlign w:val="bottom"/>
            <w:tcBorders>
              <w:bottom w:val="single" w:sz="8" w:color="DFF1FB"/>
            </w:tcBorders>
          </w:tcPr>
          <w:p>
            <w:pPr>
              <w:spacing w:after="0"/>
              <w:rPr>
                <w:sz w:val="3"/>
                <w:szCs w:val="3"/>
                <w:color w:val="auto"/>
              </w:rPr>
            </w:pPr>
          </w:p>
        </w:tc>
        <w:tc>
          <w:tcPr>
            <w:tcW w:w="260" w:type="dxa"/>
            <w:vAlign w:val="bottom"/>
            <w:tcBorders>
              <w:bottom w:val="single" w:sz="8" w:color="DFF1FB"/>
            </w:tcBorders>
          </w:tcPr>
          <w:p>
            <w:pPr>
              <w:spacing w:after="0"/>
              <w:rPr>
                <w:sz w:val="3"/>
                <w:szCs w:val="3"/>
                <w:color w:val="auto"/>
              </w:rPr>
            </w:pPr>
          </w:p>
        </w:tc>
        <w:tc>
          <w:tcPr>
            <w:tcW w:w="120" w:type="dxa"/>
            <w:vAlign w:val="bottom"/>
            <w:tcBorders>
              <w:bottom w:val="single" w:sz="8" w:color="DFF1FB"/>
            </w:tcBorders>
          </w:tcPr>
          <w:p>
            <w:pPr>
              <w:spacing w:after="0"/>
              <w:rPr>
                <w:sz w:val="3"/>
                <w:szCs w:val="3"/>
                <w:color w:val="auto"/>
              </w:rPr>
            </w:pPr>
          </w:p>
        </w:tc>
        <w:tc>
          <w:tcPr>
            <w:tcW w:w="560" w:type="dxa"/>
            <w:vAlign w:val="bottom"/>
            <w:tcBorders>
              <w:bottom w:val="single" w:sz="8" w:color="DFF1FB"/>
            </w:tcBorders>
          </w:tcPr>
          <w:p>
            <w:pPr>
              <w:spacing w:after="0"/>
              <w:rPr>
                <w:sz w:val="3"/>
                <w:szCs w:val="3"/>
                <w:color w:val="auto"/>
              </w:rPr>
            </w:pPr>
          </w:p>
        </w:tc>
        <w:tc>
          <w:tcPr>
            <w:tcW w:w="220" w:type="dxa"/>
            <w:vAlign w:val="bottom"/>
            <w:tcBorders>
              <w:bottom w:val="single" w:sz="8" w:color="DFF1FB"/>
            </w:tcBorders>
          </w:tcPr>
          <w:p>
            <w:pPr>
              <w:spacing w:after="0"/>
              <w:rPr>
                <w:sz w:val="3"/>
                <w:szCs w:val="3"/>
                <w:color w:val="auto"/>
              </w:rPr>
            </w:pPr>
          </w:p>
        </w:tc>
        <w:tc>
          <w:tcPr>
            <w:tcW w:w="560" w:type="dxa"/>
            <w:vAlign w:val="bottom"/>
            <w:tcBorders>
              <w:bottom w:val="single" w:sz="8" w:color="DFF1FB"/>
            </w:tcBorders>
          </w:tcPr>
          <w:p>
            <w:pPr>
              <w:spacing w:after="0"/>
              <w:rPr>
                <w:sz w:val="3"/>
                <w:szCs w:val="3"/>
                <w:color w:val="auto"/>
              </w:rPr>
            </w:pPr>
          </w:p>
        </w:tc>
        <w:tc>
          <w:tcPr>
            <w:tcW w:w="820" w:type="dxa"/>
            <w:vAlign w:val="bottom"/>
            <w:tcBorders>
              <w:bottom w:val="single" w:sz="8" w:color="DFF1FB"/>
            </w:tcBorders>
          </w:tcPr>
          <w:p>
            <w:pPr>
              <w:spacing w:after="0"/>
              <w:rPr>
                <w:sz w:val="3"/>
                <w:szCs w:val="3"/>
                <w:color w:val="auto"/>
              </w:rPr>
            </w:pPr>
          </w:p>
        </w:tc>
      </w:tr>
      <w:tr>
        <w:trPr>
          <w:trHeight w:val="290"/>
        </w:trPr>
        <w:tc>
          <w:tcPr>
            <w:tcW w:w="6660" w:type="dxa"/>
            <w:vAlign w:val="bottom"/>
            <w:tcBorders>
              <w:bottom w:val="single" w:sz="8" w:color="DFF1FB"/>
            </w:tcBorders>
          </w:tcPr>
          <w:p>
            <w:pPr>
              <w:ind w:left="80"/>
              <w:spacing w:after="0"/>
              <w:rPr>
                <w:sz w:val="20"/>
                <w:szCs w:val="20"/>
                <w:color w:val="auto"/>
              </w:rPr>
            </w:pPr>
            <w:r>
              <w:rPr>
                <w:rFonts w:ascii="Arial" w:cs="Arial" w:eastAsia="Arial" w:hAnsi="Arial"/>
                <w:sz w:val="13"/>
                <w:szCs w:val="13"/>
                <w:color w:val="auto"/>
              </w:rPr>
              <w:t>Total Return</w:t>
            </w:r>
            <w:r>
              <w:rPr>
                <w:rFonts w:ascii="Arial" w:cs="Arial" w:eastAsia="Arial" w:hAnsi="Arial"/>
                <w:sz w:val="22"/>
                <w:szCs w:val="22"/>
                <w:color w:val="auto"/>
                <w:vertAlign w:val="superscript"/>
              </w:rPr>
              <w:t>(1)</w:t>
            </w:r>
          </w:p>
        </w:tc>
        <w:tc>
          <w:tcPr>
            <w:tcW w:w="100" w:type="dxa"/>
            <w:vAlign w:val="bottom"/>
            <w:tcBorders>
              <w:bottom w:val="single" w:sz="8" w:color="DFF1FB"/>
            </w:tcBorders>
          </w:tcPr>
          <w:p>
            <w:pPr>
              <w:spacing w:after="0"/>
              <w:rPr>
                <w:sz w:val="24"/>
                <w:szCs w:val="24"/>
                <w:color w:val="auto"/>
              </w:rPr>
            </w:pPr>
          </w:p>
        </w:tc>
        <w:tc>
          <w:tcPr>
            <w:tcW w:w="580" w:type="dxa"/>
            <w:vAlign w:val="bottom"/>
            <w:tcBorders>
              <w:bottom w:val="single" w:sz="8" w:color="DFF1FB"/>
            </w:tcBorders>
          </w:tcPr>
          <w:p>
            <w:pPr>
              <w:jc w:val="right"/>
              <w:ind w:right="93"/>
              <w:spacing w:after="0"/>
              <w:rPr>
                <w:sz w:val="20"/>
                <w:szCs w:val="20"/>
                <w:color w:val="auto"/>
              </w:rPr>
            </w:pPr>
            <w:r>
              <w:rPr>
                <w:rFonts w:ascii="Arial" w:cs="Arial" w:eastAsia="Arial" w:hAnsi="Arial"/>
                <w:sz w:val="13"/>
                <w:szCs w:val="13"/>
                <w:color w:val="auto"/>
              </w:rPr>
              <w:t>3.5%</w:t>
            </w:r>
          </w:p>
        </w:tc>
        <w:tc>
          <w:tcPr>
            <w:tcW w:w="220" w:type="dxa"/>
            <w:vAlign w:val="bottom"/>
            <w:tcBorders>
              <w:bottom w:val="single" w:sz="8" w:color="DFF1FB"/>
            </w:tcBorders>
          </w:tcPr>
          <w:p>
            <w:pPr>
              <w:spacing w:after="0"/>
              <w:rPr>
                <w:sz w:val="24"/>
                <w:szCs w:val="24"/>
                <w:color w:val="auto"/>
              </w:rPr>
            </w:pPr>
          </w:p>
        </w:tc>
        <w:tc>
          <w:tcPr>
            <w:tcW w:w="560" w:type="dxa"/>
            <w:vAlign w:val="bottom"/>
            <w:tcBorders>
              <w:bottom w:val="single" w:sz="8" w:color="DFF1FB"/>
            </w:tcBorders>
          </w:tcPr>
          <w:p>
            <w:pPr>
              <w:jc w:val="right"/>
              <w:ind w:right="73"/>
              <w:spacing w:after="0"/>
              <w:rPr>
                <w:sz w:val="20"/>
                <w:szCs w:val="20"/>
                <w:color w:val="auto"/>
              </w:rPr>
            </w:pPr>
            <w:r>
              <w:rPr>
                <w:rFonts w:ascii="Arial" w:cs="Arial" w:eastAsia="Arial" w:hAnsi="Arial"/>
                <w:sz w:val="13"/>
                <w:szCs w:val="13"/>
                <w:color w:val="auto"/>
              </w:rPr>
              <w:t>5.9%</w:t>
            </w:r>
          </w:p>
        </w:tc>
        <w:tc>
          <w:tcPr>
            <w:tcW w:w="1020" w:type="dxa"/>
            <w:vAlign w:val="bottom"/>
            <w:tcBorders>
              <w:bottom w:val="single" w:sz="8" w:color="DFF1FB"/>
            </w:tcBorders>
            <w:gridSpan w:val="2"/>
          </w:tcPr>
          <w:p>
            <w:pPr>
              <w:jc w:val="right"/>
              <w:ind w:right="260"/>
              <w:spacing w:after="0"/>
              <w:rPr>
                <w:sz w:val="20"/>
                <w:szCs w:val="20"/>
                <w:color w:val="auto"/>
              </w:rPr>
            </w:pPr>
            <w:r>
              <w:rPr>
                <w:rFonts w:ascii="Arial" w:cs="Arial" w:eastAsia="Arial" w:hAnsi="Arial"/>
                <w:sz w:val="13"/>
                <w:szCs w:val="13"/>
                <w:color w:val="auto"/>
              </w:rPr>
              <w:t>180.0%</w:t>
            </w:r>
          </w:p>
        </w:tc>
        <w:tc>
          <w:tcPr>
            <w:tcW w:w="120" w:type="dxa"/>
            <w:vAlign w:val="bottom"/>
            <w:tcBorders>
              <w:bottom w:val="single" w:sz="8" w:color="DFF1FB"/>
            </w:tcBorders>
          </w:tcPr>
          <w:p>
            <w:pPr>
              <w:spacing w:after="0"/>
              <w:rPr>
                <w:sz w:val="24"/>
                <w:szCs w:val="24"/>
                <w:color w:val="auto"/>
              </w:rPr>
            </w:pPr>
          </w:p>
        </w:tc>
        <w:tc>
          <w:tcPr>
            <w:tcW w:w="560" w:type="dxa"/>
            <w:vAlign w:val="bottom"/>
            <w:tcBorders>
              <w:bottom w:val="single" w:sz="8" w:color="DFF1FB"/>
            </w:tcBorders>
          </w:tcPr>
          <w:p>
            <w:pPr>
              <w:jc w:val="right"/>
              <w:ind w:right="93"/>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DFF1FB"/>
            </w:tcBorders>
          </w:tcPr>
          <w:p>
            <w:pPr>
              <w:spacing w:after="0"/>
              <w:rPr>
                <w:sz w:val="24"/>
                <w:szCs w:val="24"/>
                <w:color w:val="auto"/>
              </w:rPr>
            </w:pPr>
          </w:p>
        </w:tc>
        <w:tc>
          <w:tcPr>
            <w:tcW w:w="560" w:type="dxa"/>
            <w:vAlign w:val="bottom"/>
            <w:tcBorders>
              <w:bottom w:val="single" w:sz="8" w:color="DFF1FB"/>
            </w:tcBorders>
          </w:tcPr>
          <w:p>
            <w:pPr>
              <w:jc w:val="right"/>
              <w:ind w:right="73"/>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DFF1FB"/>
            </w:tcBorders>
          </w:tcPr>
          <w:p>
            <w:pPr>
              <w:jc w:val="right"/>
              <w:ind w:right="13"/>
              <w:spacing w:after="0"/>
              <w:rPr>
                <w:sz w:val="20"/>
                <w:szCs w:val="20"/>
                <w:color w:val="auto"/>
              </w:rPr>
            </w:pPr>
            <w:r>
              <w:rPr>
                <w:rFonts w:ascii="Arial" w:cs="Arial" w:eastAsia="Arial" w:hAnsi="Arial"/>
                <w:sz w:val="13"/>
                <w:szCs w:val="13"/>
                <w:color w:val="auto"/>
              </w:rPr>
              <w:t>—</w:t>
            </w:r>
          </w:p>
        </w:tc>
      </w:tr>
      <w:tr>
        <w:trPr>
          <w:trHeight w:val="195"/>
        </w:trPr>
        <w:tc>
          <w:tcPr>
            <w:tcW w:w="6660" w:type="dxa"/>
            <w:vAlign w:val="bottom"/>
          </w:tcPr>
          <w:p>
            <w:pPr>
              <w:ind w:left="80"/>
              <w:spacing w:after="0"/>
              <w:rPr>
                <w:sz w:val="20"/>
                <w:szCs w:val="20"/>
                <w:color w:val="auto"/>
              </w:rPr>
            </w:pPr>
            <w:r>
              <w:rPr>
                <w:rFonts w:ascii="Arial" w:cs="Arial" w:eastAsia="Arial" w:hAnsi="Arial"/>
                <w:sz w:val="13"/>
                <w:szCs w:val="13"/>
                <w:b w:val="1"/>
                <w:bCs w:val="1"/>
                <w:color w:val="auto"/>
              </w:rPr>
              <w:t>Aggregate Payout Percentage</w:t>
            </w:r>
          </w:p>
        </w:tc>
        <w:tc>
          <w:tcPr>
            <w:tcW w:w="100" w:type="dxa"/>
            <w:vAlign w:val="bottom"/>
          </w:tcPr>
          <w:p>
            <w:pPr>
              <w:spacing w:after="0"/>
              <w:rPr>
                <w:sz w:val="16"/>
                <w:szCs w:val="16"/>
                <w:color w:val="auto"/>
              </w:rPr>
            </w:pPr>
          </w:p>
        </w:tc>
        <w:tc>
          <w:tcPr>
            <w:tcW w:w="58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6"/>
                <w:szCs w:val="16"/>
                <w:color w:val="auto"/>
              </w:rPr>
            </w:pPr>
          </w:p>
        </w:tc>
        <w:tc>
          <w:tcPr>
            <w:tcW w:w="56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181.4%</w:t>
            </w:r>
          </w:p>
        </w:tc>
        <w:tc>
          <w:tcPr>
            <w:tcW w:w="120" w:type="dxa"/>
            <w:vAlign w:val="bottom"/>
          </w:tcPr>
          <w:p>
            <w:pPr>
              <w:spacing w:after="0"/>
              <w:rPr>
                <w:sz w:val="16"/>
                <w:szCs w:val="16"/>
                <w:color w:val="auto"/>
              </w:rPr>
            </w:pPr>
          </w:p>
        </w:tc>
        <w:tc>
          <w:tcPr>
            <w:tcW w:w="56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6"/>
                <w:szCs w:val="16"/>
                <w:color w:val="auto"/>
              </w:rPr>
            </w:pPr>
          </w:p>
        </w:tc>
        <w:tc>
          <w:tcPr>
            <w:tcW w:w="56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3"/>
              <w:spacing w:after="0"/>
              <w:rPr>
                <w:sz w:val="20"/>
                <w:szCs w:val="20"/>
                <w:color w:val="auto"/>
              </w:rPr>
            </w:pPr>
            <w:r>
              <w:rPr>
                <w:rFonts w:ascii="Arial" w:cs="Arial" w:eastAsia="Arial" w:hAnsi="Arial"/>
                <w:sz w:val="13"/>
                <w:szCs w:val="13"/>
                <w:color w:val="auto"/>
              </w:rPr>
              <w:t>173.4%</w:t>
            </w:r>
          </w:p>
        </w:tc>
      </w:tr>
      <w:tr>
        <w:trPr>
          <w:trHeight w:val="48"/>
        </w:trPr>
        <w:tc>
          <w:tcPr>
            <w:tcW w:w="6660" w:type="dxa"/>
            <w:vAlign w:val="bottom"/>
            <w:tcBorders>
              <w:bottom w:val="single" w:sz="8" w:color="105EAB"/>
            </w:tcBorders>
          </w:tcPr>
          <w:p>
            <w:pPr>
              <w:spacing w:after="0"/>
              <w:rPr>
                <w:sz w:val="4"/>
                <w:szCs w:val="4"/>
                <w:color w:val="auto"/>
              </w:rPr>
            </w:pPr>
          </w:p>
        </w:tc>
        <w:tc>
          <w:tcPr>
            <w:tcW w:w="100" w:type="dxa"/>
            <w:vAlign w:val="bottom"/>
            <w:tcBorders>
              <w:bottom w:val="single" w:sz="8" w:color="105EAB"/>
            </w:tcBorders>
          </w:tcPr>
          <w:p>
            <w:pPr>
              <w:spacing w:after="0"/>
              <w:rPr>
                <w:sz w:val="4"/>
                <w:szCs w:val="4"/>
                <w:color w:val="auto"/>
              </w:rPr>
            </w:pPr>
          </w:p>
        </w:tc>
        <w:tc>
          <w:tcPr>
            <w:tcW w:w="580" w:type="dxa"/>
            <w:vAlign w:val="bottom"/>
            <w:tcBorders>
              <w:bottom w:val="single" w:sz="8" w:color="105EAB"/>
            </w:tcBorders>
          </w:tcPr>
          <w:p>
            <w:pPr>
              <w:spacing w:after="0"/>
              <w:rPr>
                <w:sz w:val="4"/>
                <w:szCs w:val="4"/>
                <w:color w:val="auto"/>
              </w:rPr>
            </w:pPr>
          </w:p>
        </w:tc>
        <w:tc>
          <w:tcPr>
            <w:tcW w:w="220" w:type="dxa"/>
            <w:vAlign w:val="bottom"/>
            <w:tcBorders>
              <w:bottom w:val="single" w:sz="8" w:color="105EAB"/>
            </w:tcBorders>
          </w:tcPr>
          <w:p>
            <w:pPr>
              <w:spacing w:after="0"/>
              <w:rPr>
                <w:sz w:val="4"/>
                <w:szCs w:val="4"/>
                <w:color w:val="auto"/>
              </w:rPr>
            </w:pPr>
          </w:p>
        </w:tc>
        <w:tc>
          <w:tcPr>
            <w:tcW w:w="560" w:type="dxa"/>
            <w:vAlign w:val="bottom"/>
            <w:tcBorders>
              <w:bottom w:val="single" w:sz="8" w:color="105EAB"/>
            </w:tcBorders>
          </w:tcPr>
          <w:p>
            <w:pPr>
              <w:spacing w:after="0"/>
              <w:rPr>
                <w:sz w:val="4"/>
                <w:szCs w:val="4"/>
                <w:color w:val="auto"/>
              </w:rPr>
            </w:pPr>
          </w:p>
        </w:tc>
        <w:tc>
          <w:tcPr>
            <w:tcW w:w="760" w:type="dxa"/>
            <w:vAlign w:val="bottom"/>
            <w:tcBorders>
              <w:bottom w:val="single" w:sz="8" w:color="105EAB"/>
            </w:tcBorders>
          </w:tcPr>
          <w:p>
            <w:pPr>
              <w:spacing w:after="0"/>
              <w:rPr>
                <w:sz w:val="4"/>
                <w:szCs w:val="4"/>
                <w:color w:val="auto"/>
              </w:rPr>
            </w:pPr>
          </w:p>
        </w:tc>
        <w:tc>
          <w:tcPr>
            <w:tcW w:w="260" w:type="dxa"/>
            <w:vAlign w:val="bottom"/>
            <w:tcBorders>
              <w:bottom w:val="single" w:sz="8" w:color="105EAB"/>
            </w:tcBorders>
          </w:tcPr>
          <w:p>
            <w:pPr>
              <w:spacing w:after="0"/>
              <w:rPr>
                <w:sz w:val="4"/>
                <w:szCs w:val="4"/>
                <w:color w:val="auto"/>
              </w:rPr>
            </w:pPr>
          </w:p>
        </w:tc>
        <w:tc>
          <w:tcPr>
            <w:tcW w:w="120" w:type="dxa"/>
            <w:vAlign w:val="bottom"/>
            <w:tcBorders>
              <w:bottom w:val="single" w:sz="8" w:color="105EAB"/>
            </w:tcBorders>
          </w:tcPr>
          <w:p>
            <w:pPr>
              <w:spacing w:after="0"/>
              <w:rPr>
                <w:sz w:val="4"/>
                <w:szCs w:val="4"/>
                <w:color w:val="auto"/>
              </w:rPr>
            </w:pPr>
          </w:p>
        </w:tc>
        <w:tc>
          <w:tcPr>
            <w:tcW w:w="560" w:type="dxa"/>
            <w:vAlign w:val="bottom"/>
            <w:tcBorders>
              <w:bottom w:val="single" w:sz="8" w:color="105EAB"/>
            </w:tcBorders>
          </w:tcPr>
          <w:p>
            <w:pPr>
              <w:spacing w:after="0"/>
              <w:rPr>
                <w:sz w:val="4"/>
                <w:szCs w:val="4"/>
                <w:color w:val="auto"/>
              </w:rPr>
            </w:pPr>
          </w:p>
        </w:tc>
        <w:tc>
          <w:tcPr>
            <w:tcW w:w="220" w:type="dxa"/>
            <w:vAlign w:val="bottom"/>
            <w:tcBorders>
              <w:bottom w:val="single" w:sz="8" w:color="105EAB"/>
            </w:tcBorders>
          </w:tcPr>
          <w:p>
            <w:pPr>
              <w:spacing w:after="0"/>
              <w:rPr>
                <w:sz w:val="4"/>
                <w:szCs w:val="4"/>
                <w:color w:val="auto"/>
              </w:rPr>
            </w:pPr>
          </w:p>
        </w:tc>
        <w:tc>
          <w:tcPr>
            <w:tcW w:w="560" w:type="dxa"/>
            <w:vAlign w:val="bottom"/>
            <w:tcBorders>
              <w:bottom w:val="single" w:sz="8" w:color="105EAB"/>
            </w:tcBorders>
          </w:tcPr>
          <w:p>
            <w:pPr>
              <w:spacing w:after="0"/>
              <w:rPr>
                <w:sz w:val="4"/>
                <w:szCs w:val="4"/>
                <w:color w:val="auto"/>
              </w:rPr>
            </w:pPr>
          </w:p>
        </w:tc>
        <w:tc>
          <w:tcPr>
            <w:tcW w:w="820" w:type="dxa"/>
            <w:vAlign w:val="bottom"/>
            <w:tcBorders>
              <w:bottom w:val="single" w:sz="8" w:color="105EAB"/>
            </w:tcBorders>
          </w:tcPr>
          <w:p>
            <w:pPr>
              <w:spacing w:after="0"/>
              <w:rPr>
                <w:sz w:val="4"/>
                <w:szCs w:val="4"/>
                <w:color w:val="auto"/>
              </w:rPr>
            </w:pPr>
          </w:p>
        </w:tc>
      </w:tr>
    </w:tbl>
    <w:p>
      <w:pPr>
        <w:spacing w:after="0" w:line="107" w:lineRule="exact"/>
        <w:rPr>
          <w:sz w:val="20"/>
          <w:szCs w:val="20"/>
          <w:color w:val="auto"/>
        </w:rPr>
      </w:pPr>
    </w:p>
    <w:p>
      <w:pPr>
        <w:ind w:left="300" w:hanging="292"/>
        <w:spacing w:after="0"/>
        <w:tabs>
          <w:tab w:leader="none" w:pos="300" w:val="left"/>
        </w:tabs>
        <w:numPr>
          <w:ilvl w:val="0"/>
          <w:numId w:val="180"/>
        </w:numPr>
        <w:rPr>
          <w:rFonts w:ascii="Arial" w:cs="Arial" w:eastAsia="Arial" w:hAnsi="Arial"/>
          <w:sz w:val="11"/>
          <w:szCs w:val="11"/>
          <w:color w:val="auto"/>
        </w:rPr>
      </w:pPr>
      <w:r>
        <w:rPr>
          <w:rFonts w:ascii="Arial" w:cs="Arial" w:eastAsia="Arial" w:hAnsi="Arial"/>
          <w:sz w:val="13"/>
          <w:szCs w:val="13"/>
          <w:color w:val="auto"/>
        </w:rPr>
        <w:t>For 2018, Total Return was eliminated as a performance measure since it accounted for only 4% of funding and can be a volatile measure, with wide variations year-over-year.</w:t>
      </w:r>
    </w:p>
    <w:p>
      <w:pPr>
        <w:spacing w:after="0" w:line="232"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For a description of how the 2018 measures are determined, see pages 67-68. The ranges of performance and 2018 actual results are shown in the following table.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105EAB"/>
        </w:rPr>
        <w:t>2018 ANNUAL CASH INCENTIVE AWARD RANGES OF PERFORMANCE</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540" w:type="dxa"/>
            <w:vAlign w:val="bottom"/>
            <w:tcBorders>
              <w:bottom w:val="single" w:sz="8" w:color="105EAB"/>
            </w:tcBorders>
          </w:tcPr>
          <w:p>
            <w:pPr>
              <w:ind w:left="80"/>
              <w:spacing w:after="0"/>
              <w:rPr>
                <w:sz w:val="20"/>
                <w:szCs w:val="20"/>
                <w:color w:val="auto"/>
              </w:rPr>
            </w:pPr>
            <w:r>
              <w:rPr>
                <w:rFonts w:ascii="Arial" w:cs="Arial" w:eastAsia="Arial" w:hAnsi="Arial"/>
                <w:sz w:val="13"/>
                <w:szCs w:val="13"/>
                <w:b w:val="1"/>
                <w:bCs w:val="1"/>
                <w:color w:val="105EAB"/>
              </w:rPr>
              <w:t>Measure</w:t>
            </w:r>
          </w:p>
        </w:tc>
        <w:tc>
          <w:tcPr>
            <w:tcW w:w="3200" w:type="dxa"/>
            <w:vAlign w:val="bottom"/>
            <w:tcBorders>
              <w:bottom w:val="single" w:sz="8" w:color="105EAB"/>
            </w:tcBorders>
            <w:gridSpan w:val="2"/>
          </w:tcPr>
          <w:p>
            <w:pPr>
              <w:jc w:val="right"/>
              <w:ind w:right="253"/>
              <w:spacing w:after="0"/>
              <w:rPr>
                <w:sz w:val="20"/>
                <w:szCs w:val="20"/>
                <w:color w:val="auto"/>
              </w:rPr>
            </w:pPr>
            <w:r>
              <w:rPr>
                <w:rFonts w:ascii="Arial" w:cs="Arial" w:eastAsia="Arial" w:hAnsi="Arial"/>
                <w:sz w:val="13"/>
                <w:szCs w:val="13"/>
                <w:b w:val="1"/>
                <w:bCs w:val="1"/>
                <w:color w:val="105EAB"/>
              </w:rPr>
              <w:t>Threshold</w:t>
            </w:r>
          </w:p>
        </w:tc>
        <w:tc>
          <w:tcPr>
            <w:tcW w:w="260" w:type="dxa"/>
            <w:vAlign w:val="bottom"/>
            <w:tcBorders>
              <w:bottom w:val="single" w:sz="8" w:color="105EAB"/>
            </w:tcBorders>
          </w:tcPr>
          <w:p>
            <w:pPr>
              <w:spacing w:after="0"/>
              <w:rPr>
                <w:sz w:val="17"/>
                <w:szCs w:val="17"/>
                <w:color w:val="auto"/>
              </w:rPr>
            </w:pPr>
          </w:p>
        </w:tc>
        <w:tc>
          <w:tcPr>
            <w:tcW w:w="560" w:type="dxa"/>
            <w:vAlign w:val="bottom"/>
            <w:tcBorders>
              <w:bottom w:val="single" w:sz="8" w:color="105EAB"/>
            </w:tcBorders>
          </w:tcPr>
          <w:p>
            <w:pPr>
              <w:jc w:val="right"/>
              <w:ind w:right="73"/>
              <w:spacing w:after="0"/>
              <w:rPr>
                <w:sz w:val="20"/>
                <w:szCs w:val="20"/>
                <w:color w:val="auto"/>
              </w:rPr>
            </w:pPr>
            <w:r>
              <w:rPr>
                <w:rFonts w:ascii="Arial" w:cs="Arial" w:eastAsia="Arial" w:hAnsi="Arial"/>
                <w:sz w:val="13"/>
                <w:szCs w:val="13"/>
                <w:b w:val="1"/>
                <w:bCs w:val="1"/>
                <w:color w:val="105EAB"/>
              </w:rPr>
              <w:t>Target</w:t>
            </w:r>
          </w:p>
        </w:tc>
        <w:tc>
          <w:tcPr>
            <w:tcW w:w="900" w:type="dxa"/>
            <w:vAlign w:val="bottom"/>
            <w:tcBorders>
              <w:bottom w:val="single" w:sz="8" w:color="105EAB"/>
            </w:tcBorders>
            <w:gridSpan w:val="2"/>
          </w:tcPr>
          <w:p>
            <w:pPr>
              <w:jc w:val="right"/>
              <w:ind w:right="73"/>
              <w:spacing w:after="0"/>
              <w:rPr>
                <w:sz w:val="20"/>
                <w:szCs w:val="20"/>
                <w:color w:val="auto"/>
              </w:rPr>
            </w:pPr>
            <w:r>
              <w:rPr>
                <w:rFonts w:ascii="Arial" w:cs="Arial" w:eastAsia="Arial" w:hAnsi="Arial"/>
                <w:sz w:val="13"/>
                <w:szCs w:val="13"/>
                <w:b w:val="1"/>
                <w:bCs w:val="1"/>
                <w:color w:val="105EAB"/>
              </w:rPr>
              <w:t>Maximum</w:t>
            </w:r>
          </w:p>
        </w:tc>
        <w:tc>
          <w:tcPr>
            <w:tcW w:w="1220" w:type="dxa"/>
            <w:vAlign w:val="bottom"/>
            <w:tcBorders>
              <w:bottom w:val="single" w:sz="8" w:color="105EAB"/>
            </w:tcBorders>
            <w:gridSpan w:val="2"/>
          </w:tcPr>
          <w:p>
            <w:pPr>
              <w:jc w:val="center"/>
              <w:spacing w:after="0"/>
              <w:rPr>
                <w:sz w:val="20"/>
                <w:szCs w:val="20"/>
                <w:color w:val="auto"/>
              </w:rPr>
            </w:pPr>
            <w:r>
              <w:rPr>
                <w:rFonts w:ascii="Arial" w:cs="Arial" w:eastAsia="Arial" w:hAnsi="Arial"/>
                <w:sz w:val="13"/>
                <w:szCs w:val="13"/>
                <w:b w:val="1"/>
                <w:bCs w:val="1"/>
                <w:color w:val="105EAB"/>
              </w:rPr>
              <w:t>Actual Results</w:t>
            </w:r>
          </w:p>
        </w:tc>
        <w:tc>
          <w:tcPr>
            <w:tcW w:w="740" w:type="dxa"/>
            <w:vAlign w:val="bottom"/>
            <w:tcBorders>
              <w:bottom w:val="single" w:sz="8" w:color="105EAB"/>
            </w:tcBorders>
          </w:tcPr>
          <w:p>
            <w:pPr>
              <w:jc w:val="right"/>
              <w:ind w:right="13"/>
              <w:spacing w:after="0"/>
              <w:rPr>
                <w:sz w:val="20"/>
                <w:szCs w:val="20"/>
                <w:color w:val="auto"/>
              </w:rPr>
            </w:pPr>
            <w:r>
              <w:rPr>
                <w:rFonts w:ascii="Arial" w:cs="Arial" w:eastAsia="Arial" w:hAnsi="Arial"/>
                <w:sz w:val="13"/>
                <w:szCs w:val="13"/>
                <w:b w:val="1"/>
                <w:bCs w:val="1"/>
                <w:color w:val="105EAB"/>
              </w:rPr>
              <w:t>%Target</w:t>
            </w:r>
          </w:p>
        </w:tc>
      </w:tr>
      <w:tr>
        <w:trPr>
          <w:trHeight w:val="202"/>
        </w:trPr>
        <w:tc>
          <w:tcPr>
            <w:tcW w:w="4540" w:type="dxa"/>
            <w:vAlign w:val="bottom"/>
          </w:tcPr>
          <w:p>
            <w:pPr>
              <w:ind w:left="80"/>
              <w:spacing w:after="0"/>
              <w:rPr>
                <w:sz w:val="20"/>
                <w:szCs w:val="20"/>
                <w:color w:val="auto"/>
              </w:rPr>
            </w:pPr>
            <w:r>
              <w:rPr>
                <w:rFonts w:ascii="Arial" w:cs="Arial" w:eastAsia="Arial" w:hAnsi="Arial"/>
                <w:sz w:val="13"/>
                <w:szCs w:val="13"/>
                <w:color w:val="auto"/>
              </w:rPr>
              <w:t xml:space="preserve">Total Premiums </w:t>
            </w:r>
            <w:r>
              <w:rPr>
                <w:rFonts w:ascii="Arial" w:cs="Arial" w:eastAsia="Arial" w:hAnsi="Arial"/>
                <w:sz w:val="13"/>
                <w:szCs w:val="13"/>
                <w:i w:val="1"/>
                <w:iCs w:val="1"/>
                <w:color w:val="auto"/>
              </w:rPr>
              <w:t>(in millions)</w:t>
            </w:r>
          </w:p>
        </w:tc>
        <w:tc>
          <w:tcPr>
            <w:tcW w:w="246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253"/>
              <w:spacing w:after="0"/>
              <w:rPr>
                <w:sz w:val="20"/>
                <w:szCs w:val="20"/>
                <w:color w:val="auto"/>
              </w:rPr>
            </w:pPr>
            <w:r>
              <w:rPr>
                <w:rFonts w:ascii="Arial" w:cs="Arial" w:eastAsia="Arial" w:hAnsi="Arial"/>
                <w:sz w:val="13"/>
                <w:szCs w:val="13"/>
                <w:color w:val="auto"/>
              </w:rPr>
              <w:t>35,600</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73"/>
              <w:spacing w:after="0"/>
              <w:rPr>
                <w:sz w:val="20"/>
                <w:szCs w:val="20"/>
                <w:color w:val="auto"/>
              </w:rPr>
            </w:pPr>
            <w:r>
              <w:rPr>
                <w:rFonts w:ascii="Arial" w:cs="Arial" w:eastAsia="Arial" w:hAnsi="Arial"/>
                <w:sz w:val="13"/>
                <w:szCs w:val="13"/>
                <w:color w:val="auto"/>
              </w:rPr>
              <w:t>36,100</w:t>
            </w:r>
          </w:p>
        </w:tc>
        <w:tc>
          <w:tcPr>
            <w:tcW w:w="36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73"/>
              <w:spacing w:after="0"/>
              <w:rPr>
                <w:sz w:val="20"/>
                <w:szCs w:val="20"/>
                <w:color w:val="auto"/>
              </w:rPr>
            </w:pPr>
            <w:r>
              <w:rPr>
                <w:rFonts w:ascii="Arial" w:cs="Arial" w:eastAsia="Arial" w:hAnsi="Arial"/>
                <w:sz w:val="13"/>
                <w:szCs w:val="13"/>
                <w:color w:val="auto"/>
                <w:w w:val="95"/>
              </w:rPr>
              <w:t>36,600</w:t>
            </w:r>
          </w:p>
        </w:tc>
        <w:tc>
          <w:tcPr>
            <w:tcW w:w="660" w:type="dxa"/>
            <w:vAlign w:val="bottom"/>
          </w:tcPr>
          <w:p>
            <w:pPr>
              <w:jc w:val="center"/>
              <w:ind w:left="533"/>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73"/>
              <w:spacing w:after="0"/>
              <w:rPr>
                <w:sz w:val="20"/>
                <w:szCs w:val="20"/>
                <w:color w:val="auto"/>
              </w:rPr>
            </w:pPr>
            <w:r>
              <w:rPr>
                <w:rFonts w:ascii="Arial" w:cs="Arial" w:eastAsia="Arial" w:hAnsi="Arial"/>
                <w:sz w:val="13"/>
                <w:szCs w:val="13"/>
                <w:color w:val="auto"/>
              </w:rPr>
              <w:t>37,451</w:t>
            </w:r>
          </w:p>
        </w:tc>
        <w:tc>
          <w:tcPr>
            <w:tcW w:w="740" w:type="dxa"/>
            <w:vAlign w:val="bottom"/>
          </w:tcPr>
          <w:p>
            <w:pPr>
              <w:jc w:val="right"/>
              <w:ind w:right="13"/>
              <w:spacing w:after="0"/>
              <w:rPr>
                <w:sz w:val="20"/>
                <w:szCs w:val="20"/>
                <w:color w:val="auto"/>
              </w:rPr>
            </w:pPr>
            <w:r>
              <w:rPr>
                <w:rFonts w:ascii="Arial" w:cs="Arial" w:eastAsia="Arial" w:hAnsi="Arial"/>
                <w:sz w:val="13"/>
                <w:szCs w:val="13"/>
                <w:color w:val="auto"/>
              </w:rPr>
              <w:t>200.0%</w:t>
            </w:r>
          </w:p>
        </w:tc>
      </w:tr>
      <w:tr>
        <w:trPr>
          <w:trHeight w:val="41"/>
        </w:trPr>
        <w:tc>
          <w:tcPr>
            <w:tcW w:w="4540" w:type="dxa"/>
            <w:vAlign w:val="bottom"/>
            <w:tcBorders>
              <w:bottom w:val="single" w:sz="8" w:color="DFF1FB"/>
            </w:tcBorders>
          </w:tcPr>
          <w:p>
            <w:pPr>
              <w:spacing w:after="0"/>
              <w:rPr>
                <w:sz w:val="3"/>
                <w:szCs w:val="3"/>
                <w:color w:val="auto"/>
              </w:rPr>
            </w:pPr>
          </w:p>
        </w:tc>
        <w:tc>
          <w:tcPr>
            <w:tcW w:w="2460" w:type="dxa"/>
            <w:vAlign w:val="bottom"/>
            <w:tcBorders>
              <w:bottom w:val="single" w:sz="8" w:color="DFF1FB"/>
            </w:tcBorders>
          </w:tcPr>
          <w:p>
            <w:pPr>
              <w:spacing w:after="0"/>
              <w:rPr>
                <w:sz w:val="3"/>
                <w:szCs w:val="3"/>
                <w:color w:val="auto"/>
              </w:rPr>
            </w:pPr>
          </w:p>
        </w:tc>
        <w:tc>
          <w:tcPr>
            <w:tcW w:w="740" w:type="dxa"/>
            <w:vAlign w:val="bottom"/>
            <w:tcBorders>
              <w:bottom w:val="single" w:sz="8" w:color="DFF1FB"/>
            </w:tcBorders>
          </w:tcPr>
          <w:p>
            <w:pPr>
              <w:spacing w:after="0"/>
              <w:rPr>
                <w:sz w:val="3"/>
                <w:szCs w:val="3"/>
                <w:color w:val="auto"/>
              </w:rPr>
            </w:pPr>
          </w:p>
        </w:tc>
        <w:tc>
          <w:tcPr>
            <w:tcW w:w="260" w:type="dxa"/>
            <w:vAlign w:val="bottom"/>
            <w:tcBorders>
              <w:bottom w:val="single" w:sz="8" w:color="DFF1FB"/>
            </w:tcBorders>
          </w:tcPr>
          <w:p>
            <w:pPr>
              <w:spacing w:after="0"/>
              <w:rPr>
                <w:sz w:val="3"/>
                <w:szCs w:val="3"/>
                <w:color w:val="auto"/>
              </w:rPr>
            </w:pPr>
          </w:p>
        </w:tc>
        <w:tc>
          <w:tcPr>
            <w:tcW w:w="560" w:type="dxa"/>
            <w:vAlign w:val="bottom"/>
            <w:tcBorders>
              <w:bottom w:val="single" w:sz="8" w:color="DFF1FB"/>
            </w:tcBorders>
          </w:tcPr>
          <w:p>
            <w:pPr>
              <w:spacing w:after="0"/>
              <w:rPr>
                <w:sz w:val="3"/>
                <w:szCs w:val="3"/>
                <w:color w:val="auto"/>
              </w:rPr>
            </w:pPr>
          </w:p>
        </w:tc>
        <w:tc>
          <w:tcPr>
            <w:tcW w:w="360" w:type="dxa"/>
            <w:vAlign w:val="bottom"/>
            <w:tcBorders>
              <w:bottom w:val="single" w:sz="8" w:color="DFF1FB"/>
            </w:tcBorders>
          </w:tcPr>
          <w:p>
            <w:pPr>
              <w:spacing w:after="0"/>
              <w:rPr>
                <w:sz w:val="3"/>
                <w:szCs w:val="3"/>
                <w:color w:val="auto"/>
              </w:rPr>
            </w:pPr>
          </w:p>
        </w:tc>
        <w:tc>
          <w:tcPr>
            <w:tcW w:w="540" w:type="dxa"/>
            <w:vAlign w:val="bottom"/>
            <w:tcBorders>
              <w:bottom w:val="single" w:sz="8" w:color="DFF1FB"/>
            </w:tcBorders>
          </w:tcPr>
          <w:p>
            <w:pPr>
              <w:spacing w:after="0"/>
              <w:rPr>
                <w:sz w:val="3"/>
                <w:szCs w:val="3"/>
                <w:color w:val="auto"/>
              </w:rPr>
            </w:pPr>
          </w:p>
        </w:tc>
        <w:tc>
          <w:tcPr>
            <w:tcW w:w="660" w:type="dxa"/>
            <w:vAlign w:val="bottom"/>
            <w:tcBorders>
              <w:bottom w:val="single" w:sz="8" w:color="DFF1FB"/>
            </w:tcBorders>
          </w:tcPr>
          <w:p>
            <w:pPr>
              <w:spacing w:after="0"/>
              <w:rPr>
                <w:sz w:val="3"/>
                <w:szCs w:val="3"/>
                <w:color w:val="auto"/>
              </w:rPr>
            </w:pPr>
          </w:p>
        </w:tc>
        <w:tc>
          <w:tcPr>
            <w:tcW w:w="560" w:type="dxa"/>
            <w:vAlign w:val="bottom"/>
            <w:tcBorders>
              <w:bottom w:val="single" w:sz="8" w:color="DFF1FB"/>
            </w:tcBorders>
          </w:tcPr>
          <w:p>
            <w:pPr>
              <w:spacing w:after="0"/>
              <w:rPr>
                <w:sz w:val="3"/>
                <w:szCs w:val="3"/>
                <w:color w:val="auto"/>
              </w:rPr>
            </w:pPr>
          </w:p>
        </w:tc>
        <w:tc>
          <w:tcPr>
            <w:tcW w:w="740" w:type="dxa"/>
            <w:vAlign w:val="bottom"/>
            <w:tcBorders>
              <w:bottom w:val="single" w:sz="8" w:color="DFF1FB"/>
            </w:tcBorders>
          </w:tcPr>
          <w:p>
            <w:pPr>
              <w:spacing w:after="0"/>
              <w:rPr>
                <w:sz w:val="3"/>
                <w:szCs w:val="3"/>
                <w:color w:val="auto"/>
              </w:rPr>
            </w:pPr>
          </w:p>
        </w:tc>
      </w:tr>
      <w:tr>
        <w:trPr>
          <w:trHeight w:val="195"/>
        </w:trPr>
        <w:tc>
          <w:tcPr>
            <w:tcW w:w="4540" w:type="dxa"/>
            <w:vAlign w:val="bottom"/>
          </w:tcPr>
          <w:p>
            <w:pPr>
              <w:ind w:left="80"/>
              <w:spacing w:after="0"/>
              <w:rPr>
                <w:sz w:val="20"/>
                <w:szCs w:val="20"/>
                <w:color w:val="auto"/>
              </w:rPr>
            </w:pPr>
            <w:r>
              <w:rPr>
                <w:rFonts w:ascii="Arial" w:cs="Arial" w:eastAsia="Arial" w:hAnsi="Arial"/>
                <w:sz w:val="13"/>
                <w:szCs w:val="13"/>
                <w:color w:val="auto"/>
              </w:rPr>
              <w:t xml:space="preserve">Performance Net Income </w:t>
            </w:r>
            <w:r>
              <w:rPr>
                <w:rFonts w:ascii="Arial" w:cs="Arial" w:eastAsia="Arial" w:hAnsi="Arial"/>
                <w:sz w:val="13"/>
                <w:szCs w:val="13"/>
                <w:i w:val="1"/>
                <w:iCs w:val="1"/>
                <w:color w:val="auto"/>
              </w:rPr>
              <w:t>(in millions)</w:t>
            </w:r>
          </w:p>
        </w:tc>
        <w:tc>
          <w:tcPr>
            <w:tcW w:w="246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253"/>
              <w:spacing w:after="0"/>
              <w:rPr>
                <w:sz w:val="20"/>
                <w:szCs w:val="20"/>
                <w:color w:val="auto"/>
              </w:rPr>
            </w:pPr>
            <w:r>
              <w:rPr>
                <w:rFonts w:ascii="Arial" w:cs="Arial" w:eastAsia="Arial" w:hAnsi="Arial"/>
                <w:sz w:val="13"/>
                <w:szCs w:val="13"/>
                <w:color w:val="auto"/>
              </w:rPr>
              <w:t>2,200</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73"/>
              <w:spacing w:after="0"/>
              <w:rPr>
                <w:sz w:val="20"/>
                <w:szCs w:val="20"/>
                <w:color w:val="auto"/>
              </w:rPr>
            </w:pPr>
            <w:r>
              <w:rPr>
                <w:rFonts w:ascii="Arial" w:cs="Arial" w:eastAsia="Arial" w:hAnsi="Arial"/>
                <w:sz w:val="13"/>
                <w:szCs w:val="13"/>
                <w:color w:val="auto"/>
              </w:rPr>
              <w:t>2,800</w:t>
            </w:r>
          </w:p>
        </w:tc>
        <w:tc>
          <w:tcPr>
            <w:tcW w:w="36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73"/>
              <w:spacing w:after="0"/>
              <w:rPr>
                <w:sz w:val="20"/>
                <w:szCs w:val="20"/>
                <w:color w:val="auto"/>
              </w:rPr>
            </w:pPr>
            <w:r>
              <w:rPr>
                <w:rFonts w:ascii="Arial" w:cs="Arial" w:eastAsia="Arial" w:hAnsi="Arial"/>
                <w:sz w:val="13"/>
                <w:szCs w:val="13"/>
                <w:color w:val="auto"/>
              </w:rPr>
              <w:t>3,400</w:t>
            </w:r>
          </w:p>
        </w:tc>
        <w:tc>
          <w:tcPr>
            <w:tcW w:w="660" w:type="dxa"/>
            <w:vAlign w:val="bottom"/>
          </w:tcPr>
          <w:p>
            <w:pPr>
              <w:jc w:val="center"/>
              <w:ind w:left="533"/>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73"/>
              <w:spacing w:after="0"/>
              <w:rPr>
                <w:sz w:val="20"/>
                <w:szCs w:val="20"/>
                <w:color w:val="auto"/>
              </w:rPr>
            </w:pPr>
            <w:r>
              <w:rPr>
                <w:rFonts w:ascii="Arial" w:cs="Arial" w:eastAsia="Arial" w:hAnsi="Arial"/>
                <w:sz w:val="13"/>
                <w:szCs w:val="13"/>
                <w:color w:val="auto"/>
              </w:rPr>
              <w:t>3,095</w:t>
            </w:r>
          </w:p>
        </w:tc>
        <w:tc>
          <w:tcPr>
            <w:tcW w:w="740" w:type="dxa"/>
            <w:vAlign w:val="bottom"/>
          </w:tcPr>
          <w:p>
            <w:pPr>
              <w:jc w:val="right"/>
              <w:ind w:right="13"/>
              <w:spacing w:after="0"/>
              <w:rPr>
                <w:sz w:val="20"/>
                <w:szCs w:val="20"/>
                <w:color w:val="auto"/>
              </w:rPr>
            </w:pPr>
            <w:r>
              <w:rPr>
                <w:rFonts w:ascii="Arial" w:cs="Arial" w:eastAsia="Arial" w:hAnsi="Arial"/>
                <w:sz w:val="13"/>
                <w:szCs w:val="13"/>
                <w:color w:val="auto"/>
              </w:rPr>
              <w:t>149.2%</w:t>
            </w:r>
          </w:p>
        </w:tc>
      </w:tr>
      <w:tr>
        <w:trPr>
          <w:trHeight w:val="41"/>
        </w:trPr>
        <w:tc>
          <w:tcPr>
            <w:tcW w:w="4540" w:type="dxa"/>
            <w:vAlign w:val="bottom"/>
            <w:tcBorders>
              <w:bottom w:val="single" w:sz="8" w:color="DFF1FB"/>
            </w:tcBorders>
          </w:tcPr>
          <w:p>
            <w:pPr>
              <w:spacing w:after="0"/>
              <w:rPr>
                <w:sz w:val="3"/>
                <w:szCs w:val="3"/>
                <w:color w:val="auto"/>
              </w:rPr>
            </w:pPr>
          </w:p>
        </w:tc>
        <w:tc>
          <w:tcPr>
            <w:tcW w:w="2460" w:type="dxa"/>
            <w:vAlign w:val="bottom"/>
            <w:tcBorders>
              <w:bottom w:val="single" w:sz="8" w:color="DFF1FB"/>
            </w:tcBorders>
          </w:tcPr>
          <w:p>
            <w:pPr>
              <w:spacing w:after="0"/>
              <w:rPr>
                <w:sz w:val="3"/>
                <w:szCs w:val="3"/>
                <w:color w:val="auto"/>
              </w:rPr>
            </w:pPr>
          </w:p>
        </w:tc>
        <w:tc>
          <w:tcPr>
            <w:tcW w:w="740" w:type="dxa"/>
            <w:vAlign w:val="bottom"/>
            <w:tcBorders>
              <w:bottom w:val="single" w:sz="8" w:color="DFF1FB"/>
            </w:tcBorders>
          </w:tcPr>
          <w:p>
            <w:pPr>
              <w:spacing w:after="0"/>
              <w:rPr>
                <w:sz w:val="3"/>
                <w:szCs w:val="3"/>
                <w:color w:val="auto"/>
              </w:rPr>
            </w:pPr>
          </w:p>
        </w:tc>
        <w:tc>
          <w:tcPr>
            <w:tcW w:w="260" w:type="dxa"/>
            <w:vAlign w:val="bottom"/>
            <w:tcBorders>
              <w:bottom w:val="single" w:sz="8" w:color="DFF1FB"/>
            </w:tcBorders>
          </w:tcPr>
          <w:p>
            <w:pPr>
              <w:spacing w:after="0"/>
              <w:rPr>
                <w:sz w:val="3"/>
                <w:szCs w:val="3"/>
                <w:color w:val="auto"/>
              </w:rPr>
            </w:pPr>
          </w:p>
        </w:tc>
        <w:tc>
          <w:tcPr>
            <w:tcW w:w="560" w:type="dxa"/>
            <w:vAlign w:val="bottom"/>
            <w:tcBorders>
              <w:bottom w:val="single" w:sz="8" w:color="DFF1FB"/>
            </w:tcBorders>
          </w:tcPr>
          <w:p>
            <w:pPr>
              <w:spacing w:after="0"/>
              <w:rPr>
                <w:sz w:val="3"/>
                <w:szCs w:val="3"/>
                <w:color w:val="auto"/>
              </w:rPr>
            </w:pPr>
          </w:p>
        </w:tc>
        <w:tc>
          <w:tcPr>
            <w:tcW w:w="360" w:type="dxa"/>
            <w:vAlign w:val="bottom"/>
            <w:tcBorders>
              <w:bottom w:val="single" w:sz="8" w:color="DFF1FB"/>
            </w:tcBorders>
          </w:tcPr>
          <w:p>
            <w:pPr>
              <w:spacing w:after="0"/>
              <w:rPr>
                <w:sz w:val="3"/>
                <w:szCs w:val="3"/>
                <w:color w:val="auto"/>
              </w:rPr>
            </w:pPr>
          </w:p>
        </w:tc>
        <w:tc>
          <w:tcPr>
            <w:tcW w:w="540" w:type="dxa"/>
            <w:vAlign w:val="bottom"/>
            <w:tcBorders>
              <w:bottom w:val="single" w:sz="8" w:color="DFF1FB"/>
            </w:tcBorders>
          </w:tcPr>
          <w:p>
            <w:pPr>
              <w:spacing w:after="0"/>
              <w:rPr>
                <w:sz w:val="3"/>
                <w:szCs w:val="3"/>
                <w:color w:val="auto"/>
              </w:rPr>
            </w:pPr>
          </w:p>
        </w:tc>
        <w:tc>
          <w:tcPr>
            <w:tcW w:w="660" w:type="dxa"/>
            <w:vAlign w:val="bottom"/>
            <w:tcBorders>
              <w:bottom w:val="single" w:sz="8" w:color="DFF1FB"/>
            </w:tcBorders>
          </w:tcPr>
          <w:p>
            <w:pPr>
              <w:spacing w:after="0"/>
              <w:rPr>
                <w:sz w:val="3"/>
                <w:szCs w:val="3"/>
                <w:color w:val="auto"/>
              </w:rPr>
            </w:pPr>
          </w:p>
        </w:tc>
        <w:tc>
          <w:tcPr>
            <w:tcW w:w="560" w:type="dxa"/>
            <w:vAlign w:val="bottom"/>
            <w:tcBorders>
              <w:bottom w:val="single" w:sz="8" w:color="DFF1FB"/>
            </w:tcBorders>
          </w:tcPr>
          <w:p>
            <w:pPr>
              <w:spacing w:after="0"/>
              <w:rPr>
                <w:sz w:val="3"/>
                <w:szCs w:val="3"/>
                <w:color w:val="auto"/>
              </w:rPr>
            </w:pPr>
          </w:p>
        </w:tc>
        <w:tc>
          <w:tcPr>
            <w:tcW w:w="740" w:type="dxa"/>
            <w:vAlign w:val="bottom"/>
            <w:tcBorders>
              <w:bottom w:val="single" w:sz="8" w:color="DFF1FB"/>
            </w:tcBorders>
          </w:tcPr>
          <w:p>
            <w:pPr>
              <w:spacing w:after="0"/>
              <w:rPr>
                <w:sz w:val="3"/>
                <w:szCs w:val="3"/>
                <w:color w:val="auto"/>
              </w:rPr>
            </w:pPr>
          </w:p>
        </w:tc>
      </w:tr>
      <w:tr>
        <w:trPr>
          <w:trHeight w:val="195"/>
        </w:trPr>
        <w:tc>
          <w:tcPr>
            <w:tcW w:w="4540" w:type="dxa"/>
            <w:vAlign w:val="bottom"/>
          </w:tcPr>
          <w:p>
            <w:pPr>
              <w:ind w:left="80"/>
              <w:spacing w:after="0"/>
              <w:rPr>
                <w:sz w:val="20"/>
                <w:szCs w:val="20"/>
                <w:color w:val="auto"/>
              </w:rPr>
            </w:pPr>
            <w:r>
              <w:rPr>
                <w:rFonts w:ascii="Arial" w:cs="Arial" w:eastAsia="Arial" w:hAnsi="Arial"/>
                <w:sz w:val="13"/>
                <w:szCs w:val="13"/>
                <w:color w:val="auto"/>
              </w:rPr>
              <w:t xml:space="preserve">Net Investment Income </w:t>
            </w:r>
            <w:r>
              <w:rPr>
                <w:rFonts w:ascii="Arial" w:cs="Arial" w:eastAsia="Arial" w:hAnsi="Arial"/>
                <w:sz w:val="13"/>
                <w:szCs w:val="13"/>
                <w:i w:val="1"/>
                <w:iCs w:val="1"/>
                <w:color w:val="auto"/>
              </w:rPr>
              <w:t>(in millions)</w:t>
            </w:r>
          </w:p>
        </w:tc>
        <w:tc>
          <w:tcPr>
            <w:tcW w:w="246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253"/>
              <w:spacing w:after="0"/>
              <w:rPr>
                <w:sz w:val="20"/>
                <w:szCs w:val="20"/>
                <w:color w:val="auto"/>
              </w:rPr>
            </w:pPr>
            <w:r>
              <w:rPr>
                <w:rFonts w:ascii="Arial" w:cs="Arial" w:eastAsia="Arial" w:hAnsi="Arial"/>
                <w:sz w:val="13"/>
                <w:szCs w:val="13"/>
                <w:color w:val="auto"/>
              </w:rPr>
              <w:t>2,875</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73"/>
              <w:spacing w:after="0"/>
              <w:rPr>
                <w:sz w:val="20"/>
                <w:szCs w:val="20"/>
                <w:color w:val="auto"/>
              </w:rPr>
            </w:pPr>
            <w:r>
              <w:rPr>
                <w:rFonts w:ascii="Arial" w:cs="Arial" w:eastAsia="Arial" w:hAnsi="Arial"/>
                <w:sz w:val="13"/>
                <w:szCs w:val="13"/>
                <w:color w:val="auto"/>
              </w:rPr>
              <w:t>3,100</w:t>
            </w:r>
          </w:p>
        </w:tc>
        <w:tc>
          <w:tcPr>
            <w:tcW w:w="36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73"/>
              <w:spacing w:after="0"/>
              <w:rPr>
                <w:sz w:val="20"/>
                <w:szCs w:val="20"/>
                <w:color w:val="auto"/>
              </w:rPr>
            </w:pPr>
            <w:r>
              <w:rPr>
                <w:rFonts w:ascii="Arial" w:cs="Arial" w:eastAsia="Arial" w:hAnsi="Arial"/>
                <w:sz w:val="13"/>
                <w:szCs w:val="13"/>
                <w:color w:val="auto"/>
              </w:rPr>
              <w:t>3,325</w:t>
            </w:r>
          </w:p>
        </w:tc>
        <w:tc>
          <w:tcPr>
            <w:tcW w:w="660" w:type="dxa"/>
            <w:vAlign w:val="bottom"/>
          </w:tcPr>
          <w:p>
            <w:pPr>
              <w:jc w:val="center"/>
              <w:ind w:left="533"/>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73"/>
              <w:spacing w:after="0"/>
              <w:rPr>
                <w:sz w:val="20"/>
                <w:szCs w:val="20"/>
                <w:color w:val="auto"/>
              </w:rPr>
            </w:pPr>
            <w:r>
              <w:rPr>
                <w:rFonts w:ascii="Arial" w:cs="Arial" w:eastAsia="Arial" w:hAnsi="Arial"/>
                <w:sz w:val="13"/>
                <w:szCs w:val="13"/>
                <w:color w:val="auto"/>
              </w:rPr>
              <w:t>3,240</w:t>
            </w:r>
          </w:p>
        </w:tc>
        <w:tc>
          <w:tcPr>
            <w:tcW w:w="740" w:type="dxa"/>
            <w:vAlign w:val="bottom"/>
          </w:tcPr>
          <w:p>
            <w:pPr>
              <w:jc w:val="right"/>
              <w:ind w:right="13"/>
              <w:spacing w:after="0"/>
              <w:rPr>
                <w:sz w:val="20"/>
                <w:szCs w:val="20"/>
                <w:color w:val="auto"/>
              </w:rPr>
            </w:pPr>
            <w:r>
              <w:rPr>
                <w:rFonts w:ascii="Arial" w:cs="Arial" w:eastAsia="Arial" w:hAnsi="Arial"/>
                <w:sz w:val="13"/>
                <w:szCs w:val="13"/>
                <w:color w:val="auto"/>
              </w:rPr>
              <w:t>162.2%</w:t>
            </w:r>
          </w:p>
        </w:tc>
      </w:tr>
      <w:tr>
        <w:trPr>
          <w:trHeight w:val="41"/>
        </w:trPr>
        <w:tc>
          <w:tcPr>
            <w:tcW w:w="4540" w:type="dxa"/>
            <w:vAlign w:val="bottom"/>
            <w:tcBorders>
              <w:bottom w:val="single" w:sz="8" w:color="DFF1FB"/>
            </w:tcBorders>
          </w:tcPr>
          <w:p>
            <w:pPr>
              <w:spacing w:after="0"/>
              <w:rPr>
                <w:sz w:val="3"/>
                <w:szCs w:val="3"/>
                <w:color w:val="auto"/>
              </w:rPr>
            </w:pPr>
          </w:p>
        </w:tc>
        <w:tc>
          <w:tcPr>
            <w:tcW w:w="2460" w:type="dxa"/>
            <w:vAlign w:val="bottom"/>
            <w:tcBorders>
              <w:bottom w:val="single" w:sz="8" w:color="DFF1FB"/>
            </w:tcBorders>
          </w:tcPr>
          <w:p>
            <w:pPr>
              <w:spacing w:after="0"/>
              <w:rPr>
                <w:sz w:val="3"/>
                <w:szCs w:val="3"/>
                <w:color w:val="auto"/>
              </w:rPr>
            </w:pPr>
          </w:p>
        </w:tc>
        <w:tc>
          <w:tcPr>
            <w:tcW w:w="740" w:type="dxa"/>
            <w:vAlign w:val="bottom"/>
            <w:tcBorders>
              <w:bottom w:val="single" w:sz="8" w:color="DFF1FB"/>
            </w:tcBorders>
          </w:tcPr>
          <w:p>
            <w:pPr>
              <w:spacing w:after="0"/>
              <w:rPr>
                <w:sz w:val="3"/>
                <w:szCs w:val="3"/>
                <w:color w:val="auto"/>
              </w:rPr>
            </w:pPr>
          </w:p>
        </w:tc>
        <w:tc>
          <w:tcPr>
            <w:tcW w:w="260" w:type="dxa"/>
            <w:vAlign w:val="bottom"/>
            <w:tcBorders>
              <w:bottom w:val="single" w:sz="8" w:color="DFF1FB"/>
            </w:tcBorders>
          </w:tcPr>
          <w:p>
            <w:pPr>
              <w:spacing w:after="0"/>
              <w:rPr>
                <w:sz w:val="3"/>
                <w:szCs w:val="3"/>
                <w:color w:val="auto"/>
              </w:rPr>
            </w:pPr>
          </w:p>
        </w:tc>
        <w:tc>
          <w:tcPr>
            <w:tcW w:w="560" w:type="dxa"/>
            <w:vAlign w:val="bottom"/>
            <w:tcBorders>
              <w:bottom w:val="single" w:sz="8" w:color="DFF1FB"/>
            </w:tcBorders>
          </w:tcPr>
          <w:p>
            <w:pPr>
              <w:spacing w:after="0"/>
              <w:rPr>
                <w:sz w:val="3"/>
                <w:szCs w:val="3"/>
                <w:color w:val="auto"/>
              </w:rPr>
            </w:pPr>
          </w:p>
        </w:tc>
        <w:tc>
          <w:tcPr>
            <w:tcW w:w="360" w:type="dxa"/>
            <w:vAlign w:val="bottom"/>
            <w:tcBorders>
              <w:bottom w:val="single" w:sz="8" w:color="DFF1FB"/>
            </w:tcBorders>
          </w:tcPr>
          <w:p>
            <w:pPr>
              <w:spacing w:after="0"/>
              <w:rPr>
                <w:sz w:val="3"/>
                <w:szCs w:val="3"/>
                <w:color w:val="auto"/>
              </w:rPr>
            </w:pPr>
          </w:p>
        </w:tc>
        <w:tc>
          <w:tcPr>
            <w:tcW w:w="540" w:type="dxa"/>
            <w:vAlign w:val="bottom"/>
            <w:tcBorders>
              <w:bottom w:val="single" w:sz="8" w:color="DFF1FB"/>
            </w:tcBorders>
          </w:tcPr>
          <w:p>
            <w:pPr>
              <w:spacing w:after="0"/>
              <w:rPr>
                <w:sz w:val="3"/>
                <w:szCs w:val="3"/>
                <w:color w:val="auto"/>
              </w:rPr>
            </w:pPr>
          </w:p>
        </w:tc>
        <w:tc>
          <w:tcPr>
            <w:tcW w:w="660" w:type="dxa"/>
            <w:vAlign w:val="bottom"/>
            <w:tcBorders>
              <w:bottom w:val="single" w:sz="8" w:color="DFF1FB"/>
            </w:tcBorders>
          </w:tcPr>
          <w:p>
            <w:pPr>
              <w:spacing w:after="0"/>
              <w:rPr>
                <w:sz w:val="3"/>
                <w:szCs w:val="3"/>
                <w:color w:val="auto"/>
              </w:rPr>
            </w:pPr>
          </w:p>
        </w:tc>
        <w:tc>
          <w:tcPr>
            <w:tcW w:w="560" w:type="dxa"/>
            <w:vAlign w:val="bottom"/>
            <w:tcBorders>
              <w:bottom w:val="single" w:sz="8" w:color="DFF1FB"/>
            </w:tcBorders>
          </w:tcPr>
          <w:p>
            <w:pPr>
              <w:spacing w:after="0"/>
              <w:rPr>
                <w:sz w:val="3"/>
                <w:szCs w:val="3"/>
                <w:color w:val="auto"/>
              </w:rPr>
            </w:pPr>
          </w:p>
        </w:tc>
        <w:tc>
          <w:tcPr>
            <w:tcW w:w="740" w:type="dxa"/>
            <w:vAlign w:val="bottom"/>
            <w:tcBorders>
              <w:bottom w:val="single" w:sz="8" w:color="DFF1FB"/>
            </w:tcBorders>
          </w:tcPr>
          <w:p>
            <w:pPr>
              <w:spacing w:after="0"/>
              <w:rPr>
                <w:sz w:val="3"/>
                <w:szCs w:val="3"/>
                <w:color w:val="auto"/>
              </w:rPr>
            </w:pPr>
          </w:p>
        </w:tc>
      </w:tr>
      <w:tr>
        <w:trPr>
          <w:trHeight w:val="195"/>
        </w:trPr>
        <w:tc>
          <w:tcPr>
            <w:tcW w:w="4540" w:type="dxa"/>
            <w:vAlign w:val="bottom"/>
          </w:tcPr>
          <w:p>
            <w:pPr>
              <w:ind w:left="80"/>
              <w:spacing w:after="0"/>
              <w:rPr>
                <w:sz w:val="20"/>
                <w:szCs w:val="20"/>
                <w:color w:val="auto"/>
              </w:rPr>
            </w:pPr>
            <w:r>
              <w:rPr>
                <w:rFonts w:ascii="Arial" w:cs="Arial" w:eastAsia="Arial" w:hAnsi="Arial"/>
                <w:sz w:val="13"/>
                <w:szCs w:val="13"/>
                <w:b w:val="1"/>
                <w:bCs w:val="1"/>
                <w:color w:val="auto"/>
              </w:rPr>
              <w:t>Payout Percentages</w:t>
            </w:r>
          </w:p>
        </w:tc>
        <w:tc>
          <w:tcPr>
            <w:tcW w:w="2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41"/>
        </w:trPr>
        <w:tc>
          <w:tcPr>
            <w:tcW w:w="4540" w:type="dxa"/>
            <w:vAlign w:val="bottom"/>
            <w:tcBorders>
              <w:bottom w:val="single" w:sz="8" w:color="DFF1FB"/>
            </w:tcBorders>
          </w:tcPr>
          <w:p>
            <w:pPr>
              <w:spacing w:after="0"/>
              <w:rPr>
                <w:sz w:val="3"/>
                <w:szCs w:val="3"/>
                <w:color w:val="auto"/>
              </w:rPr>
            </w:pPr>
          </w:p>
        </w:tc>
        <w:tc>
          <w:tcPr>
            <w:tcW w:w="2460" w:type="dxa"/>
            <w:vAlign w:val="bottom"/>
            <w:tcBorders>
              <w:bottom w:val="single" w:sz="8" w:color="DFF1FB"/>
            </w:tcBorders>
          </w:tcPr>
          <w:p>
            <w:pPr>
              <w:spacing w:after="0"/>
              <w:rPr>
                <w:sz w:val="3"/>
                <w:szCs w:val="3"/>
                <w:color w:val="auto"/>
              </w:rPr>
            </w:pPr>
          </w:p>
        </w:tc>
        <w:tc>
          <w:tcPr>
            <w:tcW w:w="740" w:type="dxa"/>
            <w:vAlign w:val="bottom"/>
            <w:tcBorders>
              <w:bottom w:val="single" w:sz="8" w:color="DFF1FB"/>
            </w:tcBorders>
          </w:tcPr>
          <w:p>
            <w:pPr>
              <w:spacing w:after="0"/>
              <w:rPr>
                <w:sz w:val="3"/>
                <w:szCs w:val="3"/>
                <w:color w:val="auto"/>
              </w:rPr>
            </w:pPr>
          </w:p>
        </w:tc>
        <w:tc>
          <w:tcPr>
            <w:tcW w:w="260" w:type="dxa"/>
            <w:vAlign w:val="bottom"/>
            <w:tcBorders>
              <w:bottom w:val="single" w:sz="8" w:color="DFF1FB"/>
            </w:tcBorders>
          </w:tcPr>
          <w:p>
            <w:pPr>
              <w:spacing w:after="0"/>
              <w:rPr>
                <w:sz w:val="3"/>
                <w:szCs w:val="3"/>
                <w:color w:val="auto"/>
              </w:rPr>
            </w:pPr>
          </w:p>
        </w:tc>
        <w:tc>
          <w:tcPr>
            <w:tcW w:w="560" w:type="dxa"/>
            <w:vAlign w:val="bottom"/>
            <w:tcBorders>
              <w:bottom w:val="single" w:sz="8" w:color="DFF1FB"/>
            </w:tcBorders>
          </w:tcPr>
          <w:p>
            <w:pPr>
              <w:spacing w:after="0"/>
              <w:rPr>
                <w:sz w:val="3"/>
                <w:szCs w:val="3"/>
                <w:color w:val="auto"/>
              </w:rPr>
            </w:pPr>
          </w:p>
        </w:tc>
        <w:tc>
          <w:tcPr>
            <w:tcW w:w="360" w:type="dxa"/>
            <w:vAlign w:val="bottom"/>
            <w:tcBorders>
              <w:bottom w:val="single" w:sz="8" w:color="DFF1FB"/>
            </w:tcBorders>
          </w:tcPr>
          <w:p>
            <w:pPr>
              <w:spacing w:after="0"/>
              <w:rPr>
                <w:sz w:val="3"/>
                <w:szCs w:val="3"/>
                <w:color w:val="auto"/>
              </w:rPr>
            </w:pPr>
          </w:p>
        </w:tc>
        <w:tc>
          <w:tcPr>
            <w:tcW w:w="540" w:type="dxa"/>
            <w:vAlign w:val="bottom"/>
            <w:tcBorders>
              <w:bottom w:val="single" w:sz="8" w:color="DFF1FB"/>
            </w:tcBorders>
          </w:tcPr>
          <w:p>
            <w:pPr>
              <w:spacing w:after="0"/>
              <w:rPr>
                <w:sz w:val="3"/>
                <w:szCs w:val="3"/>
                <w:color w:val="auto"/>
              </w:rPr>
            </w:pPr>
          </w:p>
        </w:tc>
        <w:tc>
          <w:tcPr>
            <w:tcW w:w="660" w:type="dxa"/>
            <w:vAlign w:val="bottom"/>
            <w:tcBorders>
              <w:bottom w:val="single" w:sz="8" w:color="DFF1FB"/>
            </w:tcBorders>
          </w:tcPr>
          <w:p>
            <w:pPr>
              <w:spacing w:after="0"/>
              <w:rPr>
                <w:sz w:val="3"/>
                <w:szCs w:val="3"/>
                <w:color w:val="auto"/>
              </w:rPr>
            </w:pPr>
          </w:p>
        </w:tc>
        <w:tc>
          <w:tcPr>
            <w:tcW w:w="560" w:type="dxa"/>
            <w:vAlign w:val="bottom"/>
            <w:tcBorders>
              <w:bottom w:val="single" w:sz="8" w:color="DFF1FB"/>
            </w:tcBorders>
          </w:tcPr>
          <w:p>
            <w:pPr>
              <w:spacing w:after="0"/>
              <w:rPr>
                <w:sz w:val="3"/>
                <w:szCs w:val="3"/>
                <w:color w:val="auto"/>
              </w:rPr>
            </w:pPr>
          </w:p>
        </w:tc>
        <w:tc>
          <w:tcPr>
            <w:tcW w:w="740" w:type="dxa"/>
            <w:vAlign w:val="bottom"/>
            <w:tcBorders>
              <w:bottom w:val="single" w:sz="8" w:color="DFF1FB"/>
            </w:tcBorders>
          </w:tcPr>
          <w:p>
            <w:pPr>
              <w:spacing w:after="0"/>
              <w:rPr>
                <w:sz w:val="3"/>
                <w:szCs w:val="3"/>
                <w:color w:val="auto"/>
              </w:rPr>
            </w:pPr>
          </w:p>
        </w:tc>
      </w:tr>
      <w:tr>
        <w:trPr>
          <w:trHeight w:val="297"/>
        </w:trPr>
        <w:tc>
          <w:tcPr>
            <w:tcW w:w="4540" w:type="dxa"/>
            <w:vAlign w:val="bottom"/>
            <w:tcBorders>
              <w:bottom w:val="single" w:sz="8" w:color="105EAB"/>
            </w:tcBorders>
          </w:tcPr>
          <w:p>
            <w:pPr>
              <w:ind w:left="80"/>
              <w:spacing w:after="0"/>
              <w:rPr>
                <w:sz w:val="20"/>
                <w:szCs w:val="20"/>
                <w:color w:val="auto"/>
              </w:rPr>
            </w:pPr>
            <w:r>
              <w:rPr>
                <w:rFonts w:ascii="Arial" w:cs="Arial" w:eastAsia="Arial" w:hAnsi="Arial"/>
                <w:sz w:val="13"/>
                <w:szCs w:val="13"/>
                <w:color w:val="auto"/>
              </w:rPr>
              <w:t>Named Executives</w:t>
            </w:r>
            <w:r>
              <w:rPr>
                <w:rFonts w:ascii="Arial" w:cs="Arial" w:eastAsia="Arial" w:hAnsi="Arial"/>
                <w:sz w:val="22"/>
                <w:szCs w:val="22"/>
                <w:color w:val="auto"/>
                <w:vertAlign w:val="superscript"/>
              </w:rPr>
              <w:t>(1)</w:t>
            </w:r>
          </w:p>
        </w:tc>
        <w:tc>
          <w:tcPr>
            <w:tcW w:w="2460" w:type="dxa"/>
            <w:vAlign w:val="bottom"/>
            <w:tcBorders>
              <w:bottom w:val="single" w:sz="8" w:color="105EAB"/>
            </w:tcBorders>
          </w:tcPr>
          <w:p>
            <w:pPr>
              <w:spacing w:after="0"/>
              <w:rPr>
                <w:sz w:val="24"/>
                <w:szCs w:val="24"/>
                <w:color w:val="auto"/>
              </w:rPr>
            </w:pPr>
          </w:p>
        </w:tc>
        <w:tc>
          <w:tcPr>
            <w:tcW w:w="740" w:type="dxa"/>
            <w:vAlign w:val="bottom"/>
            <w:tcBorders>
              <w:bottom w:val="single" w:sz="8" w:color="105EAB"/>
            </w:tcBorders>
          </w:tcPr>
          <w:p>
            <w:pPr>
              <w:jc w:val="right"/>
              <w:ind w:right="113"/>
              <w:spacing w:after="0"/>
              <w:rPr>
                <w:sz w:val="20"/>
                <w:szCs w:val="20"/>
                <w:color w:val="auto"/>
              </w:rPr>
            </w:pPr>
            <w:r>
              <w:rPr>
                <w:rFonts w:ascii="Arial" w:cs="Arial" w:eastAsia="Arial" w:hAnsi="Arial"/>
                <w:sz w:val="13"/>
                <w:szCs w:val="13"/>
                <w:color w:val="auto"/>
              </w:rPr>
              <w:t>50%</w:t>
            </w:r>
            <w:r>
              <w:rPr>
                <w:rFonts w:ascii="Arial" w:cs="Arial" w:eastAsia="Arial" w:hAnsi="Arial"/>
                <w:sz w:val="22"/>
                <w:szCs w:val="22"/>
                <w:color w:val="auto"/>
                <w:vertAlign w:val="superscript"/>
              </w:rPr>
              <w:t>(2)</w:t>
            </w:r>
          </w:p>
        </w:tc>
        <w:tc>
          <w:tcPr>
            <w:tcW w:w="260" w:type="dxa"/>
            <w:vAlign w:val="bottom"/>
            <w:tcBorders>
              <w:bottom w:val="single" w:sz="8" w:color="105EAB"/>
            </w:tcBorders>
          </w:tcPr>
          <w:p>
            <w:pPr>
              <w:spacing w:after="0"/>
              <w:rPr>
                <w:sz w:val="24"/>
                <w:szCs w:val="24"/>
                <w:color w:val="auto"/>
              </w:rPr>
            </w:pPr>
          </w:p>
        </w:tc>
        <w:tc>
          <w:tcPr>
            <w:tcW w:w="560" w:type="dxa"/>
            <w:vAlign w:val="bottom"/>
            <w:tcBorders>
              <w:bottom w:val="single" w:sz="8" w:color="105EAB"/>
            </w:tcBorders>
          </w:tcPr>
          <w:p>
            <w:pPr>
              <w:jc w:val="right"/>
              <w:ind w:right="73"/>
              <w:spacing w:after="0"/>
              <w:rPr>
                <w:sz w:val="20"/>
                <w:szCs w:val="20"/>
                <w:color w:val="auto"/>
              </w:rPr>
            </w:pPr>
            <w:r>
              <w:rPr>
                <w:rFonts w:ascii="Arial" w:cs="Arial" w:eastAsia="Arial" w:hAnsi="Arial"/>
                <w:sz w:val="13"/>
                <w:szCs w:val="13"/>
                <w:color w:val="auto"/>
              </w:rPr>
              <w:t>100%</w:t>
            </w:r>
          </w:p>
        </w:tc>
        <w:tc>
          <w:tcPr>
            <w:tcW w:w="360" w:type="dxa"/>
            <w:vAlign w:val="bottom"/>
            <w:tcBorders>
              <w:bottom w:val="single" w:sz="8" w:color="105EAB"/>
            </w:tcBorders>
          </w:tcPr>
          <w:p>
            <w:pPr>
              <w:spacing w:after="0"/>
              <w:rPr>
                <w:sz w:val="24"/>
                <w:szCs w:val="24"/>
                <w:color w:val="auto"/>
              </w:rPr>
            </w:pPr>
          </w:p>
        </w:tc>
        <w:tc>
          <w:tcPr>
            <w:tcW w:w="540" w:type="dxa"/>
            <w:vAlign w:val="bottom"/>
            <w:tcBorders>
              <w:bottom w:val="single" w:sz="8" w:color="105EAB"/>
            </w:tcBorders>
          </w:tcPr>
          <w:p>
            <w:pPr>
              <w:jc w:val="right"/>
              <w:ind w:right="73"/>
              <w:spacing w:after="0"/>
              <w:rPr>
                <w:sz w:val="20"/>
                <w:szCs w:val="20"/>
                <w:color w:val="auto"/>
              </w:rPr>
            </w:pPr>
            <w:r>
              <w:rPr>
                <w:rFonts w:ascii="Arial" w:cs="Arial" w:eastAsia="Arial" w:hAnsi="Arial"/>
                <w:sz w:val="13"/>
                <w:szCs w:val="13"/>
                <w:color w:val="auto"/>
              </w:rPr>
              <w:t>200%</w:t>
            </w:r>
          </w:p>
        </w:tc>
        <w:tc>
          <w:tcPr>
            <w:tcW w:w="660" w:type="dxa"/>
            <w:vAlign w:val="bottom"/>
            <w:tcBorders>
              <w:bottom w:val="single" w:sz="8" w:color="105EAB"/>
            </w:tcBorders>
          </w:tcPr>
          <w:p>
            <w:pPr>
              <w:spacing w:after="0"/>
              <w:rPr>
                <w:sz w:val="24"/>
                <w:szCs w:val="24"/>
                <w:color w:val="auto"/>
              </w:rPr>
            </w:pPr>
          </w:p>
        </w:tc>
        <w:tc>
          <w:tcPr>
            <w:tcW w:w="560" w:type="dxa"/>
            <w:vAlign w:val="bottom"/>
            <w:tcBorders>
              <w:bottom w:val="single" w:sz="8" w:color="105EAB"/>
            </w:tcBorders>
          </w:tcPr>
          <w:p>
            <w:pPr>
              <w:spacing w:after="0"/>
              <w:rPr>
                <w:sz w:val="24"/>
                <w:szCs w:val="24"/>
                <w:color w:val="auto"/>
              </w:rPr>
            </w:pPr>
          </w:p>
        </w:tc>
        <w:tc>
          <w:tcPr>
            <w:tcW w:w="740" w:type="dxa"/>
            <w:vAlign w:val="bottom"/>
            <w:tcBorders>
              <w:bottom w:val="single" w:sz="8" w:color="105EAB"/>
            </w:tcBorders>
          </w:tcPr>
          <w:p>
            <w:pPr>
              <w:jc w:val="right"/>
              <w:ind w:right="13"/>
              <w:spacing w:after="0"/>
              <w:rPr>
                <w:sz w:val="20"/>
                <w:szCs w:val="20"/>
                <w:color w:val="auto"/>
              </w:rPr>
            </w:pPr>
            <w:r>
              <w:rPr>
                <w:rFonts w:ascii="Arial" w:cs="Arial" w:eastAsia="Arial" w:hAnsi="Arial"/>
                <w:sz w:val="13"/>
                <w:szCs w:val="13"/>
                <w:color w:val="auto"/>
              </w:rPr>
              <w:t>173.4%</w:t>
            </w:r>
          </w:p>
        </w:tc>
      </w:tr>
    </w:tbl>
    <w:p>
      <w:pPr>
        <w:spacing w:after="0" w:line="107" w:lineRule="exact"/>
        <w:rPr>
          <w:sz w:val="20"/>
          <w:szCs w:val="20"/>
          <w:color w:val="auto"/>
        </w:rPr>
      </w:pPr>
    </w:p>
    <w:p>
      <w:pPr>
        <w:ind w:left="300" w:hanging="292"/>
        <w:spacing w:after="0"/>
        <w:tabs>
          <w:tab w:leader="none" w:pos="300" w:val="left"/>
        </w:tabs>
        <w:numPr>
          <w:ilvl w:val="0"/>
          <w:numId w:val="181"/>
        </w:numPr>
        <w:rPr>
          <w:rFonts w:ascii="Arial" w:cs="Arial" w:eastAsia="Arial" w:hAnsi="Arial"/>
          <w:sz w:val="11"/>
          <w:szCs w:val="11"/>
          <w:color w:val="auto"/>
        </w:rPr>
      </w:pPr>
      <w:r>
        <w:rPr>
          <w:rFonts w:ascii="Arial" w:cs="Arial" w:eastAsia="Arial" w:hAnsi="Arial"/>
          <w:sz w:val="13"/>
          <w:szCs w:val="13"/>
          <w:color w:val="auto"/>
        </w:rPr>
        <w:t>Payout percentages reflect contribution to incentive compensation pool. Actual awards vary depending on individual performance.</w:t>
      </w:r>
    </w:p>
    <w:p>
      <w:pPr>
        <w:spacing w:after="0" w:line="12" w:lineRule="exact"/>
        <w:rPr>
          <w:rFonts w:ascii="Arial" w:cs="Arial" w:eastAsia="Arial" w:hAnsi="Arial"/>
          <w:sz w:val="11"/>
          <w:szCs w:val="11"/>
          <w:color w:val="auto"/>
        </w:rPr>
      </w:pPr>
    </w:p>
    <w:p>
      <w:pPr>
        <w:ind w:left="300" w:hanging="292"/>
        <w:spacing w:after="0"/>
        <w:tabs>
          <w:tab w:leader="none" w:pos="300" w:val="left"/>
        </w:tabs>
        <w:numPr>
          <w:ilvl w:val="0"/>
          <w:numId w:val="181"/>
        </w:numPr>
        <w:rPr>
          <w:rFonts w:ascii="Arial" w:cs="Arial" w:eastAsia="Arial" w:hAnsi="Arial"/>
          <w:sz w:val="11"/>
          <w:szCs w:val="11"/>
          <w:color w:val="auto"/>
        </w:rPr>
      </w:pPr>
      <w:r>
        <w:rPr>
          <w:rFonts w:ascii="Arial" w:cs="Arial" w:eastAsia="Arial" w:hAnsi="Arial"/>
          <w:sz w:val="13"/>
          <w:szCs w:val="13"/>
          <w:color w:val="auto"/>
        </w:rPr>
        <w:t>Actual performance below threshold results in a 0% payout.</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39B6E9"/>
        </w:rPr>
        <w:t>Performance Stock Awards (“PSAs”)</w:t>
      </w:r>
    </w:p>
    <w:p>
      <w:pPr>
        <w:spacing w:after="0" w:line="232"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For the last five PSA grants, the performance measures and levels of performance needed to earn the threshold, target and maximum number of PSAs, as well as actual results and payout percentages, are set forth in the table below. The total shareholder returns for Allstate and its peers are also shown for completed cycles.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105EAB"/>
        </w:rPr>
        <w:t>PERFORMANCE STOCK AWARDS RANGES OF PERFORMANCE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6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jc w:val="center"/>
              <w:ind w:left="393"/>
              <w:spacing w:after="0"/>
              <w:rPr>
                <w:sz w:val="20"/>
                <w:szCs w:val="20"/>
                <w:color w:val="auto"/>
              </w:rPr>
            </w:pPr>
            <w:r>
              <w:rPr>
                <w:rFonts w:ascii="Arial" w:cs="Arial" w:eastAsia="Arial" w:hAnsi="Arial"/>
                <w:sz w:val="13"/>
                <w:szCs w:val="13"/>
                <w:b w:val="1"/>
                <w:bCs w:val="1"/>
                <w:color w:val="105EAB"/>
                <w:w w:val="96"/>
              </w:rPr>
              <w:t>Total</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6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tcPr>
          <w:p>
            <w:pPr>
              <w:jc w:val="center"/>
              <w:ind w:left="113"/>
              <w:spacing w:after="0" w:line="149" w:lineRule="exact"/>
              <w:rPr>
                <w:sz w:val="20"/>
                <w:szCs w:val="20"/>
                <w:color w:val="auto"/>
              </w:rPr>
            </w:pPr>
            <w:r>
              <w:rPr>
                <w:rFonts w:ascii="Arial" w:cs="Arial" w:eastAsia="Arial" w:hAnsi="Arial"/>
                <w:sz w:val="13"/>
                <w:szCs w:val="13"/>
                <w:b w:val="1"/>
                <w:bCs w:val="1"/>
                <w:color w:val="105EAB"/>
              </w:rPr>
              <w:t>Shareholder</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396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60" w:type="dxa"/>
            <w:vAlign w:val="bottom"/>
            <w:vMerge w:val="restart"/>
          </w:tcPr>
          <w:p>
            <w:pPr>
              <w:jc w:val="right"/>
              <w:ind w:right="73"/>
              <w:spacing w:after="0"/>
              <w:rPr>
                <w:sz w:val="20"/>
                <w:szCs w:val="20"/>
                <w:color w:val="auto"/>
              </w:rPr>
            </w:pPr>
            <w:r>
              <w:rPr>
                <w:rFonts w:ascii="Arial" w:cs="Arial" w:eastAsia="Arial" w:hAnsi="Arial"/>
                <w:sz w:val="13"/>
                <w:szCs w:val="13"/>
                <w:b w:val="1"/>
                <w:bCs w:val="1"/>
                <w:color w:val="105EAB"/>
              </w:rPr>
              <w:t>Actual</w:t>
            </w:r>
          </w:p>
        </w:tc>
        <w:tc>
          <w:tcPr>
            <w:tcW w:w="1140" w:type="dxa"/>
            <w:vAlign w:val="bottom"/>
            <w:gridSpan w:val="2"/>
            <w:vMerge w:val="restart"/>
          </w:tcPr>
          <w:p>
            <w:pPr>
              <w:jc w:val="right"/>
              <w:ind w:right="280"/>
              <w:spacing w:after="0"/>
              <w:rPr>
                <w:sz w:val="20"/>
                <w:szCs w:val="20"/>
                <w:color w:val="auto"/>
              </w:rPr>
            </w:pPr>
            <w:r>
              <w:rPr>
                <w:rFonts w:ascii="Arial" w:cs="Arial" w:eastAsia="Arial" w:hAnsi="Arial"/>
                <w:sz w:val="13"/>
                <w:szCs w:val="13"/>
                <w:b w:val="1"/>
                <w:bCs w:val="1"/>
                <w:color w:val="105EAB"/>
              </w:rPr>
              <w:t>Payout</w:t>
            </w:r>
          </w:p>
        </w:tc>
        <w:tc>
          <w:tcPr>
            <w:tcW w:w="1040" w:type="dxa"/>
            <w:vAlign w:val="bottom"/>
            <w:tcBorders>
              <w:bottom w:val="single" w:sz="8" w:color="105EAB"/>
            </w:tcBorders>
            <w:gridSpan w:val="2"/>
          </w:tcPr>
          <w:p>
            <w:pPr>
              <w:jc w:val="center"/>
              <w:ind w:left="93"/>
              <w:spacing w:after="0"/>
              <w:rPr>
                <w:sz w:val="20"/>
                <w:szCs w:val="20"/>
                <w:color w:val="auto"/>
              </w:rPr>
            </w:pPr>
            <w:r>
              <w:rPr>
                <w:rFonts w:ascii="Arial" w:cs="Arial" w:eastAsia="Arial" w:hAnsi="Arial"/>
                <w:sz w:val="13"/>
                <w:szCs w:val="13"/>
                <w:b w:val="1"/>
                <w:bCs w:val="1"/>
                <w:color w:val="105EAB"/>
              </w:rPr>
              <w:t>Return</w:t>
            </w:r>
          </w:p>
        </w:tc>
        <w:tc>
          <w:tcPr>
            <w:tcW w:w="180" w:type="dxa"/>
            <w:vAlign w:val="bottom"/>
            <w:tcBorders>
              <w:bottom w:val="single" w:sz="8" w:color="105EAB"/>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3960" w:type="dxa"/>
            <w:vAlign w:val="bottom"/>
            <w:vMerge w:val="restart"/>
          </w:tcPr>
          <w:p>
            <w:pPr>
              <w:ind w:left="80"/>
              <w:spacing w:after="0" w:line="229" w:lineRule="exact"/>
              <w:rPr>
                <w:sz w:val="20"/>
                <w:szCs w:val="20"/>
                <w:color w:val="auto"/>
              </w:rPr>
            </w:pPr>
            <w:r>
              <w:rPr>
                <w:rFonts w:ascii="Arial" w:cs="Arial" w:eastAsia="Arial" w:hAnsi="Arial"/>
                <w:sz w:val="13"/>
                <w:szCs w:val="13"/>
                <w:b w:val="1"/>
                <w:bCs w:val="1"/>
                <w:color w:val="105EAB"/>
              </w:rPr>
              <w:t>Performance Cycle</w:t>
            </w:r>
            <w:r>
              <w:rPr>
                <w:rFonts w:ascii="Arial" w:cs="Arial" w:eastAsia="Arial" w:hAnsi="Arial"/>
                <w:sz w:val="22"/>
                <w:szCs w:val="22"/>
                <w:b w:val="1"/>
                <w:bCs w:val="1"/>
                <w:color w:val="105EAB"/>
                <w:vertAlign w:val="superscript"/>
              </w:rPr>
              <w:t>(1)</w:t>
            </w:r>
          </w:p>
        </w:tc>
        <w:tc>
          <w:tcPr>
            <w:tcW w:w="2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3960" w:type="dxa"/>
            <w:vAlign w:val="bottom"/>
            <w:vMerge w:val="continue"/>
          </w:tcPr>
          <w:p>
            <w:pPr>
              <w:spacing w:after="0"/>
              <w:rPr>
                <w:sz w:val="17"/>
                <w:szCs w:val="17"/>
                <w:color w:val="auto"/>
              </w:rPr>
            </w:pPr>
          </w:p>
        </w:tc>
        <w:tc>
          <w:tcPr>
            <w:tcW w:w="2760" w:type="dxa"/>
            <w:vAlign w:val="bottom"/>
          </w:tcPr>
          <w:p>
            <w:pPr>
              <w:jc w:val="right"/>
              <w:ind w:right="73"/>
              <w:spacing w:after="0"/>
              <w:rPr>
                <w:sz w:val="20"/>
                <w:szCs w:val="20"/>
                <w:color w:val="auto"/>
              </w:rPr>
            </w:pPr>
            <w:r>
              <w:rPr>
                <w:rFonts w:ascii="Arial" w:cs="Arial" w:eastAsia="Arial" w:hAnsi="Arial"/>
                <w:sz w:val="13"/>
                <w:szCs w:val="13"/>
                <w:b w:val="1"/>
                <w:bCs w:val="1"/>
                <w:color w:val="105EAB"/>
              </w:rPr>
              <w:t>Threshold</w:t>
            </w:r>
          </w:p>
        </w:tc>
        <w:tc>
          <w:tcPr>
            <w:tcW w:w="660" w:type="dxa"/>
            <w:vAlign w:val="bottom"/>
          </w:tcPr>
          <w:p>
            <w:pPr>
              <w:jc w:val="right"/>
              <w:ind w:right="73"/>
              <w:spacing w:after="0"/>
              <w:rPr>
                <w:sz w:val="20"/>
                <w:szCs w:val="20"/>
                <w:color w:val="auto"/>
              </w:rPr>
            </w:pPr>
            <w:r>
              <w:rPr>
                <w:rFonts w:ascii="Arial" w:cs="Arial" w:eastAsia="Arial" w:hAnsi="Arial"/>
                <w:sz w:val="13"/>
                <w:szCs w:val="13"/>
                <w:b w:val="1"/>
                <w:bCs w:val="1"/>
                <w:color w:val="105EAB"/>
              </w:rPr>
              <w:t>Target</w:t>
            </w:r>
          </w:p>
        </w:tc>
        <w:tc>
          <w:tcPr>
            <w:tcW w:w="920" w:type="dxa"/>
            <w:vAlign w:val="bottom"/>
          </w:tcPr>
          <w:p>
            <w:pPr>
              <w:jc w:val="right"/>
              <w:ind w:right="93"/>
              <w:spacing w:after="0"/>
              <w:rPr>
                <w:sz w:val="20"/>
                <w:szCs w:val="20"/>
                <w:color w:val="auto"/>
              </w:rPr>
            </w:pPr>
            <w:r>
              <w:rPr>
                <w:rFonts w:ascii="Arial" w:cs="Arial" w:eastAsia="Arial" w:hAnsi="Arial"/>
                <w:sz w:val="13"/>
                <w:szCs w:val="13"/>
                <w:b w:val="1"/>
                <w:bCs w:val="1"/>
                <w:color w:val="105EAB"/>
              </w:rPr>
              <w:t>Maximum</w:t>
            </w:r>
          </w:p>
        </w:tc>
        <w:tc>
          <w:tcPr>
            <w:tcW w:w="760" w:type="dxa"/>
            <w:vAlign w:val="bottom"/>
          </w:tcPr>
          <w:p>
            <w:pPr>
              <w:jc w:val="right"/>
              <w:ind w:right="73"/>
              <w:spacing w:after="0"/>
              <w:rPr>
                <w:sz w:val="20"/>
                <w:szCs w:val="20"/>
                <w:color w:val="auto"/>
              </w:rPr>
            </w:pPr>
            <w:r>
              <w:rPr>
                <w:rFonts w:ascii="Arial" w:cs="Arial" w:eastAsia="Arial" w:hAnsi="Arial"/>
                <w:sz w:val="13"/>
                <w:szCs w:val="13"/>
                <w:b w:val="1"/>
                <w:bCs w:val="1"/>
                <w:color w:val="105EAB"/>
              </w:rPr>
              <w:t>Results</w:t>
            </w:r>
          </w:p>
        </w:tc>
        <w:tc>
          <w:tcPr>
            <w:tcW w:w="114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105EAB"/>
              </w:rPr>
              <w:t>Percentage</w:t>
            </w:r>
          </w:p>
        </w:tc>
        <w:tc>
          <w:tcPr>
            <w:tcW w:w="760" w:type="dxa"/>
            <w:vAlign w:val="bottom"/>
          </w:tcPr>
          <w:p>
            <w:pPr>
              <w:jc w:val="right"/>
              <w:ind w:right="213"/>
              <w:spacing w:after="0"/>
              <w:rPr>
                <w:sz w:val="20"/>
                <w:szCs w:val="20"/>
                <w:color w:val="auto"/>
              </w:rPr>
            </w:pPr>
            <w:r>
              <w:rPr>
                <w:rFonts w:ascii="Arial" w:cs="Arial" w:eastAsia="Arial" w:hAnsi="Arial"/>
                <w:sz w:val="13"/>
                <w:szCs w:val="13"/>
                <w:b w:val="1"/>
                <w:bCs w:val="1"/>
                <w:color w:val="105EAB"/>
                <w:w w:val="97"/>
              </w:rPr>
              <w:t>Allstate</w:t>
            </w:r>
          </w:p>
        </w:tc>
        <w:tc>
          <w:tcPr>
            <w:tcW w:w="48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105EAB"/>
              </w:rPr>
              <w:t>Peers</w:t>
            </w:r>
          </w:p>
        </w:tc>
        <w:tc>
          <w:tcPr>
            <w:tcW w:w="0" w:type="dxa"/>
            <w:vAlign w:val="bottom"/>
          </w:tcPr>
          <w:p>
            <w:pPr>
              <w:spacing w:after="0"/>
              <w:rPr>
                <w:sz w:val="1"/>
                <w:szCs w:val="1"/>
                <w:color w:val="auto"/>
              </w:rPr>
            </w:pPr>
          </w:p>
        </w:tc>
      </w:tr>
      <w:tr>
        <w:trPr>
          <w:trHeight w:val="202"/>
        </w:trPr>
        <w:tc>
          <w:tcPr>
            <w:tcW w:w="3960" w:type="dxa"/>
            <w:vAlign w:val="bottom"/>
            <w:tcBorders>
              <w:top w:val="single" w:sz="8" w:color="105EAB"/>
            </w:tcBorders>
          </w:tcPr>
          <w:p>
            <w:pPr>
              <w:ind w:left="80"/>
              <w:spacing w:after="0"/>
              <w:rPr>
                <w:sz w:val="20"/>
                <w:szCs w:val="20"/>
                <w:color w:val="auto"/>
              </w:rPr>
            </w:pPr>
            <w:r>
              <w:rPr>
                <w:rFonts w:ascii="Arial" w:cs="Arial" w:eastAsia="Arial" w:hAnsi="Arial"/>
                <w:sz w:val="13"/>
                <w:szCs w:val="13"/>
                <w:b w:val="1"/>
                <w:bCs w:val="1"/>
                <w:color w:val="auto"/>
              </w:rPr>
              <w:t>Vested Awards</w:t>
            </w:r>
          </w:p>
        </w:tc>
        <w:tc>
          <w:tcPr>
            <w:tcW w:w="2760" w:type="dxa"/>
            <w:vAlign w:val="bottom"/>
            <w:tcBorders>
              <w:top w:val="single" w:sz="8" w:color="105EAB"/>
            </w:tcBorders>
          </w:tcPr>
          <w:p>
            <w:pPr>
              <w:spacing w:after="0"/>
              <w:rPr>
                <w:sz w:val="17"/>
                <w:szCs w:val="17"/>
                <w:color w:val="auto"/>
              </w:rPr>
            </w:pPr>
          </w:p>
        </w:tc>
        <w:tc>
          <w:tcPr>
            <w:tcW w:w="660" w:type="dxa"/>
            <w:vAlign w:val="bottom"/>
            <w:tcBorders>
              <w:top w:val="single" w:sz="8" w:color="105EAB"/>
            </w:tcBorders>
          </w:tcPr>
          <w:p>
            <w:pPr>
              <w:spacing w:after="0"/>
              <w:rPr>
                <w:sz w:val="17"/>
                <w:szCs w:val="17"/>
                <w:color w:val="auto"/>
              </w:rPr>
            </w:pPr>
          </w:p>
        </w:tc>
        <w:tc>
          <w:tcPr>
            <w:tcW w:w="920" w:type="dxa"/>
            <w:vAlign w:val="bottom"/>
            <w:tcBorders>
              <w:top w:val="single" w:sz="8" w:color="105EAB"/>
            </w:tcBorders>
          </w:tcPr>
          <w:p>
            <w:pPr>
              <w:spacing w:after="0"/>
              <w:rPr>
                <w:sz w:val="17"/>
                <w:szCs w:val="17"/>
                <w:color w:val="auto"/>
              </w:rPr>
            </w:pPr>
          </w:p>
        </w:tc>
        <w:tc>
          <w:tcPr>
            <w:tcW w:w="760" w:type="dxa"/>
            <w:vAlign w:val="bottom"/>
            <w:tcBorders>
              <w:top w:val="single" w:sz="8" w:color="105EAB"/>
            </w:tcBorders>
          </w:tcPr>
          <w:p>
            <w:pPr>
              <w:spacing w:after="0"/>
              <w:rPr>
                <w:sz w:val="17"/>
                <w:szCs w:val="17"/>
                <w:color w:val="auto"/>
              </w:rPr>
            </w:pPr>
          </w:p>
        </w:tc>
        <w:tc>
          <w:tcPr>
            <w:tcW w:w="860" w:type="dxa"/>
            <w:vAlign w:val="bottom"/>
            <w:tcBorders>
              <w:top w:val="single" w:sz="8" w:color="105EAB"/>
            </w:tcBorders>
          </w:tcPr>
          <w:p>
            <w:pPr>
              <w:spacing w:after="0"/>
              <w:rPr>
                <w:sz w:val="17"/>
                <w:szCs w:val="17"/>
                <w:color w:val="auto"/>
              </w:rPr>
            </w:pPr>
          </w:p>
        </w:tc>
        <w:tc>
          <w:tcPr>
            <w:tcW w:w="280" w:type="dxa"/>
            <w:vAlign w:val="bottom"/>
            <w:tcBorders>
              <w:top w:val="single" w:sz="8" w:color="105EAB"/>
            </w:tcBorders>
          </w:tcPr>
          <w:p>
            <w:pPr>
              <w:spacing w:after="0"/>
              <w:rPr>
                <w:sz w:val="17"/>
                <w:szCs w:val="17"/>
                <w:color w:val="auto"/>
              </w:rPr>
            </w:pPr>
          </w:p>
        </w:tc>
        <w:tc>
          <w:tcPr>
            <w:tcW w:w="760" w:type="dxa"/>
            <w:vAlign w:val="bottom"/>
            <w:tcBorders>
              <w:top w:val="single" w:sz="8" w:color="105EAB"/>
            </w:tcBorders>
          </w:tcPr>
          <w:p>
            <w:pPr>
              <w:spacing w:after="0"/>
              <w:rPr>
                <w:sz w:val="17"/>
                <w:szCs w:val="17"/>
                <w:color w:val="auto"/>
              </w:rPr>
            </w:pPr>
          </w:p>
        </w:tc>
        <w:tc>
          <w:tcPr>
            <w:tcW w:w="280" w:type="dxa"/>
            <w:vAlign w:val="bottom"/>
            <w:tcBorders>
              <w:top w:val="single" w:sz="8" w:color="105EAB"/>
            </w:tcBorders>
          </w:tcPr>
          <w:p>
            <w:pPr>
              <w:spacing w:after="0"/>
              <w:rPr>
                <w:sz w:val="17"/>
                <w:szCs w:val="17"/>
                <w:color w:val="auto"/>
              </w:rPr>
            </w:pPr>
          </w:p>
        </w:tc>
        <w:tc>
          <w:tcPr>
            <w:tcW w:w="180" w:type="dxa"/>
            <w:vAlign w:val="bottom"/>
            <w:tcBorders>
              <w:top w:val="single" w:sz="8" w:color="105EAB"/>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3960" w:type="dxa"/>
            <w:vAlign w:val="bottom"/>
            <w:tcBorders>
              <w:bottom w:val="single" w:sz="8" w:color="DFF1FB"/>
            </w:tcBorders>
          </w:tcPr>
          <w:p>
            <w:pPr>
              <w:spacing w:after="0"/>
              <w:rPr>
                <w:sz w:val="3"/>
                <w:szCs w:val="3"/>
                <w:color w:val="auto"/>
              </w:rPr>
            </w:pPr>
          </w:p>
        </w:tc>
        <w:tc>
          <w:tcPr>
            <w:tcW w:w="2760" w:type="dxa"/>
            <w:vAlign w:val="bottom"/>
            <w:tcBorders>
              <w:bottom w:val="single" w:sz="8" w:color="DFF1FB"/>
            </w:tcBorders>
          </w:tcPr>
          <w:p>
            <w:pPr>
              <w:spacing w:after="0"/>
              <w:rPr>
                <w:sz w:val="3"/>
                <w:szCs w:val="3"/>
                <w:color w:val="auto"/>
              </w:rPr>
            </w:pPr>
          </w:p>
        </w:tc>
        <w:tc>
          <w:tcPr>
            <w:tcW w:w="660" w:type="dxa"/>
            <w:vAlign w:val="bottom"/>
            <w:tcBorders>
              <w:bottom w:val="single" w:sz="8" w:color="DFF1FB"/>
            </w:tcBorders>
          </w:tcPr>
          <w:p>
            <w:pPr>
              <w:spacing w:after="0"/>
              <w:rPr>
                <w:sz w:val="3"/>
                <w:szCs w:val="3"/>
                <w:color w:val="auto"/>
              </w:rPr>
            </w:pPr>
          </w:p>
        </w:tc>
        <w:tc>
          <w:tcPr>
            <w:tcW w:w="920" w:type="dxa"/>
            <w:vAlign w:val="bottom"/>
            <w:tcBorders>
              <w:bottom w:val="single" w:sz="8" w:color="DFF1FB"/>
            </w:tcBorders>
          </w:tcPr>
          <w:p>
            <w:pPr>
              <w:spacing w:after="0"/>
              <w:rPr>
                <w:sz w:val="3"/>
                <w:szCs w:val="3"/>
                <w:color w:val="auto"/>
              </w:rPr>
            </w:pPr>
          </w:p>
        </w:tc>
        <w:tc>
          <w:tcPr>
            <w:tcW w:w="760" w:type="dxa"/>
            <w:vAlign w:val="bottom"/>
            <w:tcBorders>
              <w:bottom w:val="single" w:sz="8" w:color="DFF1FB"/>
            </w:tcBorders>
          </w:tcPr>
          <w:p>
            <w:pPr>
              <w:spacing w:after="0"/>
              <w:rPr>
                <w:sz w:val="3"/>
                <w:szCs w:val="3"/>
                <w:color w:val="auto"/>
              </w:rPr>
            </w:pPr>
          </w:p>
        </w:tc>
        <w:tc>
          <w:tcPr>
            <w:tcW w:w="1140" w:type="dxa"/>
            <w:vAlign w:val="bottom"/>
            <w:tcBorders>
              <w:bottom w:val="single" w:sz="8" w:color="DFF1FB"/>
            </w:tcBorders>
            <w:gridSpan w:val="2"/>
          </w:tcPr>
          <w:p>
            <w:pPr>
              <w:spacing w:after="0"/>
              <w:rPr>
                <w:sz w:val="3"/>
                <w:szCs w:val="3"/>
                <w:color w:val="auto"/>
              </w:rPr>
            </w:pPr>
          </w:p>
        </w:tc>
        <w:tc>
          <w:tcPr>
            <w:tcW w:w="760" w:type="dxa"/>
            <w:vAlign w:val="bottom"/>
            <w:tcBorders>
              <w:bottom w:val="single" w:sz="8" w:color="DFF1FB"/>
            </w:tcBorders>
          </w:tcPr>
          <w:p>
            <w:pPr>
              <w:spacing w:after="0"/>
              <w:rPr>
                <w:sz w:val="3"/>
                <w:szCs w:val="3"/>
                <w:color w:val="auto"/>
              </w:rPr>
            </w:pPr>
          </w:p>
        </w:tc>
        <w:tc>
          <w:tcPr>
            <w:tcW w:w="460" w:type="dxa"/>
            <w:vAlign w:val="bottom"/>
            <w:tcBorders>
              <w:bottom w:val="single" w:sz="8" w:color="DFF1FB"/>
            </w:tcBorders>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3960" w:type="dxa"/>
            <w:vAlign w:val="bottom"/>
          </w:tcPr>
          <w:p>
            <w:pPr>
              <w:ind w:left="340"/>
              <w:spacing w:after="0"/>
              <w:rPr>
                <w:sz w:val="20"/>
                <w:szCs w:val="20"/>
                <w:color w:val="auto"/>
              </w:rPr>
            </w:pPr>
            <w:r>
              <w:rPr>
                <w:rFonts w:ascii="Arial" w:cs="Arial" w:eastAsia="Arial" w:hAnsi="Arial"/>
                <w:sz w:val="13"/>
                <w:szCs w:val="13"/>
                <w:color w:val="auto"/>
              </w:rPr>
              <w:t>2014-2016</w:t>
            </w:r>
          </w:p>
        </w:tc>
        <w:tc>
          <w:tcPr>
            <w:tcW w:w="2760" w:type="dxa"/>
            <w:vAlign w:val="bottom"/>
          </w:tcPr>
          <w:p>
            <w:pPr>
              <w:jc w:val="right"/>
              <w:ind w:right="73"/>
              <w:spacing w:after="0"/>
              <w:rPr>
                <w:sz w:val="20"/>
                <w:szCs w:val="20"/>
                <w:color w:val="auto"/>
              </w:rPr>
            </w:pPr>
            <w:r>
              <w:rPr>
                <w:rFonts w:ascii="Arial" w:cs="Arial" w:eastAsia="Arial" w:hAnsi="Arial"/>
                <w:sz w:val="13"/>
                <w:szCs w:val="13"/>
                <w:color w:val="auto"/>
              </w:rPr>
              <w:t>6.0%</w:t>
            </w:r>
          </w:p>
        </w:tc>
        <w:tc>
          <w:tcPr>
            <w:tcW w:w="660" w:type="dxa"/>
            <w:vAlign w:val="bottom"/>
          </w:tcPr>
          <w:p>
            <w:pPr>
              <w:jc w:val="right"/>
              <w:ind w:right="53"/>
              <w:spacing w:after="0"/>
              <w:rPr>
                <w:sz w:val="20"/>
                <w:szCs w:val="20"/>
                <w:color w:val="auto"/>
              </w:rPr>
            </w:pPr>
            <w:r>
              <w:rPr>
                <w:rFonts w:ascii="Arial" w:cs="Arial" w:eastAsia="Arial" w:hAnsi="Arial"/>
                <w:sz w:val="13"/>
                <w:szCs w:val="13"/>
                <w:color w:val="auto"/>
              </w:rPr>
              <w:t>13.0%</w:t>
            </w:r>
          </w:p>
        </w:tc>
        <w:tc>
          <w:tcPr>
            <w:tcW w:w="920" w:type="dxa"/>
            <w:vAlign w:val="bottom"/>
          </w:tcPr>
          <w:p>
            <w:pPr>
              <w:jc w:val="right"/>
              <w:ind w:right="73"/>
              <w:spacing w:after="0"/>
              <w:rPr>
                <w:sz w:val="20"/>
                <w:szCs w:val="20"/>
                <w:color w:val="auto"/>
              </w:rPr>
            </w:pPr>
            <w:r>
              <w:rPr>
                <w:rFonts w:ascii="Arial" w:cs="Arial" w:eastAsia="Arial" w:hAnsi="Arial"/>
                <w:sz w:val="13"/>
                <w:szCs w:val="13"/>
                <w:color w:val="auto"/>
              </w:rPr>
              <w:t>14.5%</w:t>
            </w:r>
          </w:p>
        </w:tc>
        <w:tc>
          <w:tcPr>
            <w:tcW w:w="760" w:type="dxa"/>
            <w:vAlign w:val="bottom"/>
          </w:tcPr>
          <w:p>
            <w:pPr>
              <w:jc w:val="right"/>
              <w:ind w:right="73"/>
              <w:spacing w:after="0"/>
              <w:rPr>
                <w:sz w:val="20"/>
                <w:szCs w:val="20"/>
                <w:color w:val="auto"/>
              </w:rPr>
            </w:pPr>
            <w:r>
              <w:rPr>
                <w:rFonts w:ascii="Arial" w:cs="Arial" w:eastAsia="Arial" w:hAnsi="Arial"/>
                <w:sz w:val="13"/>
                <w:szCs w:val="13"/>
                <w:color w:val="auto"/>
              </w:rPr>
              <w:t>12.1%</w:t>
            </w:r>
          </w:p>
        </w:tc>
        <w:tc>
          <w:tcPr>
            <w:tcW w:w="1140" w:type="dxa"/>
            <w:vAlign w:val="bottom"/>
            <w:gridSpan w:val="2"/>
          </w:tcPr>
          <w:p>
            <w:pPr>
              <w:jc w:val="right"/>
              <w:ind w:right="280"/>
              <w:spacing w:after="0"/>
              <w:rPr>
                <w:sz w:val="20"/>
                <w:szCs w:val="20"/>
                <w:color w:val="auto"/>
              </w:rPr>
            </w:pPr>
            <w:r>
              <w:rPr>
                <w:rFonts w:ascii="Arial" w:cs="Arial" w:eastAsia="Arial" w:hAnsi="Arial"/>
                <w:sz w:val="13"/>
                <w:szCs w:val="13"/>
                <w:color w:val="auto"/>
              </w:rPr>
              <w:t>87.1%</w:t>
            </w:r>
          </w:p>
        </w:tc>
        <w:tc>
          <w:tcPr>
            <w:tcW w:w="760" w:type="dxa"/>
            <w:vAlign w:val="bottom"/>
          </w:tcPr>
          <w:p>
            <w:pPr>
              <w:jc w:val="right"/>
              <w:ind w:right="193"/>
              <w:spacing w:after="0"/>
              <w:rPr>
                <w:sz w:val="20"/>
                <w:szCs w:val="20"/>
                <w:color w:val="auto"/>
              </w:rPr>
            </w:pPr>
            <w:r>
              <w:rPr>
                <w:rFonts w:ascii="Arial" w:cs="Arial" w:eastAsia="Arial" w:hAnsi="Arial"/>
                <w:sz w:val="13"/>
                <w:szCs w:val="13"/>
                <w:color w:val="auto"/>
              </w:rPr>
              <w:t>43.2%</w:t>
            </w:r>
          </w:p>
        </w:tc>
        <w:tc>
          <w:tcPr>
            <w:tcW w:w="460" w:type="dxa"/>
            <w:vAlign w:val="bottom"/>
            <w:gridSpan w:val="2"/>
          </w:tcPr>
          <w:p>
            <w:pPr>
              <w:jc w:val="right"/>
              <w:ind w:right="13"/>
              <w:spacing w:after="0"/>
              <w:rPr>
                <w:sz w:val="20"/>
                <w:szCs w:val="20"/>
                <w:color w:val="auto"/>
              </w:rPr>
            </w:pPr>
            <w:r>
              <w:rPr>
                <w:rFonts w:ascii="Arial" w:cs="Arial" w:eastAsia="Arial" w:hAnsi="Arial"/>
                <w:sz w:val="13"/>
                <w:szCs w:val="13"/>
                <w:color w:val="auto"/>
                <w:w w:val="97"/>
              </w:rPr>
              <w:t>26.8%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3960" w:type="dxa"/>
            <w:vAlign w:val="bottom"/>
            <w:tcBorders>
              <w:bottom w:val="single" w:sz="8" w:color="DFF1FB"/>
            </w:tcBorders>
          </w:tcPr>
          <w:p>
            <w:pPr>
              <w:spacing w:after="0"/>
              <w:rPr>
                <w:sz w:val="3"/>
                <w:szCs w:val="3"/>
                <w:color w:val="auto"/>
              </w:rPr>
            </w:pPr>
          </w:p>
        </w:tc>
        <w:tc>
          <w:tcPr>
            <w:tcW w:w="2760" w:type="dxa"/>
            <w:vAlign w:val="bottom"/>
            <w:tcBorders>
              <w:bottom w:val="single" w:sz="8" w:color="DFF1FB"/>
            </w:tcBorders>
          </w:tcPr>
          <w:p>
            <w:pPr>
              <w:spacing w:after="0"/>
              <w:rPr>
                <w:sz w:val="3"/>
                <w:szCs w:val="3"/>
                <w:color w:val="auto"/>
              </w:rPr>
            </w:pPr>
          </w:p>
        </w:tc>
        <w:tc>
          <w:tcPr>
            <w:tcW w:w="660" w:type="dxa"/>
            <w:vAlign w:val="bottom"/>
            <w:tcBorders>
              <w:bottom w:val="single" w:sz="8" w:color="DFF1FB"/>
            </w:tcBorders>
          </w:tcPr>
          <w:p>
            <w:pPr>
              <w:spacing w:after="0"/>
              <w:rPr>
                <w:sz w:val="3"/>
                <w:szCs w:val="3"/>
                <w:color w:val="auto"/>
              </w:rPr>
            </w:pPr>
          </w:p>
        </w:tc>
        <w:tc>
          <w:tcPr>
            <w:tcW w:w="920" w:type="dxa"/>
            <w:vAlign w:val="bottom"/>
            <w:tcBorders>
              <w:bottom w:val="single" w:sz="8" w:color="DFF1FB"/>
            </w:tcBorders>
          </w:tcPr>
          <w:p>
            <w:pPr>
              <w:spacing w:after="0"/>
              <w:rPr>
                <w:sz w:val="3"/>
                <w:szCs w:val="3"/>
                <w:color w:val="auto"/>
              </w:rPr>
            </w:pPr>
          </w:p>
        </w:tc>
        <w:tc>
          <w:tcPr>
            <w:tcW w:w="760" w:type="dxa"/>
            <w:vAlign w:val="bottom"/>
            <w:tcBorders>
              <w:bottom w:val="single" w:sz="8" w:color="DFF1FB"/>
            </w:tcBorders>
          </w:tcPr>
          <w:p>
            <w:pPr>
              <w:spacing w:after="0"/>
              <w:rPr>
                <w:sz w:val="3"/>
                <w:szCs w:val="3"/>
                <w:color w:val="auto"/>
              </w:rPr>
            </w:pPr>
          </w:p>
        </w:tc>
        <w:tc>
          <w:tcPr>
            <w:tcW w:w="1140" w:type="dxa"/>
            <w:vAlign w:val="bottom"/>
            <w:tcBorders>
              <w:bottom w:val="single" w:sz="8" w:color="DFF1FB"/>
            </w:tcBorders>
            <w:gridSpan w:val="2"/>
          </w:tcPr>
          <w:p>
            <w:pPr>
              <w:spacing w:after="0"/>
              <w:rPr>
                <w:sz w:val="3"/>
                <w:szCs w:val="3"/>
                <w:color w:val="auto"/>
              </w:rPr>
            </w:pPr>
          </w:p>
        </w:tc>
        <w:tc>
          <w:tcPr>
            <w:tcW w:w="760" w:type="dxa"/>
            <w:vAlign w:val="bottom"/>
            <w:tcBorders>
              <w:bottom w:val="single" w:sz="8" w:color="DFF1FB"/>
            </w:tcBorders>
          </w:tcPr>
          <w:p>
            <w:pPr>
              <w:spacing w:after="0"/>
              <w:rPr>
                <w:sz w:val="3"/>
                <w:szCs w:val="3"/>
                <w:color w:val="auto"/>
              </w:rPr>
            </w:pPr>
          </w:p>
        </w:tc>
        <w:tc>
          <w:tcPr>
            <w:tcW w:w="460" w:type="dxa"/>
            <w:vAlign w:val="bottom"/>
            <w:tcBorders>
              <w:bottom w:val="single" w:sz="8" w:color="DFF1FB"/>
            </w:tcBorders>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3960" w:type="dxa"/>
            <w:vAlign w:val="bottom"/>
          </w:tcPr>
          <w:p>
            <w:pPr>
              <w:ind w:left="340"/>
              <w:spacing w:after="0"/>
              <w:rPr>
                <w:sz w:val="20"/>
                <w:szCs w:val="20"/>
                <w:color w:val="auto"/>
              </w:rPr>
            </w:pPr>
            <w:r>
              <w:rPr>
                <w:rFonts w:ascii="Arial" w:cs="Arial" w:eastAsia="Arial" w:hAnsi="Arial"/>
                <w:sz w:val="13"/>
                <w:szCs w:val="13"/>
                <w:color w:val="auto"/>
              </w:rPr>
              <w:t>2015-2017</w:t>
            </w:r>
          </w:p>
        </w:tc>
        <w:tc>
          <w:tcPr>
            <w:tcW w:w="2760" w:type="dxa"/>
            <w:vAlign w:val="bottom"/>
          </w:tcPr>
          <w:p>
            <w:pPr>
              <w:jc w:val="right"/>
              <w:ind w:right="73"/>
              <w:spacing w:after="0"/>
              <w:rPr>
                <w:sz w:val="20"/>
                <w:szCs w:val="20"/>
                <w:color w:val="auto"/>
              </w:rPr>
            </w:pPr>
            <w:r>
              <w:rPr>
                <w:rFonts w:ascii="Arial" w:cs="Arial" w:eastAsia="Arial" w:hAnsi="Arial"/>
                <w:sz w:val="13"/>
                <w:szCs w:val="13"/>
                <w:color w:val="auto"/>
              </w:rPr>
              <w:t>6.0%</w:t>
            </w:r>
          </w:p>
        </w:tc>
        <w:tc>
          <w:tcPr>
            <w:tcW w:w="660" w:type="dxa"/>
            <w:vAlign w:val="bottom"/>
          </w:tcPr>
          <w:p>
            <w:pPr>
              <w:jc w:val="right"/>
              <w:ind w:right="53"/>
              <w:spacing w:after="0"/>
              <w:rPr>
                <w:sz w:val="20"/>
                <w:szCs w:val="20"/>
                <w:color w:val="auto"/>
              </w:rPr>
            </w:pPr>
            <w:r>
              <w:rPr>
                <w:rFonts w:ascii="Arial" w:cs="Arial" w:eastAsia="Arial" w:hAnsi="Arial"/>
                <w:sz w:val="13"/>
                <w:szCs w:val="13"/>
                <w:color w:val="auto"/>
              </w:rPr>
              <w:t>13.5%</w:t>
            </w:r>
          </w:p>
        </w:tc>
        <w:tc>
          <w:tcPr>
            <w:tcW w:w="920" w:type="dxa"/>
            <w:vAlign w:val="bottom"/>
          </w:tcPr>
          <w:p>
            <w:pPr>
              <w:jc w:val="right"/>
              <w:ind w:right="73"/>
              <w:spacing w:after="0"/>
              <w:rPr>
                <w:sz w:val="20"/>
                <w:szCs w:val="20"/>
                <w:color w:val="auto"/>
              </w:rPr>
            </w:pPr>
            <w:r>
              <w:rPr>
                <w:rFonts w:ascii="Arial" w:cs="Arial" w:eastAsia="Arial" w:hAnsi="Arial"/>
                <w:sz w:val="13"/>
                <w:szCs w:val="13"/>
                <w:color w:val="auto"/>
              </w:rPr>
              <w:t>14.5%</w:t>
            </w:r>
          </w:p>
        </w:tc>
        <w:tc>
          <w:tcPr>
            <w:tcW w:w="760" w:type="dxa"/>
            <w:vAlign w:val="bottom"/>
          </w:tcPr>
          <w:p>
            <w:pPr>
              <w:jc w:val="right"/>
              <w:ind w:right="73"/>
              <w:spacing w:after="0"/>
              <w:rPr>
                <w:sz w:val="20"/>
                <w:szCs w:val="20"/>
                <w:color w:val="auto"/>
              </w:rPr>
            </w:pPr>
            <w:r>
              <w:rPr>
                <w:rFonts w:ascii="Arial" w:cs="Arial" w:eastAsia="Arial" w:hAnsi="Arial"/>
                <w:sz w:val="13"/>
                <w:szCs w:val="13"/>
                <w:color w:val="auto"/>
              </w:rPr>
              <w:t>12.2%</w:t>
            </w:r>
          </w:p>
        </w:tc>
        <w:tc>
          <w:tcPr>
            <w:tcW w:w="1140" w:type="dxa"/>
            <w:vAlign w:val="bottom"/>
            <w:gridSpan w:val="2"/>
          </w:tcPr>
          <w:p>
            <w:pPr>
              <w:jc w:val="right"/>
              <w:ind w:right="280"/>
              <w:spacing w:after="0"/>
              <w:rPr>
                <w:sz w:val="20"/>
                <w:szCs w:val="20"/>
                <w:color w:val="auto"/>
              </w:rPr>
            </w:pPr>
            <w:r>
              <w:rPr>
                <w:rFonts w:ascii="Arial" w:cs="Arial" w:eastAsia="Arial" w:hAnsi="Arial"/>
                <w:sz w:val="13"/>
                <w:szCs w:val="13"/>
                <w:color w:val="auto"/>
              </w:rPr>
              <w:t>82.7%</w:t>
            </w:r>
          </w:p>
        </w:tc>
        <w:tc>
          <w:tcPr>
            <w:tcW w:w="760" w:type="dxa"/>
            <w:vAlign w:val="bottom"/>
          </w:tcPr>
          <w:p>
            <w:pPr>
              <w:jc w:val="right"/>
              <w:ind w:right="193"/>
              <w:spacing w:after="0"/>
              <w:rPr>
                <w:sz w:val="20"/>
                <w:szCs w:val="20"/>
                <w:color w:val="auto"/>
              </w:rPr>
            </w:pPr>
            <w:r>
              <w:rPr>
                <w:rFonts w:ascii="Arial" w:cs="Arial" w:eastAsia="Arial" w:hAnsi="Arial"/>
                <w:sz w:val="13"/>
                <w:szCs w:val="13"/>
                <w:color w:val="auto"/>
              </w:rPr>
              <w:t>56.8%</w:t>
            </w:r>
          </w:p>
        </w:tc>
        <w:tc>
          <w:tcPr>
            <w:tcW w:w="460" w:type="dxa"/>
            <w:vAlign w:val="bottom"/>
            <w:gridSpan w:val="2"/>
          </w:tcPr>
          <w:p>
            <w:pPr>
              <w:jc w:val="right"/>
              <w:ind w:right="13"/>
              <w:spacing w:after="0"/>
              <w:rPr>
                <w:sz w:val="20"/>
                <w:szCs w:val="20"/>
                <w:color w:val="auto"/>
              </w:rPr>
            </w:pPr>
            <w:r>
              <w:rPr>
                <w:rFonts w:ascii="Arial" w:cs="Arial" w:eastAsia="Arial" w:hAnsi="Arial"/>
                <w:sz w:val="13"/>
                <w:szCs w:val="13"/>
                <w:color w:val="auto"/>
                <w:w w:val="97"/>
              </w:rPr>
              <w:t>40.0%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3960" w:type="dxa"/>
            <w:vAlign w:val="bottom"/>
            <w:tcBorders>
              <w:bottom w:val="single" w:sz="8" w:color="DFF1FB"/>
            </w:tcBorders>
          </w:tcPr>
          <w:p>
            <w:pPr>
              <w:spacing w:after="0"/>
              <w:rPr>
                <w:sz w:val="3"/>
                <w:szCs w:val="3"/>
                <w:color w:val="auto"/>
              </w:rPr>
            </w:pPr>
          </w:p>
        </w:tc>
        <w:tc>
          <w:tcPr>
            <w:tcW w:w="2760" w:type="dxa"/>
            <w:vAlign w:val="bottom"/>
            <w:tcBorders>
              <w:bottom w:val="single" w:sz="8" w:color="DFF1FB"/>
            </w:tcBorders>
          </w:tcPr>
          <w:p>
            <w:pPr>
              <w:spacing w:after="0"/>
              <w:rPr>
                <w:sz w:val="3"/>
                <w:szCs w:val="3"/>
                <w:color w:val="auto"/>
              </w:rPr>
            </w:pPr>
          </w:p>
        </w:tc>
        <w:tc>
          <w:tcPr>
            <w:tcW w:w="660" w:type="dxa"/>
            <w:vAlign w:val="bottom"/>
            <w:tcBorders>
              <w:bottom w:val="single" w:sz="8" w:color="DFF1FB"/>
            </w:tcBorders>
          </w:tcPr>
          <w:p>
            <w:pPr>
              <w:spacing w:after="0"/>
              <w:rPr>
                <w:sz w:val="3"/>
                <w:szCs w:val="3"/>
                <w:color w:val="auto"/>
              </w:rPr>
            </w:pPr>
          </w:p>
        </w:tc>
        <w:tc>
          <w:tcPr>
            <w:tcW w:w="920" w:type="dxa"/>
            <w:vAlign w:val="bottom"/>
            <w:tcBorders>
              <w:bottom w:val="single" w:sz="8" w:color="DFF1FB"/>
            </w:tcBorders>
          </w:tcPr>
          <w:p>
            <w:pPr>
              <w:spacing w:after="0"/>
              <w:rPr>
                <w:sz w:val="3"/>
                <w:szCs w:val="3"/>
                <w:color w:val="auto"/>
              </w:rPr>
            </w:pPr>
          </w:p>
        </w:tc>
        <w:tc>
          <w:tcPr>
            <w:tcW w:w="760" w:type="dxa"/>
            <w:vAlign w:val="bottom"/>
            <w:tcBorders>
              <w:bottom w:val="single" w:sz="8" w:color="DFF1FB"/>
            </w:tcBorders>
          </w:tcPr>
          <w:p>
            <w:pPr>
              <w:spacing w:after="0"/>
              <w:rPr>
                <w:sz w:val="3"/>
                <w:szCs w:val="3"/>
                <w:color w:val="auto"/>
              </w:rPr>
            </w:pPr>
          </w:p>
        </w:tc>
        <w:tc>
          <w:tcPr>
            <w:tcW w:w="1140" w:type="dxa"/>
            <w:vAlign w:val="bottom"/>
            <w:tcBorders>
              <w:bottom w:val="single" w:sz="8" w:color="DFF1FB"/>
            </w:tcBorders>
            <w:gridSpan w:val="2"/>
          </w:tcPr>
          <w:p>
            <w:pPr>
              <w:spacing w:after="0"/>
              <w:rPr>
                <w:sz w:val="3"/>
                <w:szCs w:val="3"/>
                <w:color w:val="auto"/>
              </w:rPr>
            </w:pPr>
          </w:p>
        </w:tc>
        <w:tc>
          <w:tcPr>
            <w:tcW w:w="760" w:type="dxa"/>
            <w:vAlign w:val="bottom"/>
            <w:tcBorders>
              <w:bottom w:val="single" w:sz="8" w:color="DFF1FB"/>
            </w:tcBorders>
          </w:tcPr>
          <w:p>
            <w:pPr>
              <w:spacing w:after="0"/>
              <w:rPr>
                <w:sz w:val="3"/>
                <w:szCs w:val="3"/>
                <w:color w:val="auto"/>
              </w:rPr>
            </w:pPr>
          </w:p>
        </w:tc>
        <w:tc>
          <w:tcPr>
            <w:tcW w:w="460" w:type="dxa"/>
            <w:vAlign w:val="bottom"/>
            <w:tcBorders>
              <w:bottom w:val="single" w:sz="8" w:color="DFF1FB"/>
            </w:tcBorders>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3960" w:type="dxa"/>
            <w:vAlign w:val="bottom"/>
          </w:tcPr>
          <w:p>
            <w:pPr>
              <w:ind w:left="340"/>
              <w:spacing w:after="0"/>
              <w:rPr>
                <w:sz w:val="20"/>
                <w:szCs w:val="20"/>
                <w:color w:val="auto"/>
              </w:rPr>
            </w:pPr>
            <w:r>
              <w:rPr>
                <w:rFonts w:ascii="Arial" w:cs="Arial" w:eastAsia="Arial" w:hAnsi="Arial"/>
                <w:sz w:val="13"/>
                <w:szCs w:val="13"/>
                <w:color w:val="auto"/>
              </w:rPr>
              <w:t>2016-2018</w:t>
            </w:r>
          </w:p>
        </w:tc>
        <w:tc>
          <w:tcPr>
            <w:tcW w:w="27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3"/>
                <w:szCs w:val="13"/>
                <w:color w:val="auto"/>
              </w:rPr>
              <w:t>161.5%</w:t>
            </w:r>
          </w:p>
        </w:tc>
        <w:tc>
          <w:tcPr>
            <w:tcW w:w="760" w:type="dxa"/>
            <w:vAlign w:val="bottom"/>
          </w:tcPr>
          <w:p>
            <w:pPr>
              <w:jc w:val="right"/>
              <w:ind w:right="193"/>
              <w:spacing w:after="0"/>
              <w:rPr>
                <w:sz w:val="20"/>
                <w:szCs w:val="20"/>
                <w:color w:val="auto"/>
              </w:rPr>
            </w:pPr>
            <w:r>
              <w:rPr>
                <w:rFonts w:ascii="Arial" w:cs="Arial" w:eastAsia="Arial" w:hAnsi="Arial"/>
                <w:sz w:val="13"/>
                <w:szCs w:val="13"/>
                <w:color w:val="auto"/>
              </w:rPr>
              <w:t>40.7%</w:t>
            </w:r>
          </w:p>
        </w:tc>
        <w:tc>
          <w:tcPr>
            <w:tcW w:w="460" w:type="dxa"/>
            <w:vAlign w:val="bottom"/>
            <w:gridSpan w:val="2"/>
          </w:tcPr>
          <w:p>
            <w:pPr>
              <w:jc w:val="right"/>
              <w:ind w:right="13"/>
              <w:spacing w:after="0"/>
              <w:rPr>
                <w:sz w:val="20"/>
                <w:szCs w:val="20"/>
                <w:color w:val="auto"/>
              </w:rPr>
            </w:pPr>
            <w:r>
              <w:rPr>
                <w:rFonts w:ascii="Arial" w:cs="Arial" w:eastAsia="Arial" w:hAnsi="Arial"/>
                <w:sz w:val="13"/>
                <w:szCs w:val="13"/>
                <w:color w:val="auto"/>
                <w:w w:val="97"/>
              </w:rPr>
              <w:t>25.3%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3960" w:type="dxa"/>
            <w:vAlign w:val="bottom"/>
            <w:tcBorders>
              <w:bottom w:val="single" w:sz="8" w:color="DFF1FB"/>
            </w:tcBorders>
          </w:tcPr>
          <w:p>
            <w:pPr>
              <w:spacing w:after="0"/>
              <w:rPr>
                <w:sz w:val="3"/>
                <w:szCs w:val="3"/>
                <w:color w:val="auto"/>
              </w:rPr>
            </w:pPr>
          </w:p>
        </w:tc>
        <w:tc>
          <w:tcPr>
            <w:tcW w:w="2760" w:type="dxa"/>
            <w:vAlign w:val="bottom"/>
            <w:tcBorders>
              <w:bottom w:val="single" w:sz="8" w:color="DFF1FB"/>
            </w:tcBorders>
          </w:tcPr>
          <w:p>
            <w:pPr>
              <w:spacing w:after="0"/>
              <w:rPr>
                <w:sz w:val="3"/>
                <w:szCs w:val="3"/>
                <w:color w:val="auto"/>
              </w:rPr>
            </w:pPr>
          </w:p>
        </w:tc>
        <w:tc>
          <w:tcPr>
            <w:tcW w:w="660" w:type="dxa"/>
            <w:vAlign w:val="bottom"/>
            <w:tcBorders>
              <w:bottom w:val="single" w:sz="8" w:color="DFF1FB"/>
            </w:tcBorders>
          </w:tcPr>
          <w:p>
            <w:pPr>
              <w:spacing w:after="0"/>
              <w:rPr>
                <w:sz w:val="3"/>
                <w:szCs w:val="3"/>
                <w:color w:val="auto"/>
              </w:rPr>
            </w:pPr>
          </w:p>
        </w:tc>
        <w:tc>
          <w:tcPr>
            <w:tcW w:w="920" w:type="dxa"/>
            <w:vAlign w:val="bottom"/>
            <w:tcBorders>
              <w:bottom w:val="single" w:sz="8" w:color="DFF1FB"/>
            </w:tcBorders>
          </w:tcPr>
          <w:p>
            <w:pPr>
              <w:spacing w:after="0"/>
              <w:rPr>
                <w:sz w:val="3"/>
                <w:szCs w:val="3"/>
                <w:color w:val="auto"/>
              </w:rPr>
            </w:pPr>
          </w:p>
        </w:tc>
        <w:tc>
          <w:tcPr>
            <w:tcW w:w="760" w:type="dxa"/>
            <w:vAlign w:val="bottom"/>
            <w:tcBorders>
              <w:bottom w:val="single" w:sz="8" w:color="DFF1FB"/>
            </w:tcBorders>
          </w:tcPr>
          <w:p>
            <w:pPr>
              <w:spacing w:after="0"/>
              <w:rPr>
                <w:sz w:val="3"/>
                <w:szCs w:val="3"/>
                <w:color w:val="auto"/>
              </w:rPr>
            </w:pPr>
          </w:p>
        </w:tc>
        <w:tc>
          <w:tcPr>
            <w:tcW w:w="1140" w:type="dxa"/>
            <w:vAlign w:val="bottom"/>
            <w:tcBorders>
              <w:bottom w:val="single" w:sz="8" w:color="DFF1FB"/>
            </w:tcBorders>
            <w:gridSpan w:val="2"/>
          </w:tcPr>
          <w:p>
            <w:pPr>
              <w:spacing w:after="0"/>
              <w:rPr>
                <w:sz w:val="3"/>
                <w:szCs w:val="3"/>
                <w:color w:val="auto"/>
              </w:rPr>
            </w:pPr>
          </w:p>
        </w:tc>
        <w:tc>
          <w:tcPr>
            <w:tcW w:w="760" w:type="dxa"/>
            <w:vAlign w:val="bottom"/>
            <w:tcBorders>
              <w:bottom w:val="single" w:sz="8" w:color="DFF1FB"/>
            </w:tcBorders>
          </w:tcPr>
          <w:p>
            <w:pPr>
              <w:spacing w:after="0"/>
              <w:rPr>
                <w:sz w:val="3"/>
                <w:szCs w:val="3"/>
                <w:color w:val="auto"/>
              </w:rPr>
            </w:pPr>
          </w:p>
        </w:tc>
        <w:tc>
          <w:tcPr>
            <w:tcW w:w="280" w:type="dxa"/>
            <w:vAlign w:val="bottom"/>
            <w:tcBorders>
              <w:bottom w:val="single" w:sz="8" w:color="DFF1FB"/>
            </w:tcBorders>
          </w:tcPr>
          <w:p>
            <w:pPr>
              <w:spacing w:after="0"/>
              <w:rPr>
                <w:sz w:val="3"/>
                <w:szCs w:val="3"/>
                <w:color w:val="auto"/>
              </w:rPr>
            </w:pPr>
          </w:p>
        </w:tc>
        <w:tc>
          <w:tcPr>
            <w:tcW w:w="180" w:type="dxa"/>
            <w:vAlign w:val="bottom"/>
            <w:tcBorders>
              <w:bottom w:val="single" w:sz="8" w:color="DFF1FB"/>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3960" w:type="dxa"/>
            <w:vAlign w:val="bottom"/>
          </w:tcPr>
          <w:p>
            <w:pPr>
              <w:ind w:left="340"/>
              <w:spacing w:after="0"/>
              <w:rPr>
                <w:sz w:val="20"/>
                <w:szCs w:val="20"/>
                <w:color w:val="auto"/>
              </w:rPr>
            </w:pPr>
            <w:r>
              <w:rPr>
                <w:rFonts w:ascii="Arial" w:cs="Arial" w:eastAsia="Arial" w:hAnsi="Arial"/>
                <w:sz w:val="13"/>
                <w:szCs w:val="13"/>
                <w:color w:val="auto"/>
              </w:rPr>
              <w:t>- Performance Net</w:t>
            </w:r>
          </w:p>
        </w:tc>
        <w:tc>
          <w:tcPr>
            <w:tcW w:w="2760" w:type="dxa"/>
            <w:vAlign w:val="bottom"/>
          </w:tcPr>
          <w:p>
            <w:pPr>
              <w:jc w:val="right"/>
              <w:ind w:right="73"/>
              <w:spacing w:after="0"/>
              <w:rPr>
                <w:sz w:val="20"/>
                <w:szCs w:val="20"/>
                <w:color w:val="auto"/>
              </w:rPr>
            </w:pPr>
            <w:r>
              <w:rPr>
                <w:rFonts w:ascii="Arial" w:cs="Arial" w:eastAsia="Arial" w:hAnsi="Arial"/>
                <w:sz w:val="13"/>
                <w:szCs w:val="13"/>
                <w:color w:val="auto"/>
              </w:rPr>
              <w:t>6.0%</w:t>
            </w:r>
          </w:p>
        </w:tc>
        <w:tc>
          <w:tcPr>
            <w:tcW w:w="660" w:type="dxa"/>
            <w:vAlign w:val="bottom"/>
          </w:tcPr>
          <w:p>
            <w:pPr>
              <w:jc w:val="right"/>
              <w:ind w:right="53"/>
              <w:spacing w:after="0"/>
              <w:rPr>
                <w:sz w:val="20"/>
                <w:szCs w:val="20"/>
                <w:color w:val="auto"/>
              </w:rPr>
            </w:pPr>
            <w:r>
              <w:rPr>
                <w:rFonts w:ascii="Arial" w:cs="Arial" w:eastAsia="Arial" w:hAnsi="Arial"/>
                <w:sz w:val="13"/>
                <w:szCs w:val="13"/>
                <w:color w:val="auto"/>
              </w:rPr>
              <w:t>13.0%</w:t>
            </w:r>
          </w:p>
        </w:tc>
        <w:tc>
          <w:tcPr>
            <w:tcW w:w="920" w:type="dxa"/>
            <w:vAlign w:val="bottom"/>
          </w:tcPr>
          <w:p>
            <w:pPr>
              <w:jc w:val="right"/>
              <w:ind w:right="73"/>
              <w:spacing w:after="0"/>
              <w:rPr>
                <w:sz w:val="20"/>
                <w:szCs w:val="20"/>
                <w:color w:val="auto"/>
              </w:rPr>
            </w:pPr>
            <w:r>
              <w:rPr>
                <w:rFonts w:ascii="Arial" w:cs="Arial" w:eastAsia="Arial" w:hAnsi="Arial"/>
                <w:sz w:val="13"/>
                <w:szCs w:val="13"/>
                <w:color w:val="auto"/>
              </w:rPr>
              <w:t>14.0%</w:t>
            </w:r>
          </w:p>
        </w:tc>
        <w:tc>
          <w:tcPr>
            <w:tcW w:w="760" w:type="dxa"/>
            <w:vAlign w:val="bottom"/>
          </w:tcPr>
          <w:p>
            <w:pPr>
              <w:jc w:val="right"/>
              <w:ind w:right="73"/>
              <w:spacing w:after="0"/>
              <w:rPr>
                <w:sz w:val="20"/>
                <w:szCs w:val="20"/>
                <w:color w:val="auto"/>
              </w:rPr>
            </w:pPr>
            <w:r>
              <w:rPr>
                <w:rFonts w:ascii="Arial" w:cs="Arial" w:eastAsia="Arial" w:hAnsi="Arial"/>
                <w:sz w:val="13"/>
                <w:szCs w:val="13"/>
                <w:color w:val="auto"/>
              </w:rPr>
              <w:t>13.9%</w:t>
            </w:r>
          </w:p>
        </w:tc>
        <w:tc>
          <w:tcPr>
            <w:tcW w:w="1140" w:type="dxa"/>
            <w:vAlign w:val="bottom"/>
            <w:gridSpan w:val="2"/>
          </w:tcPr>
          <w:p>
            <w:pPr>
              <w:jc w:val="right"/>
              <w:ind w:right="280"/>
              <w:spacing w:after="0"/>
              <w:rPr>
                <w:sz w:val="20"/>
                <w:szCs w:val="20"/>
                <w:color w:val="auto"/>
              </w:rPr>
            </w:pPr>
            <w:r>
              <w:rPr>
                <w:rFonts w:ascii="Arial" w:cs="Arial" w:eastAsia="Arial" w:hAnsi="Arial"/>
                <w:sz w:val="13"/>
                <w:szCs w:val="13"/>
                <w:color w:val="auto"/>
              </w:rPr>
              <w:t>190%</w:t>
            </w: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960" w:type="dxa"/>
            <w:vAlign w:val="bottom"/>
            <w:tcBorders>
              <w:bottom w:val="single" w:sz="8" w:color="DFF1FB"/>
            </w:tcBorders>
          </w:tcPr>
          <w:p>
            <w:pPr>
              <w:ind w:left="340"/>
              <w:spacing w:after="0"/>
              <w:rPr>
                <w:sz w:val="20"/>
                <w:szCs w:val="20"/>
                <w:color w:val="auto"/>
              </w:rPr>
            </w:pPr>
            <w:r>
              <w:rPr>
                <w:rFonts w:ascii="Arial" w:cs="Arial" w:eastAsia="Arial" w:hAnsi="Arial"/>
                <w:sz w:val="13"/>
                <w:szCs w:val="13"/>
                <w:color w:val="auto"/>
              </w:rPr>
              <w:t>Income ROE (70%)</w:t>
            </w:r>
          </w:p>
        </w:tc>
        <w:tc>
          <w:tcPr>
            <w:tcW w:w="2760" w:type="dxa"/>
            <w:vAlign w:val="bottom"/>
            <w:tcBorders>
              <w:bottom w:val="single" w:sz="8" w:color="DFF1FB"/>
            </w:tcBorders>
          </w:tcPr>
          <w:p>
            <w:pPr>
              <w:spacing w:after="0"/>
              <w:rPr>
                <w:sz w:val="14"/>
                <w:szCs w:val="14"/>
                <w:color w:val="auto"/>
              </w:rPr>
            </w:pPr>
          </w:p>
        </w:tc>
        <w:tc>
          <w:tcPr>
            <w:tcW w:w="660" w:type="dxa"/>
            <w:vAlign w:val="bottom"/>
            <w:tcBorders>
              <w:bottom w:val="single" w:sz="8" w:color="DFF1FB"/>
            </w:tcBorders>
          </w:tcPr>
          <w:p>
            <w:pPr>
              <w:spacing w:after="0"/>
              <w:rPr>
                <w:sz w:val="14"/>
                <w:szCs w:val="14"/>
                <w:color w:val="auto"/>
              </w:rPr>
            </w:pPr>
          </w:p>
        </w:tc>
        <w:tc>
          <w:tcPr>
            <w:tcW w:w="920" w:type="dxa"/>
            <w:vAlign w:val="bottom"/>
            <w:tcBorders>
              <w:bottom w:val="single" w:sz="8" w:color="DFF1FB"/>
            </w:tcBorders>
          </w:tcPr>
          <w:p>
            <w:pPr>
              <w:spacing w:after="0"/>
              <w:rPr>
                <w:sz w:val="14"/>
                <w:szCs w:val="14"/>
                <w:color w:val="auto"/>
              </w:rPr>
            </w:pPr>
          </w:p>
        </w:tc>
        <w:tc>
          <w:tcPr>
            <w:tcW w:w="760" w:type="dxa"/>
            <w:vAlign w:val="bottom"/>
            <w:tcBorders>
              <w:bottom w:val="single" w:sz="8" w:color="DFF1FB"/>
            </w:tcBorders>
          </w:tcPr>
          <w:p>
            <w:pPr>
              <w:spacing w:after="0"/>
              <w:rPr>
                <w:sz w:val="14"/>
                <w:szCs w:val="14"/>
                <w:color w:val="auto"/>
              </w:rPr>
            </w:pPr>
          </w:p>
        </w:tc>
        <w:tc>
          <w:tcPr>
            <w:tcW w:w="860" w:type="dxa"/>
            <w:vAlign w:val="bottom"/>
            <w:tcBorders>
              <w:bottom w:val="single" w:sz="8" w:color="DFF1FB"/>
            </w:tcBorders>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960" w:type="dxa"/>
            <w:vAlign w:val="bottom"/>
          </w:tcPr>
          <w:p>
            <w:pPr>
              <w:ind w:left="340"/>
              <w:spacing w:after="0"/>
              <w:rPr>
                <w:sz w:val="20"/>
                <w:szCs w:val="20"/>
                <w:color w:val="auto"/>
              </w:rPr>
            </w:pPr>
            <w:r>
              <w:rPr>
                <w:rFonts w:ascii="Arial" w:cs="Arial" w:eastAsia="Arial" w:hAnsi="Arial"/>
                <w:sz w:val="13"/>
                <w:szCs w:val="13"/>
                <w:color w:val="auto"/>
              </w:rPr>
              <w:t>- Earned Book Value (30%)</w:t>
            </w:r>
          </w:p>
        </w:tc>
        <w:tc>
          <w:tcPr>
            <w:tcW w:w="2760" w:type="dxa"/>
            <w:vAlign w:val="bottom"/>
          </w:tcPr>
          <w:p>
            <w:pPr>
              <w:jc w:val="right"/>
              <w:ind w:right="73"/>
              <w:spacing w:after="0"/>
              <w:rPr>
                <w:sz w:val="20"/>
                <w:szCs w:val="20"/>
                <w:color w:val="auto"/>
              </w:rPr>
            </w:pPr>
            <w:r>
              <w:rPr>
                <w:rFonts w:ascii="Arial" w:cs="Arial" w:eastAsia="Arial" w:hAnsi="Arial"/>
                <w:sz w:val="13"/>
                <w:szCs w:val="13"/>
                <w:color w:val="auto"/>
              </w:rPr>
              <w:t>6.0%</w:t>
            </w:r>
          </w:p>
        </w:tc>
        <w:tc>
          <w:tcPr>
            <w:tcW w:w="660" w:type="dxa"/>
            <w:vAlign w:val="bottom"/>
          </w:tcPr>
          <w:p>
            <w:pPr>
              <w:jc w:val="right"/>
              <w:ind w:right="53"/>
              <w:spacing w:after="0"/>
              <w:rPr>
                <w:sz w:val="20"/>
                <w:szCs w:val="20"/>
                <w:color w:val="auto"/>
              </w:rPr>
            </w:pPr>
            <w:r>
              <w:rPr>
                <w:rFonts w:ascii="Arial" w:cs="Arial" w:eastAsia="Arial" w:hAnsi="Arial"/>
                <w:sz w:val="13"/>
                <w:szCs w:val="13"/>
                <w:color w:val="auto"/>
              </w:rPr>
              <w:t>12.0%</w:t>
            </w:r>
          </w:p>
        </w:tc>
        <w:tc>
          <w:tcPr>
            <w:tcW w:w="920" w:type="dxa"/>
            <w:vAlign w:val="bottom"/>
          </w:tcPr>
          <w:p>
            <w:pPr>
              <w:jc w:val="right"/>
              <w:ind w:right="73"/>
              <w:spacing w:after="0"/>
              <w:rPr>
                <w:sz w:val="20"/>
                <w:szCs w:val="20"/>
                <w:color w:val="auto"/>
              </w:rPr>
            </w:pPr>
            <w:r>
              <w:rPr>
                <w:rFonts w:ascii="Arial" w:cs="Arial" w:eastAsia="Arial" w:hAnsi="Arial"/>
                <w:sz w:val="13"/>
                <w:szCs w:val="13"/>
                <w:color w:val="auto"/>
              </w:rPr>
              <w:t>15.0%</w:t>
            </w:r>
          </w:p>
        </w:tc>
        <w:tc>
          <w:tcPr>
            <w:tcW w:w="760" w:type="dxa"/>
            <w:vAlign w:val="bottom"/>
          </w:tcPr>
          <w:p>
            <w:pPr>
              <w:jc w:val="right"/>
              <w:ind w:right="73"/>
              <w:spacing w:after="0"/>
              <w:rPr>
                <w:sz w:val="20"/>
                <w:szCs w:val="20"/>
                <w:color w:val="auto"/>
              </w:rPr>
            </w:pPr>
            <w:r>
              <w:rPr>
                <w:rFonts w:ascii="Arial" w:cs="Arial" w:eastAsia="Arial" w:hAnsi="Arial"/>
                <w:sz w:val="13"/>
                <w:szCs w:val="13"/>
                <w:color w:val="auto"/>
              </w:rPr>
              <w:t>11.7%</w:t>
            </w:r>
          </w:p>
        </w:tc>
        <w:tc>
          <w:tcPr>
            <w:tcW w:w="1140" w:type="dxa"/>
            <w:vAlign w:val="bottom"/>
            <w:gridSpan w:val="2"/>
          </w:tcPr>
          <w:p>
            <w:pPr>
              <w:jc w:val="right"/>
              <w:ind w:right="280"/>
              <w:spacing w:after="0"/>
              <w:rPr>
                <w:sz w:val="20"/>
                <w:szCs w:val="20"/>
                <w:color w:val="auto"/>
              </w:rPr>
            </w:pPr>
            <w:r>
              <w:rPr>
                <w:rFonts w:ascii="Arial" w:cs="Arial" w:eastAsia="Arial" w:hAnsi="Arial"/>
                <w:sz w:val="13"/>
                <w:szCs w:val="13"/>
                <w:color w:val="auto"/>
              </w:rPr>
              <w:t>95%</w:t>
            </w: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3960" w:type="dxa"/>
            <w:vAlign w:val="bottom"/>
            <w:tcBorders>
              <w:bottom w:val="single" w:sz="8" w:color="105EAB"/>
            </w:tcBorders>
          </w:tcPr>
          <w:p>
            <w:pPr>
              <w:spacing w:after="0"/>
              <w:rPr>
                <w:sz w:val="4"/>
                <w:szCs w:val="4"/>
                <w:color w:val="auto"/>
              </w:rPr>
            </w:pPr>
          </w:p>
        </w:tc>
        <w:tc>
          <w:tcPr>
            <w:tcW w:w="2760" w:type="dxa"/>
            <w:vAlign w:val="bottom"/>
            <w:tcBorders>
              <w:bottom w:val="single" w:sz="8" w:color="105EAB"/>
            </w:tcBorders>
          </w:tcPr>
          <w:p>
            <w:pPr>
              <w:spacing w:after="0"/>
              <w:rPr>
                <w:sz w:val="4"/>
                <w:szCs w:val="4"/>
                <w:color w:val="auto"/>
              </w:rPr>
            </w:pPr>
          </w:p>
        </w:tc>
        <w:tc>
          <w:tcPr>
            <w:tcW w:w="660" w:type="dxa"/>
            <w:vAlign w:val="bottom"/>
            <w:tcBorders>
              <w:bottom w:val="single" w:sz="8" w:color="105EAB"/>
            </w:tcBorders>
          </w:tcPr>
          <w:p>
            <w:pPr>
              <w:spacing w:after="0"/>
              <w:rPr>
                <w:sz w:val="4"/>
                <w:szCs w:val="4"/>
                <w:color w:val="auto"/>
              </w:rPr>
            </w:pPr>
          </w:p>
        </w:tc>
        <w:tc>
          <w:tcPr>
            <w:tcW w:w="920" w:type="dxa"/>
            <w:vAlign w:val="bottom"/>
            <w:tcBorders>
              <w:bottom w:val="single" w:sz="8" w:color="105EAB"/>
            </w:tcBorders>
          </w:tcPr>
          <w:p>
            <w:pPr>
              <w:spacing w:after="0"/>
              <w:rPr>
                <w:sz w:val="4"/>
                <w:szCs w:val="4"/>
                <w:color w:val="auto"/>
              </w:rPr>
            </w:pPr>
          </w:p>
        </w:tc>
        <w:tc>
          <w:tcPr>
            <w:tcW w:w="760" w:type="dxa"/>
            <w:vAlign w:val="bottom"/>
            <w:tcBorders>
              <w:bottom w:val="single" w:sz="8" w:color="105EAB"/>
            </w:tcBorders>
          </w:tcPr>
          <w:p>
            <w:pPr>
              <w:spacing w:after="0"/>
              <w:rPr>
                <w:sz w:val="4"/>
                <w:szCs w:val="4"/>
                <w:color w:val="auto"/>
              </w:rPr>
            </w:pPr>
          </w:p>
        </w:tc>
        <w:tc>
          <w:tcPr>
            <w:tcW w:w="860" w:type="dxa"/>
            <w:vAlign w:val="bottom"/>
            <w:tcBorders>
              <w:bottom w:val="single" w:sz="8" w:color="105EAB"/>
            </w:tcBorders>
          </w:tcPr>
          <w:p>
            <w:pPr>
              <w:spacing w:after="0"/>
              <w:rPr>
                <w:sz w:val="4"/>
                <w:szCs w:val="4"/>
                <w:color w:val="auto"/>
              </w:rPr>
            </w:pPr>
          </w:p>
        </w:tc>
        <w:tc>
          <w:tcPr>
            <w:tcW w:w="1320" w:type="dxa"/>
            <w:vAlign w:val="bottom"/>
            <w:tcBorders>
              <w:bottom w:val="single" w:sz="8" w:color="105EAB"/>
            </w:tcBorders>
            <w:gridSpan w:val="3"/>
          </w:tcPr>
          <w:p>
            <w:pPr>
              <w:spacing w:after="0"/>
              <w:rPr>
                <w:sz w:val="4"/>
                <w:szCs w:val="4"/>
                <w:color w:val="auto"/>
              </w:rPr>
            </w:pPr>
          </w:p>
        </w:tc>
        <w:tc>
          <w:tcPr>
            <w:tcW w:w="180" w:type="dxa"/>
            <w:vAlign w:val="bottom"/>
            <w:tcBorders>
              <w:bottom w:val="single" w:sz="8" w:color="105EAB"/>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7"/>
        </w:trPr>
        <w:tc>
          <w:tcPr>
            <w:tcW w:w="39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180" w:type="dxa"/>
            <w:vAlign w:val="bottom"/>
            <w:gridSpan w:val="4"/>
          </w:tcPr>
          <w:p>
            <w:pPr>
              <w:ind w:left="580"/>
              <w:spacing w:after="0"/>
              <w:rPr>
                <w:sz w:val="20"/>
                <w:szCs w:val="20"/>
                <w:color w:val="auto"/>
              </w:rPr>
            </w:pPr>
            <w:r>
              <w:rPr>
                <w:rFonts w:ascii="Arial" w:cs="Arial" w:eastAsia="Arial" w:hAnsi="Arial"/>
                <w:sz w:val="13"/>
                <w:szCs w:val="13"/>
                <w:color w:val="105EAB"/>
              </w:rPr>
              <w:t>2019 Proxy Statement</w:t>
            </w:r>
          </w:p>
        </w:tc>
        <w:tc>
          <w:tcPr>
            <w:tcW w:w="200" w:type="dxa"/>
            <w:vAlign w:val="bottom"/>
            <w:gridSpan w:val="2"/>
          </w:tcPr>
          <w:p>
            <w:pPr>
              <w:jc w:val="right"/>
              <w:ind w:right="20"/>
              <w:spacing w:after="0"/>
              <w:rPr>
                <w:sz w:val="20"/>
                <w:szCs w:val="20"/>
                <w:color w:val="auto"/>
              </w:rPr>
            </w:pPr>
            <w:r>
              <w:rPr>
                <w:rFonts w:ascii="Arial" w:cs="Arial" w:eastAsia="Arial" w:hAnsi="Arial"/>
                <w:sz w:val="13"/>
                <w:szCs w:val="13"/>
                <w:b w:val="1"/>
                <w:bCs w:val="1"/>
                <w:color w:val="105EAB"/>
              </w:rPr>
              <w:t>51</w:t>
            </w:r>
          </w:p>
        </w:tc>
        <w:tc>
          <w:tcPr>
            <w:tcW w:w="0" w:type="dxa"/>
            <w:vAlign w:val="bottom"/>
          </w:tcPr>
          <w:p>
            <w:pPr>
              <w:spacing w:after="0"/>
              <w:rPr>
                <w:sz w:val="1"/>
                <w:szCs w:val="1"/>
                <w:color w:val="auto"/>
              </w:rPr>
            </w:pPr>
          </w:p>
        </w:tc>
      </w:tr>
      <w:tr>
        <w:trPr>
          <w:trHeight w:val="213"/>
        </w:trPr>
        <w:tc>
          <w:tcPr>
            <w:tcW w:w="3960" w:type="dxa"/>
            <w:vAlign w:val="bottom"/>
            <w:tcBorders>
              <w:bottom w:val="single" w:sz="8" w:color="808080"/>
            </w:tcBorders>
          </w:tcPr>
          <w:p>
            <w:pPr>
              <w:spacing w:after="0"/>
              <w:rPr>
                <w:sz w:val="18"/>
                <w:szCs w:val="18"/>
                <w:color w:val="auto"/>
              </w:rPr>
            </w:pPr>
          </w:p>
        </w:tc>
        <w:tc>
          <w:tcPr>
            <w:tcW w:w="2760" w:type="dxa"/>
            <w:vAlign w:val="bottom"/>
            <w:tcBorders>
              <w:bottom w:val="single" w:sz="8" w:color="808080"/>
            </w:tcBorders>
          </w:tcPr>
          <w:p>
            <w:pPr>
              <w:spacing w:after="0"/>
              <w:rPr>
                <w:sz w:val="18"/>
                <w:szCs w:val="18"/>
                <w:color w:val="auto"/>
              </w:rPr>
            </w:pPr>
          </w:p>
        </w:tc>
        <w:tc>
          <w:tcPr>
            <w:tcW w:w="660" w:type="dxa"/>
            <w:vAlign w:val="bottom"/>
            <w:tcBorders>
              <w:bottom w:val="single" w:sz="8" w:color="808080"/>
            </w:tcBorders>
          </w:tcPr>
          <w:p>
            <w:pPr>
              <w:spacing w:after="0"/>
              <w:rPr>
                <w:sz w:val="18"/>
                <w:szCs w:val="18"/>
                <w:color w:val="auto"/>
              </w:rPr>
            </w:pPr>
          </w:p>
        </w:tc>
        <w:tc>
          <w:tcPr>
            <w:tcW w:w="920" w:type="dxa"/>
            <w:vAlign w:val="bottom"/>
            <w:tcBorders>
              <w:bottom w:val="single" w:sz="8" w:color="808080"/>
            </w:tcBorders>
          </w:tcPr>
          <w:p>
            <w:pPr>
              <w:spacing w:after="0"/>
              <w:rPr>
                <w:sz w:val="18"/>
                <w:szCs w:val="18"/>
                <w:color w:val="auto"/>
              </w:rPr>
            </w:pPr>
          </w:p>
        </w:tc>
        <w:tc>
          <w:tcPr>
            <w:tcW w:w="760" w:type="dxa"/>
            <w:vAlign w:val="bottom"/>
            <w:tcBorders>
              <w:bottom w:val="single" w:sz="8" w:color="808080"/>
            </w:tcBorders>
          </w:tcPr>
          <w:p>
            <w:pPr>
              <w:spacing w:after="0"/>
              <w:rPr>
                <w:sz w:val="18"/>
                <w:szCs w:val="18"/>
                <w:color w:val="auto"/>
              </w:rPr>
            </w:pPr>
          </w:p>
        </w:tc>
        <w:tc>
          <w:tcPr>
            <w:tcW w:w="86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76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-13970</wp:posOffset>
            </wp:positionV>
            <wp:extent cx="1270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b w:val="1"/>
          <w:bCs w:val="1"/>
          <w:color w:val="105EAB"/>
        </w:rPr>
        <w:t xml:space="preserve">Executive Compensation | </w:t>
      </w:r>
      <w:r>
        <w:rPr>
          <w:rFonts w:ascii="Arial" w:cs="Arial" w:eastAsia="Arial" w:hAnsi="Arial"/>
          <w:sz w:val="13"/>
          <w:szCs w:val="13"/>
          <w:b w:val="1"/>
          <w:bCs w:val="1"/>
          <w:color w:val="000000"/>
        </w:rPr>
        <w:t>Compensation Discussion and Analysis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440" w:type="dxa"/>
            <w:vAlign w:val="bottom"/>
            <w:vMerge w:val="restart"/>
          </w:tcPr>
          <w:p>
            <w:pPr>
              <w:ind w:left="80"/>
              <w:spacing w:after="0"/>
              <w:rPr>
                <w:sz w:val="20"/>
                <w:szCs w:val="20"/>
                <w:color w:val="auto"/>
              </w:rPr>
            </w:pPr>
            <w:r>
              <w:rPr>
                <w:rFonts w:ascii="Arial" w:cs="Arial" w:eastAsia="Arial" w:hAnsi="Arial"/>
                <w:sz w:val="13"/>
                <w:szCs w:val="13"/>
                <w:b w:val="1"/>
                <w:bCs w:val="1"/>
                <w:color w:val="105EAB"/>
              </w:rPr>
              <w:t>Performance Cycle</w:t>
            </w:r>
            <w:r>
              <w:rPr>
                <w:rFonts w:ascii="Arial" w:cs="Arial" w:eastAsia="Arial" w:hAnsi="Arial"/>
                <w:sz w:val="22"/>
                <w:szCs w:val="22"/>
                <w:b w:val="1"/>
                <w:bCs w:val="1"/>
                <w:color w:val="105EAB"/>
                <w:vertAlign w:val="superscript"/>
              </w:rPr>
              <w:t>(1)</w:t>
            </w:r>
          </w:p>
        </w:tc>
        <w:tc>
          <w:tcPr>
            <w:tcW w:w="3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right"/>
              <w:ind w:right="193"/>
              <w:spacing w:after="0"/>
              <w:rPr>
                <w:sz w:val="20"/>
                <w:szCs w:val="20"/>
                <w:color w:val="auto"/>
              </w:rPr>
            </w:pPr>
            <w:r>
              <w:rPr>
                <w:rFonts w:ascii="Arial" w:cs="Arial" w:eastAsia="Arial" w:hAnsi="Arial"/>
                <w:sz w:val="13"/>
                <w:szCs w:val="13"/>
                <w:b w:val="1"/>
                <w:bCs w:val="1"/>
                <w:color w:val="105EAB"/>
              </w:rPr>
              <w:t>Actual</w:t>
            </w:r>
          </w:p>
        </w:tc>
        <w:tc>
          <w:tcPr>
            <w:tcW w:w="1220" w:type="dxa"/>
            <w:vAlign w:val="bottom"/>
          </w:tcPr>
          <w:p>
            <w:pPr>
              <w:jc w:val="right"/>
              <w:ind w:right="153"/>
              <w:spacing w:after="0"/>
              <w:rPr>
                <w:sz w:val="20"/>
                <w:szCs w:val="20"/>
                <w:color w:val="auto"/>
              </w:rPr>
            </w:pPr>
            <w:r>
              <w:rPr>
                <w:rFonts w:ascii="Arial" w:cs="Arial" w:eastAsia="Arial" w:hAnsi="Arial"/>
                <w:sz w:val="13"/>
                <w:szCs w:val="13"/>
                <w:b w:val="1"/>
                <w:bCs w:val="1"/>
                <w:color w:val="105EAB"/>
              </w:rPr>
              <w:t>Payout</w:t>
            </w:r>
          </w:p>
        </w:tc>
        <w:tc>
          <w:tcPr>
            <w:tcW w:w="0" w:type="dxa"/>
            <w:vAlign w:val="bottom"/>
          </w:tcPr>
          <w:p>
            <w:pPr>
              <w:spacing w:after="0"/>
              <w:rPr>
                <w:sz w:val="1"/>
                <w:szCs w:val="1"/>
                <w:color w:val="auto"/>
              </w:rPr>
            </w:pPr>
          </w:p>
        </w:tc>
      </w:tr>
      <w:tr>
        <w:trPr>
          <w:trHeight w:val="199"/>
        </w:trPr>
        <w:tc>
          <w:tcPr>
            <w:tcW w:w="4440" w:type="dxa"/>
            <w:vAlign w:val="bottom"/>
            <w:tcBorders>
              <w:bottom w:val="single" w:sz="8" w:color="105EAB"/>
            </w:tcBorders>
            <w:vMerge w:val="continue"/>
          </w:tcPr>
          <w:p>
            <w:pPr>
              <w:spacing w:after="0"/>
              <w:rPr>
                <w:sz w:val="17"/>
                <w:szCs w:val="17"/>
                <w:color w:val="auto"/>
              </w:rPr>
            </w:pPr>
          </w:p>
        </w:tc>
        <w:tc>
          <w:tcPr>
            <w:tcW w:w="3240" w:type="dxa"/>
            <w:vAlign w:val="bottom"/>
            <w:tcBorders>
              <w:bottom w:val="single" w:sz="8" w:color="105EAB"/>
            </w:tcBorders>
          </w:tcPr>
          <w:p>
            <w:pPr>
              <w:jc w:val="right"/>
              <w:ind w:right="73"/>
              <w:spacing w:after="0"/>
              <w:rPr>
                <w:sz w:val="20"/>
                <w:szCs w:val="20"/>
                <w:color w:val="auto"/>
              </w:rPr>
            </w:pPr>
            <w:r>
              <w:rPr>
                <w:rFonts w:ascii="Arial" w:cs="Arial" w:eastAsia="Arial" w:hAnsi="Arial"/>
                <w:sz w:val="13"/>
                <w:szCs w:val="13"/>
                <w:b w:val="1"/>
                <w:bCs w:val="1"/>
                <w:color w:val="105EAB"/>
              </w:rPr>
              <w:t>Threshold</w:t>
            </w:r>
          </w:p>
        </w:tc>
        <w:tc>
          <w:tcPr>
            <w:tcW w:w="680" w:type="dxa"/>
            <w:vAlign w:val="bottom"/>
            <w:tcBorders>
              <w:bottom w:val="single" w:sz="8" w:color="105EAB"/>
            </w:tcBorders>
          </w:tcPr>
          <w:p>
            <w:pPr>
              <w:jc w:val="right"/>
              <w:ind w:right="73"/>
              <w:spacing w:after="0"/>
              <w:rPr>
                <w:sz w:val="20"/>
                <w:szCs w:val="20"/>
                <w:color w:val="auto"/>
              </w:rPr>
            </w:pPr>
            <w:r>
              <w:rPr>
                <w:rFonts w:ascii="Arial" w:cs="Arial" w:eastAsia="Arial" w:hAnsi="Arial"/>
                <w:sz w:val="13"/>
                <w:szCs w:val="13"/>
                <w:b w:val="1"/>
                <w:bCs w:val="1"/>
                <w:color w:val="105EAB"/>
              </w:rPr>
              <w:t>Target</w:t>
            </w:r>
          </w:p>
        </w:tc>
        <w:tc>
          <w:tcPr>
            <w:tcW w:w="920" w:type="dxa"/>
            <w:vAlign w:val="bottom"/>
            <w:tcBorders>
              <w:bottom w:val="single" w:sz="8" w:color="105EAB"/>
            </w:tcBorders>
            <w:gridSpan w:val="2"/>
          </w:tcPr>
          <w:p>
            <w:pPr>
              <w:jc w:val="right"/>
              <w:ind w:right="160"/>
              <w:spacing w:after="0"/>
              <w:rPr>
                <w:sz w:val="20"/>
                <w:szCs w:val="20"/>
                <w:color w:val="auto"/>
              </w:rPr>
            </w:pPr>
            <w:r>
              <w:rPr>
                <w:rFonts w:ascii="Arial" w:cs="Arial" w:eastAsia="Arial" w:hAnsi="Arial"/>
                <w:sz w:val="13"/>
                <w:szCs w:val="13"/>
                <w:b w:val="1"/>
                <w:bCs w:val="1"/>
                <w:color w:val="105EAB"/>
              </w:rPr>
              <w:t>Maximum</w:t>
            </w:r>
          </w:p>
        </w:tc>
        <w:tc>
          <w:tcPr>
            <w:tcW w:w="920" w:type="dxa"/>
            <w:vAlign w:val="bottom"/>
            <w:tcBorders>
              <w:bottom w:val="single" w:sz="8" w:color="105EAB"/>
            </w:tcBorders>
          </w:tcPr>
          <w:p>
            <w:pPr>
              <w:jc w:val="right"/>
              <w:ind w:right="193"/>
              <w:spacing w:after="0"/>
              <w:rPr>
                <w:sz w:val="20"/>
                <w:szCs w:val="20"/>
                <w:color w:val="auto"/>
              </w:rPr>
            </w:pPr>
            <w:r>
              <w:rPr>
                <w:rFonts w:ascii="Arial" w:cs="Arial" w:eastAsia="Arial" w:hAnsi="Arial"/>
                <w:sz w:val="13"/>
                <w:szCs w:val="13"/>
                <w:b w:val="1"/>
                <w:bCs w:val="1"/>
                <w:color w:val="105EAB"/>
              </w:rPr>
              <w:t>Results</w:t>
            </w:r>
          </w:p>
        </w:tc>
        <w:tc>
          <w:tcPr>
            <w:tcW w:w="1220" w:type="dxa"/>
            <w:vAlign w:val="bottom"/>
            <w:tcBorders>
              <w:bottom w:val="single" w:sz="8" w:color="105EAB"/>
            </w:tcBorders>
          </w:tcPr>
          <w:p>
            <w:pPr>
              <w:jc w:val="right"/>
              <w:ind w:right="153"/>
              <w:spacing w:after="0"/>
              <w:rPr>
                <w:sz w:val="20"/>
                <w:szCs w:val="20"/>
                <w:color w:val="auto"/>
              </w:rPr>
            </w:pPr>
            <w:r>
              <w:rPr>
                <w:rFonts w:ascii="Arial" w:cs="Arial" w:eastAsia="Arial" w:hAnsi="Arial"/>
                <w:sz w:val="13"/>
                <w:szCs w:val="13"/>
                <w:b w:val="1"/>
                <w:bCs w:val="1"/>
                <w:color w:val="105EAB"/>
              </w:rPr>
              <w:t>Percentage</w:t>
            </w:r>
          </w:p>
        </w:tc>
        <w:tc>
          <w:tcPr>
            <w:tcW w:w="0" w:type="dxa"/>
            <w:vAlign w:val="bottom"/>
          </w:tcPr>
          <w:p>
            <w:pPr>
              <w:spacing w:after="0"/>
              <w:rPr>
                <w:sz w:val="1"/>
                <w:szCs w:val="1"/>
                <w:color w:val="auto"/>
              </w:rPr>
            </w:pPr>
          </w:p>
        </w:tc>
      </w:tr>
      <w:tr>
        <w:trPr>
          <w:trHeight w:val="196"/>
        </w:trPr>
        <w:tc>
          <w:tcPr>
            <w:tcW w:w="4440" w:type="dxa"/>
            <w:vAlign w:val="bottom"/>
            <w:tcBorders>
              <w:bottom w:val="single" w:sz="8" w:color="DFF1FB"/>
            </w:tcBorders>
          </w:tcPr>
          <w:p>
            <w:pPr>
              <w:ind w:left="80"/>
              <w:spacing w:after="0"/>
              <w:rPr>
                <w:sz w:val="20"/>
                <w:szCs w:val="20"/>
                <w:color w:val="auto"/>
              </w:rPr>
            </w:pPr>
            <w:r>
              <w:rPr>
                <w:rFonts w:ascii="Arial" w:cs="Arial" w:eastAsia="Arial" w:hAnsi="Arial"/>
                <w:sz w:val="13"/>
                <w:szCs w:val="13"/>
                <w:color w:val="auto"/>
              </w:rPr>
              <w:t>Outstanding Awards</w:t>
            </w:r>
          </w:p>
        </w:tc>
        <w:tc>
          <w:tcPr>
            <w:tcW w:w="3240" w:type="dxa"/>
            <w:vAlign w:val="bottom"/>
            <w:tcBorders>
              <w:bottom w:val="single" w:sz="8" w:color="DFF1FB"/>
            </w:tcBorders>
          </w:tcPr>
          <w:p>
            <w:pPr>
              <w:spacing w:after="0"/>
              <w:rPr>
                <w:sz w:val="17"/>
                <w:szCs w:val="17"/>
                <w:color w:val="auto"/>
              </w:rPr>
            </w:pPr>
          </w:p>
        </w:tc>
        <w:tc>
          <w:tcPr>
            <w:tcW w:w="680" w:type="dxa"/>
            <w:vAlign w:val="bottom"/>
            <w:tcBorders>
              <w:bottom w:val="single" w:sz="8" w:color="DFF1FB"/>
            </w:tcBorders>
          </w:tcPr>
          <w:p>
            <w:pPr>
              <w:spacing w:after="0"/>
              <w:rPr>
                <w:sz w:val="17"/>
                <w:szCs w:val="17"/>
                <w:color w:val="auto"/>
              </w:rPr>
            </w:pPr>
          </w:p>
        </w:tc>
        <w:tc>
          <w:tcPr>
            <w:tcW w:w="760" w:type="dxa"/>
            <w:vAlign w:val="bottom"/>
            <w:tcBorders>
              <w:bottom w:val="single" w:sz="8" w:color="DFF1FB"/>
            </w:tcBorders>
          </w:tcPr>
          <w:p>
            <w:pPr>
              <w:spacing w:after="0"/>
              <w:rPr>
                <w:sz w:val="17"/>
                <w:szCs w:val="17"/>
                <w:color w:val="auto"/>
              </w:rPr>
            </w:pPr>
          </w:p>
        </w:tc>
        <w:tc>
          <w:tcPr>
            <w:tcW w:w="160" w:type="dxa"/>
            <w:vAlign w:val="bottom"/>
            <w:tcBorders>
              <w:bottom w:val="single" w:sz="8" w:color="DFF1FB"/>
            </w:tcBorders>
          </w:tcPr>
          <w:p>
            <w:pPr>
              <w:spacing w:after="0"/>
              <w:rPr>
                <w:sz w:val="17"/>
                <w:szCs w:val="17"/>
                <w:color w:val="auto"/>
              </w:rPr>
            </w:pPr>
          </w:p>
        </w:tc>
        <w:tc>
          <w:tcPr>
            <w:tcW w:w="920" w:type="dxa"/>
            <w:vAlign w:val="bottom"/>
            <w:tcBorders>
              <w:bottom w:val="single" w:sz="8" w:color="DFF1FB"/>
            </w:tcBorders>
          </w:tcPr>
          <w:p>
            <w:pPr>
              <w:spacing w:after="0"/>
              <w:rPr>
                <w:sz w:val="17"/>
                <w:szCs w:val="17"/>
                <w:color w:val="auto"/>
              </w:rPr>
            </w:pPr>
          </w:p>
        </w:tc>
        <w:tc>
          <w:tcPr>
            <w:tcW w:w="1220" w:type="dxa"/>
            <w:vAlign w:val="bottom"/>
            <w:tcBorders>
              <w:bottom w:val="single" w:sz="8" w:color="DFF1FB"/>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40" w:type="dxa"/>
            <w:vAlign w:val="bottom"/>
            <w:tcBorders>
              <w:bottom w:val="single" w:sz="8" w:color="DFF1FB"/>
            </w:tcBorders>
          </w:tcPr>
          <w:p>
            <w:pPr>
              <w:ind w:left="340"/>
              <w:spacing w:after="0"/>
              <w:rPr>
                <w:sz w:val="20"/>
                <w:szCs w:val="20"/>
                <w:color w:val="auto"/>
              </w:rPr>
            </w:pPr>
            <w:r>
              <w:rPr>
                <w:rFonts w:ascii="Arial" w:cs="Arial" w:eastAsia="Arial" w:hAnsi="Arial"/>
                <w:sz w:val="13"/>
                <w:szCs w:val="13"/>
                <w:color w:val="auto"/>
              </w:rPr>
              <w:t>2017-2019</w:t>
            </w:r>
          </w:p>
        </w:tc>
        <w:tc>
          <w:tcPr>
            <w:tcW w:w="3240" w:type="dxa"/>
            <w:vAlign w:val="bottom"/>
            <w:tcBorders>
              <w:bottom w:val="single" w:sz="8" w:color="DFF1FB"/>
            </w:tcBorders>
          </w:tcPr>
          <w:p>
            <w:pPr>
              <w:spacing w:after="0"/>
              <w:rPr>
                <w:sz w:val="17"/>
                <w:szCs w:val="17"/>
                <w:color w:val="auto"/>
              </w:rPr>
            </w:pPr>
          </w:p>
        </w:tc>
        <w:tc>
          <w:tcPr>
            <w:tcW w:w="680" w:type="dxa"/>
            <w:vAlign w:val="bottom"/>
            <w:tcBorders>
              <w:bottom w:val="single" w:sz="8" w:color="DFF1FB"/>
            </w:tcBorders>
          </w:tcPr>
          <w:p>
            <w:pPr>
              <w:spacing w:after="0"/>
              <w:rPr>
                <w:sz w:val="17"/>
                <w:szCs w:val="17"/>
                <w:color w:val="auto"/>
              </w:rPr>
            </w:pPr>
          </w:p>
        </w:tc>
        <w:tc>
          <w:tcPr>
            <w:tcW w:w="760" w:type="dxa"/>
            <w:vAlign w:val="bottom"/>
            <w:tcBorders>
              <w:bottom w:val="single" w:sz="8" w:color="DFF1FB"/>
            </w:tcBorders>
          </w:tcPr>
          <w:p>
            <w:pPr>
              <w:spacing w:after="0"/>
              <w:rPr>
                <w:sz w:val="17"/>
                <w:szCs w:val="17"/>
                <w:color w:val="auto"/>
              </w:rPr>
            </w:pPr>
          </w:p>
        </w:tc>
        <w:tc>
          <w:tcPr>
            <w:tcW w:w="160" w:type="dxa"/>
            <w:vAlign w:val="bottom"/>
            <w:tcBorders>
              <w:bottom w:val="single" w:sz="8" w:color="DFF1FB"/>
            </w:tcBorders>
          </w:tcPr>
          <w:p>
            <w:pPr>
              <w:spacing w:after="0"/>
              <w:rPr>
                <w:sz w:val="17"/>
                <w:szCs w:val="17"/>
                <w:color w:val="auto"/>
              </w:rPr>
            </w:pPr>
          </w:p>
        </w:tc>
        <w:tc>
          <w:tcPr>
            <w:tcW w:w="920" w:type="dxa"/>
            <w:vAlign w:val="bottom"/>
            <w:tcBorders>
              <w:bottom w:val="single" w:sz="8" w:color="DFF1FB"/>
            </w:tcBorders>
          </w:tcPr>
          <w:p>
            <w:pPr>
              <w:spacing w:after="0"/>
              <w:rPr>
                <w:sz w:val="17"/>
                <w:szCs w:val="17"/>
                <w:color w:val="auto"/>
              </w:rPr>
            </w:pPr>
          </w:p>
        </w:tc>
        <w:tc>
          <w:tcPr>
            <w:tcW w:w="1220" w:type="dxa"/>
            <w:vAlign w:val="bottom"/>
            <w:tcBorders>
              <w:bottom w:val="single" w:sz="8" w:color="DFF1FB"/>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440" w:type="dxa"/>
            <w:vAlign w:val="bottom"/>
          </w:tcPr>
          <w:p>
            <w:pPr>
              <w:ind w:left="340"/>
              <w:spacing w:after="0"/>
              <w:rPr>
                <w:sz w:val="20"/>
                <w:szCs w:val="20"/>
                <w:color w:val="auto"/>
              </w:rPr>
            </w:pPr>
            <w:r>
              <w:rPr>
                <w:rFonts w:ascii="Arial" w:cs="Arial" w:eastAsia="Arial" w:hAnsi="Arial"/>
                <w:sz w:val="13"/>
                <w:szCs w:val="13"/>
                <w:color w:val="auto"/>
              </w:rPr>
              <w:t>- Performance Net</w:t>
            </w:r>
          </w:p>
        </w:tc>
        <w:tc>
          <w:tcPr>
            <w:tcW w:w="3240" w:type="dxa"/>
            <w:vAlign w:val="bottom"/>
          </w:tcPr>
          <w:p>
            <w:pPr>
              <w:jc w:val="right"/>
              <w:ind w:right="73"/>
              <w:spacing w:after="0"/>
              <w:rPr>
                <w:sz w:val="20"/>
                <w:szCs w:val="20"/>
                <w:color w:val="auto"/>
              </w:rPr>
            </w:pPr>
            <w:r>
              <w:rPr>
                <w:rFonts w:ascii="Arial" w:cs="Arial" w:eastAsia="Arial" w:hAnsi="Arial"/>
                <w:sz w:val="13"/>
                <w:szCs w:val="13"/>
                <w:color w:val="auto"/>
              </w:rPr>
              <w:t>6.0%</w:t>
            </w:r>
          </w:p>
        </w:tc>
        <w:tc>
          <w:tcPr>
            <w:tcW w:w="680" w:type="dxa"/>
            <w:vAlign w:val="bottom"/>
          </w:tcPr>
          <w:p>
            <w:pPr>
              <w:jc w:val="right"/>
              <w:ind w:right="73"/>
              <w:spacing w:after="0"/>
              <w:rPr>
                <w:sz w:val="20"/>
                <w:szCs w:val="20"/>
                <w:color w:val="auto"/>
              </w:rPr>
            </w:pPr>
            <w:r>
              <w:rPr>
                <w:rFonts w:ascii="Arial" w:cs="Arial" w:eastAsia="Arial" w:hAnsi="Arial"/>
                <w:sz w:val="13"/>
                <w:szCs w:val="13"/>
                <w:color w:val="auto"/>
              </w:rPr>
              <w:t>11.0%</w:t>
            </w: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13.0%</w:t>
            </w:r>
          </w:p>
        </w:tc>
        <w:tc>
          <w:tcPr>
            <w:tcW w:w="2140" w:type="dxa"/>
            <w:vAlign w:val="bottom"/>
            <w:gridSpan w:val="2"/>
            <w:vMerge w:val="restart"/>
          </w:tcPr>
          <w:p>
            <w:pPr>
              <w:jc w:val="right"/>
              <w:ind w:right="153"/>
              <w:spacing w:after="0"/>
              <w:rPr>
                <w:sz w:val="20"/>
                <w:szCs w:val="20"/>
                <w:color w:val="auto"/>
              </w:rPr>
            </w:pPr>
            <w:r>
              <w:rPr>
                <w:rFonts w:ascii="Arial" w:cs="Arial" w:eastAsia="Arial" w:hAnsi="Arial"/>
                <w:sz w:val="13"/>
                <w:szCs w:val="13"/>
                <w:color w:val="auto"/>
              </w:rPr>
              <w:t>Two year results are above</w:t>
            </w:r>
          </w:p>
        </w:tc>
        <w:tc>
          <w:tcPr>
            <w:tcW w:w="0" w:type="dxa"/>
            <w:vAlign w:val="bottom"/>
          </w:tcPr>
          <w:p>
            <w:pPr>
              <w:spacing w:after="0"/>
              <w:rPr>
                <w:sz w:val="1"/>
                <w:szCs w:val="1"/>
                <w:color w:val="auto"/>
              </w:rPr>
            </w:pPr>
          </w:p>
        </w:tc>
      </w:tr>
      <w:tr>
        <w:trPr>
          <w:trHeight w:val="122"/>
        </w:trPr>
        <w:tc>
          <w:tcPr>
            <w:tcW w:w="4440" w:type="dxa"/>
            <w:vAlign w:val="bottom"/>
          </w:tcPr>
          <w:p>
            <w:pPr>
              <w:ind w:left="340"/>
              <w:spacing w:after="0" w:line="122" w:lineRule="exact"/>
              <w:rPr>
                <w:sz w:val="20"/>
                <w:szCs w:val="20"/>
                <w:color w:val="auto"/>
              </w:rPr>
            </w:pPr>
            <w:r>
              <w:rPr>
                <w:rFonts w:ascii="Arial" w:cs="Arial" w:eastAsia="Arial" w:hAnsi="Arial"/>
                <w:sz w:val="13"/>
                <w:szCs w:val="13"/>
                <w:color w:val="auto"/>
              </w:rPr>
              <w:t>Income ROE (70%)</w:t>
            </w:r>
          </w:p>
        </w:tc>
        <w:tc>
          <w:tcPr>
            <w:tcW w:w="3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1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4440" w:type="dxa"/>
            <w:vAlign w:val="bottom"/>
            <w:tcBorders>
              <w:bottom w:val="single" w:sz="8" w:color="DFF1FB"/>
            </w:tcBorders>
          </w:tcPr>
          <w:p>
            <w:pPr>
              <w:spacing w:after="0"/>
              <w:rPr>
                <w:sz w:val="4"/>
                <w:szCs w:val="4"/>
                <w:color w:val="auto"/>
              </w:rPr>
            </w:pPr>
          </w:p>
        </w:tc>
        <w:tc>
          <w:tcPr>
            <w:tcW w:w="3240" w:type="dxa"/>
            <w:vAlign w:val="bottom"/>
            <w:tcBorders>
              <w:bottom w:val="single" w:sz="8" w:color="DFF1FB"/>
            </w:tcBorders>
          </w:tcPr>
          <w:p>
            <w:pPr>
              <w:spacing w:after="0"/>
              <w:rPr>
                <w:sz w:val="4"/>
                <w:szCs w:val="4"/>
                <w:color w:val="auto"/>
              </w:rPr>
            </w:pPr>
          </w:p>
        </w:tc>
        <w:tc>
          <w:tcPr>
            <w:tcW w:w="680" w:type="dxa"/>
            <w:vAlign w:val="bottom"/>
            <w:tcBorders>
              <w:bottom w:val="single" w:sz="8" w:color="DFF1FB"/>
            </w:tcBorders>
          </w:tcPr>
          <w:p>
            <w:pPr>
              <w:spacing w:after="0"/>
              <w:rPr>
                <w:sz w:val="4"/>
                <w:szCs w:val="4"/>
                <w:color w:val="auto"/>
              </w:rPr>
            </w:pPr>
          </w:p>
        </w:tc>
        <w:tc>
          <w:tcPr>
            <w:tcW w:w="760" w:type="dxa"/>
            <w:vAlign w:val="bottom"/>
            <w:tcBorders>
              <w:bottom w:val="single" w:sz="8" w:color="DFF1FB"/>
            </w:tcBorders>
          </w:tcPr>
          <w:p>
            <w:pPr>
              <w:spacing w:after="0"/>
              <w:rPr>
                <w:sz w:val="4"/>
                <w:szCs w:val="4"/>
                <w:color w:val="auto"/>
              </w:rPr>
            </w:pPr>
          </w:p>
        </w:tc>
        <w:tc>
          <w:tcPr>
            <w:tcW w:w="160" w:type="dxa"/>
            <w:vAlign w:val="bottom"/>
          </w:tcPr>
          <w:p>
            <w:pPr>
              <w:spacing w:after="0"/>
              <w:rPr>
                <w:sz w:val="4"/>
                <w:szCs w:val="4"/>
                <w:color w:val="auto"/>
              </w:rPr>
            </w:pPr>
          </w:p>
        </w:tc>
        <w:tc>
          <w:tcPr>
            <w:tcW w:w="2140" w:type="dxa"/>
            <w:vAlign w:val="bottom"/>
            <w:gridSpan w:val="2"/>
            <w:vMerge w:val="restart"/>
          </w:tcPr>
          <w:p>
            <w:pPr>
              <w:jc w:val="right"/>
              <w:ind w:right="13"/>
              <w:spacing w:after="0" w:line="216" w:lineRule="exact"/>
              <w:rPr>
                <w:sz w:val="20"/>
                <w:szCs w:val="20"/>
                <w:color w:val="auto"/>
              </w:rPr>
            </w:pPr>
            <w:r>
              <w:rPr>
                <w:rFonts w:ascii="Arial" w:cs="Arial" w:eastAsia="Arial" w:hAnsi="Arial"/>
                <w:sz w:val="13"/>
                <w:szCs w:val="13"/>
                <w:color w:val="auto"/>
              </w:rPr>
              <w:t>Target for both measures</w:t>
            </w:r>
            <w:r>
              <w:rPr>
                <w:rFonts w:ascii="Arial" w:cs="Arial" w:eastAsia="Arial" w:hAnsi="Arial"/>
                <w:sz w:val="22"/>
                <w:szCs w:val="22"/>
                <w:color w:val="auto"/>
                <w:vertAlign w:val="superscript"/>
              </w:rPr>
              <w:t>(2)</w:t>
            </w:r>
          </w:p>
        </w:tc>
        <w:tc>
          <w:tcPr>
            <w:tcW w:w="0" w:type="dxa"/>
            <w:vAlign w:val="bottom"/>
          </w:tcPr>
          <w:p>
            <w:pPr>
              <w:spacing w:after="0"/>
              <w:rPr>
                <w:sz w:val="1"/>
                <w:szCs w:val="1"/>
                <w:color w:val="auto"/>
              </w:rPr>
            </w:pPr>
          </w:p>
        </w:tc>
      </w:tr>
      <w:tr>
        <w:trPr>
          <w:trHeight w:val="142"/>
        </w:trPr>
        <w:tc>
          <w:tcPr>
            <w:tcW w:w="4440" w:type="dxa"/>
            <w:vAlign w:val="bottom"/>
            <w:vMerge w:val="restart"/>
          </w:tcPr>
          <w:p>
            <w:pPr>
              <w:ind w:left="340"/>
              <w:spacing w:after="0"/>
              <w:rPr>
                <w:sz w:val="20"/>
                <w:szCs w:val="20"/>
                <w:color w:val="auto"/>
              </w:rPr>
            </w:pPr>
            <w:r>
              <w:rPr>
                <w:rFonts w:ascii="Arial" w:cs="Arial" w:eastAsia="Arial" w:hAnsi="Arial"/>
                <w:sz w:val="13"/>
                <w:szCs w:val="13"/>
                <w:color w:val="auto"/>
              </w:rPr>
              <w:t>- Earned Book Value (30%)</w:t>
            </w:r>
          </w:p>
        </w:tc>
        <w:tc>
          <w:tcPr>
            <w:tcW w:w="3240" w:type="dxa"/>
            <w:vAlign w:val="bottom"/>
            <w:vMerge w:val="restart"/>
          </w:tcPr>
          <w:p>
            <w:pPr>
              <w:jc w:val="right"/>
              <w:ind w:right="73"/>
              <w:spacing w:after="0"/>
              <w:rPr>
                <w:sz w:val="20"/>
                <w:szCs w:val="20"/>
                <w:color w:val="auto"/>
              </w:rPr>
            </w:pPr>
            <w:r>
              <w:rPr>
                <w:rFonts w:ascii="Arial" w:cs="Arial" w:eastAsia="Arial" w:hAnsi="Arial"/>
                <w:sz w:val="13"/>
                <w:szCs w:val="13"/>
                <w:color w:val="auto"/>
              </w:rPr>
              <w:t>6.0%</w:t>
            </w:r>
          </w:p>
        </w:tc>
        <w:tc>
          <w:tcPr>
            <w:tcW w:w="680" w:type="dxa"/>
            <w:vAlign w:val="bottom"/>
            <w:vMerge w:val="restart"/>
          </w:tcPr>
          <w:p>
            <w:pPr>
              <w:jc w:val="right"/>
              <w:ind w:right="73"/>
              <w:spacing w:after="0"/>
              <w:rPr>
                <w:sz w:val="20"/>
                <w:szCs w:val="20"/>
                <w:color w:val="auto"/>
              </w:rPr>
            </w:pPr>
            <w:r>
              <w:rPr>
                <w:rFonts w:ascii="Arial" w:cs="Arial" w:eastAsia="Arial" w:hAnsi="Arial"/>
                <w:sz w:val="13"/>
                <w:szCs w:val="13"/>
                <w:color w:val="auto"/>
              </w:rPr>
              <w:t>9.0%</w:t>
            </w: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11.0%</w:t>
            </w:r>
          </w:p>
        </w:tc>
        <w:tc>
          <w:tcPr>
            <w:tcW w:w="2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4440" w:type="dxa"/>
            <w:vAlign w:val="bottom"/>
            <w:tcBorders>
              <w:bottom w:val="single" w:sz="8" w:color="DFF1FB"/>
            </w:tcBorders>
            <w:vMerge w:val="continue"/>
          </w:tcPr>
          <w:p>
            <w:pPr>
              <w:spacing w:after="0"/>
              <w:rPr>
                <w:sz w:val="4"/>
                <w:szCs w:val="4"/>
                <w:color w:val="auto"/>
              </w:rPr>
            </w:pPr>
          </w:p>
        </w:tc>
        <w:tc>
          <w:tcPr>
            <w:tcW w:w="3240" w:type="dxa"/>
            <w:vAlign w:val="bottom"/>
            <w:tcBorders>
              <w:bottom w:val="single" w:sz="8" w:color="DFF1FB"/>
            </w:tcBorders>
            <w:vMerge w:val="continue"/>
          </w:tcPr>
          <w:p>
            <w:pPr>
              <w:spacing w:after="0"/>
              <w:rPr>
                <w:sz w:val="4"/>
                <w:szCs w:val="4"/>
                <w:color w:val="auto"/>
              </w:rPr>
            </w:pPr>
          </w:p>
        </w:tc>
        <w:tc>
          <w:tcPr>
            <w:tcW w:w="680" w:type="dxa"/>
            <w:vAlign w:val="bottom"/>
            <w:tcBorders>
              <w:bottom w:val="single" w:sz="8" w:color="DFF1FB"/>
            </w:tcBorders>
            <w:vMerge w:val="continue"/>
          </w:tcPr>
          <w:p>
            <w:pPr>
              <w:spacing w:after="0"/>
              <w:rPr>
                <w:sz w:val="4"/>
                <w:szCs w:val="4"/>
                <w:color w:val="auto"/>
              </w:rPr>
            </w:pPr>
          </w:p>
        </w:tc>
        <w:tc>
          <w:tcPr>
            <w:tcW w:w="920" w:type="dxa"/>
            <w:vAlign w:val="bottom"/>
            <w:tcBorders>
              <w:bottom w:val="single" w:sz="8" w:color="DFF1FB"/>
            </w:tcBorders>
            <w:gridSpan w:val="2"/>
            <w:vMerge w:val="continue"/>
          </w:tcPr>
          <w:p>
            <w:pPr>
              <w:spacing w:after="0"/>
              <w:rPr>
                <w:sz w:val="4"/>
                <w:szCs w:val="4"/>
                <w:color w:val="auto"/>
              </w:rPr>
            </w:pPr>
          </w:p>
        </w:tc>
        <w:tc>
          <w:tcPr>
            <w:tcW w:w="920" w:type="dxa"/>
            <w:vAlign w:val="bottom"/>
            <w:tcBorders>
              <w:bottom w:val="single" w:sz="8" w:color="DFF1FB"/>
            </w:tcBorders>
          </w:tcPr>
          <w:p>
            <w:pPr>
              <w:spacing w:after="0"/>
              <w:rPr>
                <w:sz w:val="4"/>
                <w:szCs w:val="4"/>
                <w:color w:val="auto"/>
              </w:rPr>
            </w:pPr>
          </w:p>
        </w:tc>
        <w:tc>
          <w:tcPr>
            <w:tcW w:w="1220" w:type="dxa"/>
            <w:vAlign w:val="bottom"/>
            <w:tcBorders>
              <w:bottom w:val="single" w:sz="8" w:color="DFF1FB"/>
            </w:tcBorders>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4440" w:type="dxa"/>
            <w:vAlign w:val="bottom"/>
            <w:tcBorders>
              <w:bottom w:val="single" w:sz="8" w:color="DFF1FB"/>
            </w:tcBorders>
          </w:tcPr>
          <w:p>
            <w:pPr>
              <w:ind w:left="340"/>
              <w:spacing w:after="0"/>
              <w:rPr>
                <w:sz w:val="20"/>
                <w:szCs w:val="20"/>
                <w:color w:val="auto"/>
              </w:rPr>
            </w:pPr>
            <w:r>
              <w:rPr>
                <w:rFonts w:ascii="Arial" w:cs="Arial" w:eastAsia="Arial" w:hAnsi="Arial"/>
                <w:sz w:val="13"/>
                <w:szCs w:val="13"/>
                <w:color w:val="auto"/>
              </w:rPr>
              <w:t>2018-2020</w:t>
            </w:r>
          </w:p>
        </w:tc>
        <w:tc>
          <w:tcPr>
            <w:tcW w:w="3240" w:type="dxa"/>
            <w:vAlign w:val="bottom"/>
            <w:tcBorders>
              <w:bottom w:val="single" w:sz="8" w:color="DFF1FB"/>
            </w:tcBorders>
          </w:tcPr>
          <w:p>
            <w:pPr>
              <w:spacing w:after="0"/>
              <w:rPr>
                <w:sz w:val="17"/>
                <w:szCs w:val="17"/>
                <w:color w:val="auto"/>
              </w:rPr>
            </w:pPr>
          </w:p>
        </w:tc>
        <w:tc>
          <w:tcPr>
            <w:tcW w:w="680" w:type="dxa"/>
            <w:vAlign w:val="bottom"/>
            <w:tcBorders>
              <w:bottom w:val="single" w:sz="8" w:color="DFF1FB"/>
            </w:tcBorders>
          </w:tcPr>
          <w:p>
            <w:pPr>
              <w:spacing w:after="0"/>
              <w:rPr>
                <w:sz w:val="17"/>
                <w:szCs w:val="17"/>
                <w:color w:val="auto"/>
              </w:rPr>
            </w:pPr>
          </w:p>
        </w:tc>
        <w:tc>
          <w:tcPr>
            <w:tcW w:w="760" w:type="dxa"/>
            <w:vAlign w:val="bottom"/>
            <w:tcBorders>
              <w:bottom w:val="single" w:sz="8" w:color="DFF1FB"/>
            </w:tcBorders>
          </w:tcPr>
          <w:p>
            <w:pPr>
              <w:spacing w:after="0"/>
              <w:rPr>
                <w:sz w:val="17"/>
                <w:szCs w:val="17"/>
                <w:color w:val="auto"/>
              </w:rPr>
            </w:pPr>
          </w:p>
        </w:tc>
        <w:tc>
          <w:tcPr>
            <w:tcW w:w="160" w:type="dxa"/>
            <w:vAlign w:val="bottom"/>
            <w:tcBorders>
              <w:bottom w:val="single" w:sz="8" w:color="DFF1FB"/>
            </w:tcBorders>
          </w:tcPr>
          <w:p>
            <w:pPr>
              <w:spacing w:after="0"/>
              <w:rPr>
                <w:sz w:val="17"/>
                <w:szCs w:val="17"/>
                <w:color w:val="auto"/>
              </w:rPr>
            </w:pPr>
          </w:p>
        </w:tc>
        <w:tc>
          <w:tcPr>
            <w:tcW w:w="920" w:type="dxa"/>
            <w:vAlign w:val="bottom"/>
            <w:tcBorders>
              <w:bottom w:val="single" w:sz="8" w:color="DFF1FB"/>
            </w:tcBorders>
          </w:tcPr>
          <w:p>
            <w:pPr>
              <w:spacing w:after="0"/>
              <w:rPr>
                <w:sz w:val="17"/>
                <w:szCs w:val="17"/>
                <w:color w:val="auto"/>
              </w:rPr>
            </w:pPr>
          </w:p>
        </w:tc>
        <w:tc>
          <w:tcPr>
            <w:tcW w:w="1220" w:type="dxa"/>
            <w:vAlign w:val="bottom"/>
            <w:tcBorders>
              <w:bottom w:val="single" w:sz="8" w:color="DFF1FB"/>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440" w:type="dxa"/>
            <w:vAlign w:val="bottom"/>
          </w:tcPr>
          <w:p>
            <w:pPr>
              <w:ind w:left="340"/>
              <w:spacing w:after="0"/>
              <w:rPr>
                <w:sz w:val="20"/>
                <w:szCs w:val="20"/>
                <w:color w:val="auto"/>
              </w:rPr>
            </w:pPr>
            <w:r>
              <w:rPr>
                <w:rFonts w:ascii="Arial" w:cs="Arial" w:eastAsia="Arial" w:hAnsi="Arial"/>
                <w:sz w:val="13"/>
                <w:szCs w:val="13"/>
                <w:color w:val="auto"/>
              </w:rPr>
              <w:t>- Performance Net</w:t>
            </w:r>
          </w:p>
        </w:tc>
        <w:tc>
          <w:tcPr>
            <w:tcW w:w="3240" w:type="dxa"/>
            <w:vAlign w:val="bottom"/>
          </w:tcPr>
          <w:p>
            <w:pPr>
              <w:jc w:val="right"/>
              <w:ind w:right="73"/>
              <w:spacing w:after="0"/>
              <w:rPr>
                <w:sz w:val="20"/>
                <w:szCs w:val="20"/>
                <w:color w:val="auto"/>
              </w:rPr>
            </w:pPr>
            <w:r>
              <w:rPr>
                <w:rFonts w:ascii="Arial" w:cs="Arial" w:eastAsia="Arial" w:hAnsi="Arial"/>
                <w:sz w:val="13"/>
                <w:szCs w:val="13"/>
                <w:color w:val="auto"/>
              </w:rPr>
              <w:t>7.0%</w:t>
            </w:r>
          </w:p>
        </w:tc>
        <w:tc>
          <w:tcPr>
            <w:tcW w:w="680" w:type="dxa"/>
            <w:vAlign w:val="bottom"/>
          </w:tcPr>
          <w:p>
            <w:pPr>
              <w:jc w:val="right"/>
              <w:ind w:right="73"/>
              <w:spacing w:after="0"/>
              <w:rPr>
                <w:sz w:val="20"/>
                <w:szCs w:val="20"/>
                <w:color w:val="auto"/>
              </w:rPr>
            </w:pPr>
            <w:r>
              <w:rPr>
                <w:rFonts w:ascii="Arial" w:cs="Arial" w:eastAsia="Arial" w:hAnsi="Arial"/>
                <w:sz w:val="13"/>
                <w:szCs w:val="13"/>
                <w:color w:val="auto"/>
              </w:rPr>
              <w:t>13.5%</w:t>
            </w: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15.0%</w:t>
            </w:r>
          </w:p>
        </w:tc>
        <w:tc>
          <w:tcPr>
            <w:tcW w:w="2140" w:type="dxa"/>
            <w:vAlign w:val="bottom"/>
            <w:gridSpan w:val="2"/>
            <w:vMerge w:val="restart"/>
          </w:tcPr>
          <w:p>
            <w:pPr>
              <w:jc w:val="right"/>
              <w:ind w:right="153"/>
              <w:spacing w:after="0"/>
              <w:rPr>
                <w:sz w:val="20"/>
                <w:szCs w:val="20"/>
                <w:color w:val="auto"/>
              </w:rPr>
            </w:pPr>
            <w:r>
              <w:rPr>
                <w:rFonts w:ascii="Arial" w:cs="Arial" w:eastAsia="Arial" w:hAnsi="Arial"/>
                <w:sz w:val="13"/>
                <w:szCs w:val="13"/>
                <w:color w:val="auto"/>
              </w:rPr>
              <w:t>One year results are above</w:t>
            </w:r>
          </w:p>
        </w:tc>
        <w:tc>
          <w:tcPr>
            <w:tcW w:w="0" w:type="dxa"/>
            <w:vAlign w:val="bottom"/>
          </w:tcPr>
          <w:p>
            <w:pPr>
              <w:spacing w:after="0"/>
              <w:rPr>
                <w:sz w:val="1"/>
                <w:szCs w:val="1"/>
                <w:color w:val="auto"/>
              </w:rPr>
            </w:pPr>
          </w:p>
        </w:tc>
      </w:tr>
      <w:tr>
        <w:trPr>
          <w:trHeight w:val="122"/>
        </w:trPr>
        <w:tc>
          <w:tcPr>
            <w:tcW w:w="4440" w:type="dxa"/>
            <w:vAlign w:val="bottom"/>
          </w:tcPr>
          <w:p>
            <w:pPr>
              <w:ind w:left="340"/>
              <w:spacing w:after="0" w:line="122" w:lineRule="exact"/>
              <w:rPr>
                <w:sz w:val="20"/>
                <w:szCs w:val="20"/>
                <w:color w:val="auto"/>
              </w:rPr>
            </w:pPr>
            <w:r>
              <w:rPr>
                <w:rFonts w:ascii="Arial" w:cs="Arial" w:eastAsia="Arial" w:hAnsi="Arial"/>
                <w:sz w:val="13"/>
                <w:szCs w:val="13"/>
                <w:color w:val="auto"/>
              </w:rPr>
              <w:t>Income ROE (70%)</w:t>
            </w:r>
          </w:p>
        </w:tc>
        <w:tc>
          <w:tcPr>
            <w:tcW w:w="3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1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4440" w:type="dxa"/>
            <w:vAlign w:val="bottom"/>
            <w:tcBorders>
              <w:bottom w:val="single" w:sz="8" w:color="DFF1FB"/>
            </w:tcBorders>
          </w:tcPr>
          <w:p>
            <w:pPr>
              <w:spacing w:after="0"/>
              <w:rPr>
                <w:sz w:val="4"/>
                <w:szCs w:val="4"/>
                <w:color w:val="auto"/>
              </w:rPr>
            </w:pPr>
          </w:p>
        </w:tc>
        <w:tc>
          <w:tcPr>
            <w:tcW w:w="3240" w:type="dxa"/>
            <w:vAlign w:val="bottom"/>
            <w:tcBorders>
              <w:bottom w:val="single" w:sz="8" w:color="DFF1FB"/>
            </w:tcBorders>
          </w:tcPr>
          <w:p>
            <w:pPr>
              <w:spacing w:after="0"/>
              <w:rPr>
                <w:sz w:val="4"/>
                <w:szCs w:val="4"/>
                <w:color w:val="auto"/>
              </w:rPr>
            </w:pPr>
          </w:p>
        </w:tc>
        <w:tc>
          <w:tcPr>
            <w:tcW w:w="680" w:type="dxa"/>
            <w:vAlign w:val="bottom"/>
            <w:tcBorders>
              <w:bottom w:val="single" w:sz="8" w:color="DFF1FB"/>
            </w:tcBorders>
          </w:tcPr>
          <w:p>
            <w:pPr>
              <w:spacing w:after="0"/>
              <w:rPr>
                <w:sz w:val="4"/>
                <w:szCs w:val="4"/>
                <w:color w:val="auto"/>
              </w:rPr>
            </w:pPr>
          </w:p>
        </w:tc>
        <w:tc>
          <w:tcPr>
            <w:tcW w:w="760" w:type="dxa"/>
            <w:vAlign w:val="bottom"/>
            <w:tcBorders>
              <w:bottom w:val="single" w:sz="8" w:color="DFF1FB"/>
            </w:tcBorders>
          </w:tcPr>
          <w:p>
            <w:pPr>
              <w:spacing w:after="0"/>
              <w:rPr>
                <w:sz w:val="4"/>
                <w:szCs w:val="4"/>
                <w:color w:val="auto"/>
              </w:rPr>
            </w:pPr>
          </w:p>
        </w:tc>
        <w:tc>
          <w:tcPr>
            <w:tcW w:w="160" w:type="dxa"/>
            <w:vAlign w:val="bottom"/>
          </w:tcPr>
          <w:p>
            <w:pPr>
              <w:spacing w:after="0"/>
              <w:rPr>
                <w:sz w:val="4"/>
                <w:szCs w:val="4"/>
                <w:color w:val="auto"/>
              </w:rPr>
            </w:pPr>
          </w:p>
        </w:tc>
        <w:tc>
          <w:tcPr>
            <w:tcW w:w="2140" w:type="dxa"/>
            <w:vAlign w:val="bottom"/>
            <w:gridSpan w:val="2"/>
            <w:vMerge w:val="restart"/>
          </w:tcPr>
          <w:p>
            <w:pPr>
              <w:jc w:val="right"/>
              <w:ind w:right="13"/>
              <w:spacing w:after="0" w:line="216" w:lineRule="exact"/>
              <w:rPr>
                <w:sz w:val="20"/>
                <w:szCs w:val="20"/>
                <w:color w:val="auto"/>
              </w:rPr>
            </w:pPr>
            <w:r>
              <w:rPr>
                <w:rFonts w:ascii="Arial" w:cs="Arial" w:eastAsia="Arial" w:hAnsi="Arial"/>
                <w:sz w:val="13"/>
                <w:szCs w:val="13"/>
                <w:color w:val="auto"/>
              </w:rPr>
              <w:t>Target for both measures</w:t>
            </w:r>
            <w:r>
              <w:rPr>
                <w:rFonts w:ascii="Arial" w:cs="Arial" w:eastAsia="Arial" w:hAnsi="Arial"/>
                <w:sz w:val="22"/>
                <w:szCs w:val="22"/>
                <w:color w:val="auto"/>
                <w:vertAlign w:val="superscript"/>
              </w:rPr>
              <w:t>(2)</w:t>
            </w:r>
          </w:p>
        </w:tc>
        <w:tc>
          <w:tcPr>
            <w:tcW w:w="0" w:type="dxa"/>
            <w:vAlign w:val="bottom"/>
          </w:tcPr>
          <w:p>
            <w:pPr>
              <w:spacing w:after="0"/>
              <w:rPr>
                <w:sz w:val="1"/>
                <w:szCs w:val="1"/>
                <w:color w:val="auto"/>
              </w:rPr>
            </w:pPr>
          </w:p>
        </w:tc>
      </w:tr>
      <w:tr>
        <w:trPr>
          <w:trHeight w:val="142"/>
        </w:trPr>
        <w:tc>
          <w:tcPr>
            <w:tcW w:w="4440" w:type="dxa"/>
            <w:vAlign w:val="bottom"/>
            <w:vMerge w:val="restart"/>
          </w:tcPr>
          <w:p>
            <w:pPr>
              <w:ind w:left="340"/>
              <w:spacing w:after="0"/>
              <w:rPr>
                <w:sz w:val="20"/>
                <w:szCs w:val="20"/>
                <w:color w:val="auto"/>
              </w:rPr>
            </w:pPr>
            <w:r>
              <w:rPr>
                <w:rFonts w:ascii="Arial" w:cs="Arial" w:eastAsia="Arial" w:hAnsi="Arial"/>
                <w:sz w:val="13"/>
                <w:szCs w:val="13"/>
                <w:color w:val="auto"/>
              </w:rPr>
              <w:t>- Earned Book Value (30%)</w:t>
            </w:r>
          </w:p>
        </w:tc>
        <w:tc>
          <w:tcPr>
            <w:tcW w:w="3240" w:type="dxa"/>
            <w:vAlign w:val="bottom"/>
            <w:vMerge w:val="restart"/>
          </w:tcPr>
          <w:p>
            <w:pPr>
              <w:jc w:val="right"/>
              <w:ind w:right="73"/>
              <w:spacing w:after="0"/>
              <w:rPr>
                <w:sz w:val="20"/>
                <w:szCs w:val="20"/>
                <w:color w:val="auto"/>
              </w:rPr>
            </w:pPr>
            <w:r>
              <w:rPr>
                <w:rFonts w:ascii="Arial" w:cs="Arial" w:eastAsia="Arial" w:hAnsi="Arial"/>
                <w:sz w:val="13"/>
                <w:szCs w:val="13"/>
                <w:color w:val="auto"/>
              </w:rPr>
              <w:t>7.0%</w:t>
            </w:r>
          </w:p>
        </w:tc>
        <w:tc>
          <w:tcPr>
            <w:tcW w:w="680" w:type="dxa"/>
            <w:vAlign w:val="bottom"/>
            <w:vMerge w:val="restart"/>
          </w:tcPr>
          <w:p>
            <w:pPr>
              <w:jc w:val="right"/>
              <w:ind w:right="73"/>
              <w:spacing w:after="0"/>
              <w:rPr>
                <w:sz w:val="20"/>
                <w:szCs w:val="20"/>
                <w:color w:val="auto"/>
              </w:rPr>
            </w:pPr>
            <w:r>
              <w:rPr>
                <w:rFonts w:ascii="Arial" w:cs="Arial" w:eastAsia="Arial" w:hAnsi="Arial"/>
                <w:sz w:val="13"/>
                <w:szCs w:val="13"/>
                <w:color w:val="auto"/>
              </w:rPr>
              <w:t>12.5%</w:t>
            </w: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14.0%</w:t>
            </w:r>
          </w:p>
        </w:tc>
        <w:tc>
          <w:tcPr>
            <w:tcW w:w="2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4440" w:type="dxa"/>
            <w:vAlign w:val="bottom"/>
            <w:tcBorders>
              <w:bottom w:val="single" w:sz="8" w:color="DFF1FB"/>
            </w:tcBorders>
            <w:vMerge w:val="continue"/>
          </w:tcPr>
          <w:p>
            <w:pPr>
              <w:spacing w:after="0"/>
              <w:rPr>
                <w:sz w:val="4"/>
                <w:szCs w:val="4"/>
                <w:color w:val="auto"/>
              </w:rPr>
            </w:pPr>
          </w:p>
        </w:tc>
        <w:tc>
          <w:tcPr>
            <w:tcW w:w="3240" w:type="dxa"/>
            <w:vAlign w:val="bottom"/>
            <w:tcBorders>
              <w:bottom w:val="single" w:sz="8" w:color="DFF1FB"/>
            </w:tcBorders>
            <w:vMerge w:val="continue"/>
          </w:tcPr>
          <w:p>
            <w:pPr>
              <w:spacing w:after="0"/>
              <w:rPr>
                <w:sz w:val="4"/>
                <w:szCs w:val="4"/>
                <w:color w:val="auto"/>
              </w:rPr>
            </w:pPr>
          </w:p>
        </w:tc>
        <w:tc>
          <w:tcPr>
            <w:tcW w:w="680" w:type="dxa"/>
            <w:vAlign w:val="bottom"/>
            <w:tcBorders>
              <w:bottom w:val="single" w:sz="8" w:color="DFF1FB"/>
            </w:tcBorders>
            <w:vMerge w:val="continue"/>
          </w:tcPr>
          <w:p>
            <w:pPr>
              <w:spacing w:after="0"/>
              <w:rPr>
                <w:sz w:val="4"/>
                <w:szCs w:val="4"/>
                <w:color w:val="auto"/>
              </w:rPr>
            </w:pPr>
          </w:p>
        </w:tc>
        <w:tc>
          <w:tcPr>
            <w:tcW w:w="920" w:type="dxa"/>
            <w:vAlign w:val="bottom"/>
            <w:tcBorders>
              <w:bottom w:val="single" w:sz="8" w:color="DFF1FB"/>
            </w:tcBorders>
            <w:gridSpan w:val="2"/>
            <w:vMerge w:val="continue"/>
          </w:tcPr>
          <w:p>
            <w:pPr>
              <w:spacing w:after="0"/>
              <w:rPr>
                <w:sz w:val="4"/>
                <w:szCs w:val="4"/>
                <w:color w:val="auto"/>
              </w:rPr>
            </w:pPr>
          </w:p>
        </w:tc>
        <w:tc>
          <w:tcPr>
            <w:tcW w:w="920" w:type="dxa"/>
            <w:vAlign w:val="bottom"/>
            <w:tcBorders>
              <w:bottom w:val="single" w:sz="8" w:color="DFF1FB"/>
            </w:tcBorders>
          </w:tcPr>
          <w:p>
            <w:pPr>
              <w:spacing w:after="0"/>
              <w:rPr>
                <w:sz w:val="4"/>
                <w:szCs w:val="4"/>
                <w:color w:val="auto"/>
              </w:rPr>
            </w:pPr>
          </w:p>
        </w:tc>
        <w:tc>
          <w:tcPr>
            <w:tcW w:w="1220" w:type="dxa"/>
            <w:vAlign w:val="bottom"/>
            <w:tcBorders>
              <w:bottom w:val="single" w:sz="8" w:color="DFF1FB"/>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4440" w:type="dxa"/>
            <w:vAlign w:val="bottom"/>
            <w:tcBorders>
              <w:bottom w:val="single" w:sz="8" w:color="105EAB"/>
            </w:tcBorders>
          </w:tcPr>
          <w:p>
            <w:pPr>
              <w:ind w:left="80"/>
              <w:spacing w:after="0"/>
              <w:rPr>
                <w:sz w:val="20"/>
                <w:szCs w:val="20"/>
                <w:color w:val="auto"/>
              </w:rPr>
            </w:pPr>
            <w:r>
              <w:rPr>
                <w:rFonts w:ascii="Arial" w:cs="Arial" w:eastAsia="Arial" w:hAnsi="Arial"/>
                <w:sz w:val="13"/>
                <w:szCs w:val="13"/>
                <w:b w:val="1"/>
                <w:bCs w:val="1"/>
                <w:color w:val="auto"/>
              </w:rPr>
              <w:t>Payout Percentages</w:t>
            </w:r>
          </w:p>
        </w:tc>
        <w:tc>
          <w:tcPr>
            <w:tcW w:w="3240" w:type="dxa"/>
            <w:vAlign w:val="bottom"/>
            <w:tcBorders>
              <w:bottom w:val="single" w:sz="8" w:color="105EAB"/>
            </w:tcBorders>
          </w:tcPr>
          <w:p>
            <w:pPr>
              <w:jc w:val="right"/>
              <w:ind w:right="73"/>
              <w:spacing w:after="0"/>
              <w:rPr>
                <w:sz w:val="20"/>
                <w:szCs w:val="20"/>
                <w:color w:val="auto"/>
              </w:rPr>
            </w:pPr>
            <w:r>
              <w:rPr>
                <w:rFonts w:ascii="Arial" w:cs="Arial" w:eastAsia="Arial" w:hAnsi="Arial"/>
                <w:sz w:val="13"/>
                <w:szCs w:val="13"/>
                <w:color w:val="auto"/>
              </w:rPr>
              <w:t>0%</w:t>
            </w:r>
          </w:p>
        </w:tc>
        <w:tc>
          <w:tcPr>
            <w:tcW w:w="680" w:type="dxa"/>
            <w:vAlign w:val="bottom"/>
            <w:tcBorders>
              <w:bottom w:val="single" w:sz="8" w:color="105EAB"/>
            </w:tcBorders>
          </w:tcPr>
          <w:p>
            <w:pPr>
              <w:jc w:val="right"/>
              <w:ind w:right="73"/>
              <w:spacing w:after="0"/>
              <w:rPr>
                <w:sz w:val="20"/>
                <w:szCs w:val="20"/>
                <w:color w:val="auto"/>
              </w:rPr>
            </w:pPr>
            <w:r>
              <w:rPr>
                <w:rFonts w:ascii="Arial" w:cs="Arial" w:eastAsia="Arial" w:hAnsi="Arial"/>
                <w:sz w:val="13"/>
                <w:szCs w:val="13"/>
                <w:color w:val="auto"/>
              </w:rPr>
              <w:t>100%</w:t>
            </w:r>
          </w:p>
        </w:tc>
        <w:tc>
          <w:tcPr>
            <w:tcW w:w="920" w:type="dxa"/>
            <w:vAlign w:val="bottom"/>
            <w:tcBorders>
              <w:bottom w:val="single" w:sz="8" w:color="105EAB"/>
            </w:tcBorders>
            <w:gridSpan w:val="2"/>
          </w:tcPr>
          <w:p>
            <w:pPr>
              <w:jc w:val="right"/>
              <w:ind w:right="160"/>
              <w:spacing w:after="0"/>
              <w:rPr>
                <w:sz w:val="20"/>
                <w:szCs w:val="20"/>
                <w:color w:val="auto"/>
              </w:rPr>
            </w:pPr>
            <w:r>
              <w:rPr>
                <w:rFonts w:ascii="Arial" w:cs="Arial" w:eastAsia="Arial" w:hAnsi="Arial"/>
                <w:sz w:val="13"/>
                <w:szCs w:val="13"/>
                <w:color w:val="auto"/>
              </w:rPr>
              <w:t>200%</w:t>
            </w:r>
          </w:p>
        </w:tc>
        <w:tc>
          <w:tcPr>
            <w:tcW w:w="920" w:type="dxa"/>
            <w:vAlign w:val="bottom"/>
            <w:tcBorders>
              <w:bottom w:val="single" w:sz="8" w:color="105EAB"/>
            </w:tcBorders>
          </w:tcPr>
          <w:p>
            <w:pPr>
              <w:spacing w:after="0"/>
              <w:rPr>
                <w:sz w:val="18"/>
                <w:szCs w:val="18"/>
                <w:color w:val="auto"/>
              </w:rPr>
            </w:pPr>
          </w:p>
        </w:tc>
        <w:tc>
          <w:tcPr>
            <w:tcW w:w="1220" w:type="dxa"/>
            <w:vAlign w:val="bottom"/>
            <w:tcBorders>
              <w:bottom w:val="single" w:sz="8" w:color="105EAB"/>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4193540</wp:posOffset>
            </wp:positionH>
            <wp:positionV relativeFrom="paragraph">
              <wp:posOffset>42545</wp:posOffset>
            </wp:positionV>
            <wp:extent cx="1602105" cy="768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602105" cy="76835"/>
                    </a:xfrm>
                    <a:prstGeom prst="rect">
                      <a:avLst/>
                    </a:prstGeom>
                    <a:noFill/>
                  </pic:spPr>
                </pic:pic>
              </a:graphicData>
            </a:graphic>
          </wp:anchor>
        </w:drawing>
      </w:r>
    </w:p>
    <w:p>
      <w:pPr>
        <w:spacing w:after="0" w:line="194" w:lineRule="exact"/>
        <w:rPr>
          <w:sz w:val="20"/>
          <w:szCs w:val="20"/>
          <w:color w:val="auto"/>
        </w:rPr>
      </w:pPr>
    </w:p>
    <w:p>
      <w:pPr>
        <w:jc w:val="center"/>
        <w:ind w:left="4320"/>
        <w:spacing w:after="0"/>
        <w:rPr>
          <w:sz w:val="20"/>
          <w:szCs w:val="20"/>
          <w:color w:val="auto"/>
        </w:rPr>
      </w:pPr>
      <w:r>
        <w:rPr>
          <w:rFonts w:ascii="Arial" w:cs="Arial" w:eastAsia="Arial" w:hAnsi="Arial"/>
          <w:sz w:val="13"/>
          <w:szCs w:val="13"/>
          <w:color w:val="auto"/>
        </w:rPr>
        <w:t>Subject to positive Net Income hurdle</w:t>
      </w:r>
    </w:p>
    <w:p>
      <w:pPr>
        <w:jc w:val="center"/>
        <w:ind w:left="4320"/>
        <w:spacing w:after="0"/>
        <w:rPr>
          <w:sz w:val="20"/>
          <w:szCs w:val="20"/>
          <w:color w:val="auto"/>
        </w:rPr>
      </w:pPr>
      <w:r>
        <w:rPr>
          <w:rFonts w:ascii="Arial" w:cs="Arial" w:eastAsia="Arial" w:hAnsi="Arial"/>
          <w:sz w:val="13"/>
          <w:szCs w:val="13"/>
          <w:color w:val="auto"/>
        </w:rPr>
        <w:t>For Performance Net Income ROE</w:t>
      </w:r>
    </w:p>
    <w:p>
      <w:pPr>
        <w:spacing w:after="0" w:line="134" w:lineRule="exact"/>
        <w:rPr>
          <w:sz w:val="20"/>
          <w:szCs w:val="20"/>
          <w:color w:val="auto"/>
        </w:rPr>
      </w:pPr>
    </w:p>
    <w:p>
      <w:pPr>
        <w:ind w:left="300" w:right="400" w:hanging="292"/>
        <w:spacing w:after="0" w:line="238" w:lineRule="auto"/>
        <w:tabs>
          <w:tab w:leader="none" w:pos="300" w:val="left"/>
        </w:tabs>
        <w:numPr>
          <w:ilvl w:val="0"/>
          <w:numId w:val="182"/>
        </w:numPr>
        <w:rPr>
          <w:rFonts w:ascii="Arial" w:cs="Arial" w:eastAsia="Arial" w:hAnsi="Arial"/>
          <w:sz w:val="11"/>
          <w:szCs w:val="11"/>
          <w:color w:val="auto"/>
        </w:rPr>
      </w:pPr>
      <w:r>
        <w:rPr>
          <w:rFonts w:ascii="Arial" w:cs="Arial" w:eastAsia="Arial" w:hAnsi="Arial"/>
          <w:sz w:val="13"/>
          <w:szCs w:val="13"/>
          <w:color w:val="auto"/>
        </w:rPr>
        <w:t>For the performance cycles prior to 2016, Average Performance Net Income ROE was the performance measure. In 2016, Earned Book Value was added as a second performance measure.</w:t>
      </w:r>
    </w:p>
    <w:p>
      <w:pPr>
        <w:ind w:left="300" w:hanging="292"/>
        <w:spacing w:after="0"/>
        <w:tabs>
          <w:tab w:leader="none" w:pos="300" w:val="left"/>
        </w:tabs>
        <w:numPr>
          <w:ilvl w:val="0"/>
          <w:numId w:val="182"/>
        </w:numPr>
        <w:rPr>
          <w:rFonts w:ascii="Arial" w:cs="Arial" w:eastAsia="Arial" w:hAnsi="Arial"/>
          <w:sz w:val="11"/>
          <w:szCs w:val="11"/>
          <w:color w:val="auto"/>
        </w:rPr>
      </w:pPr>
      <w:r>
        <w:rPr>
          <w:rFonts w:ascii="Arial" w:cs="Arial" w:eastAsia="Arial" w:hAnsi="Arial"/>
          <w:sz w:val="13"/>
          <w:szCs w:val="13"/>
          <w:color w:val="auto"/>
        </w:rPr>
        <w:t>Payouts under the PSAs are based on performance over the three-year period, and actual results will not be known until the end of the performance period.</w:t>
      </w:r>
    </w:p>
    <w:p>
      <w:pPr>
        <w:spacing w:after="0" w:line="232" w:lineRule="exact"/>
        <w:rPr>
          <w:sz w:val="20"/>
          <w:szCs w:val="20"/>
          <w:color w:val="auto"/>
        </w:rPr>
      </w:pPr>
    </w:p>
    <w:p>
      <w:pPr>
        <w:ind w:right="420"/>
        <w:spacing w:after="0" w:line="239" w:lineRule="auto"/>
        <w:rPr>
          <w:sz w:val="20"/>
          <w:szCs w:val="20"/>
          <w:color w:val="auto"/>
        </w:rPr>
      </w:pPr>
      <w:r>
        <w:rPr>
          <w:rFonts w:ascii="Arial" w:cs="Arial" w:eastAsia="Arial" w:hAnsi="Arial"/>
          <w:sz w:val="18"/>
          <w:szCs w:val="18"/>
          <w:color w:val="auto"/>
        </w:rPr>
        <w:t>The following table shows the target number of PSAs granted to each of our named executives for the 2016-2018, 2017-2019, and 2018-2020 performance cycles.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105EAB"/>
        </w:rPr>
        <w:t>PERFORMANCE CYCLE</w:t>
      </w:r>
      <w:r>
        <w:rPr>
          <w:rFonts w:ascii="Arial" w:cs="Arial" w:eastAsia="Arial" w:hAnsi="Arial"/>
          <w:sz w:val="29"/>
          <w:szCs w:val="29"/>
          <w:b w:val="1"/>
          <w:bCs w:val="1"/>
          <w:color w:val="105EAB"/>
          <w:vertAlign w:val="superscript"/>
        </w:rPr>
        <w:t>(1)</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060" w:type="dxa"/>
            <w:vAlign w:val="bottom"/>
          </w:tcPr>
          <w:p>
            <w:pPr>
              <w:spacing w:after="0"/>
              <w:rPr>
                <w:sz w:val="17"/>
                <w:szCs w:val="17"/>
                <w:color w:val="auto"/>
              </w:rPr>
            </w:pPr>
          </w:p>
        </w:tc>
        <w:tc>
          <w:tcPr>
            <w:tcW w:w="2060" w:type="dxa"/>
            <w:vAlign w:val="bottom"/>
            <w:tcBorders>
              <w:bottom w:val="single" w:sz="8" w:color="105EAB"/>
            </w:tcBorders>
          </w:tcPr>
          <w:p>
            <w:pPr>
              <w:spacing w:after="0"/>
              <w:rPr>
                <w:sz w:val="17"/>
                <w:szCs w:val="17"/>
                <w:color w:val="auto"/>
              </w:rPr>
            </w:pPr>
          </w:p>
        </w:tc>
        <w:tc>
          <w:tcPr>
            <w:tcW w:w="2180" w:type="dxa"/>
            <w:vAlign w:val="bottom"/>
            <w:tcBorders>
              <w:bottom w:val="single" w:sz="8" w:color="105EAB"/>
            </w:tcBorders>
          </w:tcPr>
          <w:p>
            <w:pPr>
              <w:jc w:val="right"/>
              <w:ind w:right="133"/>
              <w:spacing w:after="0"/>
              <w:rPr>
                <w:sz w:val="20"/>
                <w:szCs w:val="20"/>
                <w:color w:val="auto"/>
              </w:rPr>
            </w:pPr>
            <w:r>
              <w:rPr>
                <w:rFonts w:ascii="Arial" w:cs="Arial" w:eastAsia="Arial" w:hAnsi="Arial"/>
                <w:sz w:val="13"/>
                <w:szCs w:val="13"/>
                <w:b w:val="1"/>
                <w:bCs w:val="1"/>
                <w:color w:val="105EAB"/>
              </w:rPr>
              <w:t>Target Number of PSAs for</w:t>
            </w:r>
          </w:p>
        </w:tc>
        <w:tc>
          <w:tcPr>
            <w:tcW w:w="2120" w:type="dxa"/>
            <w:vAlign w:val="bottom"/>
            <w:tcBorders>
              <w:bottom w:val="single" w:sz="8" w:color="105EAB"/>
            </w:tcBorders>
          </w:tcPr>
          <w:p>
            <w:pPr>
              <w:spacing w:after="0"/>
              <w:rPr>
                <w:sz w:val="17"/>
                <w:szCs w:val="17"/>
                <w:color w:val="auto"/>
              </w:rPr>
            </w:pPr>
          </w:p>
        </w:tc>
      </w:tr>
      <w:tr>
        <w:trPr>
          <w:trHeight w:val="209"/>
        </w:trPr>
        <w:tc>
          <w:tcPr>
            <w:tcW w:w="5060" w:type="dxa"/>
            <w:vAlign w:val="bottom"/>
            <w:tcBorders>
              <w:bottom w:val="single" w:sz="8" w:color="105EAB"/>
            </w:tcBorders>
          </w:tcPr>
          <w:p>
            <w:pPr>
              <w:ind w:left="80"/>
              <w:spacing w:after="0"/>
              <w:rPr>
                <w:sz w:val="20"/>
                <w:szCs w:val="20"/>
                <w:color w:val="auto"/>
              </w:rPr>
            </w:pPr>
            <w:r>
              <w:rPr>
                <w:rFonts w:ascii="Arial" w:cs="Arial" w:eastAsia="Arial" w:hAnsi="Arial"/>
                <w:sz w:val="13"/>
                <w:szCs w:val="13"/>
                <w:b w:val="1"/>
                <w:bCs w:val="1"/>
                <w:color w:val="105EAB"/>
              </w:rPr>
              <w:t>Named Executive</w:t>
            </w:r>
          </w:p>
        </w:tc>
        <w:tc>
          <w:tcPr>
            <w:tcW w:w="2060" w:type="dxa"/>
            <w:vAlign w:val="bottom"/>
            <w:tcBorders>
              <w:bottom w:val="single" w:sz="8" w:color="105EAB"/>
            </w:tcBorders>
          </w:tcPr>
          <w:p>
            <w:pPr>
              <w:jc w:val="right"/>
              <w:ind w:right="73"/>
              <w:spacing w:after="0"/>
              <w:rPr>
                <w:sz w:val="20"/>
                <w:szCs w:val="20"/>
                <w:color w:val="auto"/>
              </w:rPr>
            </w:pPr>
            <w:r>
              <w:rPr>
                <w:rFonts w:ascii="Arial" w:cs="Arial" w:eastAsia="Arial" w:hAnsi="Arial"/>
                <w:sz w:val="13"/>
                <w:szCs w:val="13"/>
                <w:b w:val="1"/>
                <w:bCs w:val="1"/>
                <w:color w:val="105EAB"/>
              </w:rPr>
              <w:t>2016-2018 Performance Cycle</w:t>
            </w:r>
          </w:p>
        </w:tc>
        <w:tc>
          <w:tcPr>
            <w:tcW w:w="2180" w:type="dxa"/>
            <w:vAlign w:val="bottom"/>
            <w:tcBorders>
              <w:bottom w:val="single" w:sz="8" w:color="105EAB"/>
            </w:tcBorders>
          </w:tcPr>
          <w:p>
            <w:pPr>
              <w:jc w:val="right"/>
              <w:ind w:right="73"/>
              <w:spacing w:after="0"/>
              <w:rPr>
                <w:sz w:val="20"/>
                <w:szCs w:val="20"/>
                <w:color w:val="auto"/>
              </w:rPr>
            </w:pPr>
            <w:r>
              <w:rPr>
                <w:rFonts w:ascii="Arial" w:cs="Arial" w:eastAsia="Arial" w:hAnsi="Arial"/>
                <w:sz w:val="13"/>
                <w:szCs w:val="13"/>
                <w:b w:val="1"/>
                <w:bCs w:val="1"/>
                <w:color w:val="105EAB"/>
              </w:rPr>
              <w:t>2017-2019 Performance Cycle</w:t>
            </w:r>
          </w:p>
        </w:tc>
        <w:tc>
          <w:tcPr>
            <w:tcW w:w="2120" w:type="dxa"/>
            <w:vAlign w:val="bottom"/>
            <w:tcBorders>
              <w:bottom w:val="single" w:sz="8" w:color="105EAB"/>
            </w:tcBorders>
          </w:tcPr>
          <w:p>
            <w:pPr>
              <w:jc w:val="right"/>
              <w:ind w:right="13"/>
              <w:spacing w:after="0"/>
              <w:rPr>
                <w:sz w:val="20"/>
                <w:szCs w:val="20"/>
                <w:color w:val="auto"/>
              </w:rPr>
            </w:pPr>
            <w:r>
              <w:rPr>
                <w:rFonts w:ascii="Arial" w:cs="Arial" w:eastAsia="Arial" w:hAnsi="Arial"/>
                <w:sz w:val="13"/>
                <w:szCs w:val="13"/>
                <w:b w:val="1"/>
                <w:bCs w:val="1"/>
                <w:color w:val="105EAB"/>
              </w:rPr>
              <w:t>2018-2020 Performance Cycle</w:t>
            </w:r>
          </w:p>
        </w:tc>
      </w:tr>
      <w:tr>
        <w:trPr>
          <w:trHeight w:val="202"/>
        </w:trPr>
        <w:tc>
          <w:tcPr>
            <w:tcW w:w="5060" w:type="dxa"/>
            <w:vAlign w:val="bottom"/>
          </w:tcPr>
          <w:p>
            <w:pPr>
              <w:ind w:left="80"/>
              <w:spacing w:after="0"/>
              <w:rPr>
                <w:sz w:val="20"/>
                <w:szCs w:val="20"/>
                <w:color w:val="auto"/>
              </w:rPr>
            </w:pPr>
            <w:r>
              <w:rPr>
                <w:rFonts w:ascii="Arial" w:cs="Arial" w:eastAsia="Arial" w:hAnsi="Arial"/>
                <w:sz w:val="13"/>
                <w:szCs w:val="13"/>
                <w:b w:val="1"/>
                <w:bCs w:val="1"/>
                <w:color w:val="105EAB"/>
              </w:rPr>
              <w:t>Mr. Wilson</w:t>
            </w:r>
          </w:p>
        </w:tc>
        <w:tc>
          <w:tcPr>
            <w:tcW w:w="2060" w:type="dxa"/>
            <w:vAlign w:val="bottom"/>
          </w:tcPr>
          <w:p>
            <w:pPr>
              <w:jc w:val="right"/>
              <w:ind w:right="73"/>
              <w:spacing w:after="0"/>
              <w:rPr>
                <w:sz w:val="20"/>
                <w:szCs w:val="20"/>
                <w:color w:val="auto"/>
              </w:rPr>
            </w:pPr>
            <w:r>
              <w:rPr>
                <w:rFonts w:ascii="Arial" w:cs="Arial" w:eastAsia="Arial" w:hAnsi="Arial"/>
                <w:sz w:val="13"/>
                <w:szCs w:val="13"/>
                <w:color w:val="auto"/>
              </w:rPr>
              <w:t>86,650</w:t>
            </w:r>
          </w:p>
        </w:tc>
        <w:tc>
          <w:tcPr>
            <w:tcW w:w="2180" w:type="dxa"/>
            <w:vAlign w:val="bottom"/>
          </w:tcPr>
          <w:p>
            <w:pPr>
              <w:jc w:val="right"/>
              <w:ind w:right="73"/>
              <w:spacing w:after="0"/>
              <w:rPr>
                <w:sz w:val="20"/>
                <w:szCs w:val="20"/>
                <w:color w:val="auto"/>
              </w:rPr>
            </w:pPr>
            <w:r>
              <w:rPr>
                <w:rFonts w:ascii="Arial" w:cs="Arial" w:eastAsia="Arial" w:hAnsi="Arial"/>
                <w:sz w:val="13"/>
                <w:szCs w:val="13"/>
                <w:color w:val="auto"/>
              </w:rPr>
              <w:t>68,922</w:t>
            </w:r>
          </w:p>
        </w:tc>
        <w:tc>
          <w:tcPr>
            <w:tcW w:w="2120" w:type="dxa"/>
            <w:vAlign w:val="bottom"/>
          </w:tcPr>
          <w:p>
            <w:pPr>
              <w:jc w:val="right"/>
              <w:ind w:right="13"/>
              <w:spacing w:after="0"/>
              <w:rPr>
                <w:sz w:val="20"/>
                <w:szCs w:val="20"/>
                <w:color w:val="auto"/>
              </w:rPr>
            </w:pPr>
            <w:r>
              <w:rPr>
                <w:rFonts w:ascii="Arial" w:cs="Arial" w:eastAsia="Arial" w:hAnsi="Arial"/>
                <w:sz w:val="13"/>
                <w:szCs w:val="13"/>
                <w:color w:val="auto"/>
              </w:rPr>
              <w:t>62,635</w:t>
            </w:r>
          </w:p>
        </w:tc>
      </w:tr>
      <w:tr>
        <w:trPr>
          <w:trHeight w:val="41"/>
        </w:trPr>
        <w:tc>
          <w:tcPr>
            <w:tcW w:w="5060" w:type="dxa"/>
            <w:vAlign w:val="bottom"/>
            <w:tcBorders>
              <w:bottom w:val="single" w:sz="8" w:color="DFF1FB"/>
            </w:tcBorders>
          </w:tcPr>
          <w:p>
            <w:pPr>
              <w:spacing w:after="0"/>
              <w:rPr>
                <w:sz w:val="3"/>
                <w:szCs w:val="3"/>
                <w:color w:val="auto"/>
              </w:rPr>
            </w:pPr>
          </w:p>
        </w:tc>
        <w:tc>
          <w:tcPr>
            <w:tcW w:w="2060" w:type="dxa"/>
            <w:vAlign w:val="bottom"/>
            <w:tcBorders>
              <w:bottom w:val="single" w:sz="8" w:color="DFF1FB"/>
            </w:tcBorders>
          </w:tcPr>
          <w:p>
            <w:pPr>
              <w:spacing w:after="0"/>
              <w:rPr>
                <w:sz w:val="3"/>
                <w:szCs w:val="3"/>
                <w:color w:val="auto"/>
              </w:rPr>
            </w:pPr>
          </w:p>
        </w:tc>
        <w:tc>
          <w:tcPr>
            <w:tcW w:w="2180" w:type="dxa"/>
            <w:vAlign w:val="bottom"/>
            <w:tcBorders>
              <w:bottom w:val="single" w:sz="8" w:color="DFF1FB"/>
            </w:tcBorders>
          </w:tcPr>
          <w:p>
            <w:pPr>
              <w:spacing w:after="0"/>
              <w:rPr>
                <w:sz w:val="3"/>
                <w:szCs w:val="3"/>
                <w:color w:val="auto"/>
              </w:rPr>
            </w:pPr>
          </w:p>
        </w:tc>
        <w:tc>
          <w:tcPr>
            <w:tcW w:w="2120" w:type="dxa"/>
            <w:vAlign w:val="bottom"/>
            <w:tcBorders>
              <w:bottom w:val="single" w:sz="8" w:color="DFF1FB"/>
            </w:tcBorders>
          </w:tcPr>
          <w:p>
            <w:pPr>
              <w:spacing w:after="0"/>
              <w:rPr>
                <w:sz w:val="3"/>
                <w:szCs w:val="3"/>
                <w:color w:val="auto"/>
              </w:rPr>
            </w:pPr>
          </w:p>
        </w:tc>
      </w:tr>
      <w:tr>
        <w:trPr>
          <w:trHeight w:val="195"/>
        </w:trPr>
        <w:tc>
          <w:tcPr>
            <w:tcW w:w="5060" w:type="dxa"/>
            <w:vAlign w:val="bottom"/>
          </w:tcPr>
          <w:p>
            <w:pPr>
              <w:ind w:left="80"/>
              <w:spacing w:after="0"/>
              <w:rPr>
                <w:sz w:val="20"/>
                <w:szCs w:val="20"/>
                <w:color w:val="auto"/>
              </w:rPr>
            </w:pPr>
            <w:r>
              <w:rPr>
                <w:rFonts w:ascii="Arial" w:cs="Arial" w:eastAsia="Arial" w:hAnsi="Arial"/>
                <w:sz w:val="13"/>
                <w:szCs w:val="13"/>
                <w:b w:val="1"/>
                <w:bCs w:val="1"/>
                <w:color w:val="105EAB"/>
              </w:rPr>
              <w:t>Mr. Rizzo</w:t>
            </w:r>
          </w:p>
        </w:tc>
        <w:tc>
          <w:tcPr>
            <w:tcW w:w="2060" w:type="dxa"/>
            <w:vAlign w:val="bottom"/>
          </w:tcPr>
          <w:p>
            <w:pPr>
              <w:jc w:val="right"/>
              <w:ind w:right="73"/>
              <w:spacing w:after="0"/>
              <w:rPr>
                <w:sz w:val="20"/>
                <w:szCs w:val="20"/>
                <w:color w:val="auto"/>
              </w:rPr>
            </w:pPr>
            <w:r>
              <w:rPr>
                <w:rFonts w:ascii="Arial" w:cs="Arial" w:eastAsia="Arial" w:hAnsi="Arial"/>
                <w:sz w:val="13"/>
                <w:szCs w:val="13"/>
                <w:color w:val="auto"/>
              </w:rPr>
              <w:t>2,901</w:t>
            </w:r>
          </w:p>
        </w:tc>
        <w:tc>
          <w:tcPr>
            <w:tcW w:w="2180" w:type="dxa"/>
            <w:vAlign w:val="bottom"/>
          </w:tcPr>
          <w:p>
            <w:pPr>
              <w:jc w:val="right"/>
              <w:ind w:right="73"/>
              <w:spacing w:after="0"/>
              <w:rPr>
                <w:sz w:val="20"/>
                <w:szCs w:val="20"/>
                <w:color w:val="auto"/>
              </w:rPr>
            </w:pPr>
            <w:r>
              <w:rPr>
                <w:rFonts w:ascii="Arial" w:cs="Arial" w:eastAsia="Arial" w:hAnsi="Arial"/>
                <w:sz w:val="13"/>
                <w:szCs w:val="13"/>
                <w:color w:val="auto"/>
              </w:rPr>
              <w:t>2,929</w:t>
            </w:r>
          </w:p>
        </w:tc>
        <w:tc>
          <w:tcPr>
            <w:tcW w:w="2120" w:type="dxa"/>
            <w:vAlign w:val="bottom"/>
          </w:tcPr>
          <w:p>
            <w:pPr>
              <w:jc w:val="right"/>
              <w:ind w:right="13"/>
              <w:spacing w:after="0"/>
              <w:rPr>
                <w:sz w:val="20"/>
                <w:szCs w:val="20"/>
                <w:color w:val="auto"/>
              </w:rPr>
            </w:pPr>
            <w:r>
              <w:rPr>
                <w:rFonts w:ascii="Arial" w:cs="Arial" w:eastAsia="Arial" w:hAnsi="Arial"/>
                <w:sz w:val="13"/>
                <w:szCs w:val="13"/>
                <w:color w:val="auto"/>
              </w:rPr>
              <w:t>13,578</w:t>
            </w:r>
          </w:p>
        </w:tc>
      </w:tr>
      <w:tr>
        <w:trPr>
          <w:trHeight w:val="41"/>
        </w:trPr>
        <w:tc>
          <w:tcPr>
            <w:tcW w:w="5060" w:type="dxa"/>
            <w:vAlign w:val="bottom"/>
            <w:tcBorders>
              <w:bottom w:val="single" w:sz="8" w:color="DFF1FB"/>
            </w:tcBorders>
          </w:tcPr>
          <w:p>
            <w:pPr>
              <w:spacing w:after="0"/>
              <w:rPr>
                <w:sz w:val="3"/>
                <w:szCs w:val="3"/>
                <w:color w:val="auto"/>
              </w:rPr>
            </w:pPr>
          </w:p>
        </w:tc>
        <w:tc>
          <w:tcPr>
            <w:tcW w:w="2060" w:type="dxa"/>
            <w:vAlign w:val="bottom"/>
            <w:tcBorders>
              <w:bottom w:val="single" w:sz="8" w:color="DFF1FB"/>
            </w:tcBorders>
          </w:tcPr>
          <w:p>
            <w:pPr>
              <w:spacing w:after="0"/>
              <w:rPr>
                <w:sz w:val="3"/>
                <w:szCs w:val="3"/>
                <w:color w:val="auto"/>
              </w:rPr>
            </w:pPr>
          </w:p>
        </w:tc>
        <w:tc>
          <w:tcPr>
            <w:tcW w:w="2180" w:type="dxa"/>
            <w:vAlign w:val="bottom"/>
            <w:tcBorders>
              <w:bottom w:val="single" w:sz="8" w:color="DFF1FB"/>
            </w:tcBorders>
          </w:tcPr>
          <w:p>
            <w:pPr>
              <w:spacing w:after="0"/>
              <w:rPr>
                <w:sz w:val="3"/>
                <w:szCs w:val="3"/>
                <w:color w:val="auto"/>
              </w:rPr>
            </w:pPr>
          </w:p>
        </w:tc>
        <w:tc>
          <w:tcPr>
            <w:tcW w:w="2120" w:type="dxa"/>
            <w:vAlign w:val="bottom"/>
            <w:tcBorders>
              <w:bottom w:val="single" w:sz="8" w:color="DFF1FB"/>
            </w:tcBorders>
          </w:tcPr>
          <w:p>
            <w:pPr>
              <w:spacing w:after="0"/>
              <w:rPr>
                <w:sz w:val="3"/>
                <w:szCs w:val="3"/>
                <w:color w:val="auto"/>
              </w:rPr>
            </w:pPr>
          </w:p>
        </w:tc>
      </w:tr>
      <w:tr>
        <w:trPr>
          <w:trHeight w:val="195"/>
        </w:trPr>
        <w:tc>
          <w:tcPr>
            <w:tcW w:w="5060" w:type="dxa"/>
            <w:vAlign w:val="bottom"/>
          </w:tcPr>
          <w:p>
            <w:pPr>
              <w:ind w:left="80"/>
              <w:spacing w:after="0"/>
              <w:rPr>
                <w:sz w:val="20"/>
                <w:szCs w:val="20"/>
                <w:color w:val="auto"/>
              </w:rPr>
            </w:pPr>
            <w:r>
              <w:rPr>
                <w:rFonts w:ascii="Arial" w:cs="Arial" w:eastAsia="Arial" w:hAnsi="Arial"/>
                <w:sz w:val="13"/>
                <w:szCs w:val="13"/>
                <w:b w:val="1"/>
                <w:bCs w:val="1"/>
                <w:color w:val="105EAB"/>
              </w:rPr>
              <w:t>Mr. Dugenske</w:t>
            </w:r>
          </w:p>
        </w:tc>
        <w:tc>
          <w:tcPr>
            <w:tcW w:w="2060" w:type="dxa"/>
            <w:vAlign w:val="bottom"/>
          </w:tcPr>
          <w:p>
            <w:pPr>
              <w:jc w:val="right"/>
              <w:ind w:right="73"/>
              <w:spacing w:after="0"/>
              <w:rPr>
                <w:sz w:val="20"/>
                <w:szCs w:val="20"/>
                <w:color w:val="auto"/>
              </w:rPr>
            </w:pPr>
            <w:r>
              <w:rPr>
                <w:rFonts w:ascii="Arial" w:cs="Arial" w:eastAsia="Arial" w:hAnsi="Arial"/>
                <w:sz w:val="13"/>
                <w:szCs w:val="13"/>
                <w:color w:val="auto"/>
              </w:rPr>
              <w:t>N/A</w:t>
            </w:r>
          </w:p>
        </w:tc>
        <w:tc>
          <w:tcPr>
            <w:tcW w:w="2180" w:type="dxa"/>
            <w:vAlign w:val="bottom"/>
          </w:tcPr>
          <w:p>
            <w:pPr>
              <w:jc w:val="right"/>
              <w:ind w:right="73"/>
              <w:spacing w:after="0"/>
              <w:rPr>
                <w:sz w:val="20"/>
                <w:szCs w:val="20"/>
                <w:color w:val="auto"/>
              </w:rPr>
            </w:pPr>
            <w:r>
              <w:rPr>
                <w:rFonts w:ascii="Arial" w:cs="Arial" w:eastAsia="Arial" w:hAnsi="Arial"/>
                <w:sz w:val="13"/>
                <w:szCs w:val="13"/>
                <w:color w:val="auto"/>
              </w:rPr>
              <w:t>15,942</w:t>
            </w:r>
          </w:p>
        </w:tc>
        <w:tc>
          <w:tcPr>
            <w:tcW w:w="2120" w:type="dxa"/>
            <w:vAlign w:val="bottom"/>
          </w:tcPr>
          <w:p>
            <w:pPr>
              <w:jc w:val="right"/>
              <w:ind w:right="13"/>
              <w:spacing w:after="0"/>
              <w:rPr>
                <w:sz w:val="20"/>
                <w:szCs w:val="20"/>
                <w:color w:val="auto"/>
              </w:rPr>
            </w:pPr>
            <w:r>
              <w:rPr>
                <w:rFonts w:ascii="Arial" w:cs="Arial" w:eastAsia="Arial" w:hAnsi="Arial"/>
                <w:sz w:val="13"/>
                <w:szCs w:val="13"/>
                <w:color w:val="auto"/>
              </w:rPr>
              <w:t>14,871</w:t>
            </w:r>
          </w:p>
        </w:tc>
      </w:tr>
      <w:tr>
        <w:trPr>
          <w:trHeight w:val="41"/>
        </w:trPr>
        <w:tc>
          <w:tcPr>
            <w:tcW w:w="5060" w:type="dxa"/>
            <w:vAlign w:val="bottom"/>
            <w:tcBorders>
              <w:bottom w:val="single" w:sz="8" w:color="DFF1FB"/>
            </w:tcBorders>
          </w:tcPr>
          <w:p>
            <w:pPr>
              <w:spacing w:after="0"/>
              <w:rPr>
                <w:sz w:val="3"/>
                <w:szCs w:val="3"/>
                <w:color w:val="auto"/>
              </w:rPr>
            </w:pPr>
          </w:p>
        </w:tc>
        <w:tc>
          <w:tcPr>
            <w:tcW w:w="2060" w:type="dxa"/>
            <w:vAlign w:val="bottom"/>
            <w:tcBorders>
              <w:bottom w:val="single" w:sz="8" w:color="DFF1FB"/>
            </w:tcBorders>
          </w:tcPr>
          <w:p>
            <w:pPr>
              <w:spacing w:after="0"/>
              <w:rPr>
                <w:sz w:val="3"/>
                <w:szCs w:val="3"/>
                <w:color w:val="auto"/>
              </w:rPr>
            </w:pPr>
          </w:p>
        </w:tc>
        <w:tc>
          <w:tcPr>
            <w:tcW w:w="2180" w:type="dxa"/>
            <w:vAlign w:val="bottom"/>
            <w:tcBorders>
              <w:bottom w:val="single" w:sz="8" w:color="DFF1FB"/>
            </w:tcBorders>
          </w:tcPr>
          <w:p>
            <w:pPr>
              <w:spacing w:after="0"/>
              <w:rPr>
                <w:sz w:val="3"/>
                <w:szCs w:val="3"/>
                <w:color w:val="auto"/>
              </w:rPr>
            </w:pPr>
          </w:p>
        </w:tc>
        <w:tc>
          <w:tcPr>
            <w:tcW w:w="2120" w:type="dxa"/>
            <w:vAlign w:val="bottom"/>
            <w:tcBorders>
              <w:bottom w:val="single" w:sz="8" w:color="DFF1FB"/>
            </w:tcBorders>
          </w:tcPr>
          <w:p>
            <w:pPr>
              <w:spacing w:after="0"/>
              <w:rPr>
                <w:sz w:val="3"/>
                <w:szCs w:val="3"/>
                <w:color w:val="auto"/>
              </w:rPr>
            </w:pPr>
          </w:p>
        </w:tc>
      </w:tr>
      <w:tr>
        <w:trPr>
          <w:trHeight w:val="195"/>
        </w:trPr>
        <w:tc>
          <w:tcPr>
            <w:tcW w:w="5060" w:type="dxa"/>
            <w:vAlign w:val="bottom"/>
          </w:tcPr>
          <w:p>
            <w:pPr>
              <w:ind w:left="80"/>
              <w:spacing w:after="0"/>
              <w:rPr>
                <w:sz w:val="20"/>
                <w:szCs w:val="20"/>
                <w:color w:val="auto"/>
              </w:rPr>
            </w:pPr>
            <w:r>
              <w:rPr>
                <w:rFonts w:ascii="Arial" w:cs="Arial" w:eastAsia="Arial" w:hAnsi="Arial"/>
                <w:sz w:val="13"/>
                <w:szCs w:val="13"/>
                <w:b w:val="1"/>
                <w:bCs w:val="1"/>
                <w:color w:val="105EAB"/>
              </w:rPr>
              <w:t>Mr. Shapiro</w:t>
            </w:r>
          </w:p>
        </w:tc>
        <w:tc>
          <w:tcPr>
            <w:tcW w:w="2060" w:type="dxa"/>
            <w:vAlign w:val="bottom"/>
          </w:tcPr>
          <w:p>
            <w:pPr>
              <w:jc w:val="right"/>
              <w:ind w:right="73"/>
              <w:spacing w:after="0"/>
              <w:rPr>
                <w:sz w:val="20"/>
                <w:szCs w:val="20"/>
                <w:color w:val="auto"/>
              </w:rPr>
            </w:pPr>
            <w:r>
              <w:rPr>
                <w:rFonts w:ascii="Arial" w:cs="Arial" w:eastAsia="Arial" w:hAnsi="Arial"/>
                <w:sz w:val="13"/>
                <w:szCs w:val="13"/>
                <w:color w:val="auto"/>
              </w:rPr>
              <w:t>N/A</w:t>
            </w:r>
          </w:p>
        </w:tc>
        <w:tc>
          <w:tcPr>
            <w:tcW w:w="2180" w:type="dxa"/>
            <w:vAlign w:val="bottom"/>
          </w:tcPr>
          <w:p>
            <w:pPr>
              <w:jc w:val="right"/>
              <w:ind w:right="73"/>
              <w:spacing w:after="0"/>
              <w:rPr>
                <w:sz w:val="20"/>
                <w:szCs w:val="20"/>
                <w:color w:val="auto"/>
              </w:rPr>
            </w:pPr>
            <w:r>
              <w:rPr>
                <w:rFonts w:ascii="Arial" w:cs="Arial" w:eastAsia="Arial" w:hAnsi="Arial"/>
                <w:sz w:val="13"/>
                <w:szCs w:val="13"/>
                <w:color w:val="auto"/>
              </w:rPr>
              <w:t>11,966</w:t>
            </w:r>
          </w:p>
        </w:tc>
        <w:tc>
          <w:tcPr>
            <w:tcW w:w="2120" w:type="dxa"/>
            <w:vAlign w:val="bottom"/>
          </w:tcPr>
          <w:p>
            <w:pPr>
              <w:jc w:val="right"/>
              <w:ind w:right="13"/>
              <w:spacing w:after="0"/>
              <w:rPr>
                <w:sz w:val="20"/>
                <w:szCs w:val="20"/>
                <w:color w:val="auto"/>
              </w:rPr>
            </w:pPr>
            <w:r>
              <w:rPr>
                <w:rFonts w:ascii="Arial" w:cs="Arial" w:eastAsia="Arial" w:hAnsi="Arial"/>
                <w:sz w:val="13"/>
                <w:szCs w:val="13"/>
                <w:color w:val="auto"/>
              </w:rPr>
              <w:t>15,760</w:t>
            </w:r>
          </w:p>
        </w:tc>
      </w:tr>
      <w:tr>
        <w:trPr>
          <w:trHeight w:val="41"/>
        </w:trPr>
        <w:tc>
          <w:tcPr>
            <w:tcW w:w="5060" w:type="dxa"/>
            <w:vAlign w:val="bottom"/>
            <w:tcBorders>
              <w:bottom w:val="single" w:sz="8" w:color="DFF1FB"/>
            </w:tcBorders>
          </w:tcPr>
          <w:p>
            <w:pPr>
              <w:spacing w:after="0"/>
              <w:rPr>
                <w:sz w:val="3"/>
                <w:szCs w:val="3"/>
                <w:color w:val="auto"/>
              </w:rPr>
            </w:pPr>
          </w:p>
        </w:tc>
        <w:tc>
          <w:tcPr>
            <w:tcW w:w="2060" w:type="dxa"/>
            <w:vAlign w:val="bottom"/>
            <w:tcBorders>
              <w:bottom w:val="single" w:sz="8" w:color="DFF1FB"/>
            </w:tcBorders>
          </w:tcPr>
          <w:p>
            <w:pPr>
              <w:spacing w:after="0"/>
              <w:rPr>
                <w:sz w:val="3"/>
                <w:szCs w:val="3"/>
                <w:color w:val="auto"/>
              </w:rPr>
            </w:pPr>
          </w:p>
        </w:tc>
        <w:tc>
          <w:tcPr>
            <w:tcW w:w="2180" w:type="dxa"/>
            <w:vAlign w:val="bottom"/>
            <w:tcBorders>
              <w:bottom w:val="single" w:sz="8" w:color="DFF1FB"/>
            </w:tcBorders>
          </w:tcPr>
          <w:p>
            <w:pPr>
              <w:spacing w:after="0"/>
              <w:rPr>
                <w:sz w:val="3"/>
                <w:szCs w:val="3"/>
                <w:color w:val="auto"/>
              </w:rPr>
            </w:pPr>
          </w:p>
        </w:tc>
        <w:tc>
          <w:tcPr>
            <w:tcW w:w="2120" w:type="dxa"/>
            <w:vAlign w:val="bottom"/>
            <w:tcBorders>
              <w:bottom w:val="single" w:sz="8" w:color="DFF1FB"/>
            </w:tcBorders>
          </w:tcPr>
          <w:p>
            <w:pPr>
              <w:spacing w:after="0"/>
              <w:rPr>
                <w:sz w:val="3"/>
                <w:szCs w:val="3"/>
                <w:color w:val="auto"/>
              </w:rPr>
            </w:pPr>
          </w:p>
        </w:tc>
      </w:tr>
      <w:tr>
        <w:trPr>
          <w:trHeight w:val="195"/>
        </w:trPr>
        <w:tc>
          <w:tcPr>
            <w:tcW w:w="5060" w:type="dxa"/>
            <w:vAlign w:val="bottom"/>
          </w:tcPr>
          <w:p>
            <w:pPr>
              <w:ind w:left="80"/>
              <w:spacing w:after="0"/>
              <w:rPr>
                <w:sz w:val="20"/>
                <w:szCs w:val="20"/>
                <w:color w:val="auto"/>
              </w:rPr>
            </w:pPr>
            <w:r>
              <w:rPr>
                <w:rFonts w:ascii="Arial" w:cs="Arial" w:eastAsia="Arial" w:hAnsi="Arial"/>
                <w:sz w:val="13"/>
                <w:szCs w:val="13"/>
                <w:b w:val="1"/>
                <w:bCs w:val="1"/>
                <w:color w:val="105EAB"/>
              </w:rPr>
              <w:t>Mr. Shebik</w:t>
            </w:r>
          </w:p>
        </w:tc>
        <w:tc>
          <w:tcPr>
            <w:tcW w:w="2060" w:type="dxa"/>
            <w:vAlign w:val="bottom"/>
          </w:tcPr>
          <w:p>
            <w:pPr>
              <w:jc w:val="right"/>
              <w:ind w:right="73"/>
              <w:spacing w:after="0"/>
              <w:rPr>
                <w:sz w:val="20"/>
                <w:szCs w:val="20"/>
                <w:color w:val="auto"/>
              </w:rPr>
            </w:pPr>
            <w:r>
              <w:rPr>
                <w:rFonts w:ascii="Arial" w:cs="Arial" w:eastAsia="Arial" w:hAnsi="Arial"/>
                <w:sz w:val="13"/>
                <w:szCs w:val="13"/>
                <w:color w:val="auto"/>
              </w:rPr>
              <w:t>26,476</w:t>
            </w:r>
          </w:p>
        </w:tc>
        <w:tc>
          <w:tcPr>
            <w:tcW w:w="2180" w:type="dxa"/>
            <w:vAlign w:val="bottom"/>
          </w:tcPr>
          <w:p>
            <w:pPr>
              <w:jc w:val="right"/>
              <w:ind w:right="73"/>
              <w:spacing w:after="0"/>
              <w:rPr>
                <w:sz w:val="20"/>
                <w:szCs w:val="20"/>
                <w:color w:val="auto"/>
              </w:rPr>
            </w:pPr>
            <w:r>
              <w:rPr>
                <w:rFonts w:ascii="Arial" w:cs="Arial" w:eastAsia="Arial" w:hAnsi="Arial"/>
                <w:sz w:val="13"/>
                <w:szCs w:val="13"/>
                <w:color w:val="auto"/>
              </w:rPr>
              <w:t>25,463</w:t>
            </w:r>
          </w:p>
        </w:tc>
        <w:tc>
          <w:tcPr>
            <w:tcW w:w="2120" w:type="dxa"/>
            <w:vAlign w:val="bottom"/>
          </w:tcPr>
          <w:p>
            <w:pPr>
              <w:jc w:val="right"/>
              <w:ind w:right="13"/>
              <w:spacing w:after="0"/>
              <w:rPr>
                <w:sz w:val="20"/>
                <w:szCs w:val="20"/>
                <w:color w:val="auto"/>
              </w:rPr>
            </w:pPr>
            <w:r>
              <w:rPr>
                <w:rFonts w:ascii="Arial" w:cs="Arial" w:eastAsia="Arial" w:hAnsi="Arial"/>
                <w:sz w:val="13"/>
                <w:szCs w:val="13"/>
                <w:color w:val="auto"/>
              </w:rPr>
              <w:t>19,235</w:t>
            </w:r>
          </w:p>
        </w:tc>
      </w:tr>
      <w:tr>
        <w:trPr>
          <w:trHeight w:val="48"/>
        </w:trPr>
        <w:tc>
          <w:tcPr>
            <w:tcW w:w="5060" w:type="dxa"/>
            <w:vAlign w:val="bottom"/>
            <w:tcBorders>
              <w:bottom w:val="single" w:sz="8" w:color="105EAB"/>
            </w:tcBorders>
          </w:tcPr>
          <w:p>
            <w:pPr>
              <w:spacing w:after="0"/>
              <w:rPr>
                <w:sz w:val="4"/>
                <w:szCs w:val="4"/>
                <w:color w:val="auto"/>
              </w:rPr>
            </w:pPr>
          </w:p>
        </w:tc>
        <w:tc>
          <w:tcPr>
            <w:tcW w:w="2060" w:type="dxa"/>
            <w:vAlign w:val="bottom"/>
            <w:tcBorders>
              <w:bottom w:val="single" w:sz="8" w:color="105EAB"/>
            </w:tcBorders>
          </w:tcPr>
          <w:p>
            <w:pPr>
              <w:spacing w:after="0"/>
              <w:rPr>
                <w:sz w:val="4"/>
                <w:szCs w:val="4"/>
                <w:color w:val="auto"/>
              </w:rPr>
            </w:pPr>
          </w:p>
        </w:tc>
        <w:tc>
          <w:tcPr>
            <w:tcW w:w="2180" w:type="dxa"/>
            <w:vAlign w:val="bottom"/>
            <w:tcBorders>
              <w:bottom w:val="single" w:sz="8" w:color="105EAB"/>
            </w:tcBorders>
          </w:tcPr>
          <w:p>
            <w:pPr>
              <w:spacing w:after="0"/>
              <w:rPr>
                <w:sz w:val="4"/>
                <w:szCs w:val="4"/>
                <w:color w:val="auto"/>
              </w:rPr>
            </w:pPr>
          </w:p>
        </w:tc>
        <w:tc>
          <w:tcPr>
            <w:tcW w:w="2120" w:type="dxa"/>
            <w:vAlign w:val="bottom"/>
            <w:tcBorders>
              <w:bottom w:val="single" w:sz="8" w:color="105EAB"/>
            </w:tcBorders>
          </w:tcPr>
          <w:p>
            <w:pPr>
              <w:spacing w:after="0"/>
              <w:rPr>
                <w:sz w:val="4"/>
                <w:szCs w:val="4"/>
                <w:color w:val="auto"/>
              </w:rPr>
            </w:pPr>
          </w:p>
        </w:tc>
      </w:tr>
    </w:tbl>
    <w:p>
      <w:pPr>
        <w:spacing w:after="0" w:line="107" w:lineRule="exact"/>
        <w:rPr>
          <w:sz w:val="20"/>
          <w:szCs w:val="20"/>
          <w:color w:val="auto"/>
        </w:rPr>
      </w:pPr>
    </w:p>
    <w:p>
      <w:pPr>
        <w:ind w:left="300" w:right="260" w:hanging="292"/>
        <w:spacing w:after="0" w:line="258" w:lineRule="auto"/>
        <w:tabs>
          <w:tab w:leader="none" w:pos="300" w:val="left"/>
        </w:tabs>
        <w:numPr>
          <w:ilvl w:val="0"/>
          <w:numId w:val="183"/>
        </w:numPr>
        <w:rPr>
          <w:rFonts w:ascii="Arial" w:cs="Arial" w:eastAsia="Arial" w:hAnsi="Arial"/>
          <w:sz w:val="11"/>
          <w:szCs w:val="11"/>
          <w:color w:val="auto"/>
        </w:rPr>
      </w:pPr>
      <w:r>
        <w:rPr>
          <w:rFonts w:ascii="Arial" w:cs="Arial" w:eastAsia="Arial" w:hAnsi="Arial"/>
          <w:sz w:val="13"/>
          <w:szCs w:val="13"/>
          <w:color w:val="auto"/>
        </w:rPr>
        <w:t>The actual number of PSAs that will vest will vary from 0% to 200% of the target PSAs based on Average Performance Net Income ROE and Earned Book Value for the measurement period. The number of PSAs that vest will be determined in 2019, 2020, and 2021,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31"/>
          <w:szCs w:val="31"/>
          <w:b w:val="1"/>
          <w:bCs w:val="1"/>
          <w:color w:val="959595"/>
        </w:rPr>
        <w:t>Compensation Committee Report</w:t>
      </w:r>
    </w:p>
    <w:p>
      <w:pPr>
        <w:spacing w:after="0" w:line="258" w:lineRule="exact"/>
        <w:rPr>
          <w:sz w:val="20"/>
          <w:szCs w:val="20"/>
          <w:color w:val="auto"/>
        </w:rPr>
      </w:pPr>
    </w:p>
    <w:p>
      <w:pPr>
        <w:jc w:val="both"/>
        <w:ind w:right="80"/>
        <w:spacing w:after="0" w:line="237" w:lineRule="auto"/>
        <w:rPr>
          <w:sz w:val="20"/>
          <w:szCs w:val="20"/>
          <w:color w:val="auto"/>
        </w:rPr>
      </w:pPr>
      <w:r>
        <w:rPr>
          <w:rFonts w:ascii="Arial" w:cs="Arial" w:eastAsia="Arial" w:hAnsi="Arial"/>
          <w:sz w:val="18"/>
          <w:szCs w:val="18"/>
          <w:color w:val="auto"/>
        </w:rPr>
        <w:t>The committee has reviewed and discussed with management the Compensation Discussion and Analysis contained on pages 34-52 of this proxy statement. Based on such review and discussions, the committee recommended to the Board that the Compensation Discussion and Analysis be included in this proxy statement.</w:t>
      </w:r>
    </w:p>
    <w:p>
      <w:pPr>
        <w:spacing w:after="0" w:line="176" w:lineRule="exact"/>
        <w:rPr>
          <w:sz w:val="20"/>
          <w:szCs w:val="20"/>
          <w:color w:val="auto"/>
        </w:rPr>
      </w:pPr>
    </w:p>
    <w:p>
      <w:pPr>
        <w:spacing w:after="0"/>
        <w:rPr>
          <w:sz w:val="20"/>
          <w:szCs w:val="20"/>
          <w:color w:val="auto"/>
        </w:rPr>
      </w:pPr>
      <w:r>
        <w:rPr>
          <w:rFonts w:ascii="Arial" w:cs="Arial" w:eastAsia="Arial" w:hAnsi="Arial"/>
          <w:sz w:val="25"/>
          <w:szCs w:val="25"/>
          <w:b w:val="1"/>
          <w:bCs w:val="1"/>
          <w:color w:val="105EAB"/>
        </w:rPr>
        <w:t>The Compensation and Succession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179705</wp:posOffset>
            </wp:positionV>
            <wp:extent cx="1079500" cy="24828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079500" cy="248285"/>
                    </a:xfrm>
                    <a:prstGeom prst="rect">
                      <a:avLst/>
                    </a:prstGeom>
                    <a:noFill/>
                  </pic:spPr>
                </pic:pic>
              </a:graphicData>
            </a:graphic>
          </wp:anchor>
        </w:drawing>
        <w:drawing>
          <wp:anchor simplePos="0" relativeHeight="251657728" behindDoc="1" locked="0" layoutInCell="0" allowOverlap="1">
            <wp:simplePos x="0" y="0"/>
            <wp:positionH relativeFrom="column">
              <wp:posOffset>2240915</wp:posOffset>
            </wp:positionH>
            <wp:positionV relativeFrom="paragraph">
              <wp:posOffset>162560</wp:posOffset>
            </wp:positionV>
            <wp:extent cx="1062355" cy="26543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062355" cy="265430"/>
                    </a:xfrm>
                    <a:prstGeom prst="rect">
                      <a:avLst/>
                    </a:prstGeom>
                    <a:noFill/>
                  </pic:spPr>
                </pic:pic>
              </a:graphicData>
            </a:graphic>
          </wp:anchor>
        </w:drawing>
        <w:drawing>
          <wp:anchor simplePos="0" relativeHeight="251657728" behindDoc="1" locked="0" layoutInCell="0" allowOverlap="1">
            <wp:simplePos x="0" y="0"/>
            <wp:positionH relativeFrom="column">
              <wp:posOffset>4219575</wp:posOffset>
            </wp:positionH>
            <wp:positionV relativeFrom="paragraph">
              <wp:posOffset>247650</wp:posOffset>
            </wp:positionV>
            <wp:extent cx="882015" cy="17970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882015" cy="179705"/>
                    </a:xfrm>
                    <a:prstGeom prst="rect">
                      <a:avLst/>
                    </a:prstGeom>
                    <a:noFill/>
                  </pic:spPr>
                </pic:pic>
              </a:graphicData>
            </a:graphic>
          </wp:anchor>
        </w:drawing>
        <w:drawing>
          <wp:anchor simplePos="0" relativeHeight="251657728" behindDoc="1" locked="0" layoutInCell="0" allowOverlap="1">
            <wp:simplePos x="0" y="0"/>
            <wp:positionH relativeFrom="column">
              <wp:posOffset>5923915</wp:posOffset>
            </wp:positionH>
            <wp:positionV relativeFrom="paragraph">
              <wp:posOffset>179705</wp:posOffset>
            </wp:positionV>
            <wp:extent cx="1028065" cy="24828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028065" cy="248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20"/>
        <w:spacing w:after="0"/>
        <w:tabs>
          <w:tab w:leader="none" w:pos="3600" w:val="left"/>
          <w:tab w:leader="none" w:pos="6660" w:val="left"/>
          <w:tab w:leader="none" w:pos="9420" w:val="left"/>
        </w:tabs>
        <w:rPr>
          <w:sz w:val="20"/>
          <w:szCs w:val="20"/>
          <w:color w:val="auto"/>
        </w:rPr>
      </w:pPr>
      <w:r>
        <w:rPr>
          <w:rFonts w:ascii="Arial" w:cs="Arial" w:eastAsia="Arial" w:hAnsi="Arial"/>
          <w:sz w:val="13"/>
          <w:szCs w:val="13"/>
          <w:b w:val="1"/>
          <w:bCs w:val="1"/>
          <w:color w:val="105EAB"/>
        </w:rPr>
        <w:t>MICHAEL L. ESKEW (CHAIR)</w:t>
      </w:r>
      <w:r>
        <w:rPr>
          <w:sz w:val="20"/>
          <w:szCs w:val="20"/>
          <w:color w:val="auto"/>
        </w:rPr>
        <w:tab/>
      </w:r>
      <w:r>
        <w:rPr>
          <w:rFonts w:ascii="Arial" w:cs="Arial" w:eastAsia="Arial" w:hAnsi="Arial"/>
          <w:sz w:val="13"/>
          <w:szCs w:val="13"/>
          <w:b w:val="1"/>
          <w:bCs w:val="1"/>
          <w:color w:val="105EAB"/>
        </w:rPr>
        <w:t>MARGARET M. KEANE</w:t>
      </w:r>
      <w:r>
        <w:rPr>
          <w:sz w:val="20"/>
          <w:szCs w:val="20"/>
          <w:color w:val="auto"/>
        </w:rPr>
        <w:tab/>
      </w:r>
      <w:r>
        <w:rPr>
          <w:rFonts w:ascii="Arial" w:cs="Arial" w:eastAsia="Arial" w:hAnsi="Arial"/>
          <w:sz w:val="13"/>
          <w:szCs w:val="13"/>
          <w:b w:val="1"/>
          <w:bCs w:val="1"/>
          <w:color w:val="105EAB"/>
        </w:rPr>
        <w:t>ANDREA REDMOND</w:t>
      </w:r>
      <w:r>
        <w:rPr>
          <w:sz w:val="20"/>
          <w:szCs w:val="20"/>
          <w:color w:val="auto"/>
        </w:rPr>
        <w:tab/>
      </w:r>
      <w:r>
        <w:rPr>
          <w:rFonts w:ascii="Arial" w:cs="Arial" w:eastAsia="Arial" w:hAnsi="Arial"/>
          <w:sz w:val="13"/>
          <w:szCs w:val="13"/>
          <w:b w:val="1"/>
          <w:bCs w:val="1"/>
          <w:color w:val="105EAB"/>
        </w:rPr>
        <w:t>PERRY M. TRAQUINA</w:t>
      </w:r>
    </w:p>
    <w:p>
      <w:pPr>
        <w:spacing w:after="0" w:line="231" w:lineRule="exact"/>
        <w:rPr>
          <w:sz w:val="20"/>
          <w:szCs w:val="20"/>
          <w:color w:val="auto"/>
        </w:rPr>
      </w:pPr>
    </w:p>
    <w:p>
      <w:pPr>
        <w:ind w:left="460" w:hanging="452"/>
        <w:spacing w:after="0"/>
        <w:tabs>
          <w:tab w:leader="none" w:pos="460" w:val="left"/>
        </w:tabs>
        <w:numPr>
          <w:ilvl w:val="0"/>
          <w:numId w:val="184"/>
        </w:numPr>
        <w:rPr>
          <w:rFonts w:ascii="Arial" w:cs="Arial" w:eastAsia="Arial" w:hAnsi="Arial"/>
          <w:sz w:val="13"/>
          <w:szCs w:val="13"/>
          <w:b w:val="1"/>
          <w:bCs w:val="1"/>
          <w:color w:val="105EAB"/>
        </w:rPr>
      </w:pPr>
      <w:r>
        <w:rPr>
          <w:rFonts w:ascii="Arial" w:cs="Arial" w:eastAsia="Arial" w:hAnsi="Arial"/>
          <w:sz w:val="13"/>
          <w:szCs w:val="13"/>
          <w:color w:val="105EAB"/>
        </w:rPr>
        <w:t>www.allstateproxy.com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134620</wp:posOffset>
            </wp:positionV>
            <wp:extent cx="7268210" cy="209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jc w:val="right"/>
        <w:ind w:right="20"/>
        <w:spacing w:after="0"/>
        <w:rPr>
          <w:sz w:val="20"/>
          <w:szCs w:val="20"/>
          <w:color w:val="auto"/>
        </w:rPr>
      </w:pPr>
      <w:r>
        <w:rPr>
          <w:rFonts w:ascii="Arial" w:cs="Arial" w:eastAsia="Arial" w:hAnsi="Arial"/>
          <w:sz w:val="13"/>
          <w:szCs w:val="13"/>
          <w:b w:val="1"/>
          <w:bCs w:val="1"/>
          <w:color w:val="auto"/>
        </w:rPr>
        <w:t xml:space="preserve">Summary Compensation Table </w:t>
      </w:r>
      <w:r>
        <w:rPr>
          <w:rFonts w:ascii="Arial" w:cs="Arial" w:eastAsia="Arial" w:hAnsi="Arial"/>
          <w:sz w:val="13"/>
          <w:szCs w:val="13"/>
          <w:b w:val="1"/>
          <w:bCs w:val="1"/>
          <w:color w:val="105EAB"/>
        </w:rPr>
        <w:t>| Executive Compensation</w:t>
      </w:r>
    </w:p>
    <w:p>
      <w:pPr>
        <w:spacing w:after="0" w:line="200" w:lineRule="exact"/>
        <w:rPr>
          <w:sz w:val="20"/>
          <w:szCs w:val="20"/>
          <w:color w:val="auto"/>
        </w:rPr>
      </w:pPr>
    </w:p>
    <w:p>
      <w:pPr>
        <w:spacing w:after="0"/>
        <w:rPr>
          <w:sz w:val="20"/>
          <w:szCs w:val="20"/>
          <w:color w:val="auto"/>
        </w:rPr>
      </w:pPr>
      <w:r>
        <w:rPr>
          <w:rFonts w:ascii="Arial" w:cs="Arial" w:eastAsia="Arial" w:hAnsi="Arial"/>
          <w:sz w:val="31"/>
          <w:szCs w:val="31"/>
          <w:b w:val="1"/>
          <w:bCs w:val="1"/>
          <w:color w:val="959595"/>
        </w:rPr>
        <w:t>Summary Compensation Table</w:t>
      </w:r>
    </w:p>
    <w:p>
      <w:pPr>
        <w:spacing w:after="0" w:line="258"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The following table summarizes the compensation of the named executives for the last three fiscal years. However, for Messrs. Rizzo and Shapiro, only the last fiscal year is shown since this is their first year as a named executive. For Mr. Dugenske, only the last two fiscal years are shown since this is his second year as a named executive.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gridSpan w:val="2"/>
          </w:tcPr>
          <w:p>
            <w:pPr>
              <w:jc w:val="right"/>
              <w:spacing w:after="0"/>
              <w:rPr>
                <w:sz w:val="20"/>
                <w:szCs w:val="20"/>
                <w:color w:val="auto"/>
              </w:rPr>
            </w:pPr>
            <w:r>
              <w:rPr>
                <w:rFonts w:ascii="Arial" w:cs="Arial" w:eastAsia="Arial" w:hAnsi="Arial"/>
                <w:sz w:val="13"/>
                <w:szCs w:val="13"/>
                <w:b w:val="1"/>
                <w:bCs w:val="1"/>
                <w:color w:val="105FAB"/>
              </w:rPr>
              <w:t>Change in</w:t>
            </w: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20" w:type="dxa"/>
            <w:vAlign w:val="bottom"/>
            <w:shd w:val="clear" w:color="auto" w:fill="EFF8FA"/>
          </w:tcPr>
          <w:p>
            <w:pPr>
              <w:spacing w:after="0"/>
              <w:rPr>
                <w:sz w:val="13"/>
                <w:szCs w:val="13"/>
                <w:color w:val="auto"/>
              </w:rPr>
            </w:pPr>
          </w:p>
        </w:tc>
        <w:tc>
          <w:tcPr>
            <w:tcW w:w="200" w:type="dxa"/>
            <w:vAlign w:val="bottom"/>
            <w:shd w:val="clear" w:color="auto" w:fill="EFF8FA"/>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60" w:type="dxa"/>
            <w:vAlign w:val="bottom"/>
            <w:gridSpan w:val="2"/>
          </w:tcPr>
          <w:p>
            <w:pPr>
              <w:jc w:val="right"/>
              <w:spacing w:after="0" w:line="149" w:lineRule="exact"/>
              <w:rPr>
                <w:sz w:val="20"/>
                <w:szCs w:val="20"/>
                <w:color w:val="auto"/>
              </w:rPr>
            </w:pPr>
            <w:r>
              <w:rPr>
                <w:rFonts w:ascii="Arial" w:cs="Arial" w:eastAsia="Arial" w:hAnsi="Arial"/>
                <w:sz w:val="13"/>
                <w:szCs w:val="13"/>
                <w:b w:val="1"/>
                <w:bCs w:val="1"/>
                <w:color w:val="105FAB"/>
              </w:rPr>
              <w:t>Pension</w:t>
            </w: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20" w:type="dxa"/>
            <w:vAlign w:val="bottom"/>
            <w:shd w:val="clear" w:color="auto" w:fill="EFF8FA"/>
          </w:tcPr>
          <w:p>
            <w:pPr>
              <w:spacing w:after="0"/>
              <w:rPr>
                <w:sz w:val="12"/>
                <w:szCs w:val="12"/>
                <w:color w:val="auto"/>
              </w:rPr>
            </w:pPr>
          </w:p>
        </w:tc>
        <w:tc>
          <w:tcPr>
            <w:tcW w:w="200" w:type="dxa"/>
            <w:vAlign w:val="bottom"/>
            <w:shd w:val="clear" w:color="auto" w:fill="EFF8FA"/>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60" w:type="dxa"/>
            <w:vAlign w:val="bottom"/>
            <w:gridSpan w:val="2"/>
          </w:tcPr>
          <w:p>
            <w:pPr>
              <w:jc w:val="right"/>
              <w:spacing w:after="0" w:line="149" w:lineRule="exact"/>
              <w:rPr>
                <w:sz w:val="20"/>
                <w:szCs w:val="20"/>
                <w:color w:val="auto"/>
              </w:rPr>
            </w:pPr>
            <w:r>
              <w:rPr>
                <w:rFonts w:ascii="Arial" w:cs="Arial" w:eastAsia="Arial" w:hAnsi="Arial"/>
                <w:sz w:val="13"/>
                <w:szCs w:val="13"/>
                <w:b w:val="1"/>
                <w:bCs w:val="1"/>
                <w:color w:val="105FAB"/>
              </w:rPr>
              <w:t>Value and</w:t>
            </w: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gridSpan w:val="2"/>
            <w:shd w:val="clear" w:color="auto" w:fill="EFF8FA"/>
          </w:tcPr>
          <w:p>
            <w:pPr>
              <w:jc w:val="right"/>
              <w:ind w:right="29"/>
              <w:spacing w:after="0" w:line="149" w:lineRule="exact"/>
              <w:rPr>
                <w:sz w:val="20"/>
                <w:szCs w:val="20"/>
                <w:color w:val="auto"/>
              </w:rPr>
            </w:pPr>
            <w:r>
              <w:rPr>
                <w:rFonts w:ascii="Arial" w:cs="Arial" w:eastAsia="Arial" w:hAnsi="Arial"/>
                <w:sz w:val="13"/>
                <w:szCs w:val="13"/>
                <w:b w:val="1"/>
                <w:bCs w:val="1"/>
                <w:color w:val="105FAB"/>
              </w:rPr>
              <w:t>Total</w:t>
            </w: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60" w:type="dxa"/>
            <w:vAlign w:val="bottom"/>
            <w:gridSpan w:val="2"/>
          </w:tcPr>
          <w:p>
            <w:pPr>
              <w:jc w:val="right"/>
              <w:spacing w:after="0" w:line="149" w:lineRule="exact"/>
              <w:rPr>
                <w:sz w:val="20"/>
                <w:szCs w:val="20"/>
                <w:color w:val="auto"/>
              </w:rPr>
            </w:pPr>
            <w:r>
              <w:rPr>
                <w:rFonts w:ascii="Arial" w:cs="Arial" w:eastAsia="Arial" w:hAnsi="Arial"/>
                <w:sz w:val="13"/>
                <w:szCs w:val="13"/>
                <w:b w:val="1"/>
                <w:bCs w:val="1"/>
                <w:color w:val="105FAB"/>
              </w:rPr>
              <w:t>Non-qualified</w:t>
            </w: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gridSpan w:val="2"/>
            <w:shd w:val="clear" w:color="auto" w:fill="EFF8FA"/>
          </w:tcPr>
          <w:p>
            <w:pPr>
              <w:jc w:val="right"/>
              <w:ind w:right="29"/>
              <w:spacing w:after="0" w:line="149" w:lineRule="exact"/>
              <w:rPr>
                <w:sz w:val="20"/>
                <w:szCs w:val="20"/>
                <w:color w:val="auto"/>
              </w:rPr>
            </w:pPr>
            <w:r>
              <w:rPr>
                <w:rFonts w:ascii="Arial" w:cs="Arial" w:eastAsia="Arial" w:hAnsi="Arial"/>
                <w:sz w:val="13"/>
                <w:szCs w:val="13"/>
                <w:b w:val="1"/>
                <w:bCs w:val="1"/>
                <w:color w:val="105FAB"/>
              </w:rPr>
              <w:t>Without</w:t>
            </w:r>
          </w:p>
        </w:tc>
        <w:tc>
          <w:tcPr>
            <w:tcW w:w="0" w:type="dxa"/>
            <w:vAlign w:val="bottom"/>
          </w:tcPr>
          <w:p>
            <w:pPr>
              <w:spacing w:after="0"/>
              <w:rPr>
                <w:sz w:val="1"/>
                <w:szCs w:val="1"/>
                <w:color w:val="auto"/>
              </w:rPr>
            </w:pPr>
          </w:p>
        </w:tc>
      </w:tr>
      <w:tr>
        <w:trPr>
          <w:trHeight w:val="179"/>
        </w:trPr>
        <w:tc>
          <w:tcPr>
            <w:tcW w:w="3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b w:val="1"/>
                <w:bCs w:val="1"/>
                <w:color w:val="105FAB"/>
              </w:rPr>
              <w:t>Non-Equity</w:t>
            </w:r>
          </w:p>
        </w:tc>
        <w:tc>
          <w:tcPr>
            <w:tcW w:w="1060" w:type="dxa"/>
            <w:vAlign w:val="bottom"/>
            <w:gridSpan w:val="2"/>
          </w:tcPr>
          <w:p>
            <w:pPr>
              <w:jc w:val="right"/>
              <w:spacing w:after="0"/>
              <w:rPr>
                <w:sz w:val="20"/>
                <w:szCs w:val="20"/>
                <w:color w:val="auto"/>
              </w:rPr>
            </w:pPr>
            <w:r>
              <w:rPr>
                <w:rFonts w:ascii="Arial" w:cs="Arial" w:eastAsia="Arial" w:hAnsi="Arial"/>
                <w:sz w:val="13"/>
                <w:szCs w:val="13"/>
                <w:b w:val="1"/>
                <w:bCs w:val="1"/>
                <w:color w:val="105FAB"/>
              </w:rPr>
              <w:t>Deferred</w:t>
            </w: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gridSpan w:val="2"/>
            <w:shd w:val="clear" w:color="auto" w:fill="EFF8FA"/>
          </w:tcPr>
          <w:p>
            <w:pPr>
              <w:jc w:val="right"/>
              <w:ind w:right="29"/>
              <w:spacing w:after="0"/>
              <w:rPr>
                <w:sz w:val="20"/>
                <w:szCs w:val="20"/>
                <w:color w:val="auto"/>
              </w:rPr>
            </w:pPr>
            <w:r>
              <w:rPr>
                <w:rFonts w:ascii="Arial" w:cs="Arial" w:eastAsia="Arial" w:hAnsi="Arial"/>
                <w:sz w:val="13"/>
                <w:szCs w:val="13"/>
                <w:b w:val="1"/>
                <w:bCs w:val="1"/>
                <w:color w:val="105FAB"/>
              </w:rPr>
              <w:t>Change in</w:t>
            </w: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3"/>
                <w:szCs w:val="13"/>
                <w:b w:val="1"/>
                <w:bCs w:val="1"/>
                <w:color w:val="105FAB"/>
              </w:rPr>
              <w:t>Stock</w:t>
            </w:r>
          </w:p>
        </w:tc>
        <w:tc>
          <w:tcPr>
            <w:tcW w:w="720" w:type="dxa"/>
            <w:vAlign w:val="bottom"/>
            <w:gridSpan w:val="2"/>
          </w:tcPr>
          <w:p>
            <w:pPr>
              <w:jc w:val="right"/>
              <w:ind w:right="9"/>
              <w:spacing w:after="0" w:line="149" w:lineRule="exact"/>
              <w:rPr>
                <w:sz w:val="20"/>
                <w:szCs w:val="20"/>
                <w:color w:val="auto"/>
              </w:rPr>
            </w:pPr>
            <w:r>
              <w:rPr>
                <w:rFonts w:ascii="Arial" w:cs="Arial" w:eastAsia="Arial" w:hAnsi="Arial"/>
                <w:sz w:val="13"/>
                <w:szCs w:val="13"/>
                <w:b w:val="1"/>
                <w:bCs w:val="1"/>
                <w:color w:val="105FAB"/>
              </w:rPr>
              <w:t>Option</w:t>
            </w:r>
          </w:p>
        </w:tc>
        <w:tc>
          <w:tcPr>
            <w:tcW w:w="1040" w:type="dxa"/>
            <w:vAlign w:val="bottom"/>
          </w:tcPr>
          <w:p>
            <w:pPr>
              <w:jc w:val="right"/>
              <w:spacing w:after="0" w:line="149" w:lineRule="exact"/>
              <w:rPr>
                <w:sz w:val="20"/>
                <w:szCs w:val="20"/>
                <w:color w:val="auto"/>
              </w:rPr>
            </w:pPr>
            <w:r>
              <w:rPr>
                <w:rFonts w:ascii="Arial" w:cs="Arial" w:eastAsia="Arial" w:hAnsi="Arial"/>
                <w:sz w:val="13"/>
                <w:szCs w:val="13"/>
                <w:b w:val="1"/>
                <w:bCs w:val="1"/>
                <w:color w:val="105FAB"/>
              </w:rPr>
              <w:t>Incentive Plan</w:t>
            </w:r>
          </w:p>
        </w:tc>
        <w:tc>
          <w:tcPr>
            <w:tcW w:w="1060" w:type="dxa"/>
            <w:vAlign w:val="bottom"/>
            <w:gridSpan w:val="2"/>
          </w:tcPr>
          <w:p>
            <w:pPr>
              <w:jc w:val="right"/>
              <w:spacing w:after="0" w:line="149" w:lineRule="exact"/>
              <w:rPr>
                <w:sz w:val="20"/>
                <w:szCs w:val="20"/>
                <w:color w:val="auto"/>
              </w:rPr>
            </w:pPr>
            <w:r>
              <w:rPr>
                <w:rFonts w:ascii="Arial" w:cs="Arial" w:eastAsia="Arial" w:hAnsi="Arial"/>
                <w:sz w:val="13"/>
                <w:szCs w:val="13"/>
                <w:b w:val="1"/>
                <w:bCs w:val="1"/>
                <w:color w:val="105FAB"/>
              </w:rPr>
              <w:t>Compensation</w:t>
            </w:r>
          </w:p>
        </w:tc>
        <w:tc>
          <w:tcPr>
            <w:tcW w:w="1060" w:type="dxa"/>
            <w:vAlign w:val="bottom"/>
            <w:gridSpan w:val="2"/>
          </w:tcPr>
          <w:p>
            <w:pPr>
              <w:jc w:val="right"/>
              <w:ind w:right="9"/>
              <w:spacing w:after="0" w:line="149" w:lineRule="exact"/>
              <w:rPr>
                <w:sz w:val="20"/>
                <w:szCs w:val="20"/>
                <w:color w:val="auto"/>
              </w:rPr>
            </w:pPr>
            <w:r>
              <w:rPr>
                <w:rFonts w:ascii="Arial" w:cs="Arial" w:eastAsia="Arial" w:hAnsi="Arial"/>
                <w:sz w:val="13"/>
                <w:szCs w:val="13"/>
                <w:b w:val="1"/>
                <w:bCs w:val="1"/>
                <w:color w:val="105FAB"/>
              </w:rPr>
              <w:t>All Other</w:t>
            </w:r>
          </w:p>
        </w:tc>
        <w:tc>
          <w:tcPr>
            <w:tcW w:w="840" w:type="dxa"/>
            <w:vAlign w:val="bottom"/>
          </w:tcPr>
          <w:p>
            <w:pPr>
              <w:spacing w:after="0"/>
              <w:rPr>
                <w:sz w:val="12"/>
                <w:szCs w:val="12"/>
                <w:color w:val="auto"/>
              </w:rPr>
            </w:pPr>
          </w:p>
        </w:tc>
        <w:tc>
          <w:tcPr>
            <w:tcW w:w="820" w:type="dxa"/>
            <w:vAlign w:val="bottom"/>
            <w:gridSpan w:val="2"/>
            <w:shd w:val="clear" w:color="auto" w:fill="EFF8FA"/>
          </w:tcPr>
          <w:p>
            <w:pPr>
              <w:jc w:val="right"/>
              <w:ind w:right="29"/>
              <w:spacing w:after="0" w:line="149" w:lineRule="exact"/>
              <w:rPr>
                <w:sz w:val="20"/>
                <w:szCs w:val="20"/>
                <w:color w:val="auto"/>
              </w:rPr>
            </w:pPr>
            <w:r>
              <w:rPr>
                <w:rFonts w:ascii="Arial" w:cs="Arial" w:eastAsia="Arial" w:hAnsi="Arial"/>
                <w:sz w:val="13"/>
                <w:szCs w:val="13"/>
                <w:b w:val="1"/>
                <w:bCs w:val="1"/>
                <w:color w:val="105FAB"/>
              </w:rPr>
              <w:t>Pension</w:t>
            </w:r>
          </w:p>
        </w:tc>
        <w:tc>
          <w:tcPr>
            <w:tcW w:w="0" w:type="dxa"/>
            <w:vAlign w:val="bottom"/>
          </w:tcPr>
          <w:p>
            <w:pPr>
              <w:spacing w:after="0"/>
              <w:rPr>
                <w:sz w:val="1"/>
                <w:szCs w:val="1"/>
                <w:color w:val="auto"/>
              </w:rPr>
            </w:pPr>
          </w:p>
        </w:tc>
      </w:tr>
      <w:tr>
        <w:trPr>
          <w:trHeight w:val="148"/>
        </w:trPr>
        <w:tc>
          <w:tcPr>
            <w:tcW w:w="3360" w:type="dxa"/>
            <w:vAlign w:val="bottom"/>
            <w:gridSpan w:val="2"/>
          </w:tcPr>
          <w:p>
            <w:pPr>
              <w:ind w:left="80"/>
              <w:spacing w:after="0" w:line="149" w:lineRule="exact"/>
              <w:rPr>
                <w:sz w:val="20"/>
                <w:szCs w:val="20"/>
                <w:color w:val="auto"/>
              </w:rPr>
            </w:pPr>
            <w:r>
              <w:rPr>
                <w:rFonts w:ascii="Arial" w:cs="Arial" w:eastAsia="Arial" w:hAnsi="Arial"/>
                <w:sz w:val="13"/>
                <w:szCs w:val="13"/>
                <w:b w:val="1"/>
                <w:bCs w:val="1"/>
                <w:color w:val="105FAB"/>
              </w:rPr>
              <w:t>Name and</w:t>
            </w:r>
          </w:p>
        </w:tc>
        <w:tc>
          <w:tcPr>
            <w:tcW w:w="3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3"/>
                <w:szCs w:val="13"/>
                <w:b w:val="1"/>
                <w:bCs w:val="1"/>
                <w:color w:val="105FAB"/>
              </w:rPr>
              <w:t>Salary</w:t>
            </w:r>
          </w:p>
        </w:tc>
        <w:tc>
          <w:tcPr>
            <w:tcW w:w="720" w:type="dxa"/>
            <w:vAlign w:val="bottom"/>
            <w:gridSpan w:val="2"/>
          </w:tcPr>
          <w:p>
            <w:pPr>
              <w:jc w:val="center"/>
              <w:ind w:left="113"/>
              <w:spacing w:after="0" w:line="149" w:lineRule="exact"/>
              <w:rPr>
                <w:sz w:val="20"/>
                <w:szCs w:val="20"/>
                <w:color w:val="auto"/>
              </w:rPr>
            </w:pPr>
            <w:r>
              <w:rPr>
                <w:rFonts w:ascii="Arial" w:cs="Arial" w:eastAsia="Arial" w:hAnsi="Arial"/>
                <w:sz w:val="13"/>
                <w:szCs w:val="13"/>
                <w:b w:val="1"/>
                <w:bCs w:val="1"/>
                <w:color w:val="105FAB"/>
              </w:rPr>
              <w:t>Bonus</w:t>
            </w:r>
          </w:p>
        </w:tc>
        <w:tc>
          <w:tcPr>
            <w:tcW w:w="720" w:type="dxa"/>
            <w:vAlign w:val="bottom"/>
          </w:tcPr>
          <w:p>
            <w:pPr>
              <w:jc w:val="right"/>
              <w:spacing w:after="0" w:line="149" w:lineRule="exact"/>
              <w:rPr>
                <w:sz w:val="20"/>
                <w:szCs w:val="20"/>
                <w:color w:val="auto"/>
              </w:rPr>
            </w:pPr>
            <w:r>
              <w:rPr>
                <w:rFonts w:ascii="Arial" w:cs="Arial" w:eastAsia="Arial" w:hAnsi="Arial"/>
                <w:sz w:val="13"/>
                <w:szCs w:val="13"/>
                <w:b w:val="1"/>
                <w:bCs w:val="1"/>
                <w:color w:val="105FAB"/>
              </w:rPr>
              <w:t>Awards</w:t>
            </w:r>
          </w:p>
        </w:tc>
        <w:tc>
          <w:tcPr>
            <w:tcW w:w="720" w:type="dxa"/>
            <w:vAlign w:val="bottom"/>
            <w:gridSpan w:val="2"/>
          </w:tcPr>
          <w:p>
            <w:pPr>
              <w:jc w:val="right"/>
              <w:ind w:right="9"/>
              <w:spacing w:after="0" w:line="149" w:lineRule="exact"/>
              <w:rPr>
                <w:sz w:val="20"/>
                <w:szCs w:val="20"/>
                <w:color w:val="auto"/>
              </w:rPr>
            </w:pPr>
            <w:r>
              <w:rPr>
                <w:rFonts w:ascii="Arial" w:cs="Arial" w:eastAsia="Arial" w:hAnsi="Arial"/>
                <w:sz w:val="13"/>
                <w:szCs w:val="13"/>
                <w:b w:val="1"/>
                <w:bCs w:val="1"/>
                <w:color w:val="105FAB"/>
              </w:rPr>
              <w:t>Awards</w:t>
            </w:r>
          </w:p>
        </w:tc>
        <w:tc>
          <w:tcPr>
            <w:tcW w:w="1040" w:type="dxa"/>
            <w:vAlign w:val="bottom"/>
          </w:tcPr>
          <w:p>
            <w:pPr>
              <w:jc w:val="right"/>
              <w:spacing w:after="0" w:line="149" w:lineRule="exact"/>
              <w:rPr>
                <w:sz w:val="20"/>
                <w:szCs w:val="20"/>
                <w:color w:val="auto"/>
              </w:rPr>
            </w:pPr>
            <w:r>
              <w:rPr>
                <w:rFonts w:ascii="Arial" w:cs="Arial" w:eastAsia="Arial" w:hAnsi="Arial"/>
                <w:sz w:val="13"/>
                <w:szCs w:val="13"/>
                <w:b w:val="1"/>
                <w:bCs w:val="1"/>
                <w:color w:val="105FAB"/>
              </w:rPr>
              <w:t>Compensation</w:t>
            </w:r>
          </w:p>
        </w:tc>
        <w:tc>
          <w:tcPr>
            <w:tcW w:w="1060" w:type="dxa"/>
            <w:vAlign w:val="bottom"/>
            <w:gridSpan w:val="2"/>
          </w:tcPr>
          <w:p>
            <w:pPr>
              <w:jc w:val="right"/>
              <w:spacing w:after="0" w:line="149" w:lineRule="exact"/>
              <w:rPr>
                <w:sz w:val="20"/>
                <w:szCs w:val="20"/>
                <w:color w:val="auto"/>
              </w:rPr>
            </w:pPr>
            <w:r>
              <w:rPr>
                <w:rFonts w:ascii="Arial" w:cs="Arial" w:eastAsia="Arial" w:hAnsi="Arial"/>
                <w:sz w:val="13"/>
                <w:szCs w:val="13"/>
                <w:b w:val="1"/>
                <w:bCs w:val="1"/>
                <w:color w:val="105FAB"/>
              </w:rPr>
              <w:t>Earnings</w:t>
            </w:r>
          </w:p>
        </w:tc>
        <w:tc>
          <w:tcPr>
            <w:tcW w:w="1060" w:type="dxa"/>
            <w:vAlign w:val="bottom"/>
            <w:gridSpan w:val="2"/>
          </w:tcPr>
          <w:p>
            <w:pPr>
              <w:jc w:val="right"/>
              <w:ind w:right="9"/>
              <w:spacing w:after="0" w:line="149" w:lineRule="exact"/>
              <w:rPr>
                <w:sz w:val="20"/>
                <w:szCs w:val="20"/>
                <w:color w:val="auto"/>
              </w:rPr>
            </w:pPr>
            <w:r>
              <w:rPr>
                <w:rFonts w:ascii="Arial" w:cs="Arial" w:eastAsia="Arial" w:hAnsi="Arial"/>
                <w:sz w:val="13"/>
                <w:szCs w:val="13"/>
                <w:b w:val="1"/>
                <w:bCs w:val="1"/>
                <w:color w:val="105FAB"/>
              </w:rPr>
              <w:t>Compensation</w:t>
            </w:r>
          </w:p>
        </w:tc>
        <w:tc>
          <w:tcPr>
            <w:tcW w:w="840" w:type="dxa"/>
            <w:vAlign w:val="bottom"/>
          </w:tcPr>
          <w:p>
            <w:pPr>
              <w:jc w:val="right"/>
              <w:ind w:right="53"/>
              <w:spacing w:after="0" w:line="149" w:lineRule="exact"/>
              <w:rPr>
                <w:sz w:val="20"/>
                <w:szCs w:val="20"/>
                <w:color w:val="auto"/>
              </w:rPr>
            </w:pPr>
            <w:r>
              <w:rPr>
                <w:rFonts w:ascii="Arial" w:cs="Arial" w:eastAsia="Arial" w:hAnsi="Arial"/>
                <w:sz w:val="13"/>
                <w:szCs w:val="13"/>
                <w:b w:val="1"/>
                <w:bCs w:val="1"/>
                <w:color w:val="105FAB"/>
              </w:rPr>
              <w:t>Total</w:t>
            </w:r>
          </w:p>
        </w:tc>
        <w:tc>
          <w:tcPr>
            <w:tcW w:w="820" w:type="dxa"/>
            <w:vAlign w:val="bottom"/>
            <w:gridSpan w:val="2"/>
            <w:shd w:val="clear" w:color="auto" w:fill="EFF8FA"/>
          </w:tcPr>
          <w:p>
            <w:pPr>
              <w:jc w:val="right"/>
              <w:ind w:right="29"/>
              <w:spacing w:after="0" w:line="149" w:lineRule="exact"/>
              <w:rPr>
                <w:sz w:val="20"/>
                <w:szCs w:val="20"/>
                <w:color w:val="auto"/>
              </w:rPr>
            </w:pPr>
            <w:r>
              <w:rPr>
                <w:rFonts w:ascii="Arial" w:cs="Arial" w:eastAsia="Arial" w:hAnsi="Arial"/>
                <w:sz w:val="13"/>
                <w:szCs w:val="13"/>
                <w:b w:val="1"/>
                <w:bCs w:val="1"/>
                <w:color w:val="105FAB"/>
              </w:rPr>
              <w:t>Value</w:t>
            </w:r>
          </w:p>
        </w:tc>
        <w:tc>
          <w:tcPr>
            <w:tcW w:w="0" w:type="dxa"/>
            <w:vAlign w:val="bottom"/>
          </w:tcPr>
          <w:p>
            <w:pPr>
              <w:spacing w:after="0"/>
              <w:rPr>
                <w:sz w:val="1"/>
                <w:szCs w:val="1"/>
                <w:color w:val="auto"/>
              </w:rPr>
            </w:pPr>
          </w:p>
        </w:tc>
      </w:tr>
      <w:tr>
        <w:trPr>
          <w:trHeight w:val="94"/>
        </w:trPr>
        <w:tc>
          <w:tcPr>
            <w:tcW w:w="336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105FAB"/>
              </w:rPr>
              <w:t>Principal Position</w:t>
            </w:r>
          </w:p>
        </w:tc>
        <w:tc>
          <w:tcPr>
            <w:tcW w:w="380" w:type="dxa"/>
            <w:vAlign w:val="bottom"/>
            <w:vMerge w:val="restart"/>
          </w:tcPr>
          <w:p>
            <w:pPr>
              <w:jc w:val="right"/>
              <w:spacing w:after="0"/>
              <w:rPr>
                <w:sz w:val="20"/>
                <w:szCs w:val="20"/>
                <w:color w:val="auto"/>
              </w:rPr>
            </w:pPr>
            <w:r>
              <w:rPr>
                <w:rFonts w:ascii="Arial" w:cs="Arial" w:eastAsia="Arial" w:hAnsi="Arial"/>
                <w:sz w:val="13"/>
                <w:szCs w:val="13"/>
                <w:b w:val="1"/>
                <w:bCs w:val="1"/>
                <w:color w:val="105FAB"/>
              </w:rPr>
              <w:t>Year</w:t>
            </w:r>
          </w:p>
        </w:tc>
        <w:tc>
          <w:tcPr>
            <w:tcW w:w="700" w:type="dxa"/>
            <w:vAlign w:val="bottom"/>
            <w:vMerge w:val="restart"/>
          </w:tcPr>
          <w:p>
            <w:pPr>
              <w:jc w:val="right"/>
              <w:spacing w:after="0"/>
              <w:rPr>
                <w:sz w:val="20"/>
                <w:szCs w:val="20"/>
                <w:color w:val="auto"/>
              </w:rPr>
            </w:pPr>
            <w:r>
              <w:rPr>
                <w:rFonts w:ascii="Arial" w:cs="Arial" w:eastAsia="Arial" w:hAnsi="Arial"/>
                <w:sz w:val="13"/>
                <w:szCs w:val="13"/>
                <w:b w:val="1"/>
                <w:bCs w:val="1"/>
                <w:color w:val="105FAB"/>
              </w:rPr>
              <w:t>($)</w:t>
            </w:r>
          </w:p>
        </w:tc>
        <w:tc>
          <w:tcPr>
            <w:tcW w:w="520" w:type="dxa"/>
            <w:vAlign w:val="bottom"/>
            <w:vMerge w:val="restart"/>
          </w:tcPr>
          <w:p>
            <w:pPr>
              <w:jc w:val="right"/>
              <w:spacing w:after="0"/>
              <w:rPr>
                <w:sz w:val="20"/>
                <w:szCs w:val="20"/>
                <w:color w:val="auto"/>
              </w:rPr>
            </w:pPr>
            <w:r>
              <w:rPr>
                <w:rFonts w:ascii="Arial" w:cs="Arial" w:eastAsia="Arial" w:hAnsi="Arial"/>
                <w:sz w:val="13"/>
                <w:szCs w:val="13"/>
                <w:b w:val="1"/>
                <w:bCs w:val="1"/>
                <w:color w:val="105FAB"/>
              </w:rPr>
              <w:t>($)</w:t>
            </w:r>
          </w:p>
        </w:tc>
        <w:tc>
          <w:tcPr>
            <w:tcW w:w="200" w:type="dxa"/>
            <w:vAlign w:val="bottom"/>
          </w:tcPr>
          <w:p>
            <w:pPr>
              <w:jc w:val="right"/>
              <w:spacing w:after="0" w:line="95" w:lineRule="exact"/>
              <w:rPr>
                <w:sz w:val="20"/>
                <w:szCs w:val="20"/>
                <w:color w:val="auto"/>
              </w:rPr>
            </w:pPr>
            <w:r>
              <w:rPr>
                <w:rFonts w:ascii="Arial" w:cs="Arial" w:eastAsia="Arial" w:hAnsi="Arial"/>
                <w:sz w:val="10"/>
                <w:szCs w:val="10"/>
                <w:b w:val="1"/>
                <w:bCs w:val="1"/>
                <w:color w:val="105FAB"/>
                <w:w w:val="97"/>
              </w:rPr>
              <w:t>(1)</w:t>
            </w:r>
          </w:p>
        </w:tc>
        <w:tc>
          <w:tcPr>
            <w:tcW w:w="720" w:type="dxa"/>
            <w:vAlign w:val="bottom"/>
          </w:tcPr>
          <w:p>
            <w:pPr>
              <w:jc w:val="right"/>
              <w:spacing w:after="0" w:line="95" w:lineRule="exact"/>
              <w:rPr>
                <w:sz w:val="20"/>
                <w:szCs w:val="20"/>
                <w:color w:val="auto"/>
              </w:rPr>
            </w:pPr>
            <w:r>
              <w:rPr>
                <w:rFonts w:ascii="Arial" w:cs="Arial" w:eastAsia="Arial" w:hAnsi="Arial"/>
                <w:sz w:val="10"/>
                <w:szCs w:val="10"/>
                <w:b w:val="1"/>
                <w:bCs w:val="1"/>
                <w:color w:val="105FAB"/>
              </w:rPr>
              <w:t>(2)(3)</w:t>
            </w:r>
          </w:p>
        </w:tc>
        <w:tc>
          <w:tcPr>
            <w:tcW w:w="520" w:type="dxa"/>
            <w:vAlign w:val="bottom"/>
            <w:vMerge w:val="restart"/>
          </w:tcPr>
          <w:p>
            <w:pPr>
              <w:jc w:val="right"/>
              <w:spacing w:after="0"/>
              <w:rPr>
                <w:sz w:val="20"/>
                <w:szCs w:val="20"/>
                <w:color w:val="auto"/>
              </w:rPr>
            </w:pPr>
            <w:r>
              <w:rPr>
                <w:rFonts w:ascii="Arial" w:cs="Arial" w:eastAsia="Arial" w:hAnsi="Arial"/>
                <w:sz w:val="13"/>
                <w:szCs w:val="13"/>
                <w:b w:val="1"/>
                <w:bCs w:val="1"/>
                <w:color w:val="105FAB"/>
              </w:rPr>
              <w:t>($)</w:t>
            </w:r>
          </w:p>
        </w:tc>
        <w:tc>
          <w:tcPr>
            <w:tcW w:w="200" w:type="dxa"/>
            <w:vAlign w:val="bottom"/>
          </w:tcPr>
          <w:p>
            <w:pPr>
              <w:jc w:val="right"/>
              <w:ind w:right="9"/>
              <w:spacing w:after="0" w:line="95" w:lineRule="exact"/>
              <w:rPr>
                <w:sz w:val="20"/>
                <w:szCs w:val="20"/>
                <w:color w:val="auto"/>
              </w:rPr>
            </w:pPr>
            <w:r>
              <w:rPr>
                <w:rFonts w:ascii="Arial" w:cs="Arial" w:eastAsia="Arial" w:hAnsi="Arial"/>
                <w:sz w:val="10"/>
                <w:szCs w:val="10"/>
                <w:b w:val="1"/>
                <w:bCs w:val="1"/>
                <w:color w:val="105FAB"/>
                <w:w w:val="97"/>
              </w:rPr>
              <w:t>(4)</w:t>
            </w:r>
          </w:p>
        </w:tc>
        <w:tc>
          <w:tcPr>
            <w:tcW w:w="1040" w:type="dxa"/>
            <w:vAlign w:val="bottom"/>
            <w:vMerge w:val="restart"/>
          </w:tcPr>
          <w:p>
            <w:pPr>
              <w:jc w:val="right"/>
              <w:spacing w:after="0"/>
              <w:rPr>
                <w:sz w:val="20"/>
                <w:szCs w:val="20"/>
                <w:color w:val="auto"/>
              </w:rPr>
            </w:pPr>
            <w:r>
              <w:rPr>
                <w:rFonts w:ascii="Arial" w:cs="Arial" w:eastAsia="Arial" w:hAnsi="Arial"/>
                <w:sz w:val="13"/>
                <w:szCs w:val="13"/>
                <w:b w:val="1"/>
                <w:bCs w:val="1"/>
                <w:color w:val="105FAB"/>
              </w:rPr>
              <w:t>($)</w:t>
            </w:r>
          </w:p>
        </w:tc>
        <w:tc>
          <w:tcPr>
            <w:tcW w:w="860" w:type="dxa"/>
            <w:vAlign w:val="bottom"/>
            <w:vMerge w:val="restart"/>
          </w:tcPr>
          <w:p>
            <w:pPr>
              <w:jc w:val="right"/>
              <w:spacing w:after="0"/>
              <w:rPr>
                <w:sz w:val="20"/>
                <w:szCs w:val="20"/>
                <w:color w:val="auto"/>
              </w:rPr>
            </w:pPr>
            <w:r>
              <w:rPr>
                <w:rFonts w:ascii="Arial" w:cs="Arial" w:eastAsia="Arial" w:hAnsi="Arial"/>
                <w:sz w:val="13"/>
                <w:szCs w:val="13"/>
                <w:b w:val="1"/>
                <w:bCs w:val="1"/>
                <w:color w:val="105FAB"/>
              </w:rPr>
              <w:t>($)</w:t>
            </w:r>
          </w:p>
        </w:tc>
        <w:tc>
          <w:tcPr>
            <w:tcW w:w="200" w:type="dxa"/>
            <w:vAlign w:val="bottom"/>
          </w:tcPr>
          <w:p>
            <w:pPr>
              <w:jc w:val="right"/>
              <w:spacing w:after="0" w:line="95" w:lineRule="exact"/>
              <w:rPr>
                <w:sz w:val="20"/>
                <w:szCs w:val="20"/>
                <w:color w:val="auto"/>
              </w:rPr>
            </w:pPr>
            <w:r>
              <w:rPr>
                <w:rFonts w:ascii="Arial" w:cs="Arial" w:eastAsia="Arial" w:hAnsi="Arial"/>
                <w:sz w:val="10"/>
                <w:szCs w:val="10"/>
                <w:b w:val="1"/>
                <w:bCs w:val="1"/>
                <w:color w:val="105FAB"/>
                <w:w w:val="97"/>
              </w:rPr>
              <w:t>(5)</w:t>
            </w:r>
          </w:p>
        </w:tc>
        <w:tc>
          <w:tcPr>
            <w:tcW w:w="860" w:type="dxa"/>
            <w:vAlign w:val="bottom"/>
            <w:vMerge w:val="restart"/>
          </w:tcPr>
          <w:p>
            <w:pPr>
              <w:jc w:val="right"/>
              <w:spacing w:after="0"/>
              <w:rPr>
                <w:sz w:val="20"/>
                <w:szCs w:val="20"/>
                <w:color w:val="auto"/>
              </w:rPr>
            </w:pPr>
            <w:r>
              <w:rPr>
                <w:rFonts w:ascii="Arial" w:cs="Arial" w:eastAsia="Arial" w:hAnsi="Arial"/>
                <w:sz w:val="13"/>
                <w:szCs w:val="13"/>
                <w:b w:val="1"/>
                <w:bCs w:val="1"/>
                <w:color w:val="105FAB"/>
              </w:rPr>
              <w:t>($)</w:t>
            </w:r>
          </w:p>
        </w:tc>
        <w:tc>
          <w:tcPr>
            <w:tcW w:w="200" w:type="dxa"/>
            <w:vAlign w:val="bottom"/>
          </w:tcPr>
          <w:p>
            <w:pPr>
              <w:jc w:val="right"/>
              <w:ind w:right="9"/>
              <w:spacing w:after="0" w:line="95" w:lineRule="exact"/>
              <w:rPr>
                <w:sz w:val="20"/>
                <w:szCs w:val="20"/>
                <w:color w:val="auto"/>
              </w:rPr>
            </w:pPr>
            <w:r>
              <w:rPr>
                <w:rFonts w:ascii="Arial" w:cs="Arial" w:eastAsia="Arial" w:hAnsi="Arial"/>
                <w:sz w:val="10"/>
                <w:szCs w:val="10"/>
                <w:b w:val="1"/>
                <w:bCs w:val="1"/>
                <w:color w:val="105FAB"/>
                <w:w w:val="97"/>
              </w:rPr>
              <w:t>(6)</w:t>
            </w:r>
          </w:p>
        </w:tc>
        <w:tc>
          <w:tcPr>
            <w:tcW w:w="840" w:type="dxa"/>
            <w:vAlign w:val="bottom"/>
            <w:vMerge w:val="restart"/>
          </w:tcPr>
          <w:p>
            <w:pPr>
              <w:jc w:val="right"/>
              <w:ind w:right="53"/>
              <w:spacing w:after="0"/>
              <w:rPr>
                <w:sz w:val="20"/>
                <w:szCs w:val="20"/>
                <w:color w:val="auto"/>
              </w:rPr>
            </w:pPr>
            <w:r>
              <w:rPr>
                <w:rFonts w:ascii="Arial" w:cs="Arial" w:eastAsia="Arial" w:hAnsi="Arial"/>
                <w:sz w:val="13"/>
                <w:szCs w:val="13"/>
                <w:b w:val="1"/>
                <w:bCs w:val="1"/>
                <w:color w:val="105FAB"/>
              </w:rPr>
              <w:t>($)</w:t>
            </w:r>
          </w:p>
        </w:tc>
        <w:tc>
          <w:tcPr>
            <w:tcW w:w="620" w:type="dxa"/>
            <w:vAlign w:val="bottom"/>
            <w:vMerge w:val="restart"/>
            <w:shd w:val="clear" w:color="auto" w:fill="EFF8FA"/>
          </w:tcPr>
          <w:p>
            <w:pPr>
              <w:jc w:val="right"/>
              <w:spacing w:after="0"/>
              <w:rPr>
                <w:sz w:val="20"/>
                <w:szCs w:val="20"/>
                <w:color w:val="auto"/>
              </w:rPr>
            </w:pPr>
            <w:r>
              <w:rPr>
                <w:rFonts w:ascii="Arial" w:cs="Arial" w:eastAsia="Arial" w:hAnsi="Arial"/>
                <w:sz w:val="13"/>
                <w:szCs w:val="13"/>
                <w:b w:val="1"/>
                <w:bCs w:val="1"/>
                <w:color w:val="105FAB"/>
              </w:rPr>
              <w:t>($)</w:t>
            </w:r>
          </w:p>
        </w:tc>
        <w:tc>
          <w:tcPr>
            <w:tcW w:w="200" w:type="dxa"/>
            <w:vAlign w:val="bottom"/>
            <w:shd w:val="clear" w:color="auto" w:fill="EFF8FA"/>
          </w:tcPr>
          <w:p>
            <w:pPr>
              <w:jc w:val="right"/>
              <w:ind w:right="29"/>
              <w:spacing w:after="0" w:line="95" w:lineRule="exact"/>
              <w:rPr>
                <w:sz w:val="20"/>
                <w:szCs w:val="20"/>
                <w:color w:val="auto"/>
              </w:rPr>
            </w:pPr>
            <w:r>
              <w:rPr>
                <w:rFonts w:ascii="Arial" w:cs="Arial" w:eastAsia="Arial" w:hAnsi="Arial"/>
                <w:sz w:val="10"/>
                <w:szCs w:val="10"/>
                <w:b w:val="1"/>
                <w:bCs w:val="1"/>
                <w:color w:val="105FAB"/>
                <w:w w:val="81"/>
              </w:rPr>
              <w:t>(7)</w:t>
            </w:r>
          </w:p>
        </w:tc>
        <w:tc>
          <w:tcPr>
            <w:tcW w:w="0" w:type="dxa"/>
            <w:vAlign w:val="bottom"/>
          </w:tcPr>
          <w:p>
            <w:pPr>
              <w:spacing w:after="0"/>
              <w:rPr>
                <w:sz w:val="1"/>
                <w:szCs w:val="1"/>
                <w:color w:val="auto"/>
              </w:rPr>
            </w:pPr>
          </w:p>
        </w:tc>
      </w:tr>
      <w:tr>
        <w:trPr>
          <w:trHeight w:val="115"/>
        </w:trPr>
        <w:tc>
          <w:tcPr>
            <w:tcW w:w="3360" w:type="dxa"/>
            <w:vAlign w:val="bottom"/>
            <w:tcBorders>
              <w:bottom w:val="single" w:sz="8" w:color="105FAB"/>
            </w:tcBorders>
            <w:gridSpan w:val="2"/>
            <w:vMerge w:val="continue"/>
          </w:tcPr>
          <w:p>
            <w:pPr>
              <w:spacing w:after="0"/>
              <w:rPr>
                <w:sz w:val="9"/>
                <w:szCs w:val="9"/>
                <w:color w:val="auto"/>
              </w:rPr>
            </w:pPr>
          </w:p>
        </w:tc>
        <w:tc>
          <w:tcPr>
            <w:tcW w:w="380" w:type="dxa"/>
            <w:vAlign w:val="bottom"/>
            <w:tcBorders>
              <w:bottom w:val="single" w:sz="8" w:color="105FAB"/>
            </w:tcBorders>
            <w:vMerge w:val="continue"/>
          </w:tcPr>
          <w:p>
            <w:pPr>
              <w:spacing w:after="0"/>
              <w:rPr>
                <w:sz w:val="9"/>
                <w:szCs w:val="9"/>
                <w:color w:val="auto"/>
              </w:rPr>
            </w:pPr>
          </w:p>
        </w:tc>
        <w:tc>
          <w:tcPr>
            <w:tcW w:w="700" w:type="dxa"/>
            <w:vAlign w:val="bottom"/>
            <w:tcBorders>
              <w:bottom w:val="single" w:sz="8" w:color="105FAB"/>
            </w:tcBorders>
            <w:vMerge w:val="continue"/>
          </w:tcPr>
          <w:p>
            <w:pPr>
              <w:spacing w:after="0"/>
              <w:rPr>
                <w:sz w:val="9"/>
                <w:szCs w:val="9"/>
                <w:color w:val="auto"/>
              </w:rPr>
            </w:pPr>
          </w:p>
        </w:tc>
        <w:tc>
          <w:tcPr>
            <w:tcW w:w="520" w:type="dxa"/>
            <w:vAlign w:val="bottom"/>
            <w:tcBorders>
              <w:bottom w:val="single" w:sz="8" w:color="105FAB"/>
            </w:tcBorders>
            <w:vMerge w:val="continue"/>
          </w:tcPr>
          <w:p>
            <w:pPr>
              <w:spacing w:after="0"/>
              <w:rPr>
                <w:sz w:val="9"/>
                <w:szCs w:val="9"/>
                <w:color w:val="auto"/>
              </w:rPr>
            </w:pPr>
          </w:p>
        </w:tc>
        <w:tc>
          <w:tcPr>
            <w:tcW w:w="200" w:type="dxa"/>
            <w:vAlign w:val="bottom"/>
            <w:tcBorders>
              <w:bottom w:val="single" w:sz="8" w:color="105FAB"/>
            </w:tcBorders>
          </w:tcPr>
          <w:p>
            <w:pPr>
              <w:spacing w:after="0"/>
              <w:rPr>
                <w:sz w:val="9"/>
                <w:szCs w:val="9"/>
                <w:color w:val="auto"/>
              </w:rPr>
            </w:pPr>
          </w:p>
        </w:tc>
        <w:tc>
          <w:tcPr>
            <w:tcW w:w="720" w:type="dxa"/>
            <w:vAlign w:val="bottom"/>
            <w:tcBorders>
              <w:bottom w:val="single" w:sz="8" w:color="105FAB"/>
            </w:tcBorders>
          </w:tcPr>
          <w:p>
            <w:pPr>
              <w:jc w:val="right"/>
              <w:ind w:right="274"/>
              <w:spacing w:after="0" w:line="108" w:lineRule="exact"/>
              <w:rPr>
                <w:sz w:val="20"/>
                <w:szCs w:val="20"/>
                <w:color w:val="auto"/>
              </w:rPr>
            </w:pPr>
            <w:r>
              <w:rPr>
                <w:rFonts w:ascii="Arial" w:cs="Arial" w:eastAsia="Arial" w:hAnsi="Arial"/>
                <w:sz w:val="12"/>
                <w:szCs w:val="12"/>
                <w:b w:val="1"/>
                <w:bCs w:val="1"/>
                <w:color w:val="105FAB"/>
              </w:rPr>
              <w:t>($)</w:t>
            </w:r>
          </w:p>
        </w:tc>
        <w:tc>
          <w:tcPr>
            <w:tcW w:w="520" w:type="dxa"/>
            <w:vAlign w:val="bottom"/>
            <w:tcBorders>
              <w:bottom w:val="single" w:sz="8" w:color="105FAB"/>
            </w:tcBorders>
            <w:vMerge w:val="continue"/>
          </w:tcPr>
          <w:p>
            <w:pPr>
              <w:spacing w:after="0"/>
              <w:rPr>
                <w:sz w:val="9"/>
                <w:szCs w:val="9"/>
                <w:color w:val="auto"/>
              </w:rPr>
            </w:pPr>
          </w:p>
        </w:tc>
        <w:tc>
          <w:tcPr>
            <w:tcW w:w="200" w:type="dxa"/>
            <w:vAlign w:val="bottom"/>
            <w:tcBorders>
              <w:bottom w:val="single" w:sz="8" w:color="105FAB"/>
            </w:tcBorders>
          </w:tcPr>
          <w:p>
            <w:pPr>
              <w:spacing w:after="0"/>
              <w:rPr>
                <w:sz w:val="9"/>
                <w:szCs w:val="9"/>
                <w:color w:val="auto"/>
              </w:rPr>
            </w:pPr>
          </w:p>
        </w:tc>
        <w:tc>
          <w:tcPr>
            <w:tcW w:w="1040" w:type="dxa"/>
            <w:vAlign w:val="bottom"/>
            <w:tcBorders>
              <w:bottom w:val="single" w:sz="8" w:color="105FAB"/>
            </w:tcBorders>
            <w:vMerge w:val="continue"/>
          </w:tcPr>
          <w:p>
            <w:pPr>
              <w:spacing w:after="0"/>
              <w:rPr>
                <w:sz w:val="9"/>
                <w:szCs w:val="9"/>
                <w:color w:val="auto"/>
              </w:rPr>
            </w:pPr>
          </w:p>
        </w:tc>
        <w:tc>
          <w:tcPr>
            <w:tcW w:w="860" w:type="dxa"/>
            <w:vAlign w:val="bottom"/>
            <w:tcBorders>
              <w:bottom w:val="single" w:sz="8" w:color="105FAB"/>
            </w:tcBorders>
            <w:vMerge w:val="continue"/>
          </w:tcPr>
          <w:p>
            <w:pPr>
              <w:spacing w:after="0"/>
              <w:rPr>
                <w:sz w:val="9"/>
                <w:szCs w:val="9"/>
                <w:color w:val="auto"/>
              </w:rPr>
            </w:pPr>
          </w:p>
        </w:tc>
        <w:tc>
          <w:tcPr>
            <w:tcW w:w="200" w:type="dxa"/>
            <w:vAlign w:val="bottom"/>
            <w:tcBorders>
              <w:bottom w:val="single" w:sz="8" w:color="105FAB"/>
            </w:tcBorders>
          </w:tcPr>
          <w:p>
            <w:pPr>
              <w:spacing w:after="0"/>
              <w:rPr>
                <w:sz w:val="9"/>
                <w:szCs w:val="9"/>
                <w:color w:val="auto"/>
              </w:rPr>
            </w:pPr>
          </w:p>
        </w:tc>
        <w:tc>
          <w:tcPr>
            <w:tcW w:w="860" w:type="dxa"/>
            <w:vAlign w:val="bottom"/>
            <w:tcBorders>
              <w:bottom w:val="single" w:sz="8" w:color="105FAB"/>
            </w:tcBorders>
            <w:vMerge w:val="continue"/>
          </w:tcPr>
          <w:p>
            <w:pPr>
              <w:spacing w:after="0"/>
              <w:rPr>
                <w:sz w:val="9"/>
                <w:szCs w:val="9"/>
                <w:color w:val="auto"/>
              </w:rPr>
            </w:pPr>
          </w:p>
        </w:tc>
        <w:tc>
          <w:tcPr>
            <w:tcW w:w="200" w:type="dxa"/>
            <w:vAlign w:val="bottom"/>
            <w:tcBorders>
              <w:bottom w:val="single" w:sz="8" w:color="105FAB"/>
            </w:tcBorders>
          </w:tcPr>
          <w:p>
            <w:pPr>
              <w:spacing w:after="0"/>
              <w:rPr>
                <w:sz w:val="9"/>
                <w:szCs w:val="9"/>
                <w:color w:val="auto"/>
              </w:rPr>
            </w:pPr>
          </w:p>
        </w:tc>
        <w:tc>
          <w:tcPr>
            <w:tcW w:w="840" w:type="dxa"/>
            <w:vAlign w:val="bottom"/>
            <w:tcBorders>
              <w:bottom w:val="single" w:sz="8" w:color="105FAB"/>
            </w:tcBorders>
            <w:vMerge w:val="continue"/>
          </w:tcPr>
          <w:p>
            <w:pPr>
              <w:spacing w:after="0"/>
              <w:rPr>
                <w:sz w:val="9"/>
                <w:szCs w:val="9"/>
                <w:color w:val="auto"/>
              </w:rPr>
            </w:pPr>
          </w:p>
        </w:tc>
        <w:tc>
          <w:tcPr>
            <w:tcW w:w="620" w:type="dxa"/>
            <w:vAlign w:val="bottom"/>
            <w:tcBorders>
              <w:bottom w:val="single" w:sz="8" w:color="105FAB"/>
            </w:tcBorders>
            <w:vMerge w:val="continue"/>
            <w:shd w:val="clear" w:color="auto" w:fill="EFF8FA"/>
          </w:tcPr>
          <w:p>
            <w:pPr>
              <w:spacing w:after="0"/>
              <w:rPr>
                <w:sz w:val="9"/>
                <w:szCs w:val="9"/>
                <w:color w:val="auto"/>
              </w:rPr>
            </w:pPr>
          </w:p>
        </w:tc>
        <w:tc>
          <w:tcPr>
            <w:tcW w:w="200" w:type="dxa"/>
            <w:vAlign w:val="bottom"/>
            <w:tcBorders>
              <w:bottom w:val="single" w:sz="8" w:color="105FAB"/>
            </w:tcBorders>
            <w:shd w:val="clear" w:color="auto" w:fill="EFF8FA"/>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3360" w:type="dxa"/>
            <w:vAlign w:val="bottom"/>
            <w:gridSpan w:val="2"/>
          </w:tcPr>
          <w:p>
            <w:pPr>
              <w:ind w:left="80"/>
              <w:spacing w:after="0"/>
              <w:rPr>
                <w:sz w:val="20"/>
                <w:szCs w:val="20"/>
                <w:color w:val="auto"/>
              </w:rPr>
            </w:pPr>
            <w:r>
              <w:rPr>
                <w:rFonts w:ascii="Arial" w:cs="Arial" w:eastAsia="Arial" w:hAnsi="Arial"/>
                <w:sz w:val="13"/>
                <w:szCs w:val="13"/>
                <w:b w:val="1"/>
                <w:bCs w:val="1"/>
                <w:color w:val="105FAB"/>
              </w:rPr>
              <w:t>Thomas J. Wilson</w:t>
            </w:r>
          </w:p>
        </w:tc>
        <w:tc>
          <w:tcPr>
            <w:tcW w:w="380" w:type="dxa"/>
            <w:vAlign w:val="bottom"/>
          </w:tcPr>
          <w:p>
            <w:pPr>
              <w:jc w:val="right"/>
              <w:spacing w:after="0"/>
              <w:rPr>
                <w:sz w:val="20"/>
                <w:szCs w:val="20"/>
                <w:color w:val="auto"/>
              </w:rPr>
            </w:pPr>
            <w:r>
              <w:rPr>
                <w:rFonts w:ascii="Arial" w:cs="Arial" w:eastAsia="Arial" w:hAnsi="Arial"/>
                <w:sz w:val="13"/>
                <w:szCs w:val="13"/>
                <w:color w:val="auto"/>
              </w:rPr>
              <w:t>2018</w:t>
            </w:r>
          </w:p>
        </w:tc>
        <w:tc>
          <w:tcPr>
            <w:tcW w:w="700" w:type="dxa"/>
            <w:vAlign w:val="bottom"/>
          </w:tcPr>
          <w:p>
            <w:pPr>
              <w:jc w:val="right"/>
              <w:spacing w:after="0"/>
              <w:rPr>
                <w:sz w:val="20"/>
                <w:szCs w:val="20"/>
                <w:color w:val="auto"/>
              </w:rPr>
            </w:pPr>
            <w:r>
              <w:rPr>
                <w:rFonts w:ascii="Arial" w:cs="Arial" w:eastAsia="Arial" w:hAnsi="Arial"/>
                <w:sz w:val="13"/>
                <w:szCs w:val="13"/>
                <w:color w:val="auto"/>
              </w:rPr>
              <w:t>1,290,385</w:t>
            </w:r>
          </w:p>
        </w:tc>
        <w:tc>
          <w:tcPr>
            <w:tcW w:w="5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5,812,528</w:t>
            </w:r>
          </w:p>
        </w:tc>
        <w:tc>
          <w:tcPr>
            <w:tcW w:w="720" w:type="dxa"/>
            <w:vAlign w:val="bottom"/>
            <w:gridSpan w:val="2"/>
          </w:tcPr>
          <w:p>
            <w:pPr>
              <w:jc w:val="right"/>
              <w:ind w:right="9"/>
              <w:spacing w:after="0"/>
              <w:rPr>
                <w:sz w:val="20"/>
                <w:szCs w:val="20"/>
                <w:color w:val="auto"/>
              </w:rPr>
            </w:pPr>
            <w:r>
              <w:rPr>
                <w:rFonts w:ascii="Arial" w:cs="Arial" w:eastAsia="Arial" w:hAnsi="Arial"/>
                <w:sz w:val="13"/>
                <w:szCs w:val="13"/>
                <w:color w:val="auto"/>
              </w:rPr>
              <w:t>3,874,998</w:t>
            </w:r>
          </w:p>
        </w:tc>
        <w:tc>
          <w:tcPr>
            <w:tcW w:w="1040" w:type="dxa"/>
            <w:vAlign w:val="bottom"/>
          </w:tcPr>
          <w:p>
            <w:pPr>
              <w:jc w:val="right"/>
              <w:spacing w:after="0"/>
              <w:rPr>
                <w:sz w:val="20"/>
                <w:szCs w:val="20"/>
                <w:color w:val="auto"/>
              </w:rPr>
            </w:pPr>
            <w:r>
              <w:rPr>
                <w:rFonts w:ascii="Arial" w:cs="Arial" w:eastAsia="Arial" w:hAnsi="Arial"/>
                <w:sz w:val="13"/>
                <w:szCs w:val="13"/>
                <w:color w:val="auto"/>
              </w:rPr>
              <w:t>6,719,194</w:t>
            </w: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rPr>
              <w:t>873,170</w:t>
            </w:r>
          </w:p>
        </w:tc>
        <w:tc>
          <w:tcPr>
            <w:tcW w:w="1060" w:type="dxa"/>
            <w:vAlign w:val="bottom"/>
            <w:gridSpan w:val="2"/>
          </w:tcPr>
          <w:p>
            <w:pPr>
              <w:jc w:val="right"/>
              <w:ind w:right="9"/>
              <w:spacing w:after="0"/>
              <w:rPr>
                <w:sz w:val="20"/>
                <w:szCs w:val="20"/>
                <w:color w:val="auto"/>
              </w:rPr>
            </w:pPr>
            <w:r>
              <w:rPr>
                <w:rFonts w:ascii="Arial" w:cs="Arial" w:eastAsia="Arial" w:hAnsi="Arial"/>
                <w:sz w:val="13"/>
                <w:szCs w:val="13"/>
                <w:color w:val="auto"/>
              </w:rPr>
              <w:t>116,971</w:t>
            </w:r>
          </w:p>
        </w:tc>
        <w:tc>
          <w:tcPr>
            <w:tcW w:w="840" w:type="dxa"/>
            <w:vAlign w:val="bottom"/>
          </w:tcPr>
          <w:p>
            <w:pPr>
              <w:jc w:val="right"/>
              <w:ind w:right="53"/>
              <w:spacing w:after="0"/>
              <w:rPr>
                <w:sz w:val="20"/>
                <w:szCs w:val="20"/>
                <w:color w:val="auto"/>
              </w:rPr>
            </w:pPr>
            <w:r>
              <w:rPr>
                <w:rFonts w:ascii="Arial" w:cs="Arial" w:eastAsia="Arial" w:hAnsi="Arial"/>
                <w:sz w:val="13"/>
                <w:szCs w:val="13"/>
                <w:color w:val="auto"/>
              </w:rPr>
              <w:t>18,687,246</w:t>
            </w:r>
          </w:p>
        </w:tc>
        <w:tc>
          <w:tcPr>
            <w:tcW w:w="820" w:type="dxa"/>
            <w:vAlign w:val="bottom"/>
            <w:tcBorders>
              <w:bottom w:val="single" w:sz="8" w:color="EFF8FA"/>
            </w:tcBorders>
            <w:gridSpan w:val="2"/>
            <w:shd w:val="clear" w:color="auto" w:fill="EFF8FA"/>
          </w:tcPr>
          <w:p>
            <w:pPr>
              <w:jc w:val="right"/>
              <w:ind w:right="29"/>
              <w:spacing w:after="0"/>
              <w:rPr>
                <w:sz w:val="20"/>
                <w:szCs w:val="20"/>
                <w:color w:val="auto"/>
              </w:rPr>
            </w:pPr>
            <w:r>
              <w:rPr>
                <w:rFonts w:ascii="Arial" w:cs="Arial" w:eastAsia="Arial" w:hAnsi="Arial"/>
                <w:sz w:val="13"/>
                <w:szCs w:val="13"/>
                <w:color w:val="auto"/>
              </w:rPr>
              <w:t>17,814,076</w:t>
            </w:r>
          </w:p>
        </w:tc>
        <w:tc>
          <w:tcPr>
            <w:tcW w:w="0" w:type="dxa"/>
            <w:vAlign w:val="bottom"/>
          </w:tcPr>
          <w:p>
            <w:pPr>
              <w:spacing w:after="0"/>
              <w:rPr>
                <w:sz w:val="1"/>
                <w:szCs w:val="1"/>
                <w:color w:val="auto"/>
              </w:rPr>
            </w:pPr>
          </w:p>
        </w:tc>
      </w:tr>
      <w:tr>
        <w:trPr>
          <w:trHeight w:val="236"/>
        </w:trPr>
        <w:tc>
          <w:tcPr>
            <w:tcW w:w="3360" w:type="dxa"/>
            <w:vAlign w:val="bottom"/>
            <w:gridSpan w:val="2"/>
          </w:tcPr>
          <w:p>
            <w:pPr>
              <w:ind w:left="80"/>
              <w:spacing w:after="0"/>
              <w:rPr>
                <w:sz w:val="20"/>
                <w:szCs w:val="20"/>
                <w:color w:val="auto"/>
              </w:rPr>
            </w:pPr>
            <w:r>
              <w:rPr>
                <w:rFonts w:ascii="Arial" w:cs="Arial" w:eastAsia="Arial" w:hAnsi="Arial"/>
                <w:sz w:val="13"/>
                <w:szCs w:val="13"/>
                <w:color w:val="auto"/>
              </w:rPr>
              <w:t>Chair, President,</w:t>
            </w:r>
          </w:p>
        </w:tc>
        <w:tc>
          <w:tcPr>
            <w:tcW w:w="380" w:type="dxa"/>
            <w:vAlign w:val="bottom"/>
            <w:tcBorders>
              <w:top w:val="single" w:sz="8" w:color="DFF1FB"/>
            </w:tcBorders>
          </w:tcPr>
          <w:p>
            <w:pPr>
              <w:jc w:val="right"/>
              <w:spacing w:after="0"/>
              <w:rPr>
                <w:sz w:val="20"/>
                <w:szCs w:val="20"/>
                <w:color w:val="auto"/>
              </w:rPr>
            </w:pPr>
            <w:r>
              <w:rPr>
                <w:rFonts w:ascii="Arial" w:cs="Arial" w:eastAsia="Arial" w:hAnsi="Arial"/>
                <w:sz w:val="13"/>
                <w:szCs w:val="13"/>
                <w:color w:val="auto"/>
              </w:rPr>
              <w:t>2017</w:t>
            </w:r>
          </w:p>
        </w:tc>
        <w:tc>
          <w:tcPr>
            <w:tcW w:w="700" w:type="dxa"/>
            <w:vAlign w:val="bottom"/>
            <w:tcBorders>
              <w:top w:val="single" w:sz="8" w:color="DFF1FB"/>
            </w:tcBorders>
          </w:tcPr>
          <w:p>
            <w:pPr>
              <w:jc w:val="right"/>
              <w:spacing w:after="0"/>
              <w:rPr>
                <w:sz w:val="20"/>
                <w:szCs w:val="20"/>
                <w:color w:val="auto"/>
              </w:rPr>
            </w:pPr>
            <w:r>
              <w:rPr>
                <w:rFonts w:ascii="Arial" w:cs="Arial" w:eastAsia="Arial" w:hAnsi="Arial"/>
                <w:sz w:val="13"/>
                <w:szCs w:val="13"/>
                <w:color w:val="auto"/>
              </w:rPr>
              <w:t>1,241,346</w:t>
            </w:r>
          </w:p>
        </w:tc>
        <w:tc>
          <w:tcPr>
            <w:tcW w:w="520" w:type="dxa"/>
            <w:vAlign w:val="bottom"/>
            <w:tcBorders>
              <w:top w:val="single" w:sz="8" w:color="DFF1FB"/>
            </w:tcBorders>
          </w:tcPr>
          <w:p>
            <w:pPr>
              <w:spacing w:after="0"/>
              <w:rPr>
                <w:sz w:val="20"/>
                <w:szCs w:val="20"/>
                <w:color w:val="auto"/>
              </w:rPr>
            </w:pPr>
          </w:p>
        </w:tc>
        <w:tc>
          <w:tcPr>
            <w:tcW w:w="200" w:type="dxa"/>
            <w:vAlign w:val="bottom"/>
            <w:tcBorders>
              <w:top w:val="single" w:sz="8" w:color="DFF1FB"/>
            </w:tcBorders>
          </w:tcPr>
          <w:p>
            <w:pPr>
              <w:jc w:val="right"/>
              <w:spacing w:after="0"/>
              <w:rPr>
                <w:sz w:val="20"/>
                <w:szCs w:val="20"/>
                <w:color w:val="auto"/>
              </w:rPr>
            </w:pPr>
            <w:r>
              <w:rPr>
                <w:rFonts w:ascii="Arial" w:cs="Arial" w:eastAsia="Arial" w:hAnsi="Arial"/>
                <w:sz w:val="13"/>
                <w:szCs w:val="13"/>
                <w:color w:val="auto"/>
                <w:w w:val="91"/>
              </w:rPr>
              <w:t>—</w:t>
            </w:r>
          </w:p>
        </w:tc>
        <w:tc>
          <w:tcPr>
            <w:tcW w:w="720" w:type="dxa"/>
            <w:vAlign w:val="bottom"/>
            <w:tcBorders>
              <w:top w:val="single" w:sz="8" w:color="DFF1FB"/>
            </w:tcBorders>
          </w:tcPr>
          <w:p>
            <w:pPr>
              <w:jc w:val="right"/>
              <w:spacing w:after="0"/>
              <w:rPr>
                <w:sz w:val="20"/>
                <w:szCs w:val="20"/>
                <w:color w:val="auto"/>
              </w:rPr>
            </w:pPr>
            <w:r>
              <w:rPr>
                <w:rFonts w:ascii="Arial" w:cs="Arial" w:eastAsia="Arial" w:hAnsi="Arial"/>
                <w:sz w:val="13"/>
                <w:szCs w:val="13"/>
                <w:color w:val="auto"/>
              </w:rPr>
              <w:t>5,400,039</w:t>
            </w:r>
          </w:p>
        </w:tc>
        <w:tc>
          <w:tcPr>
            <w:tcW w:w="720" w:type="dxa"/>
            <w:vAlign w:val="bottom"/>
            <w:tcBorders>
              <w:top w:val="single" w:sz="8" w:color="DFF1FB"/>
            </w:tcBorders>
            <w:gridSpan w:val="2"/>
          </w:tcPr>
          <w:p>
            <w:pPr>
              <w:jc w:val="right"/>
              <w:ind w:right="9"/>
              <w:spacing w:after="0"/>
              <w:rPr>
                <w:sz w:val="20"/>
                <w:szCs w:val="20"/>
                <w:color w:val="auto"/>
              </w:rPr>
            </w:pPr>
            <w:r>
              <w:rPr>
                <w:rFonts w:ascii="Arial" w:cs="Arial" w:eastAsia="Arial" w:hAnsi="Arial"/>
                <w:sz w:val="13"/>
                <w:szCs w:val="13"/>
                <w:color w:val="auto"/>
              </w:rPr>
              <w:t>3,599,997</w:t>
            </w:r>
          </w:p>
        </w:tc>
        <w:tc>
          <w:tcPr>
            <w:tcW w:w="1040" w:type="dxa"/>
            <w:vAlign w:val="bottom"/>
            <w:tcBorders>
              <w:top w:val="single" w:sz="8" w:color="DFF1FB"/>
            </w:tcBorders>
          </w:tcPr>
          <w:p>
            <w:pPr>
              <w:jc w:val="right"/>
              <w:spacing w:after="0"/>
              <w:rPr>
                <w:sz w:val="20"/>
                <w:szCs w:val="20"/>
                <w:color w:val="auto"/>
              </w:rPr>
            </w:pPr>
            <w:r>
              <w:rPr>
                <w:rFonts w:ascii="Arial" w:cs="Arial" w:eastAsia="Arial" w:hAnsi="Arial"/>
                <w:sz w:val="13"/>
                <w:szCs w:val="13"/>
                <w:color w:val="auto"/>
              </w:rPr>
              <w:t>6,759,264</w:t>
            </w:r>
          </w:p>
        </w:tc>
        <w:tc>
          <w:tcPr>
            <w:tcW w:w="1060" w:type="dxa"/>
            <w:vAlign w:val="bottom"/>
            <w:tcBorders>
              <w:top w:val="single" w:sz="8" w:color="DFF1FB"/>
            </w:tcBorders>
            <w:gridSpan w:val="2"/>
          </w:tcPr>
          <w:p>
            <w:pPr>
              <w:jc w:val="right"/>
              <w:spacing w:after="0"/>
              <w:rPr>
                <w:sz w:val="20"/>
                <w:szCs w:val="20"/>
                <w:color w:val="auto"/>
              </w:rPr>
            </w:pPr>
            <w:r>
              <w:rPr>
                <w:rFonts w:ascii="Arial" w:cs="Arial" w:eastAsia="Arial" w:hAnsi="Arial"/>
                <w:sz w:val="13"/>
                <w:szCs w:val="13"/>
                <w:color w:val="auto"/>
              </w:rPr>
              <w:t>1,688,142</w:t>
            </w:r>
          </w:p>
        </w:tc>
        <w:tc>
          <w:tcPr>
            <w:tcW w:w="1060" w:type="dxa"/>
            <w:vAlign w:val="bottom"/>
            <w:tcBorders>
              <w:top w:val="single" w:sz="8" w:color="DFF1FB"/>
            </w:tcBorders>
            <w:gridSpan w:val="2"/>
          </w:tcPr>
          <w:p>
            <w:pPr>
              <w:jc w:val="right"/>
              <w:ind w:right="9"/>
              <w:spacing w:after="0"/>
              <w:rPr>
                <w:sz w:val="20"/>
                <w:szCs w:val="20"/>
                <w:color w:val="auto"/>
              </w:rPr>
            </w:pPr>
            <w:r>
              <w:rPr>
                <w:rFonts w:ascii="Arial" w:cs="Arial" w:eastAsia="Arial" w:hAnsi="Arial"/>
                <w:sz w:val="13"/>
                <w:szCs w:val="13"/>
                <w:color w:val="auto"/>
              </w:rPr>
              <w:t>68,541</w:t>
            </w:r>
          </w:p>
        </w:tc>
        <w:tc>
          <w:tcPr>
            <w:tcW w:w="840" w:type="dxa"/>
            <w:vAlign w:val="bottom"/>
            <w:tcBorders>
              <w:top w:val="single" w:sz="8" w:color="DFF1FB"/>
            </w:tcBorders>
          </w:tcPr>
          <w:p>
            <w:pPr>
              <w:jc w:val="right"/>
              <w:ind w:right="53"/>
              <w:spacing w:after="0"/>
              <w:rPr>
                <w:sz w:val="20"/>
                <w:szCs w:val="20"/>
                <w:color w:val="auto"/>
              </w:rPr>
            </w:pPr>
            <w:r>
              <w:rPr>
                <w:rFonts w:ascii="Arial" w:cs="Arial" w:eastAsia="Arial" w:hAnsi="Arial"/>
                <w:sz w:val="13"/>
                <w:szCs w:val="13"/>
                <w:color w:val="auto"/>
              </w:rPr>
              <w:t>18,757,329</w:t>
            </w:r>
          </w:p>
        </w:tc>
        <w:tc>
          <w:tcPr>
            <w:tcW w:w="820" w:type="dxa"/>
            <w:vAlign w:val="bottom"/>
            <w:tcBorders>
              <w:top w:val="single" w:sz="8" w:color="DFF1FB"/>
              <w:bottom w:val="single" w:sz="8" w:color="EFF8FA"/>
            </w:tcBorders>
            <w:gridSpan w:val="2"/>
            <w:shd w:val="clear" w:color="auto" w:fill="EFF8FA"/>
          </w:tcPr>
          <w:p>
            <w:pPr>
              <w:jc w:val="right"/>
              <w:ind w:right="29"/>
              <w:spacing w:after="0"/>
              <w:rPr>
                <w:sz w:val="20"/>
                <w:szCs w:val="20"/>
                <w:color w:val="auto"/>
              </w:rPr>
            </w:pPr>
            <w:r>
              <w:rPr>
                <w:rFonts w:ascii="Arial" w:cs="Arial" w:eastAsia="Arial" w:hAnsi="Arial"/>
                <w:sz w:val="13"/>
                <w:szCs w:val="13"/>
                <w:color w:val="auto"/>
              </w:rPr>
              <w:t>17,069,187</w:t>
            </w:r>
          </w:p>
        </w:tc>
        <w:tc>
          <w:tcPr>
            <w:tcW w:w="0" w:type="dxa"/>
            <w:vAlign w:val="bottom"/>
          </w:tcPr>
          <w:p>
            <w:pPr>
              <w:spacing w:after="0"/>
              <w:rPr>
                <w:sz w:val="1"/>
                <w:szCs w:val="1"/>
                <w:color w:val="auto"/>
              </w:rPr>
            </w:pPr>
          </w:p>
        </w:tc>
      </w:tr>
      <w:tr>
        <w:trPr>
          <w:trHeight w:val="195"/>
        </w:trPr>
        <w:tc>
          <w:tcPr>
            <w:tcW w:w="3360" w:type="dxa"/>
            <w:vAlign w:val="bottom"/>
            <w:gridSpan w:val="2"/>
          </w:tcPr>
          <w:p>
            <w:pPr>
              <w:ind w:left="80"/>
              <w:spacing w:after="0"/>
              <w:rPr>
                <w:sz w:val="20"/>
                <w:szCs w:val="20"/>
                <w:color w:val="auto"/>
              </w:rPr>
            </w:pPr>
            <w:r>
              <w:rPr>
                <w:rFonts w:ascii="Arial" w:cs="Arial" w:eastAsia="Arial" w:hAnsi="Arial"/>
                <w:sz w:val="13"/>
                <w:szCs w:val="13"/>
                <w:color w:val="auto"/>
              </w:rPr>
              <w:t>and Chief Executive</w:t>
            </w:r>
          </w:p>
        </w:tc>
        <w:tc>
          <w:tcPr>
            <w:tcW w:w="380" w:type="dxa"/>
            <w:vAlign w:val="bottom"/>
            <w:tcBorders>
              <w:top w:val="single" w:sz="8" w:color="DFF1FB"/>
            </w:tcBorders>
          </w:tcPr>
          <w:p>
            <w:pPr>
              <w:jc w:val="right"/>
              <w:spacing w:after="0"/>
              <w:rPr>
                <w:sz w:val="20"/>
                <w:szCs w:val="20"/>
                <w:color w:val="auto"/>
              </w:rPr>
            </w:pPr>
            <w:r>
              <w:rPr>
                <w:rFonts w:ascii="Arial" w:cs="Arial" w:eastAsia="Arial" w:hAnsi="Arial"/>
                <w:sz w:val="13"/>
                <w:szCs w:val="13"/>
                <w:color w:val="auto"/>
              </w:rPr>
              <w:t>2016</w:t>
            </w:r>
          </w:p>
        </w:tc>
        <w:tc>
          <w:tcPr>
            <w:tcW w:w="700" w:type="dxa"/>
            <w:vAlign w:val="bottom"/>
            <w:tcBorders>
              <w:top w:val="single" w:sz="8" w:color="DFF1FB"/>
            </w:tcBorders>
          </w:tcPr>
          <w:p>
            <w:pPr>
              <w:jc w:val="right"/>
              <w:spacing w:after="0"/>
              <w:rPr>
                <w:sz w:val="20"/>
                <w:szCs w:val="20"/>
                <w:color w:val="auto"/>
              </w:rPr>
            </w:pPr>
            <w:r>
              <w:rPr>
                <w:rFonts w:ascii="Arial" w:cs="Arial" w:eastAsia="Arial" w:hAnsi="Arial"/>
                <w:sz w:val="13"/>
                <w:szCs w:val="13"/>
                <w:color w:val="auto"/>
              </w:rPr>
              <w:t>1,200,000</w:t>
            </w:r>
          </w:p>
        </w:tc>
        <w:tc>
          <w:tcPr>
            <w:tcW w:w="520" w:type="dxa"/>
            <w:vAlign w:val="bottom"/>
            <w:tcBorders>
              <w:top w:val="single" w:sz="8" w:color="DFF1FB"/>
            </w:tcBorders>
          </w:tcPr>
          <w:p>
            <w:pPr>
              <w:spacing w:after="0"/>
              <w:rPr>
                <w:sz w:val="16"/>
                <w:szCs w:val="16"/>
                <w:color w:val="auto"/>
              </w:rPr>
            </w:pPr>
          </w:p>
        </w:tc>
        <w:tc>
          <w:tcPr>
            <w:tcW w:w="200" w:type="dxa"/>
            <w:vAlign w:val="bottom"/>
            <w:tcBorders>
              <w:top w:val="single" w:sz="8" w:color="DFF1FB"/>
            </w:tcBorders>
          </w:tcPr>
          <w:p>
            <w:pPr>
              <w:jc w:val="right"/>
              <w:spacing w:after="0"/>
              <w:rPr>
                <w:sz w:val="20"/>
                <w:szCs w:val="20"/>
                <w:color w:val="auto"/>
              </w:rPr>
            </w:pPr>
            <w:r>
              <w:rPr>
                <w:rFonts w:ascii="Arial" w:cs="Arial" w:eastAsia="Arial" w:hAnsi="Arial"/>
                <w:sz w:val="13"/>
                <w:szCs w:val="13"/>
                <w:color w:val="auto"/>
                <w:w w:val="91"/>
              </w:rPr>
              <w:t>—</w:t>
            </w:r>
          </w:p>
        </w:tc>
        <w:tc>
          <w:tcPr>
            <w:tcW w:w="720" w:type="dxa"/>
            <w:vAlign w:val="bottom"/>
            <w:tcBorders>
              <w:top w:val="single" w:sz="8" w:color="DFF1FB"/>
            </w:tcBorders>
          </w:tcPr>
          <w:p>
            <w:pPr>
              <w:jc w:val="right"/>
              <w:spacing w:after="0"/>
              <w:rPr>
                <w:sz w:val="20"/>
                <w:szCs w:val="20"/>
                <w:color w:val="auto"/>
              </w:rPr>
            </w:pPr>
            <w:r>
              <w:rPr>
                <w:rFonts w:ascii="Arial" w:cs="Arial" w:eastAsia="Arial" w:hAnsi="Arial"/>
                <w:sz w:val="13"/>
                <w:szCs w:val="13"/>
                <w:color w:val="auto"/>
              </w:rPr>
              <w:t>5,400,028</w:t>
            </w:r>
          </w:p>
        </w:tc>
        <w:tc>
          <w:tcPr>
            <w:tcW w:w="720" w:type="dxa"/>
            <w:vAlign w:val="bottom"/>
            <w:tcBorders>
              <w:top w:val="single" w:sz="8" w:color="DFF1FB"/>
            </w:tcBorders>
            <w:gridSpan w:val="2"/>
          </w:tcPr>
          <w:p>
            <w:pPr>
              <w:jc w:val="right"/>
              <w:ind w:right="9"/>
              <w:spacing w:after="0"/>
              <w:rPr>
                <w:sz w:val="20"/>
                <w:szCs w:val="20"/>
                <w:color w:val="auto"/>
              </w:rPr>
            </w:pPr>
            <w:r>
              <w:rPr>
                <w:rFonts w:ascii="Arial" w:cs="Arial" w:eastAsia="Arial" w:hAnsi="Arial"/>
                <w:sz w:val="13"/>
                <w:szCs w:val="13"/>
                <w:color w:val="auto"/>
              </w:rPr>
              <w:t>3,600,000</w:t>
            </w:r>
          </w:p>
        </w:tc>
        <w:tc>
          <w:tcPr>
            <w:tcW w:w="1040" w:type="dxa"/>
            <w:vAlign w:val="bottom"/>
            <w:tcBorders>
              <w:top w:val="single" w:sz="8" w:color="DFF1FB"/>
            </w:tcBorders>
          </w:tcPr>
          <w:p>
            <w:pPr>
              <w:jc w:val="right"/>
              <w:spacing w:after="0"/>
              <w:rPr>
                <w:sz w:val="20"/>
                <w:szCs w:val="20"/>
                <w:color w:val="auto"/>
              </w:rPr>
            </w:pPr>
            <w:r>
              <w:rPr>
                <w:rFonts w:ascii="Arial" w:cs="Arial" w:eastAsia="Arial" w:hAnsi="Arial"/>
                <w:sz w:val="13"/>
                <w:szCs w:val="13"/>
                <w:color w:val="auto"/>
              </w:rPr>
              <w:t>1,982,880</w:t>
            </w:r>
          </w:p>
        </w:tc>
        <w:tc>
          <w:tcPr>
            <w:tcW w:w="1060" w:type="dxa"/>
            <w:vAlign w:val="bottom"/>
            <w:tcBorders>
              <w:top w:val="single" w:sz="8" w:color="DFF1FB"/>
            </w:tcBorders>
            <w:gridSpan w:val="2"/>
          </w:tcPr>
          <w:p>
            <w:pPr>
              <w:jc w:val="right"/>
              <w:spacing w:after="0"/>
              <w:rPr>
                <w:sz w:val="20"/>
                <w:szCs w:val="20"/>
                <w:color w:val="auto"/>
              </w:rPr>
            </w:pPr>
            <w:r>
              <w:rPr>
                <w:rFonts w:ascii="Arial" w:cs="Arial" w:eastAsia="Arial" w:hAnsi="Arial"/>
                <w:sz w:val="13"/>
                <w:szCs w:val="13"/>
                <w:color w:val="auto"/>
              </w:rPr>
              <w:t>1,574,760</w:t>
            </w:r>
          </w:p>
        </w:tc>
        <w:tc>
          <w:tcPr>
            <w:tcW w:w="1060" w:type="dxa"/>
            <w:vAlign w:val="bottom"/>
            <w:tcBorders>
              <w:top w:val="single" w:sz="8" w:color="DFF1FB"/>
            </w:tcBorders>
            <w:gridSpan w:val="2"/>
          </w:tcPr>
          <w:p>
            <w:pPr>
              <w:jc w:val="right"/>
              <w:ind w:right="9"/>
              <w:spacing w:after="0"/>
              <w:rPr>
                <w:sz w:val="20"/>
                <w:szCs w:val="20"/>
                <w:color w:val="auto"/>
              </w:rPr>
            </w:pPr>
            <w:r>
              <w:rPr>
                <w:rFonts w:ascii="Arial" w:cs="Arial" w:eastAsia="Arial" w:hAnsi="Arial"/>
                <w:sz w:val="13"/>
                <w:szCs w:val="13"/>
                <w:color w:val="auto"/>
              </w:rPr>
              <w:t>55,847</w:t>
            </w:r>
          </w:p>
        </w:tc>
        <w:tc>
          <w:tcPr>
            <w:tcW w:w="840" w:type="dxa"/>
            <w:vAlign w:val="bottom"/>
            <w:tcBorders>
              <w:top w:val="single" w:sz="8" w:color="DFF1FB"/>
            </w:tcBorders>
          </w:tcPr>
          <w:p>
            <w:pPr>
              <w:jc w:val="right"/>
              <w:ind w:right="53"/>
              <w:spacing w:after="0"/>
              <w:rPr>
                <w:sz w:val="20"/>
                <w:szCs w:val="20"/>
                <w:color w:val="auto"/>
              </w:rPr>
            </w:pPr>
            <w:r>
              <w:rPr>
                <w:rFonts w:ascii="Arial" w:cs="Arial" w:eastAsia="Arial" w:hAnsi="Arial"/>
                <w:sz w:val="13"/>
                <w:szCs w:val="13"/>
                <w:color w:val="auto"/>
              </w:rPr>
              <w:t>13,813,515</w:t>
            </w:r>
          </w:p>
        </w:tc>
        <w:tc>
          <w:tcPr>
            <w:tcW w:w="820" w:type="dxa"/>
            <w:vAlign w:val="bottom"/>
            <w:tcBorders>
              <w:top w:val="single" w:sz="8" w:color="DFF1FB"/>
            </w:tcBorders>
            <w:gridSpan w:val="2"/>
            <w:shd w:val="clear" w:color="auto" w:fill="EFF8FA"/>
          </w:tcPr>
          <w:p>
            <w:pPr>
              <w:jc w:val="right"/>
              <w:ind w:right="29"/>
              <w:spacing w:after="0"/>
              <w:rPr>
                <w:sz w:val="20"/>
                <w:szCs w:val="20"/>
                <w:color w:val="auto"/>
              </w:rPr>
            </w:pPr>
            <w:r>
              <w:rPr>
                <w:rFonts w:ascii="Arial" w:cs="Arial" w:eastAsia="Arial" w:hAnsi="Arial"/>
                <w:sz w:val="13"/>
                <w:szCs w:val="13"/>
                <w:color w:val="auto"/>
              </w:rPr>
              <w:t>12,238,755</w:t>
            </w:r>
          </w:p>
        </w:tc>
        <w:tc>
          <w:tcPr>
            <w:tcW w:w="0" w:type="dxa"/>
            <w:vAlign w:val="bottom"/>
          </w:tcPr>
          <w:p>
            <w:pPr>
              <w:spacing w:after="0"/>
              <w:rPr>
                <w:sz w:val="1"/>
                <w:szCs w:val="1"/>
                <w:color w:val="auto"/>
              </w:rPr>
            </w:pPr>
          </w:p>
        </w:tc>
      </w:tr>
      <w:tr>
        <w:trPr>
          <w:trHeight w:val="284"/>
        </w:trPr>
        <w:tc>
          <w:tcPr>
            <w:tcW w:w="3360" w:type="dxa"/>
            <w:vAlign w:val="bottom"/>
            <w:gridSpan w:val="2"/>
          </w:tcPr>
          <w:p>
            <w:pPr>
              <w:ind w:left="80"/>
              <w:spacing w:after="0"/>
              <w:rPr>
                <w:sz w:val="20"/>
                <w:szCs w:val="20"/>
                <w:color w:val="auto"/>
              </w:rPr>
            </w:pPr>
            <w:r>
              <w:rPr>
                <w:rFonts w:ascii="Arial" w:cs="Arial" w:eastAsia="Arial" w:hAnsi="Arial"/>
                <w:sz w:val="13"/>
                <w:szCs w:val="13"/>
                <w:color w:val="auto"/>
              </w:rPr>
              <w:t>Officer</w:t>
            </w: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Borders>
              <w:bottom w:val="single" w:sz="8" w:color="EFF8FA"/>
            </w:tcBorders>
            <w:shd w:val="clear" w:color="auto" w:fill="EFF8FA"/>
          </w:tcPr>
          <w:p>
            <w:pPr>
              <w:spacing w:after="0"/>
              <w:rPr>
                <w:sz w:val="24"/>
                <w:szCs w:val="24"/>
                <w:color w:val="auto"/>
              </w:rPr>
            </w:pPr>
          </w:p>
        </w:tc>
        <w:tc>
          <w:tcPr>
            <w:tcW w:w="200" w:type="dxa"/>
            <w:vAlign w:val="bottom"/>
            <w:tcBorders>
              <w:bottom w:val="single" w:sz="8" w:color="EFF8FA"/>
            </w:tcBorders>
            <w:shd w:val="clear" w:color="auto" w:fill="EFF8FA"/>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360" w:type="dxa"/>
            <w:vAlign w:val="bottom"/>
            <w:tcBorders>
              <w:top w:val="single" w:sz="8" w:color="DFF1FB"/>
            </w:tcBorders>
            <w:gridSpan w:val="2"/>
          </w:tcPr>
          <w:p>
            <w:pPr>
              <w:ind w:left="80"/>
              <w:spacing w:after="0"/>
              <w:rPr>
                <w:sz w:val="20"/>
                <w:szCs w:val="20"/>
                <w:color w:val="auto"/>
              </w:rPr>
            </w:pPr>
            <w:r>
              <w:rPr>
                <w:rFonts w:ascii="Arial" w:cs="Arial" w:eastAsia="Arial" w:hAnsi="Arial"/>
                <w:sz w:val="13"/>
                <w:szCs w:val="13"/>
                <w:b w:val="1"/>
                <w:bCs w:val="1"/>
                <w:color w:val="105FAB"/>
              </w:rPr>
              <w:t>Mario Rizzo</w:t>
            </w:r>
          </w:p>
        </w:tc>
        <w:tc>
          <w:tcPr>
            <w:tcW w:w="380" w:type="dxa"/>
            <w:vAlign w:val="bottom"/>
            <w:tcBorders>
              <w:top w:val="single" w:sz="8" w:color="DFF1FB"/>
            </w:tcBorders>
          </w:tcPr>
          <w:p>
            <w:pPr>
              <w:jc w:val="right"/>
              <w:spacing w:after="0"/>
              <w:rPr>
                <w:sz w:val="20"/>
                <w:szCs w:val="20"/>
                <w:color w:val="auto"/>
              </w:rPr>
            </w:pPr>
            <w:r>
              <w:rPr>
                <w:rFonts w:ascii="Arial" w:cs="Arial" w:eastAsia="Arial" w:hAnsi="Arial"/>
                <w:sz w:val="13"/>
                <w:szCs w:val="13"/>
                <w:color w:val="auto"/>
              </w:rPr>
              <w:t>2018</w:t>
            </w:r>
          </w:p>
        </w:tc>
        <w:tc>
          <w:tcPr>
            <w:tcW w:w="700" w:type="dxa"/>
            <w:vAlign w:val="bottom"/>
            <w:tcBorders>
              <w:top w:val="single" w:sz="8" w:color="DFF1FB"/>
            </w:tcBorders>
          </w:tcPr>
          <w:p>
            <w:pPr>
              <w:jc w:val="right"/>
              <w:spacing w:after="0"/>
              <w:rPr>
                <w:sz w:val="20"/>
                <w:szCs w:val="20"/>
                <w:color w:val="auto"/>
              </w:rPr>
            </w:pPr>
            <w:r>
              <w:rPr>
                <w:rFonts w:ascii="Arial" w:cs="Arial" w:eastAsia="Arial" w:hAnsi="Arial"/>
                <w:sz w:val="13"/>
                <w:szCs w:val="13"/>
                <w:color w:val="auto"/>
              </w:rPr>
              <w:t>690,577</w:t>
            </w:r>
          </w:p>
        </w:tc>
        <w:tc>
          <w:tcPr>
            <w:tcW w:w="520" w:type="dxa"/>
            <w:vAlign w:val="bottom"/>
            <w:tcBorders>
              <w:top w:val="single" w:sz="8" w:color="DFF1FB"/>
            </w:tcBorders>
          </w:tcPr>
          <w:p>
            <w:pPr>
              <w:spacing w:after="0"/>
              <w:rPr>
                <w:sz w:val="16"/>
                <w:szCs w:val="16"/>
                <w:color w:val="auto"/>
              </w:rPr>
            </w:pPr>
          </w:p>
        </w:tc>
        <w:tc>
          <w:tcPr>
            <w:tcW w:w="200" w:type="dxa"/>
            <w:vAlign w:val="bottom"/>
            <w:tcBorders>
              <w:top w:val="single" w:sz="8" w:color="DFF1FB"/>
            </w:tcBorders>
          </w:tcPr>
          <w:p>
            <w:pPr>
              <w:jc w:val="right"/>
              <w:spacing w:after="0"/>
              <w:rPr>
                <w:sz w:val="20"/>
                <w:szCs w:val="20"/>
                <w:color w:val="auto"/>
              </w:rPr>
            </w:pPr>
            <w:r>
              <w:rPr>
                <w:rFonts w:ascii="Arial" w:cs="Arial" w:eastAsia="Arial" w:hAnsi="Arial"/>
                <w:sz w:val="13"/>
                <w:szCs w:val="13"/>
                <w:color w:val="auto"/>
                <w:w w:val="91"/>
              </w:rPr>
              <w:t>—</w:t>
            </w:r>
          </w:p>
        </w:tc>
        <w:tc>
          <w:tcPr>
            <w:tcW w:w="720" w:type="dxa"/>
            <w:vAlign w:val="bottom"/>
            <w:tcBorders>
              <w:top w:val="single" w:sz="8" w:color="DFF1FB"/>
            </w:tcBorders>
          </w:tcPr>
          <w:p>
            <w:pPr>
              <w:jc w:val="right"/>
              <w:spacing w:after="0"/>
              <w:rPr>
                <w:sz w:val="20"/>
                <w:szCs w:val="20"/>
                <w:color w:val="auto"/>
              </w:rPr>
            </w:pPr>
            <w:r>
              <w:rPr>
                <w:rFonts w:ascii="Arial" w:cs="Arial" w:eastAsia="Arial" w:hAnsi="Arial"/>
                <w:sz w:val="13"/>
                <w:szCs w:val="13"/>
                <w:color w:val="auto"/>
              </w:rPr>
              <w:t>1,260,038</w:t>
            </w:r>
          </w:p>
        </w:tc>
        <w:tc>
          <w:tcPr>
            <w:tcW w:w="720" w:type="dxa"/>
            <w:vAlign w:val="bottom"/>
            <w:tcBorders>
              <w:top w:val="single" w:sz="8" w:color="DFF1FB"/>
            </w:tcBorders>
            <w:gridSpan w:val="2"/>
          </w:tcPr>
          <w:p>
            <w:pPr>
              <w:jc w:val="right"/>
              <w:ind w:right="9"/>
              <w:spacing w:after="0"/>
              <w:rPr>
                <w:sz w:val="20"/>
                <w:szCs w:val="20"/>
                <w:color w:val="auto"/>
              </w:rPr>
            </w:pPr>
            <w:r>
              <w:rPr>
                <w:rFonts w:ascii="Arial" w:cs="Arial" w:eastAsia="Arial" w:hAnsi="Arial"/>
                <w:sz w:val="13"/>
                <w:szCs w:val="13"/>
                <w:color w:val="auto"/>
              </w:rPr>
              <w:t>840,004</w:t>
            </w:r>
          </w:p>
        </w:tc>
        <w:tc>
          <w:tcPr>
            <w:tcW w:w="1040" w:type="dxa"/>
            <w:vAlign w:val="bottom"/>
            <w:tcBorders>
              <w:top w:val="single" w:sz="8" w:color="DFF1FB"/>
            </w:tcBorders>
          </w:tcPr>
          <w:p>
            <w:pPr>
              <w:jc w:val="right"/>
              <w:spacing w:after="0"/>
              <w:rPr>
                <w:sz w:val="20"/>
                <w:szCs w:val="20"/>
                <w:color w:val="auto"/>
              </w:rPr>
            </w:pPr>
            <w:r>
              <w:rPr>
                <w:rFonts w:ascii="Arial" w:cs="Arial" w:eastAsia="Arial" w:hAnsi="Arial"/>
                <w:sz w:val="13"/>
                <w:szCs w:val="13"/>
                <w:color w:val="auto"/>
              </w:rPr>
              <w:t>1,510,788</w:t>
            </w:r>
          </w:p>
        </w:tc>
        <w:tc>
          <w:tcPr>
            <w:tcW w:w="860" w:type="dxa"/>
            <w:vAlign w:val="bottom"/>
            <w:tcBorders>
              <w:top w:val="single" w:sz="8" w:color="DFF1FB"/>
            </w:tcBorders>
          </w:tcPr>
          <w:p>
            <w:pPr>
              <w:spacing w:after="0"/>
              <w:rPr>
                <w:sz w:val="16"/>
                <w:szCs w:val="16"/>
                <w:color w:val="auto"/>
              </w:rPr>
            </w:pPr>
          </w:p>
        </w:tc>
        <w:tc>
          <w:tcPr>
            <w:tcW w:w="200" w:type="dxa"/>
            <w:vAlign w:val="bottom"/>
            <w:tcBorders>
              <w:top w:val="single" w:sz="8" w:color="DFF1FB"/>
            </w:tcBorders>
          </w:tcPr>
          <w:p>
            <w:pPr>
              <w:jc w:val="right"/>
              <w:spacing w:after="0"/>
              <w:rPr>
                <w:sz w:val="20"/>
                <w:szCs w:val="20"/>
                <w:color w:val="auto"/>
              </w:rPr>
            </w:pPr>
            <w:r>
              <w:rPr>
                <w:rFonts w:ascii="Arial" w:cs="Arial" w:eastAsia="Arial" w:hAnsi="Arial"/>
                <w:sz w:val="13"/>
                <w:szCs w:val="13"/>
                <w:color w:val="auto"/>
                <w:w w:val="91"/>
              </w:rPr>
              <w:t>—</w:t>
            </w:r>
          </w:p>
        </w:tc>
        <w:tc>
          <w:tcPr>
            <w:tcW w:w="1060" w:type="dxa"/>
            <w:vAlign w:val="bottom"/>
            <w:tcBorders>
              <w:top w:val="single" w:sz="8" w:color="DFF1FB"/>
            </w:tcBorders>
            <w:gridSpan w:val="2"/>
          </w:tcPr>
          <w:p>
            <w:pPr>
              <w:jc w:val="right"/>
              <w:ind w:right="9"/>
              <w:spacing w:after="0"/>
              <w:rPr>
                <w:sz w:val="20"/>
                <w:szCs w:val="20"/>
                <w:color w:val="auto"/>
              </w:rPr>
            </w:pPr>
            <w:r>
              <w:rPr>
                <w:rFonts w:ascii="Arial" w:cs="Arial" w:eastAsia="Arial" w:hAnsi="Arial"/>
                <w:sz w:val="13"/>
                <w:szCs w:val="13"/>
                <w:color w:val="auto"/>
              </w:rPr>
              <w:t>25,391</w:t>
            </w:r>
          </w:p>
        </w:tc>
        <w:tc>
          <w:tcPr>
            <w:tcW w:w="840" w:type="dxa"/>
            <w:vAlign w:val="bottom"/>
            <w:tcBorders>
              <w:top w:val="single" w:sz="8" w:color="DFF1FB"/>
            </w:tcBorders>
          </w:tcPr>
          <w:p>
            <w:pPr>
              <w:jc w:val="right"/>
              <w:ind w:right="53"/>
              <w:spacing w:after="0"/>
              <w:rPr>
                <w:sz w:val="20"/>
                <w:szCs w:val="20"/>
                <w:color w:val="auto"/>
              </w:rPr>
            </w:pPr>
            <w:r>
              <w:rPr>
                <w:rFonts w:ascii="Arial" w:cs="Arial" w:eastAsia="Arial" w:hAnsi="Arial"/>
                <w:sz w:val="13"/>
                <w:szCs w:val="13"/>
                <w:color w:val="auto"/>
              </w:rPr>
              <w:t>4,326,798</w:t>
            </w:r>
          </w:p>
        </w:tc>
        <w:tc>
          <w:tcPr>
            <w:tcW w:w="820" w:type="dxa"/>
            <w:vAlign w:val="bottom"/>
            <w:tcBorders>
              <w:top w:val="single" w:sz="8" w:color="DFF1FB"/>
            </w:tcBorders>
            <w:gridSpan w:val="2"/>
            <w:shd w:val="clear" w:color="auto" w:fill="EFF8FA"/>
          </w:tcPr>
          <w:p>
            <w:pPr>
              <w:jc w:val="right"/>
              <w:ind w:right="29"/>
              <w:spacing w:after="0"/>
              <w:rPr>
                <w:sz w:val="20"/>
                <w:szCs w:val="20"/>
                <w:color w:val="auto"/>
              </w:rPr>
            </w:pPr>
            <w:r>
              <w:rPr>
                <w:rFonts w:ascii="Arial" w:cs="Arial" w:eastAsia="Arial" w:hAnsi="Arial"/>
                <w:sz w:val="13"/>
                <w:szCs w:val="13"/>
                <w:color w:val="auto"/>
              </w:rPr>
              <w:t>4,326,798</w:t>
            </w:r>
          </w:p>
        </w:tc>
        <w:tc>
          <w:tcPr>
            <w:tcW w:w="0" w:type="dxa"/>
            <w:vAlign w:val="bottom"/>
          </w:tcPr>
          <w:p>
            <w:pPr>
              <w:spacing w:after="0"/>
              <w:rPr>
                <w:sz w:val="1"/>
                <w:szCs w:val="1"/>
                <w:color w:val="auto"/>
              </w:rPr>
            </w:pPr>
          </w:p>
        </w:tc>
      </w:tr>
      <w:tr>
        <w:trPr>
          <w:trHeight w:val="243"/>
        </w:trPr>
        <w:tc>
          <w:tcPr>
            <w:tcW w:w="3360" w:type="dxa"/>
            <w:vAlign w:val="bottom"/>
            <w:gridSpan w:val="2"/>
          </w:tcPr>
          <w:p>
            <w:pPr>
              <w:ind w:left="80"/>
              <w:spacing w:after="0"/>
              <w:rPr>
                <w:sz w:val="20"/>
                <w:szCs w:val="20"/>
                <w:color w:val="auto"/>
              </w:rPr>
            </w:pPr>
            <w:r>
              <w:rPr>
                <w:rFonts w:ascii="Arial" w:cs="Arial" w:eastAsia="Arial" w:hAnsi="Arial"/>
                <w:sz w:val="13"/>
                <w:szCs w:val="13"/>
                <w:color w:val="auto"/>
              </w:rPr>
              <w:t>Executive Vice</w:t>
            </w:r>
          </w:p>
        </w:tc>
        <w:tc>
          <w:tcPr>
            <w:tcW w:w="3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20" w:type="dxa"/>
            <w:vAlign w:val="bottom"/>
            <w:shd w:val="clear" w:color="auto" w:fill="EFF8FA"/>
          </w:tcPr>
          <w:p>
            <w:pPr>
              <w:spacing w:after="0"/>
              <w:rPr>
                <w:sz w:val="21"/>
                <w:szCs w:val="21"/>
                <w:color w:val="auto"/>
              </w:rPr>
            </w:pPr>
          </w:p>
        </w:tc>
        <w:tc>
          <w:tcPr>
            <w:tcW w:w="200" w:type="dxa"/>
            <w:vAlign w:val="bottom"/>
            <w:shd w:val="clear" w:color="auto" w:fill="EFF8FA"/>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gridSpan w:val="2"/>
          </w:tcPr>
          <w:p>
            <w:pPr>
              <w:ind w:left="80"/>
              <w:spacing w:after="0"/>
              <w:rPr>
                <w:sz w:val="20"/>
                <w:szCs w:val="20"/>
                <w:color w:val="auto"/>
              </w:rPr>
            </w:pPr>
            <w:r>
              <w:rPr>
                <w:rFonts w:ascii="Arial" w:cs="Arial" w:eastAsia="Arial" w:hAnsi="Arial"/>
                <w:sz w:val="13"/>
                <w:szCs w:val="13"/>
                <w:color w:val="auto"/>
              </w:rPr>
              <w:t>President and Chief</w:t>
            </w:r>
          </w:p>
        </w:tc>
        <w:tc>
          <w:tcPr>
            <w:tcW w:w="3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20" w:type="dxa"/>
            <w:vAlign w:val="bottom"/>
            <w:shd w:val="clear" w:color="auto" w:fill="EFF8FA"/>
          </w:tcPr>
          <w:p>
            <w:pPr>
              <w:spacing w:after="0"/>
              <w:rPr>
                <w:sz w:val="21"/>
                <w:szCs w:val="21"/>
                <w:color w:val="auto"/>
              </w:rPr>
            </w:pPr>
          </w:p>
        </w:tc>
        <w:tc>
          <w:tcPr>
            <w:tcW w:w="200" w:type="dxa"/>
            <w:vAlign w:val="bottom"/>
            <w:shd w:val="clear" w:color="auto" w:fill="EFF8FA"/>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3360" w:type="dxa"/>
            <w:vAlign w:val="bottom"/>
            <w:gridSpan w:val="2"/>
          </w:tcPr>
          <w:p>
            <w:pPr>
              <w:ind w:left="80"/>
              <w:spacing w:after="0"/>
              <w:rPr>
                <w:sz w:val="20"/>
                <w:szCs w:val="20"/>
                <w:color w:val="auto"/>
              </w:rPr>
            </w:pPr>
            <w:r>
              <w:rPr>
                <w:rFonts w:ascii="Arial" w:cs="Arial" w:eastAsia="Arial" w:hAnsi="Arial"/>
                <w:sz w:val="13"/>
                <w:szCs w:val="13"/>
                <w:color w:val="auto"/>
              </w:rPr>
              <w:t>Financial Officer</w:t>
            </w: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Borders>
              <w:bottom w:val="single" w:sz="8" w:color="EFF8FA"/>
            </w:tcBorders>
            <w:shd w:val="clear" w:color="auto" w:fill="EFF8FA"/>
          </w:tcPr>
          <w:p>
            <w:pPr>
              <w:spacing w:after="0"/>
              <w:rPr>
                <w:sz w:val="24"/>
                <w:szCs w:val="24"/>
                <w:color w:val="auto"/>
              </w:rPr>
            </w:pPr>
          </w:p>
        </w:tc>
        <w:tc>
          <w:tcPr>
            <w:tcW w:w="200" w:type="dxa"/>
            <w:vAlign w:val="bottom"/>
            <w:tcBorders>
              <w:bottom w:val="single" w:sz="8" w:color="EFF8FA"/>
            </w:tcBorders>
            <w:shd w:val="clear" w:color="auto" w:fill="EFF8FA"/>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3240" w:type="dxa"/>
            <w:vAlign w:val="bottom"/>
            <w:tcBorders>
              <w:top w:val="single" w:sz="8" w:color="DFF1FB"/>
            </w:tcBorders>
          </w:tcPr>
          <w:p>
            <w:pPr>
              <w:ind w:left="80"/>
              <w:spacing w:after="0"/>
              <w:rPr>
                <w:sz w:val="20"/>
                <w:szCs w:val="20"/>
                <w:color w:val="auto"/>
              </w:rPr>
            </w:pPr>
            <w:r>
              <w:rPr>
                <w:rFonts w:ascii="Arial" w:cs="Arial" w:eastAsia="Arial" w:hAnsi="Arial"/>
                <w:sz w:val="13"/>
                <w:szCs w:val="13"/>
                <w:b w:val="1"/>
                <w:bCs w:val="1"/>
                <w:color w:val="105FAB"/>
              </w:rPr>
              <w:t>John E. Dugenske</w:t>
            </w:r>
          </w:p>
        </w:tc>
        <w:tc>
          <w:tcPr>
            <w:tcW w:w="120" w:type="dxa"/>
            <w:vAlign w:val="bottom"/>
            <w:tcBorders>
              <w:top w:val="single" w:sz="8" w:color="DFF1FB"/>
            </w:tcBorders>
          </w:tcPr>
          <w:p>
            <w:pPr>
              <w:spacing w:after="0"/>
              <w:rPr>
                <w:sz w:val="20"/>
                <w:szCs w:val="20"/>
                <w:color w:val="auto"/>
              </w:rPr>
            </w:pPr>
          </w:p>
        </w:tc>
        <w:tc>
          <w:tcPr>
            <w:tcW w:w="380" w:type="dxa"/>
            <w:vAlign w:val="bottom"/>
            <w:tcBorders>
              <w:top w:val="single" w:sz="8" w:color="DFF1FB"/>
            </w:tcBorders>
          </w:tcPr>
          <w:p>
            <w:pPr>
              <w:jc w:val="right"/>
              <w:spacing w:after="0"/>
              <w:rPr>
                <w:sz w:val="20"/>
                <w:szCs w:val="20"/>
                <w:color w:val="auto"/>
              </w:rPr>
            </w:pPr>
            <w:r>
              <w:rPr>
                <w:rFonts w:ascii="Arial" w:cs="Arial" w:eastAsia="Arial" w:hAnsi="Arial"/>
                <w:sz w:val="13"/>
                <w:szCs w:val="13"/>
                <w:color w:val="auto"/>
              </w:rPr>
              <w:t>2018</w:t>
            </w:r>
          </w:p>
        </w:tc>
        <w:tc>
          <w:tcPr>
            <w:tcW w:w="700" w:type="dxa"/>
            <w:vAlign w:val="bottom"/>
            <w:tcBorders>
              <w:top w:val="single" w:sz="8" w:color="DFF1FB"/>
            </w:tcBorders>
          </w:tcPr>
          <w:p>
            <w:pPr>
              <w:jc w:val="right"/>
              <w:spacing w:after="0"/>
              <w:rPr>
                <w:sz w:val="20"/>
                <w:szCs w:val="20"/>
                <w:color w:val="auto"/>
              </w:rPr>
            </w:pPr>
            <w:r>
              <w:rPr>
                <w:rFonts w:ascii="Arial" w:cs="Arial" w:eastAsia="Arial" w:hAnsi="Arial"/>
                <w:sz w:val="13"/>
                <w:szCs w:val="13"/>
                <w:color w:val="auto"/>
              </w:rPr>
              <w:t>745,192</w:t>
            </w:r>
          </w:p>
        </w:tc>
        <w:tc>
          <w:tcPr>
            <w:tcW w:w="720" w:type="dxa"/>
            <w:vAlign w:val="bottom"/>
            <w:tcBorders>
              <w:top w:val="single" w:sz="8" w:color="DFF1FB"/>
            </w:tcBorders>
            <w:gridSpan w:val="2"/>
          </w:tcPr>
          <w:p>
            <w:pPr>
              <w:jc w:val="right"/>
              <w:spacing w:after="0"/>
              <w:rPr>
                <w:sz w:val="20"/>
                <w:szCs w:val="20"/>
                <w:color w:val="auto"/>
              </w:rPr>
            </w:pPr>
            <w:r>
              <w:rPr>
                <w:rFonts w:ascii="Arial" w:cs="Arial" w:eastAsia="Arial" w:hAnsi="Arial"/>
                <w:sz w:val="13"/>
                <w:szCs w:val="13"/>
                <w:color w:val="auto"/>
              </w:rPr>
              <w:t>2,000,000</w:t>
            </w:r>
          </w:p>
        </w:tc>
        <w:tc>
          <w:tcPr>
            <w:tcW w:w="720" w:type="dxa"/>
            <w:vAlign w:val="bottom"/>
            <w:tcBorders>
              <w:top w:val="single" w:sz="8" w:color="DFF1FB"/>
            </w:tcBorders>
          </w:tcPr>
          <w:p>
            <w:pPr>
              <w:jc w:val="right"/>
              <w:spacing w:after="0"/>
              <w:rPr>
                <w:sz w:val="20"/>
                <w:szCs w:val="20"/>
                <w:color w:val="auto"/>
              </w:rPr>
            </w:pPr>
            <w:r>
              <w:rPr>
                <w:rFonts w:ascii="Arial" w:cs="Arial" w:eastAsia="Arial" w:hAnsi="Arial"/>
                <w:sz w:val="13"/>
                <w:szCs w:val="13"/>
                <w:color w:val="auto"/>
              </w:rPr>
              <w:t>1,380,029</w:t>
            </w:r>
          </w:p>
        </w:tc>
        <w:tc>
          <w:tcPr>
            <w:tcW w:w="720" w:type="dxa"/>
            <w:vAlign w:val="bottom"/>
            <w:tcBorders>
              <w:top w:val="single" w:sz="8" w:color="DFF1FB"/>
            </w:tcBorders>
            <w:gridSpan w:val="2"/>
          </w:tcPr>
          <w:p>
            <w:pPr>
              <w:jc w:val="right"/>
              <w:ind w:right="9"/>
              <w:spacing w:after="0"/>
              <w:rPr>
                <w:sz w:val="20"/>
                <w:szCs w:val="20"/>
                <w:color w:val="auto"/>
              </w:rPr>
            </w:pPr>
            <w:r>
              <w:rPr>
                <w:rFonts w:ascii="Arial" w:cs="Arial" w:eastAsia="Arial" w:hAnsi="Arial"/>
                <w:sz w:val="13"/>
                <w:szCs w:val="13"/>
                <w:color w:val="auto"/>
              </w:rPr>
              <w:t>920,007</w:t>
            </w:r>
          </w:p>
        </w:tc>
        <w:tc>
          <w:tcPr>
            <w:tcW w:w="1040" w:type="dxa"/>
            <w:vAlign w:val="bottom"/>
            <w:tcBorders>
              <w:top w:val="single" w:sz="8" w:color="DFF1FB"/>
            </w:tcBorders>
          </w:tcPr>
          <w:p>
            <w:pPr>
              <w:jc w:val="right"/>
              <w:spacing w:after="0"/>
              <w:rPr>
                <w:sz w:val="20"/>
                <w:szCs w:val="20"/>
                <w:color w:val="auto"/>
              </w:rPr>
            </w:pPr>
            <w:r>
              <w:rPr>
                <w:rFonts w:ascii="Arial" w:cs="Arial" w:eastAsia="Arial" w:hAnsi="Arial"/>
                <w:sz w:val="13"/>
                <w:szCs w:val="13"/>
                <w:color w:val="auto"/>
              </w:rPr>
              <w:t>1,616,607</w:t>
            </w:r>
          </w:p>
        </w:tc>
        <w:tc>
          <w:tcPr>
            <w:tcW w:w="1060" w:type="dxa"/>
            <w:vAlign w:val="bottom"/>
            <w:tcBorders>
              <w:top w:val="single" w:sz="8" w:color="DFF1FB"/>
            </w:tcBorders>
            <w:gridSpan w:val="2"/>
          </w:tcPr>
          <w:p>
            <w:pPr>
              <w:jc w:val="right"/>
              <w:spacing w:after="0"/>
              <w:rPr>
                <w:sz w:val="20"/>
                <w:szCs w:val="20"/>
                <w:color w:val="auto"/>
              </w:rPr>
            </w:pPr>
            <w:r>
              <w:rPr>
                <w:rFonts w:ascii="Arial" w:cs="Arial" w:eastAsia="Arial" w:hAnsi="Arial"/>
                <w:sz w:val="13"/>
                <w:szCs w:val="13"/>
                <w:color w:val="auto"/>
              </w:rPr>
              <w:t>78,006</w:t>
            </w:r>
          </w:p>
        </w:tc>
        <w:tc>
          <w:tcPr>
            <w:tcW w:w="1060" w:type="dxa"/>
            <w:vAlign w:val="bottom"/>
            <w:tcBorders>
              <w:top w:val="single" w:sz="8" w:color="DFF1FB"/>
            </w:tcBorders>
            <w:gridSpan w:val="2"/>
          </w:tcPr>
          <w:p>
            <w:pPr>
              <w:jc w:val="right"/>
              <w:ind w:right="9"/>
              <w:spacing w:after="0"/>
              <w:rPr>
                <w:sz w:val="20"/>
                <w:szCs w:val="20"/>
                <w:color w:val="auto"/>
              </w:rPr>
            </w:pPr>
            <w:r>
              <w:rPr>
                <w:rFonts w:ascii="Arial" w:cs="Arial" w:eastAsia="Arial" w:hAnsi="Arial"/>
                <w:sz w:val="13"/>
                <w:szCs w:val="13"/>
                <w:color w:val="auto"/>
              </w:rPr>
              <w:t>24,560</w:t>
            </w:r>
          </w:p>
        </w:tc>
        <w:tc>
          <w:tcPr>
            <w:tcW w:w="840" w:type="dxa"/>
            <w:vAlign w:val="bottom"/>
            <w:tcBorders>
              <w:top w:val="single" w:sz="8" w:color="DFF1FB"/>
            </w:tcBorders>
          </w:tcPr>
          <w:p>
            <w:pPr>
              <w:jc w:val="right"/>
              <w:ind w:right="53"/>
              <w:spacing w:after="0"/>
              <w:rPr>
                <w:sz w:val="20"/>
                <w:szCs w:val="20"/>
                <w:color w:val="auto"/>
              </w:rPr>
            </w:pPr>
            <w:r>
              <w:rPr>
                <w:rFonts w:ascii="Arial" w:cs="Arial" w:eastAsia="Arial" w:hAnsi="Arial"/>
                <w:sz w:val="13"/>
                <w:szCs w:val="13"/>
                <w:color w:val="auto"/>
              </w:rPr>
              <w:t>6,764,401</w:t>
            </w:r>
          </w:p>
        </w:tc>
        <w:tc>
          <w:tcPr>
            <w:tcW w:w="820" w:type="dxa"/>
            <w:vAlign w:val="bottom"/>
            <w:tcBorders>
              <w:top w:val="single" w:sz="8" w:color="DFF1FB"/>
              <w:bottom w:val="single" w:sz="8" w:color="EFF8FA"/>
            </w:tcBorders>
            <w:gridSpan w:val="2"/>
            <w:shd w:val="clear" w:color="auto" w:fill="EFF8FA"/>
          </w:tcPr>
          <w:p>
            <w:pPr>
              <w:jc w:val="right"/>
              <w:ind w:right="29"/>
              <w:spacing w:after="0"/>
              <w:rPr>
                <w:sz w:val="20"/>
                <w:szCs w:val="20"/>
                <w:color w:val="auto"/>
              </w:rPr>
            </w:pPr>
            <w:r>
              <w:rPr>
                <w:rFonts w:ascii="Arial" w:cs="Arial" w:eastAsia="Arial" w:hAnsi="Arial"/>
                <w:sz w:val="13"/>
                <w:szCs w:val="13"/>
                <w:color w:val="auto"/>
              </w:rPr>
              <w:t>6,686,395</w:t>
            </w:r>
          </w:p>
        </w:tc>
        <w:tc>
          <w:tcPr>
            <w:tcW w:w="0" w:type="dxa"/>
            <w:vAlign w:val="bottom"/>
          </w:tcPr>
          <w:p>
            <w:pPr>
              <w:spacing w:after="0"/>
              <w:rPr>
                <w:sz w:val="1"/>
                <w:szCs w:val="1"/>
                <w:color w:val="auto"/>
              </w:rPr>
            </w:pPr>
          </w:p>
        </w:tc>
      </w:tr>
      <w:tr>
        <w:trPr>
          <w:trHeight w:val="195"/>
        </w:trPr>
        <w:tc>
          <w:tcPr>
            <w:tcW w:w="3240" w:type="dxa"/>
            <w:vAlign w:val="bottom"/>
          </w:tcPr>
          <w:p>
            <w:pPr>
              <w:ind w:left="80"/>
              <w:spacing w:after="0"/>
              <w:rPr>
                <w:sz w:val="20"/>
                <w:szCs w:val="20"/>
                <w:color w:val="auto"/>
              </w:rPr>
            </w:pPr>
            <w:r>
              <w:rPr>
                <w:rFonts w:ascii="Arial" w:cs="Arial" w:eastAsia="Arial" w:hAnsi="Arial"/>
                <w:sz w:val="13"/>
                <w:szCs w:val="13"/>
                <w:color w:val="auto"/>
              </w:rPr>
              <w:t>Executive Vice</w:t>
            </w:r>
          </w:p>
        </w:tc>
        <w:tc>
          <w:tcPr>
            <w:tcW w:w="120" w:type="dxa"/>
            <w:vAlign w:val="bottom"/>
            <w:tcBorders>
              <w:top w:val="single" w:sz="8" w:color="DFF1FB"/>
            </w:tcBorders>
          </w:tcPr>
          <w:p>
            <w:pPr>
              <w:spacing w:after="0"/>
              <w:rPr>
                <w:sz w:val="16"/>
                <w:szCs w:val="16"/>
                <w:color w:val="auto"/>
              </w:rPr>
            </w:pPr>
          </w:p>
        </w:tc>
        <w:tc>
          <w:tcPr>
            <w:tcW w:w="380" w:type="dxa"/>
            <w:vAlign w:val="bottom"/>
            <w:tcBorders>
              <w:top w:val="single" w:sz="8" w:color="DFF1FB"/>
            </w:tcBorders>
          </w:tcPr>
          <w:p>
            <w:pPr>
              <w:jc w:val="right"/>
              <w:spacing w:after="0"/>
              <w:rPr>
                <w:sz w:val="20"/>
                <w:szCs w:val="20"/>
                <w:color w:val="auto"/>
              </w:rPr>
            </w:pPr>
            <w:r>
              <w:rPr>
                <w:rFonts w:ascii="Arial" w:cs="Arial" w:eastAsia="Arial" w:hAnsi="Arial"/>
                <w:sz w:val="13"/>
                <w:szCs w:val="13"/>
                <w:color w:val="auto"/>
              </w:rPr>
              <w:t>2017</w:t>
            </w:r>
          </w:p>
        </w:tc>
        <w:tc>
          <w:tcPr>
            <w:tcW w:w="700" w:type="dxa"/>
            <w:vAlign w:val="bottom"/>
            <w:tcBorders>
              <w:top w:val="single" w:sz="8" w:color="DFF1FB"/>
            </w:tcBorders>
          </w:tcPr>
          <w:p>
            <w:pPr>
              <w:jc w:val="right"/>
              <w:spacing w:after="0"/>
              <w:rPr>
                <w:sz w:val="20"/>
                <w:szCs w:val="20"/>
                <w:color w:val="auto"/>
              </w:rPr>
            </w:pPr>
            <w:r>
              <w:rPr>
                <w:rFonts w:ascii="Arial" w:cs="Arial" w:eastAsia="Arial" w:hAnsi="Arial"/>
                <w:sz w:val="13"/>
                <w:szCs w:val="13"/>
                <w:color w:val="auto"/>
              </w:rPr>
              <w:t>593,942</w:t>
            </w:r>
          </w:p>
        </w:tc>
        <w:tc>
          <w:tcPr>
            <w:tcW w:w="720" w:type="dxa"/>
            <w:vAlign w:val="bottom"/>
            <w:tcBorders>
              <w:top w:val="single" w:sz="8" w:color="DFF1FB"/>
            </w:tcBorders>
            <w:gridSpan w:val="2"/>
          </w:tcPr>
          <w:p>
            <w:pPr>
              <w:jc w:val="right"/>
              <w:spacing w:after="0"/>
              <w:rPr>
                <w:sz w:val="20"/>
                <w:szCs w:val="20"/>
                <w:color w:val="auto"/>
              </w:rPr>
            </w:pPr>
            <w:r>
              <w:rPr>
                <w:rFonts w:ascii="Arial" w:cs="Arial" w:eastAsia="Arial" w:hAnsi="Arial"/>
                <w:sz w:val="13"/>
                <w:szCs w:val="13"/>
                <w:color w:val="auto"/>
              </w:rPr>
              <w:t>2,000,000</w:t>
            </w:r>
          </w:p>
        </w:tc>
        <w:tc>
          <w:tcPr>
            <w:tcW w:w="720" w:type="dxa"/>
            <w:vAlign w:val="bottom"/>
            <w:tcBorders>
              <w:top w:val="single" w:sz="8" w:color="DFF1FB"/>
            </w:tcBorders>
          </w:tcPr>
          <w:p>
            <w:pPr>
              <w:jc w:val="right"/>
              <w:spacing w:after="0"/>
              <w:rPr>
                <w:sz w:val="20"/>
                <w:szCs w:val="20"/>
                <w:color w:val="auto"/>
              </w:rPr>
            </w:pPr>
            <w:r>
              <w:rPr>
                <w:rFonts w:ascii="Arial" w:cs="Arial" w:eastAsia="Arial" w:hAnsi="Arial"/>
                <w:sz w:val="13"/>
                <w:szCs w:val="13"/>
                <w:color w:val="auto"/>
              </w:rPr>
              <w:t>5,305,014</w:t>
            </w:r>
          </w:p>
        </w:tc>
        <w:tc>
          <w:tcPr>
            <w:tcW w:w="720" w:type="dxa"/>
            <w:vAlign w:val="bottom"/>
            <w:tcBorders>
              <w:top w:val="single" w:sz="8" w:color="DFF1FB"/>
            </w:tcBorders>
            <w:gridSpan w:val="2"/>
          </w:tcPr>
          <w:p>
            <w:pPr>
              <w:jc w:val="right"/>
              <w:ind w:right="9"/>
              <w:spacing w:after="0"/>
              <w:rPr>
                <w:sz w:val="20"/>
                <w:szCs w:val="20"/>
                <w:color w:val="auto"/>
              </w:rPr>
            </w:pPr>
            <w:r>
              <w:rPr>
                <w:rFonts w:ascii="Arial" w:cs="Arial" w:eastAsia="Arial" w:hAnsi="Arial"/>
                <w:sz w:val="13"/>
                <w:szCs w:val="13"/>
                <w:color w:val="auto"/>
              </w:rPr>
              <w:t>870,005</w:t>
            </w:r>
          </w:p>
        </w:tc>
        <w:tc>
          <w:tcPr>
            <w:tcW w:w="1040" w:type="dxa"/>
            <w:vAlign w:val="bottom"/>
            <w:tcBorders>
              <w:top w:val="single" w:sz="8" w:color="DFF1FB"/>
            </w:tcBorders>
          </w:tcPr>
          <w:p>
            <w:pPr>
              <w:jc w:val="right"/>
              <w:spacing w:after="0"/>
              <w:rPr>
                <w:sz w:val="20"/>
                <w:szCs w:val="20"/>
                <w:color w:val="auto"/>
              </w:rPr>
            </w:pPr>
            <w:r>
              <w:rPr>
                <w:rFonts w:ascii="Arial" w:cs="Arial" w:eastAsia="Arial" w:hAnsi="Arial"/>
                <w:sz w:val="13"/>
                <w:szCs w:val="13"/>
                <w:color w:val="auto"/>
              </w:rPr>
              <w:t>1,377,908</w:t>
            </w:r>
          </w:p>
        </w:tc>
        <w:tc>
          <w:tcPr>
            <w:tcW w:w="860" w:type="dxa"/>
            <w:vAlign w:val="bottom"/>
            <w:tcBorders>
              <w:top w:val="single" w:sz="8" w:color="DFF1FB"/>
            </w:tcBorders>
          </w:tcPr>
          <w:p>
            <w:pPr>
              <w:spacing w:after="0"/>
              <w:rPr>
                <w:sz w:val="16"/>
                <w:szCs w:val="16"/>
                <w:color w:val="auto"/>
              </w:rPr>
            </w:pPr>
          </w:p>
        </w:tc>
        <w:tc>
          <w:tcPr>
            <w:tcW w:w="200" w:type="dxa"/>
            <w:vAlign w:val="bottom"/>
            <w:tcBorders>
              <w:top w:val="single" w:sz="8" w:color="DFF1FB"/>
            </w:tcBorders>
          </w:tcPr>
          <w:p>
            <w:pPr>
              <w:jc w:val="right"/>
              <w:spacing w:after="0"/>
              <w:rPr>
                <w:sz w:val="20"/>
                <w:szCs w:val="20"/>
                <w:color w:val="auto"/>
              </w:rPr>
            </w:pPr>
            <w:r>
              <w:rPr>
                <w:rFonts w:ascii="Arial" w:cs="Arial" w:eastAsia="Arial" w:hAnsi="Arial"/>
                <w:sz w:val="13"/>
                <w:szCs w:val="13"/>
                <w:color w:val="auto"/>
                <w:w w:val="91"/>
              </w:rPr>
              <w:t>—</w:t>
            </w:r>
          </w:p>
        </w:tc>
        <w:tc>
          <w:tcPr>
            <w:tcW w:w="1060" w:type="dxa"/>
            <w:vAlign w:val="bottom"/>
            <w:tcBorders>
              <w:top w:val="single" w:sz="8" w:color="DFF1FB"/>
            </w:tcBorders>
            <w:gridSpan w:val="2"/>
          </w:tcPr>
          <w:p>
            <w:pPr>
              <w:jc w:val="right"/>
              <w:ind w:right="9"/>
              <w:spacing w:after="0"/>
              <w:rPr>
                <w:sz w:val="20"/>
                <w:szCs w:val="20"/>
                <w:color w:val="auto"/>
              </w:rPr>
            </w:pPr>
            <w:r>
              <w:rPr>
                <w:rFonts w:ascii="Arial" w:cs="Arial" w:eastAsia="Arial" w:hAnsi="Arial"/>
                <w:sz w:val="13"/>
                <w:szCs w:val="13"/>
                <w:color w:val="auto"/>
              </w:rPr>
              <w:t>17,026</w:t>
            </w:r>
          </w:p>
        </w:tc>
        <w:tc>
          <w:tcPr>
            <w:tcW w:w="840" w:type="dxa"/>
            <w:vAlign w:val="bottom"/>
            <w:tcBorders>
              <w:top w:val="single" w:sz="8" w:color="DFF1FB"/>
            </w:tcBorders>
          </w:tcPr>
          <w:p>
            <w:pPr>
              <w:jc w:val="right"/>
              <w:ind w:right="53"/>
              <w:spacing w:after="0"/>
              <w:rPr>
                <w:sz w:val="20"/>
                <w:szCs w:val="20"/>
                <w:color w:val="auto"/>
              </w:rPr>
            </w:pPr>
            <w:r>
              <w:rPr>
                <w:rFonts w:ascii="Arial" w:cs="Arial" w:eastAsia="Arial" w:hAnsi="Arial"/>
                <w:sz w:val="13"/>
                <w:szCs w:val="13"/>
                <w:color w:val="auto"/>
              </w:rPr>
              <w:t>10,163,895</w:t>
            </w:r>
          </w:p>
        </w:tc>
        <w:tc>
          <w:tcPr>
            <w:tcW w:w="820" w:type="dxa"/>
            <w:vAlign w:val="bottom"/>
            <w:tcBorders>
              <w:top w:val="single" w:sz="8" w:color="DFF1FB"/>
            </w:tcBorders>
            <w:gridSpan w:val="2"/>
            <w:shd w:val="clear" w:color="auto" w:fill="EFF8FA"/>
          </w:tcPr>
          <w:p>
            <w:pPr>
              <w:jc w:val="right"/>
              <w:ind w:right="29"/>
              <w:spacing w:after="0"/>
              <w:rPr>
                <w:sz w:val="20"/>
                <w:szCs w:val="20"/>
                <w:color w:val="auto"/>
              </w:rPr>
            </w:pPr>
            <w:r>
              <w:rPr>
                <w:rFonts w:ascii="Arial" w:cs="Arial" w:eastAsia="Arial" w:hAnsi="Arial"/>
                <w:sz w:val="13"/>
                <w:szCs w:val="13"/>
                <w:color w:val="auto"/>
              </w:rPr>
              <w:t>10,163,895</w:t>
            </w:r>
          </w:p>
        </w:tc>
        <w:tc>
          <w:tcPr>
            <w:tcW w:w="0" w:type="dxa"/>
            <w:vAlign w:val="bottom"/>
          </w:tcPr>
          <w:p>
            <w:pPr>
              <w:spacing w:after="0"/>
              <w:rPr>
                <w:sz w:val="1"/>
                <w:szCs w:val="1"/>
                <w:color w:val="auto"/>
              </w:rPr>
            </w:pPr>
          </w:p>
        </w:tc>
      </w:tr>
      <w:tr>
        <w:trPr>
          <w:trHeight w:val="243"/>
        </w:trPr>
        <w:tc>
          <w:tcPr>
            <w:tcW w:w="3360" w:type="dxa"/>
            <w:vAlign w:val="bottom"/>
            <w:gridSpan w:val="2"/>
          </w:tcPr>
          <w:p>
            <w:pPr>
              <w:ind w:left="80"/>
              <w:spacing w:after="0"/>
              <w:rPr>
                <w:sz w:val="20"/>
                <w:szCs w:val="20"/>
                <w:color w:val="auto"/>
              </w:rPr>
            </w:pPr>
            <w:r>
              <w:rPr>
                <w:rFonts w:ascii="Arial" w:cs="Arial" w:eastAsia="Arial" w:hAnsi="Arial"/>
                <w:sz w:val="13"/>
                <w:szCs w:val="13"/>
                <w:color w:val="auto"/>
              </w:rPr>
              <w:t>President and Chief</w:t>
            </w:r>
          </w:p>
        </w:tc>
        <w:tc>
          <w:tcPr>
            <w:tcW w:w="3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20" w:type="dxa"/>
            <w:vAlign w:val="bottom"/>
            <w:shd w:val="clear" w:color="auto" w:fill="EFF8FA"/>
          </w:tcPr>
          <w:p>
            <w:pPr>
              <w:spacing w:after="0"/>
              <w:rPr>
                <w:sz w:val="21"/>
                <w:szCs w:val="21"/>
                <w:color w:val="auto"/>
              </w:rPr>
            </w:pPr>
          </w:p>
        </w:tc>
        <w:tc>
          <w:tcPr>
            <w:tcW w:w="200" w:type="dxa"/>
            <w:vAlign w:val="bottom"/>
            <w:shd w:val="clear" w:color="auto" w:fill="EFF8FA"/>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gridSpan w:val="2"/>
          </w:tcPr>
          <w:p>
            <w:pPr>
              <w:ind w:left="80"/>
              <w:spacing w:after="0"/>
              <w:rPr>
                <w:sz w:val="20"/>
                <w:szCs w:val="20"/>
                <w:color w:val="auto"/>
              </w:rPr>
            </w:pPr>
            <w:r>
              <w:rPr>
                <w:rFonts w:ascii="Arial" w:cs="Arial" w:eastAsia="Arial" w:hAnsi="Arial"/>
                <w:sz w:val="13"/>
                <w:szCs w:val="13"/>
                <w:color w:val="auto"/>
              </w:rPr>
              <w:t>Investment and</w:t>
            </w:r>
          </w:p>
        </w:tc>
        <w:tc>
          <w:tcPr>
            <w:tcW w:w="3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20" w:type="dxa"/>
            <w:vAlign w:val="bottom"/>
            <w:shd w:val="clear" w:color="auto" w:fill="EFF8FA"/>
          </w:tcPr>
          <w:p>
            <w:pPr>
              <w:spacing w:after="0"/>
              <w:rPr>
                <w:sz w:val="21"/>
                <w:szCs w:val="21"/>
                <w:color w:val="auto"/>
              </w:rPr>
            </w:pPr>
          </w:p>
        </w:tc>
        <w:tc>
          <w:tcPr>
            <w:tcW w:w="200" w:type="dxa"/>
            <w:vAlign w:val="bottom"/>
            <w:shd w:val="clear" w:color="auto" w:fill="EFF8FA"/>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gridSpan w:val="2"/>
          </w:tcPr>
          <w:p>
            <w:pPr>
              <w:ind w:left="80"/>
              <w:spacing w:after="0"/>
              <w:rPr>
                <w:sz w:val="20"/>
                <w:szCs w:val="20"/>
                <w:color w:val="auto"/>
              </w:rPr>
            </w:pPr>
            <w:r>
              <w:rPr>
                <w:rFonts w:ascii="Arial" w:cs="Arial" w:eastAsia="Arial" w:hAnsi="Arial"/>
                <w:sz w:val="13"/>
                <w:szCs w:val="13"/>
                <w:color w:val="auto"/>
              </w:rPr>
              <w:t>Corporate Strategy</w:t>
            </w:r>
          </w:p>
        </w:tc>
        <w:tc>
          <w:tcPr>
            <w:tcW w:w="3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20" w:type="dxa"/>
            <w:vAlign w:val="bottom"/>
            <w:shd w:val="clear" w:color="auto" w:fill="EFF8FA"/>
          </w:tcPr>
          <w:p>
            <w:pPr>
              <w:spacing w:after="0"/>
              <w:rPr>
                <w:sz w:val="21"/>
                <w:szCs w:val="21"/>
                <w:color w:val="auto"/>
              </w:rPr>
            </w:pPr>
          </w:p>
        </w:tc>
        <w:tc>
          <w:tcPr>
            <w:tcW w:w="200" w:type="dxa"/>
            <w:vAlign w:val="bottom"/>
            <w:shd w:val="clear" w:color="auto" w:fill="EFF8FA"/>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3360" w:type="dxa"/>
            <w:vAlign w:val="bottom"/>
            <w:gridSpan w:val="2"/>
          </w:tcPr>
          <w:p>
            <w:pPr>
              <w:ind w:left="80"/>
              <w:spacing w:after="0"/>
              <w:rPr>
                <w:sz w:val="20"/>
                <w:szCs w:val="20"/>
                <w:color w:val="auto"/>
              </w:rPr>
            </w:pPr>
            <w:r>
              <w:rPr>
                <w:rFonts w:ascii="Arial" w:cs="Arial" w:eastAsia="Arial" w:hAnsi="Arial"/>
                <w:sz w:val="13"/>
                <w:szCs w:val="13"/>
                <w:color w:val="auto"/>
              </w:rPr>
              <w:t>Officer</w:t>
            </w: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Borders>
              <w:bottom w:val="single" w:sz="8" w:color="EFF8FA"/>
            </w:tcBorders>
            <w:shd w:val="clear" w:color="auto" w:fill="EFF8FA"/>
          </w:tcPr>
          <w:p>
            <w:pPr>
              <w:spacing w:after="0"/>
              <w:rPr>
                <w:sz w:val="24"/>
                <w:szCs w:val="24"/>
                <w:color w:val="auto"/>
              </w:rPr>
            </w:pPr>
          </w:p>
        </w:tc>
        <w:tc>
          <w:tcPr>
            <w:tcW w:w="200" w:type="dxa"/>
            <w:vAlign w:val="bottom"/>
            <w:tcBorders>
              <w:bottom w:val="single" w:sz="8" w:color="EFF8FA"/>
            </w:tcBorders>
            <w:shd w:val="clear" w:color="auto" w:fill="EFF8FA"/>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360" w:type="dxa"/>
            <w:vAlign w:val="bottom"/>
            <w:tcBorders>
              <w:top w:val="single" w:sz="8" w:color="DFF1FB"/>
            </w:tcBorders>
            <w:gridSpan w:val="2"/>
          </w:tcPr>
          <w:p>
            <w:pPr>
              <w:ind w:left="80"/>
              <w:spacing w:after="0"/>
              <w:rPr>
                <w:sz w:val="20"/>
                <w:szCs w:val="20"/>
                <w:color w:val="auto"/>
              </w:rPr>
            </w:pPr>
            <w:r>
              <w:rPr>
                <w:rFonts w:ascii="Arial" w:cs="Arial" w:eastAsia="Arial" w:hAnsi="Arial"/>
                <w:sz w:val="13"/>
                <w:szCs w:val="13"/>
                <w:b w:val="1"/>
                <w:bCs w:val="1"/>
                <w:color w:val="105FAB"/>
              </w:rPr>
              <w:t>Glenn T. Shapiro</w:t>
            </w:r>
          </w:p>
        </w:tc>
        <w:tc>
          <w:tcPr>
            <w:tcW w:w="380" w:type="dxa"/>
            <w:vAlign w:val="bottom"/>
            <w:tcBorders>
              <w:top w:val="single" w:sz="8" w:color="DFF1FB"/>
            </w:tcBorders>
          </w:tcPr>
          <w:p>
            <w:pPr>
              <w:jc w:val="right"/>
              <w:spacing w:after="0"/>
              <w:rPr>
                <w:sz w:val="20"/>
                <w:szCs w:val="20"/>
                <w:color w:val="auto"/>
              </w:rPr>
            </w:pPr>
            <w:r>
              <w:rPr>
                <w:rFonts w:ascii="Arial" w:cs="Arial" w:eastAsia="Arial" w:hAnsi="Arial"/>
                <w:sz w:val="13"/>
                <w:szCs w:val="13"/>
                <w:color w:val="auto"/>
              </w:rPr>
              <w:t>2018</w:t>
            </w:r>
          </w:p>
        </w:tc>
        <w:tc>
          <w:tcPr>
            <w:tcW w:w="700" w:type="dxa"/>
            <w:vAlign w:val="bottom"/>
            <w:tcBorders>
              <w:top w:val="single" w:sz="8" w:color="DFF1FB"/>
            </w:tcBorders>
          </w:tcPr>
          <w:p>
            <w:pPr>
              <w:jc w:val="right"/>
              <w:spacing w:after="0"/>
              <w:rPr>
                <w:sz w:val="20"/>
                <w:szCs w:val="20"/>
                <w:color w:val="auto"/>
              </w:rPr>
            </w:pPr>
            <w:r>
              <w:rPr>
                <w:rFonts w:ascii="Arial" w:cs="Arial" w:eastAsia="Arial" w:hAnsi="Arial"/>
                <w:sz w:val="13"/>
                <w:szCs w:val="13"/>
                <w:color w:val="auto"/>
              </w:rPr>
              <w:t>743,942</w:t>
            </w:r>
          </w:p>
        </w:tc>
        <w:tc>
          <w:tcPr>
            <w:tcW w:w="520" w:type="dxa"/>
            <w:vAlign w:val="bottom"/>
            <w:tcBorders>
              <w:top w:val="single" w:sz="8" w:color="DFF1FB"/>
            </w:tcBorders>
          </w:tcPr>
          <w:p>
            <w:pPr>
              <w:spacing w:after="0"/>
              <w:rPr>
                <w:sz w:val="16"/>
                <w:szCs w:val="16"/>
                <w:color w:val="auto"/>
              </w:rPr>
            </w:pPr>
          </w:p>
        </w:tc>
        <w:tc>
          <w:tcPr>
            <w:tcW w:w="200" w:type="dxa"/>
            <w:vAlign w:val="bottom"/>
            <w:tcBorders>
              <w:top w:val="single" w:sz="8" w:color="DFF1FB"/>
            </w:tcBorders>
          </w:tcPr>
          <w:p>
            <w:pPr>
              <w:jc w:val="right"/>
              <w:spacing w:after="0"/>
              <w:rPr>
                <w:sz w:val="20"/>
                <w:szCs w:val="20"/>
                <w:color w:val="auto"/>
              </w:rPr>
            </w:pPr>
            <w:r>
              <w:rPr>
                <w:rFonts w:ascii="Arial" w:cs="Arial" w:eastAsia="Arial" w:hAnsi="Arial"/>
                <w:sz w:val="13"/>
                <w:szCs w:val="13"/>
                <w:color w:val="auto"/>
                <w:w w:val="91"/>
              </w:rPr>
              <w:t>—</w:t>
            </w:r>
          </w:p>
        </w:tc>
        <w:tc>
          <w:tcPr>
            <w:tcW w:w="720" w:type="dxa"/>
            <w:vAlign w:val="bottom"/>
            <w:tcBorders>
              <w:top w:val="single" w:sz="8" w:color="DFF1FB"/>
            </w:tcBorders>
          </w:tcPr>
          <w:p>
            <w:pPr>
              <w:jc w:val="right"/>
              <w:spacing w:after="0"/>
              <w:rPr>
                <w:sz w:val="20"/>
                <w:szCs w:val="20"/>
                <w:color w:val="auto"/>
              </w:rPr>
            </w:pPr>
            <w:r>
              <w:rPr>
                <w:rFonts w:ascii="Arial" w:cs="Arial" w:eastAsia="Arial" w:hAnsi="Arial"/>
                <w:sz w:val="13"/>
                <w:szCs w:val="13"/>
                <w:color w:val="auto"/>
              </w:rPr>
              <w:t>1,462,528</w:t>
            </w:r>
          </w:p>
        </w:tc>
        <w:tc>
          <w:tcPr>
            <w:tcW w:w="720" w:type="dxa"/>
            <w:vAlign w:val="bottom"/>
            <w:tcBorders>
              <w:top w:val="single" w:sz="8" w:color="DFF1FB"/>
            </w:tcBorders>
            <w:gridSpan w:val="2"/>
          </w:tcPr>
          <w:p>
            <w:pPr>
              <w:jc w:val="right"/>
              <w:ind w:right="9"/>
              <w:spacing w:after="0"/>
              <w:rPr>
                <w:sz w:val="20"/>
                <w:szCs w:val="20"/>
                <w:color w:val="auto"/>
              </w:rPr>
            </w:pPr>
            <w:r>
              <w:rPr>
                <w:rFonts w:ascii="Arial" w:cs="Arial" w:eastAsia="Arial" w:hAnsi="Arial"/>
                <w:sz w:val="13"/>
                <w:szCs w:val="13"/>
                <w:color w:val="auto"/>
              </w:rPr>
              <w:t>974,995</w:t>
            </w:r>
          </w:p>
        </w:tc>
        <w:tc>
          <w:tcPr>
            <w:tcW w:w="1040" w:type="dxa"/>
            <w:vAlign w:val="bottom"/>
            <w:tcBorders>
              <w:top w:val="single" w:sz="8" w:color="DFF1FB"/>
            </w:tcBorders>
          </w:tcPr>
          <w:p>
            <w:pPr>
              <w:jc w:val="right"/>
              <w:spacing w:after="0"/>
              <w:rPr>
                <w:sz w:val="20"/>
                <w:szCs w:val="20"/>
                <w:color w:val="auto"/>
              </w:rPr>
            </w:pPr>
            <w:r>
              <w:rPr>
                <w:rFonts w:ascii="Arial" w:cs="Arial" w:eastAsia="Arial" w:hAnsi="Arial"/>
                <w:sz w:val="13"/>
                <w:szCs w:val="13"/>
                <w:color w:val="auto"/>
              </w:rPr>
              <w:t>2,050,000</w:t>
            </w:r>
          </w:p>
        </w:tc>
        <w:tc>
          <w:tcPr>
            <w:tcW w:w="1060" w:type="dxa"/>
            <w:vAlign w:val="bottom"/>
            <w:tcBorders>
              <w:top w:val="single" w:sz="8" w:color="DFF1FB"/>
            </w:tcBorders>
            <w:gridSpan w:val="2"/>
          </w:tcPr>
          <w:p>
            <w:pPr>
              <w:jc w:val="right"/>
              <w:spacing w:after="0"/>
              <w:rPr>
                <w:sz w:val="20"/>
                <w:szCs w:val="20"/>
                <w:color w:val="auto"/>
              </w:rPr>
            </w:pPr>
            <w:r>
              <w:rPr>
                <w:rFonts w:ascii="Arial" w:cs="Arial" w:eastAsia="Arial" w:hAnsi="Arial"/>
                <w:sz w:val="13"/>
                <w:szCs w:val="13"/>
                <w:color w:val="auto"/>
              </w:rPr>
              <w:t>46,564</w:t>
            </w:r>
          </w:p>
        </w:tc>
        <w:tc>
          <w:tcPr>
            <w:tcW w:w="1060" w:type="dxa"/>
            <w:vAlign w:val="bottom"/>
            <w:tcBorders>
              <w:top w:val="single" w:sz="8" w:color="DFF1FB"/>
            </w:tcBorders>
            <w:gridSpan w:val="2"/>
          </w:tcPr>
          <w:p>
            <w:pPr>
              <w:jc w:val="right"/>
              <w:ind w:right="9"/>
              <w:spacing w:after="0"/>
              <w:rPr>
                <w:sz w:val="20"/>
                <w:szCs w:val="20"/>
                <w:color w:val="auto"/>
              </w:rPr>
            </w:pPr>
            <w:r>
              <w:rPr>
                <w:rFonts w:ascii="Arial" w:cs="Arial" w:eastAsia="Arial" w:hAnsi="Arial"/>
                <w:sz w:val="13"/>
                <w:szCs w:val="13"/>
                <w:color w:val="auto"/>
              </w:rPr>
              <w:t>38,270</w:t>
            </w:r>
          </w:p>
        </w:tc>
        <w:tc>
          <w:tcPr>
            <w:tcW w:w="840" w:type="dxa"/>
            <w:vAlign w:val="bottom"/>
            <w:tcBorders>
              <w:top w:val="single" w:sz="8" w:color="DFF1FB"/>
            </w:tcBorders>
          </w:tcPr>
          <w:p>
            <w:pPr>
              <w:jc w:val="right"/>
              <w:ind w:right="53"/>
              <w:spacing w:after="0"/>
              <w:rPr>
                <w:sz w:val="20"/>
                <w:szCs w:val="20"/>
                <w:color w:val="auto"/>
              </w:rPr>
            </w:pPr>
            <w:r>
              <w:rPr>
                <w:rFonts w:ascii="Arial" w:cs="Arial" w:eastAsia="Arial" w:hAnsi="Arial"/>
                <w:sz w:val="13"/>
                <w:szCs w:val="13"/>
                <w:color w:val="auto"/>
              </w:rPr>
              <w:t>5,316,299</w:t>
            </w:r>
          </w:p>
        </w:tc>
        <w:tc>
          <w:tcPr>
            <w:tcW w:w="820" w:type="dxa"/>
            <w:vAlign w:val="bottom"/>
            <w:tcBorders>
              <w:top w:val="single" w:sz="8" w:color="DFF1FB"/>
            </w:tcBorders>
            <w:gridSpan w:val="2"/>
            <w:shd w:val="clear" w:color="auto" w:fill="EFF8FA"/>
          </w:tcPr>
          <w:p>
            <w:pPr>
              <w:jc w:val="right"/>
              <w:ind w:right="29"/>
              <w:spacing w:after="0"/>
              <w:rPr>
                <w:sz w:val="20"/>
                <w:szCs w:val="20"/>
                <w:color w:val="auto"/>
              </w:rPr>
            </w:pPr>
            <w:r>
              <w:rPr>
                <w:rFonts w:ascii="Arial" w:cs="Arial" w:eastAsia="Arial" w:hAnsi="Arial"/>
                <w:sz w:val="13"/>
                <w:szCs w:val="13"/>
                <w:color w:val="auto"/>
              </w:rPr>
              <w:t>5,269,735</w:t>
            </w:r>
          </w:p>
        </w:tc>
        <w:tc>
          <w:tcPr>
            <w:tcW w:w="0" w:type="dxa"/>
            <w:vAlign w:val="bottom"/>
          </w:tcPr>
          <w:p>
            <w:pPr>
              <w:spacing w:after="0"/>
              <w:rPr>
                <w:sz w:val="1"/>
                <w:szCs w:val="1"/>
                <w:color w:val="auto"/>
              </w:rPr>
            </w:pPr>
          </w:p>
        </w:tc>
      </w:tr>
      <w:tr>
        <w:trPr>
          <w:trHeight w:val="243"/>
        </w:trPr>
        <w:tc>
          <w:tcPr>
            <w:tcW w:w="3360" w:type="dxa"/>
            <w:vAlign w:val="bottom"/>
            <w:gridSpan w:val="2"/>
          </w:tcPr>
          <w:p>
            <w:pPr>
              <w:ind w:left="80"/>
              <w:spacing w:after="0"/>
              <w:rPr>
                <w:sz w:val="20"/>
                <w:szCs w:val="20"/>
                <w:color w:val="auto"/>
              </w:rPr>
            </w:pPr>
            <w:r>
              <w:rPr>
                <w:rFonts w:ascii="Arial" w:cs="Arial" w:eastAsia="Arial" w:hAnsi="Arial"/>
                <w:sz w:val="13"/>
                <w:szCs w:val="13"/>
                <w:color w:val="auto"/>
              </w:rPr>
              <w:t>President, Allstate</w:t>
            </w:r>
          </w:p>
        </w:tc>
        <w:tc>
          <w:tcPr>
            <w:tcW w:w="3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20" w:type="dxa"/>
            <w:vAlign w:val="bottom"/>
            <w:shd w:val="clear" w:color="auto" w:fill="EFF8FA"/>
          </w:tcPr>
          <w:p>
            <w:pPr>
              <w:spacing w:after="0"/>
              <w:rPr>
                <w:sz w:val="21"/>
                <w:szCs w:val="21"/>
                <w:color w:val="auto"/>
              </w:rPr>
            </w:pPr>
          </w:p>
        </w:tc>
        <w:tc>
          <w:tcPr>
            <w:tcW w:w="200" w:type="dxa"/>
            <w:vAlign w:val="bottom"/>
            <w:shd w:val="clear" w:color="auto" w:fill="EFF8FA"/>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3360" w:type="dxa"/>
            <w:vAlign w:val="bottom"/>
            <w:gridSpan w:val="2"/>
          </w:tcPr>
          <w:p>
            <w:pPr>
              <w:ind w:left="80"/>
              <w:spacing w:after="0"/>
              <w:rPr>
                <w:sz w:val="20"/>
                <w:szCs w:val="20"/>
                <w:color w:val="auto"/>
              </w:rPr>
            </w:pPr>
            <w:r>
              <w:rPr>
                <w:rFonts w:ascii="Arial" w:cs="Arial" w:eastAsia="Arial" w:hAnsi="Arial"/>
                <w:sz w:val="13"/>
                <w:szCs w:val="13"/>
                <w:color w:val="auto"/>
              </w:rPr>
              <w:t>Personal Lines</w:t>
            </w: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Borders>
              <w:bottom w:val="single" w:sz="8" w:color="EFF8FA"/>
            </w:tcBorders>
            <w:shd w:val="clear" w:color="auto" w:fill="EFF8FA"/>
          </w:tcPr>
          <w:p>
            <w:pPr>
              <w:spacing w:after="0"/>
              <w:rPr>
                <w:sz w:val="24"/>
                <w:szCs w:val="24"/>
                <w:color w:val="auto"/>
              </w:rPr>
            </w:pPr>
          </w:p>
        </w:tc>
        <w:tc>
          <w:tcPr>
            <w:tcW w:w="200" w:type="dxa"/>
            <w:vAlign w:val="bottom"/>
            <w:tcBorders>
              <w:bottom w:val="single" w:sz="8" w:color="EFF8FA"/>
            </w:tcBorders>
            <w:shd w:val="clear" w:color="auto" w:fill="EFF8FA"/>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3360" w:type="dxa"/>
            <w:vAlign w:val="bottom"/>
            <w:tcBorders>
              <w:top w:val="single" w:sz="8" w:color="DFF1FB"/>
            </w:tcBorders>
            <w:gridSpan w:val="2"/>
          </w:tcPr>
          <w:p>
            <w:pPr>
              <w:ind w:left="80"/>
              <w:spacing w:after="0"/>
              <w:rPr>
                <w:sz w:val="20"/>
                <w:szCs w:val="20"/>
                <w:color w:val="auto"/>
              </w:rPr>
            </w:pPr>
            <w:r>
              <w:rPr>
                <w:rFonts w:ascii="Arial" w:cs="Arial" w:eastAsia="Arial" w:hAnsi="Arial"/>
                <w:sz w:val="13"/>
                <w:szCs w:val="13"/>
                <w:b w:val="1"/>
                <w:bCs w:val="1"/>
                <w:color w:val="105FAB"/>
              </w:rPr>
              <w:t>Steven E. Shebik</w:t>
            </w:r>
          </w:p>
        </w:tc>
        <w:tc>
          <w:tcPr>
            <w:tcW w:w="380" w:type="dxa"/>
            <w:vAlign w:val="bottom"/>
            <w:tcBorders>
              <w:top w:val="single" w:sz="8" w:color="DFF1FB"/>
            </w:tcBorders>
          </w:tcPr>
          <w:p>
            <w:pPr>
              <w:jc w:val="right"/>
              <w:spacing w:after="0"/>
              <w:rPr>
                <w:sz w:val="20"/>
                <w:szCs w:val="20"/>
                <w:color w:val="auto"/>
              </w:rPr>
            </w:pPr>
            <w:r>
              <w:rPr>
                <w:rFonts w:ascii="Arial" w:cs="Arial" w:eastAsia="Arial" w:hAnsi="Arial"/>
                <w:sz w:val="13"/>
                <w:szCs w:val="13"/>
                <w:color w:val="auto"/>
              </w:rPr>
              <w:t>2018</w:t>
            </w:r>
          </w:p>
        </w:tc>
        <w:tc>
          <w:tcPr>
            <w:tcW w:w="700" w:type="dxa"/>
            <w:vAlign w:val="bottom"/>
            <w:tcBorders>
              <w:top w:val="single" w:sz="8" w:color="DFF1FB"/>
            </w:tcBorders>
          </w:tcPr>
          <w:p>
            <w:pPr>
              <w:jc w:val="right"/>
              <w:spacing w:after="0"/>
              <w:rPr>
                <w:sz w:val="20"/>
                <w:szCs w:val="20"/>
                <w:color w:val="auto"/>
              </w:rPr>
            </w:pPr>
            <w:r>
              <w:rPr>
                <w:rFonts w:ascii="Arial" w:cs="Arial" w:eastAsia="Arial" w:hAnsi="Arial"/>
                <w:sz w:val="13"/>
                <w:szCs w:val="13"/>
                <w:color w:val="auto"/>
              </w:rPr>
              <w:t>848,654</w:t>
            </w:r>
          </w:p>
        </w:tc>
        <w:tc>
          <w:tcPr>
            <w:tcW w:w="520" w:type="dxa"/>
            <w:vAlign w:val="bottom"/>
            <w:tcBorders>
              <w:top w:val="single" w:sz="8" w:color="DFF1FB"/>
            </w:tcBorders>
          </w:tcPr>
          <w:p>
            <w:pPr>
              <w:spacing w:after="0"/>
              <w:rPr>
                <w:sz w:val="20"/>
                <w:szCs w:val="20"/>
                <w:color w:val="auto"/>
              </w:rPr>
            </w:pPr>
          </w:p>
        </w:tc>
        <w:tc>
          <w:tcPr>
            <w:tcW w:w="200" w:type="dxa"/>
            <w:vAlign w:val="bottom"/>
            <w:tcBorders>
              <w:top w:val="single" w:sz="8" w:color="DFF1FB"/>
            </w:tcBorders>
          </w:tcPr>
          <w:p>
            <w:pPr>
              <w:jc w:val="right"/>
              <w:spacing w:after="0"/>
              <w:rPr>
                <w:sz w:val="20"/>
                <w:szCs w:val="20"/>
                <w:color w:val="auto"/>
              </w:rPr>
            </w:pPr>
            <w:r>
              <w:rPr>
                <w:rFonts w:ascii="Arial" w:cs="Arial" w:eastAsia="Arial" w:hAnsi="Arial"/>
                <w:sz w:val="13"/>
                <w:szCs w:val="13"/>
                <w:color w:val="auto"/>
                <w:w w:val="91"/>
              </w:rPr>
              <w:t>—</w:t>
            </w:r>
          </w:p>
        </w:tc>
        <w:tc>
          <w:tcPr>
            <w:tcW w:w="720" w:type="dxa"/>
            <w:vAlign w:val="bottom"/>
            <w:tcBorders>
              <w:top w:val="single" w:sz="8" w:color="DFF1FB"/>
            </w:tcBorders>
          </w:tcPr>
          <w:p>
            <w:pPr>
              <w:jc w:val="right"/>
              <w:spacing w:after="0"/>
              <w:rPr>
                <w:sz w:val="20"/>
                <w:szCs w:val="20"/>
                <w:color w:val="auto"/>
              </w:rPr>
            </w:pPr>
            <w:r>
              <w:rPr>
                <w:rFonts w:ascii="Arial" w:cs="Arial" w:eastAsia="Arial" w:hAnsi="Arial"/>
                <w:sz w:val="13"/>
                <w:szCs w:val="13"/>
                <w:color w:val="auto"/>
              </w:rPr>
              <w:t>1,785,008</w:t>
            </w:r>
          </w:p>
        </w:tc>
        <w:tc>
          <w:tcPr>
            <w:tcW w:w="720" w:type="dxa"/>
            <w:vAlign w:val="bottom"/>
            <w:tcBorders>
              <w:top w:val="single" w:sz="8" w:color="DFF1FB"/>
            </w:tcBorders>
            <w:gridSpan w:val="2"/>
          </w:tcPr>
          <w:p>
            <w:pPr>
              <w:jc w:val="right"/>
              <w:ind w:right="9"/>
              <w:spacing w:after="0"/>
              <w:rPr>
                <w:sz w:val="20"/>
                <w:szCs w:val="20"/>
                <w:color w:val="auto"/>
              </w:rPr>
            </w:pPr>
            <w:r>
              <w:rPr>
                <w:rFonts w:ascii="Arial" w:cs="Arial" w:eastAsia="Arial" w:hAnsi="Arial"/>
                <w:sz w:val="13"/>
                <w:szCs w:val="13"/>
                <w:color w:val="auto"/>
              </w:rPr>
              <w:t>1,190,005</w:t>
            </w:r>
          </w:p>
        </w:tc>
        <w:tc>
          <w:tcPr>
            <w:tcW w:w="1040" w:type="dxa"/>
            <w:vAlign w:val="bottom"/>
            <w:tcBorders>
              <w:top w:val="single" w:sz="8" w:color="DFF1FB"/>
            </w:tcBorders>
          </w:tcPr>
          <w:p>
            <w:pPr>
              <w:jc w:val="right"/>
              <w:spacing w:after="0"/>
              <w:rPr>
                <w:sz w:val="20"/>
                <w:szCs w:val="20"/>
                <w:color w:val="auto"/>
              </w:rPr>
            </w:pPr>
            <w:r>
              <w:rPr>
                <w:rFonts w:ascii="Arial" w:cs="Arial" w:eastAsia="Arial" w:hAnsi="Arial"/>
                <w:sz w:val="13"/>
                <w:szCs w:val="13"/>
                <w:color w:val="auto"/>
              </w:rPr>
              <w:t>2,945,289</w:t>
            </w:r>
          </w:p>
        </w:tc>
        <w:tc>
          <w:tcPr>
            <w:tcW w:w="1060" w:type="dxa"/>
            <w:vAlign w:val="bottom"/>
            <w:tcBorders>
              <w:top w:val="single" w:sz="8" w:color="DFF1FB"/>
            </w:tcBorders>
            <w:gridSpan w:val="2"/>
          </w:tcPr>
          <w:p>
            <w:pPr>
              <w:jc w:val="right"/>
              <w:spacing w:after="0"/>
              <w:rPr>
                <w:sz w:val="20"/>
                <w:szCs w:val="20"/>
                <w:color w:val="auto"/>
              </w:rPr>
            </w:pPr>
            <w:r>
              <w:rPr>
                <w:rFonts w:ascii="Arial" w:cs="Arial" w:eastAsia="Arial" w:hAnsi="Arial"/>
                <w:sz w:val="13"/>
                <w:szCs w:val="13"/>
                <w:color w:val="auto"/>
              </w:rPr>
              <w:t>351,319</w:t>
            </w:r>
          </w:p>
        </w:tc>
        <w:tc>
          <w:tcPr>
            <w:tcW w:w="1060" w:type="dxa"/>
            <w:vAlign w:val="bottom"/>
            <w:tcBorders>
              <w:top w:val="single" w:sz="8" w:color="DFF1FB"/>
            </w:tcBorders>
            <w:gridSpan w:val="2"/>
          </w:tcPr>
          <w:p>
            <w:pPr>
              <w:jc w:val="right"/>
              <w:ind w:right="9"/>
              <w:spacing w:after="0"/>
              <w:rPr>
                <w:sz w:val="20"/>
                <w:szCs w:val="20"/>
                <w:color w:val="auto"/>
              </w:rPr>
            </w:pPr>
            <w:r>
              <w:rPr>
                <w:rFonts w:ascii="Arial" w:cs="Arial" w:eastAsia="Arial" w:hAnsi="Arial"/>
                <w:sz w:val="13"/>
                <w:szCs w:val="13"/>
                <w:color w:val="auto"/>
              </w:rPr>
              <w:t>37,560</w:t>
            </w:r>
          </w:p>
        </w:tc>
        <w:tc>
          <w:tcPr>
            <w:tcW w:w="840" w:type="dxa"/>
            <w:vAlign w:val="bottom"/>
            <w:tcBorders>
              <w:top w:val="single" w:sz="8" w:color="DFF1FB"/>
            </w:tcBorders>
          </w:tcPr>
          <w:p>
            <w:pPr>
              <w:jc w:val="right"/>
              <w:ind w:right="53"/>
              <w:spacing w:after="0"/>
              <w:rPr>
                <w:sz w:val="20"/>
                <w:szCs w:val="20"/>
                <w:color w:val="auto"/>
              </w:rPr>
            </w:pPr>
            <w:r>
              <w:rPr>
                <w:rFonts w:ascii="Arial" w:cs="Arial" w:eastAsia="Arial" w:hAnsi="Arial"/>
                <w:sz w:val="13"/>
                <w:szCs w:val="13"/>
                <w:color w:val="auto"/>
              </w:rPr>
              <w:t>7,157,835</w:t>
            </w:r>
          </w:p>
        </w:tc>
        <w:tc>
          <w:tcPr>
            <w:tcW w:w="820" w:type="dxa"/>
            <w:vAlign w:val="bottom"/>
            <w:tcBorders>
              <w:top w:val="single" w:sz="8" w:color="DFF1FB"/>
              <w:bottom w:val="single" w:sz="8" w:color="EFF8FA"/>
            </w:tcBorders>
            <w:gridSpan w:val="2"/>
            <w:shd w:val="clear" w:color="auto" w:fill="EFF8FA"/>
          </w:tcPr>
          <w:p>
            <w:pPr>
              <w:jc w:val="right"/>
              <w:ind w:right="29"/>
              <w:spacing w:after="0"/>
              <w:rPr>
                <w:sz w:val="20"/>
                <w:szCs w:val="20"/>
                <w:color w:val="auto"/>
              </w:rPr>
            </w:pPr>
            <w:r>
              <w:rPr>
                <w:rFonts w:ascii="Arial" w:cs="Arial" w:eastAsia="Arial" w:hAnsi="Arial"/>
                <w:sz w:val="13"/>
                <w:szCs w:val="13"/>
                <w:color w:val="auto"/>
              </w:rPr>
              <w:t>6,806,516</w:t>
            </w:r>
          </w:p>
        </w:tc>
        <w:tc>
          <w:tcPr>
            <w:tcW w:w="0" w:type="dxa"/>
            <w:vAlign w:val="bottom"/>
          </w:tcPr>
          <w:p>
            <w:pPr>
              <w:spacing w:after="0"/>
              <w:rPr>
                <w:sz w:val="1"/>
                <w:szCs w:val="1"/>
                <w:color w:val="auto"/>
              </w:rPr>
            </w:pPr>
          </w:p>
        </w:tc>
      </w:tr>
      <w:tr>
        <w:trPr>
          <w:trHeight w:val="236"/>
        </w:trPr>
        <w:tc>
          <w:tcPr>
            <w:tcW w:w="3360" w:type="dxa"/>
            <w:vAlign w:val="bottom"/>
            <w:gridSpan w:val="2"/>
          </w:tcPr>
          <w:p>
            <w:pPr>
              <w:ind w:left="80"/>
              <w:spacing w:after="0"/>
              <w:rPr>
                <w:sz w:val="20"/>
                <w:szCs w:val="20"/>
                <w:color w:val="auto"/>
              </w:rPr>
            </w:pPr>
            <w:r>
              <w:rPr>
                <w:rFonts w:ascii="Arial" w:cs="Arial" w:eastAsia="Arial" w:hAnsi="Arial"/>
                <w:sz w:val="13"/>
                <w:szCs w:val="13"/>
                <w:color w:val="auto"/>
              </w:rPr>
              <w:t>Vice Chair</w:t>
            </w:r>
          </w:p>
        </w:tc>
        <w:tc>
          <w:tcPr>
            <w:tcW w:w="380" w:type="dxa"/>
            <w:vAlign w:val="bottom"/>
            <w:tcBorders>
              <w:top w:val="single" w:sz="8" w:color="DFF1FB"/>
            </w:tcBorders>
          </w:tcPr>
          <w:p>
            <w:pPr>
              <w:jc w:val="right"/>
              <w:spacing w:after="0"/>
              <w:rPr>
                <w:sz w:val="20"/>
                <w:szCs w:val="20"/>
                <w:color w:val="auto"/>
              </w:rPr>
            </w:pPr>
            <w:r>
              <w:rPr>
                <w:rFonts w:ascii="Arial" w:cs="Arial" w:eastAsia="Arial" w:hAnsi="Arial"/>
                <w:sz w:val="13"/>
                <w:szCs w:val="13"/>
                <w:color w:val="auto"/>
              </w:rPr>
              <w:t>2017</w:t>
            </w:r>
          </w:p>
        </w:tc>
        <w:tc>
          <w:tcPr>
            <w:tcW w:w="700" w:type="dxa"/>
            <w:vAlign w:val="bottom"/>
            <w:tcBorders>
              <w:top w:val="single" w:sz="8" w:color="DFF1FB"/>
            </w:tcBorders>
          </w:tcPr>
          <w:p>
            <w:pPr>
              <w:jc w:val="right"/>
              <w:spacing w:after="0"/>
              <w:rPr>
                <w:sz w:val="20"/>
                <w:szCs w:val="20"/>
                <w:color w:val="auto"/>
              </w:rPr>
            </w:pPr>
            <w:r>
              <w:rPr>
                <w:rFonts w:ascii="Arial" w:cs="Arial" w:eastAsia="Arial" w:hAnsi="Arial"/>
                <w:sz w:val="13"/>
                <w:szCs w:val="13"/>
                <w:color w:val="auto"/>
              </w:rPr>
              <w:t>795,673</w:t>
            </w:r>
          </w:p>
        </w:tc>
        <w:tc>
          <w:tcPr>
            <w:tcW w:w="520" w:type="dxa"/>
            <w:vAlign w:val="bottom"/>
            <w:tcBorders>
              <w:top w:val="single" w:sz="8" w:color="DFF1FB"/>
            </w:tcBorders>
          </w:tcPr>
          <w:p>
            <w:pPr>
              <w:spacing w:after="0"/>
              <w:rPr>
                <w:sz w:val="20"/>
                <w:szCs w:val="20"/>
                <w:color w:val="auto"/>
              </w:rPr>
            </w:pPr>
          </w:p>
        </w:tc>
        <w:tc>
          <w:tcPr>
            <w:tcW w:w="200" w:type="dxa"/>
            <w:vAlign w:val="bottom"/>
            <w:tcBorders>
              <w:top w:val="single" w:sz="8" w:color="DFF1FB"/>
            </w:tcBorders>
          </w:tcPr>
          <w:p>
            <w:pPr>
              <w:jc w:val="right"/>
              <w:spacing w:after="0"/>
              <w:rPr>
                <w:sz w:val="20"/>
                <w:szCs w:val="20"/>
                <w:color w:val="auto"/>
              </w:rPr>
            </w:pPr>
            <w:r>
              <w:rPr>
                <w:rFonts w:ascii="Arial" w:cs="Arial" w:eastAsia="Arial" w:hAnsi="Arial"/>
                <w:sz w:val="13"/>
                <w:szCs w:val="13"/>
                <w:color w:val="auto"/>
                <w:w w:val="91"/>
              </w:rPr>
              <w:t>—</w:t>
            </w:r>
          </w:p>
        </w:tc>
        <w:tc>
          <w:tcPr>
            <w:tcW w:w="720" w:type="dxa"/>
            <w:vAlign w:val="bottom"/>
            <w:tcBorders>
              <w:top w:val="single" w:sz="8" w:color="DFF1FB"/>
            </w:tcBorders>
          </w:tcPr>
          <w:p>
            <w:pPr>
              <w:jc w:val="right"/>
              <w:spacing w:after="0"/>
              <w:rPr>
                <w:sz w:val="20"/>
                <w:szCs w:val="20"/>
                <w:color w:val="auto"/>
              </w:rPr>
            </w:pPr>
            <w:r>
              <w:rPr>
                <w:rFonts w:ascii="Arial" w:cs="Arial" w:eastAsia="Arial" w:hAnsi="Arial"/>
                <w:sz w:val="13"/>
                <w:szCs w:val="13"/>
                <w:color w:val="auto"/>
              </w:rPr>
              <w:t>1,995,026</w:t>
            </w:r>
          </w:p>
        </w:tc>
        <w:tc>
          <w:tcPr>
            <w:tcW w:w="720" w:type="dxa"/>
            <w:vAlign w:val="bottom"/>
            <w:tcBorders>
              <w:top w:val="single" w:sz="8" w:color="DFF1FB"/>
            </w:tcBorders>
            <w:gridSpan w:val="2"/>
          </w:tcPr>
          <w:p>
            <w:pPr>
              <w:jc w:val="right"/>
              <w:ind w:right="9"/>
              <w:spacing w:after="0"/>
              <w:rPr>
                <w:sz w:val="20"/>
                <w:szCs w:val="20"/>
                <w:color w:val="auto"/>
              </w:rPr>
            </w:pPr>
            <w:r>
              <w:rPr>
                <w:rFonts w:ascii="Arial" w:cs="Arial" w:eastAsia="Arial" w:hAnsi="Arial"/>
                <w:sz w:val="13"/>
                <w:szCs w:val="13"/>
                <w:color w:val="auto"/>
              </w:rPr>
              <w:t>1,329,994</w:t>
            </w:r>
          </w:p>
        </w:tc>
        <w:tc>
          <w:tcPr>
            <w:tcW w:w="1040" w:type="dxa"/>
            <w:vAlign w:val="bottom"/>
            <w:tcBorders>
              <w:top w:val="single" w:sz="8" w:color="DFF1FB"/>
            </w:tcBorders>
          </w:tcPr>
          <w:p>
            <w:pPr>
              <w:jc w:val="right"/>
              <w:spacing w:after="0"/>
              <w:rPr>
                <w:sz w:val="20"/>
                <w:szCs w:val="20"/>
                <w:color w:val="auto"/>
              </w:rPr>
            </w:pPr>
            <w:r>
              <w:rPr>
                <w:rFonts w:ascii="Arial" w:cs="Arial" w:eastAsia="Arial" w:hAnsi="Arial"/>
                <w:sz w:val="13"/>
                <w:szCs w:val="13"/>
                <w:color w:val="auto"/>
              </w:rPr>
              <w:t>2,600,000</w:t>
            </w:r>
          </w:p>
        </w:tc>
        <w:tc>
          <w:tcPr>
            <w:tcW w:w="1060" w:type="dxa"/>
            <w:vAlign w:val="bottom"/>
            <w:tcBorders>
              <w:top w:val="single" w:sz="8" w:color="DFF1FB"/>
            </w:tcBorders>
            <w:gridSpan w:val="2"/>
          </w:tcPr>
          <w:p>
            <w:pPr>
              <w:jc w:val="right"/>
              <w:spacing w:after="0"/>
              <w:rPr>
                <w:sz w:val="20"/>
                <w:szCs w:val="20"/>
                <w:color w:val="auto"/>
              </w:rPr>
            </w:pPr>
            <w:r>
              <w:rPr>
                <w:rFonts w:ascii="Arial" w:cs="Arial" w:eastAsia="Arial" w:hAnsi="Arial"/>
                <w:sz w:val="13"/>
                <w:szCs w:val="13"/>
                <w:color w:val="auto"/>
              </w:rPr>
              <w:t>512,201</w:t>
            </w:r>
          </w:p>
        </w:tc>
        <w:tc>
          <w:tcPr>
            <w:tcW w:w="1060" w:type="dxa"/>
            <w:vAlign w:val="bottom"/>
            <w:tcBorders>
              <w:top w:val="single" w:sz="8" w:color="DFF1FB"/>
            </w:tcBorders>
            <w:gridSpan w:val="2"/>
          </w:tcPr>
          <w:p>
            <w:pPr>
              <w:jc w:val="right"/>
              <w:ind w:right="9"/>
              <w:spacing w:after="0"/>
              <w:rPr>
                <w:sz w:val="20"/>
                <w:szCs w:val="20"/>
                <w:color w:val="auto"/>
              </w:rPr>
            </w:pPr>
            <w:r>
              <w:rPr>
                <w:rFonts w:ascii="Arial" w:cs="Arial" w:eastAsia="Arial" w:hAnsi="Arial"/>
                <w:sz w:val="13"/>
                <w:szCs w:val="13"/>
                <w:color w:val="auto"/>
              </w:rPr>
              <w:t>38,398</w:t>
            </w:r>
          </w:p>
        </w:tc>
        <w:tc>
          <w:tcPr>
            <w:tcW w:w="840" w:type="dxa"/>
            <w:vAlign w:val="bottom"/>
            <w:tcBorders>
              <w:top w:val="single" w:sz="8" w:color="DFF1FB"/>
            </w:tcBorders>
          </w:tcPr>
          <w:p>
            <w:pPr>
              <w:jc w:val="right"/>
              <w:ind w:right="53"/>
              <w:spacing w:after="0"/>
              <w:rPr>
                <w:sz w:val="20"/>
                <w:szCs w:val="20"/>
                <w:color w:val="auto"/>
              </w:rPr>
            </w:pPr>
            <w:r>
              <w:rPr>
                <w:rFonts w:ascii="Arial" w:cs="Arial" w:eastAsia="Arial" w:hAnsi="Arial"/>
                <w:sz w:val="13"/>
                <w:szCs w:val="13"/>
                <w:color w:val="auto"/>
              </w:rPr>
              <w:t>7,271,292</w:t>
            </w:r>
          </w:p>
        </w:tc>
        <w:tc>
          <w:tcPr>
            <w:tcW w:w="820" w:type="dxa"/>
            <w:vAlign w:val="bottom"/>
            <w:tcBorders>
              <w:top w:val="single" w:sz="8" w:color="DFF1FB"/>
              <w:bottom w:val="single" w:sz="8" w:color="EFF8FA"/>
            </w:tcBorders>
            <w:gridSpan w:val="2"/>
            <w:shd w:val="clear" w:color="auto" w:fill="EFF8FA"/>
          </w:tcPr>
          <w:p>
            <w:pPr>
              <w:jc w:val="right"/>
              <w:ind w:right="29"/>
              <w:spacing w:after="0"/>
              <w:rPr>
                <w:sz w:val="20"/>
                <w:szCs w:val="20"/>
                <w:color w:val="auto"/>
              </w:rPr>
            </w:pPr>
            <w:r>
              <w:rPr>
                <w:rFonts w:ascii="Arial" w:cs="Arial" w:eastAsia="Arial" w:hAnsi="Arial"/>
                <w:sz w:val="13"/>
                <w:szCs w:val="13"/>
                <w:color w:val="auto"/>
              </w:rPr>
              <w:t>6,759,091</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top w:val="single" w:sz="8" w:color="DFF1FB"/>
            </w:tcBorders>
          </w:tcPr>
          <w:p>
            <w:pPr>
              <w:jc w:val="right"/>
              <w:spacing w:after="0"/>
              <w:rPr>
                <w:sz w:val="20"/>
                <w:szCs w:val="20"/>
                <w:color w:val="auto"/>
              </w:rPr>
            </w:pPr>
            <w:r>
              <w:rPr>
                <w:rFonts w:ascii="Arial" w:cs="Arial" w:eastAsia="Arial" w:hAnsi="Arial"/>
                <w:sz w:val="13"/>
                <w:szCs w:val="13"/>
                <w:color w:val="auto"/>
              </w:rPr>
              <w:t>2016</w:t>
            </w:r>
          </w:p>
        </w:tc>
        <w:tc>
          <w:tcPr>
            <w:tcW w:w="700" w:type="dxa"/>
            <w:vAlign w:val="bottom"/>
            <w:tcBorders>
              <w:top w:val="single" w:sz="8" w:color="DFF1FB"/>
            </w:tcBorders>
          </w:tcPr>
          <w:p>
            <w:pPr>
              <w:jc w:val="right"/>
              <w:spacing w:after="0"/>
              <w:rPr>
                <w:sz w:val="20"/>
                <w:szCs w:val="20"/>
                <w:color w:val="auto"/>
              </w:rPr>
            </w:pPr>
            <w:r>
              <w:rPr>
                <w:rFonts w:ascii="Arial" w:cs="Arial" w:eastAsia="Arial" w:hAnsi="Arial"/>
                <w:sz w:val="13"/>
                <w:szCs w:val="13"/>
                <w:color w:val="auto"/>
              </w:rPr>
              <w:t>770,673</w:t>
            </w:r>
          </w:p>
        </w:tc>
        <w:tc>
          <w:tcPr>
            <w:tcW w:w="520" w:type="dxa"/>
            <w:vAlign w:val="bottom"/>
            <w:tcBorders>
              <w:top w:val="single" w:sz="8" w:color="DFF1FB"/>
            </w:tcBorders>
          </w:tcPr>
          <w:p>
            <w:pPr>
              <w:spacing w:after="0"/>
              <w:rPr>
                <w:sz w:val="18"/>
                <w:szCs w:val="18"/>
                <w:color w:val="auto"/>
              </w:rPr>
            </w:pPr>
          </w:p>
        </w:tc>
        <w:tc>
          <w:tcPr>
            <w:tcW w:w="200" w:type="dxa"/>
            <w:vAlign w:val="bottom"/>
            <w:tcBorders>
              <w:top w:val="single" w:sz="8" w:color="DFF1FB"/>
            </w:tcBorders>
          </w:tcPr>
          <w:p>
            <w:pPr>
              <w:jc w:val="right"/>
              <w:spacing w:after="0"/>
              <w:rPr>
                <w:sz w:val="20"/>
                <w:szCs w:val="20"/>
                <w:color w:val="auto"/>
              </w:rPr>
            </w:pPr>
            <w:r>
              <w:rPr>
                <w:rFonts w:ascii="Arial" w:cs="Arial" w:eastAsia="Arial" w:hAnsi="Arial"/>
                <w:sz w:val="13"/>
                <w:szCs w:val="13"/>
                <w:color w:val="auto"/>
                <w:w w:val="91"/>
              </w:rPr>
              <w:t>—</w:t>
            </w:r>
          </w:p>
        </w:tc>
        <w:tc>
          <w:tcPr>
            <w:tcW w:w="720" w:type="dxa"/>
            <w:vAlign w:val="bottom"/>
            <w:tcBorders>
              <w:top w:val="single" w:sz="8" w:color="DFF1FB"/>
            </w:tcBorders>
          </w:tcPr>
          <w:p>
            <w:pPr>
              <w:jc w:val="right"/>
              <w:spacing w:after="0"/>
              <w:rPr>
                <w:sz w:val="20"/>
                <w:szCs w:val="20"/>
                <w:color w:val="auto"/>
              </w:rPr>
            </w:pPr>
            <w:r>
              <w:rPr>
                <w:rFonts w:ascii="Arial" w:cs="Arial" w:eastAsia="Arial" w:hAnsi="Arial"/>
                <w:sz w:val="13"/>
                <w:szCs w:val="13"/>
                <w:color w:val="auto"/>
              </w:rPr>
              <w:t>1,649,984</w:t>
            </w:r>
          </w:p>
        </w:tc>
        <w:tc>
          <w:tcPr>
            <w:tcW w:w="720" w:type="dxa"/>
            <w:vAlign w:val="bottom"/>
            <w:tcBorders>
              <w:top w:val="single" w:sz="8" w:color="DFF1FB"/>
            </w:tcBorders>
            <w:gridSpan w:val="2"/>
          </w:tcPr>
          <w:p>
            <w:pPr>
              <w:jc w:val="right"/>
              <w:ind w:right="9"/>
              <w:spacing w:after="0"/>
              <w:rPr>
                <w:sz w:val="20"/>
                <w:szCs w:val="20"/>
                <w:color w:val="auto"/>
              </w:rPr>
            </w:pPr>
            <w:r>
              <w:rPr>
                <w:rFonts w:ascii="Arial" w:cs="Arial" w:eastAsia="Arial" w:hAnsi="Arial"/>
                <w:sz w:val="13"/>
                <w:szCs w:val="13"/>
                <w:color w:val="auto"/>
              </w:rPr>
              <w:t>1,100,001</w:t>
            </w:r>
          </w:p>
        </w:tc>
        <w:tc>
          <w:tcPr>
            <w:tcW w:w="1040" w:type="dxa"/>
            <w:vAlign w:val="bottom"/>
            <w:tcBorders>
              <w:top w:val="single" w:sz="8" w:color="DFF1FB"/>
            </w:tcBorders>
          </w:tcPr>
          <w:p>
            <w:pPr>
              <w:jc w:val="right"/>
              <w:spacing w:after="0"/>
              <w:rPr>
                <w:sz w:val="20"/>
                <w:szCs w:val="20"/>
                <w:color w:val="auto"/>
              </w:rPr>
            </w:pPr>
            <w:r>
              <w:rPr>
                <w:rFonts w:ascii="Arial" w:cs="Arial" w:eastAsia="Arial" w:hAnsi="Arial"/>
                <w:sz w:val="13"/>
                <w:szCs w:val="13"/>
                <w:color w:val="auto"/>
              </w:rPr>
              <w:t>600,000</w:t>
            </w:r>
          </w:p>
        </w:tc>
        <w:tc>
          <w:tcPr>
            <w:tcW w:w="1060" w:type="dxa"/>
            <w:vAlign w:val="bottom"/>
            <w:tcBorders>
              <w:top w:val="single" w:sz="8" w:color="DFF1FB"/>
            </w:tcBorders>
            <w:gridSpan w:val="2"/>
          </w:tcPr>
          <w:p>
            <w:pPr>
              <w:jc w:val="right"/>
              <w:spacing w:after="0"/>
              <w:rPr>
                <w:sz w:val="20"/>
                <w:szCs w:val="20"/>
                <w:color w:val="auto"/>
              </w:rPr>
            </w:pPr>
            <w:r>
              <w:rPr>
                <w:rFonts w:ascii="Arial" w:cs="Arial" w:eastAsia="Arial" w:hAnsi="Arial"/>
                <w:sz w:val="13"/>
                <w:szCs w:val="13"/>
                <w:color w:val="auto"/>
              </w:rPr>
              <w:t>479,800</w:t>
            </w:r>
          </w:p>
        </w:tc>
        <w:tc>
          <w:tcPr>
            <w:tcW w:w="1060" w:type="dxa"/>
            <w:vAlign w:val="bottom"/>
            <w:tcBorders>
              <w:top w:val="single" w:sz="8" w:color="DFF1FB"/>
            </w:tcBorders>
            <w:gridSpan w:val="2"/>
          </w:tcPr>
          <w:p>
            <w:pPr>
              <w:jc w:val="right"/>
              <w:ind w:right="9"/>
              <w:spacing w:after="0"/>
              <w:rPr>
                <w:sz w:val="20"/>
                <w:szCs w:val="20"/>
                <w:color w:val="auto"/>
              </w:rPr>
            </w:pPr>
            <w:r>
              <w:rPr>
                <w:rFonts w:ascii="Arial" w:cs="Arial" w:eastAsia="Arial" w:hAnsi="Arial"/>
                <w:sz w:val="13"/>
                <w:szCs w:val="13"/>
                <w:color w:val="auto"/>
              </w:rPr>
              <w:t>28,690</w:t>
            </w:r>
          </w:p>
        </w:tc>
        <w:tc>
          <w:tcPr>
            <w:tcW w:w="840" w:type="dxa"/>
            <w:vAlign w:val="bottom"/>
            <w:tcBorders>
              <w:top w:val="single" w:sz="8" w:color="DFF1FB"/>
            </w:tcBorders>
          </w:tcPr>
          <w:p>
            <w:pPr>
              <w:jc w:val="right"/>
              <w:ind w:right="53"/>
              <w:spacing w:after="0"/>
              <w:rPr>
                <w:sz w:val="20"/>
                <w:szCs w:val="20"/>
                <w:color w:val="auto"/>
              </w:rPr>
            </w:pPr>
            <w:r>
              <w:rPr>
                <w:rFonts w:ascii="Arial" w:cs="Arial" w:eastAsia="Arial" w:hAnsi="Arial"/>
                <w:sz w:val="13"/>
                <w:szCs w:val="13"/>
                <w:color w:val="auto"/>
              </w:rPr>
              <w:t>4,629,148</w:t>
            </w:r>
          </w:p>
        </w:tc>
        <w:tc>
          <w:tcPr>
            <w:tcW w:w="820" w:type="dxa"/>
            <w:vAlign w:val="bottom"/>
            <w:tcBorders>
              <w:top w:val="single" w:sz="8" w:color="DFF1FB"/>
              <w:bottom w:val="single" w:sz="8" w:color="EFF8FA"/>
            </w:tcBorders>
            <w:gridSpan w:val="2"/>
            <w:shd w:val="clear" w:color="auto" w:fill="EFF8FA"/>
          </w:tcPr>
          <w:p>
            <w:pPr>
              <w:jc w:val="right"/>
              <w:ind w:right="29"/>
              <w:spacing w:after="0"/>
              <w:rPr>
                <w:sz w:val="20"/>
                <w:szCs w:val="20"/>
                <w:color w:val="auto"/>
              </w:rPr>
            </w:pPr>
            <w:r>
              <w:rPr>
                <w:rFonts w:ascii="Arial" w:cs="Arial" w:eastAsia="Arial" w:hAnsi="Arial"/>
                <w:sz w:val="13"/>
                <w:szCs w:val="13"/>
                <w:color w:val="auto"/>
              </w:rPr>
              <w:t>4,149,348</w:t>
            </w:r>
          </w:p>
        </w:tc>
        <w:tc>
          <w:tcPr>
            <w:tcW w:w="0" w:type="dxa"/>
            <w:vAlign w:val="bottom"/>
          </w:tcPr>
          <w:p>
            <w:pPr>
              <w:spacing w:after="0"/>
              <w:rPr>
                <w:sz w:val="1"/>
                <w:szCs w:val="1"/>
                <w:color w:val="auto"/>
              </w:rPr>
            </w:pPr>
          </w:p>
        </w:tc>
      </w:tr>
      <w:tr>
        <w:trPr>
          <w:trHeight w:val="27"/>
        </w:trPr>
        <w:tc>
          <w:tcPr>
            <w:tcW w:w="3240" w:type="dxa"/>
            <w:vAlign w:val="bottom"/>
            <w:shd w:val="clear" w:color="auto" w:fill="105FAB"/>
          </w:tcPr>
          <w:p>
            <w:pPr>
              <w:spacing w:after="0"/>
              <w:rPr>
                <w:sz w:val="2"/>
                <w:szCs w:val="2"/>
                <w:color w:val="auto"/>
              </w:rPr>
            </w:pPr>
          </w:p>
        </w:tc>
        <w:tc>
          <w:tcPr>
            <w:tcW w:w="120" w:type="dxa"/>
            <w:vAlign w:val="bottom"/>
            <w:shd w:val="clear" w:color="auto" w:fill="105FAB"/>
          </w:tcPr>
          <w:p>
            <w:pPr>
              <w:spacing w:after="0"/>
              <w:rPr>
                <w:sz w:val="2"/>
                <w:szCs w:val="2"/>
                <w:color w:val="auto"/>
              </w:rPr>
            </w:pPr>
          </w:p>
        </w:tc>
        <w:tc>
          <w:tcPr>
            <w:tcW w:w="380" w:type="dxa"/>
            <w:vAlign w:val="bottom"/>
            <w:shd w:val="clear" w:color="auto" w:fill="105FAB"/>
          </w:tcPr>
          <w:p>
            <w:pPr>
              <w:spacing w:after="0"/>
              <w:rPr>
                <w:sz w:val="2"/>
                <w:szCs w:val="2"/>
                <w:color w:val="auto"/>
              </w:rPr>
            </w:pPr>
          </w:p>
        </w:tc>
        <w:tc>
          <w:tcPr>
            <w:tcW w:w="700" w:type="dxa"/>
            <w:vAlign w:val="bottom"/>
            <w:shd w:val="clear" w:color="auto" w:fill="105FAB"/>
          </w:tcPr>
          <w:p>
            <w:pPr>
              <w:spacing w:after="0"/>
              <w:rPr>
                <w:sz w:val="2"/>
                <w:szCs w:val="2"/>
                <w:color w:val="auto"/>
              </w:rPr>
            </w:pPr>
          </w:p>
        </w:tc>
        <w:tc>
          <w:tcPr>
            <w:tcW w:w="520" w:type="dxa"/>
            <w:vAlign w:val="bottom"/>
            <w:shd w:val="clear" w:color="auto" w:fill="105FAB"/>
          </w:tcPr>
          <w:p>
            <w:pPr>
              <w:spacing w:after="0"/>
              <w:rPr>
                <w:sz w:val="2"/>
                <w:szCs w:val="2"/>
                <w:color w:val="auto"/>
              </w:rPr>
            </w:pPr>
          </w:p>
        </w:tc>
        <w:tc>
          <w:tcPr>
            <w:tcW w:w="200" w:type="dxa"/>
            <w:vAlign w:val="bottom"/>
            <w:shd w:val="clear" w:color="auto" w:fill="105FAB"/>
          </w:tcPr>
          <w:p>
            <w:pPr>
              <w:spacing w:after="0"/>
              <w:rPr>
                <w:sz w:val="2"/>
                <w:szCs w:val="2"/>
                <w:color w:val="auto"/>
              </w:rPr>
            </w:pPr>
          </w:p>
        </w:tc>
        <w:tc>
          <w:tcPr>
            <w:tcW w:w="720" w:type="dxa"/>
            <w:vAlign w:val="bottom"/>
            <w:shd w:val="clear" w:color="auto" w:fill="105FAB"/>
          </w:tcPr>
          <w:p>
            <w:pPr>
              <w:spacing w:after="0"/>
              <w:rPr>
                <w:sz w:val="2"/>
                <w:szCs w:val="2"/>
                <w:color w:val="auto"/>
              </w:rPr>
            </w:pPr>
          </w:p>
        </w:tc>
        <w:tc>
          <w:tcPr>
            <w:tcW w:w="520" w:type="dxa"/>
            <w:vAlign w:val="bottom"/>
            <w:shd w:val="clear" w:color="auto" w:fill="105FAB"/>
          </w:tcPr>
          <w:p>
            <w:pPr>
              <w:spacing w:after="0"/>
              <w:rPr>
                <w:sz w:val="2"/>
                <w:szCs w:val="2"/>
                <w:color w:val="auto"/>
              </w:rPr>
            </w:pPr>
          </w:p>
        </w:tc>
        <w:tc>
          <w:tcPr>
            <w:tcW w:w="200" w:type="dxa"/>
            <w:vAlign w:val="bottom"/>
            <w:shd w:val="clear" w:color="auto" w:fill="105FAB"/>
          </w:tcPr>
          <w:p>
            <w:pPr>
              <w:spacing w:after="0"/>
              <w:rPr>
                <w:sz w:val="2"/>
                <w:szCs w:val="2"/>
                <w:color w:val="auto"/>
              </w:rPr>
            </w:pPr>
          </w:p>
        </w:tc>
        <w:tc>
          <w:tcPr>
            <w:tcW w:w="1040" w:type="dxa"/>
            <w:vAlign w:val="bottom"/>
            <w:shd w:val="clear" w:color="auto" w:fill="105FAB"/>
          </w:tcPr>
          <w:p>
            <w:pPr>
              <w:spacing w:after="0"/>
              <w:rPr>
                <w:sz w:val="2"/>
                <w:szCs w:val="2"/>
                <w:color w:val="auto"/>
              </w:rPr>
            </w:pPr>
          </w:p>
        </w:tc>
        <w:tc>
          <w:tcPr>
            <w:tcW w:w="860" w:type="dxa"/>
            <w:vAlign w:val="bottom"/>
            <w:shd w:val="clear" w:color="auto" w:fill="105FAB"/>
          </w:tcPr>
          <w:p>
            <w:pPr>
              <w:spacing w:after="0"/>
              <w:rPr>
                <w:sz w:val="2"/>
                <w:szCs w:val="2"/>
                <w:color w:val="auto"/>
              </w:rPr>
            </w:pPr>
          </w:p>
        </w:tc>
        <w:tc>
          <w:tcPr>
            <w:tcW w:w="200" w:type="dxa"/>
            <w:vAlign w:val="bottom"/>
            <w:shd w:val="clear" w:color="auto" w:fill="105FAB"/>
          </w:tcPr>
          <w:p>
            <w:pPr>
              <w:spacing w:after="0"/>
              <w:rPr>
                <w:sz w:val="2"/>
                <w:szCs w:val="2"/>
                <w:color w:val="auto"/>
              </w:rPr>
            </w:pPr>
          </w:p>
        </w:tc>
        <w:tc>
          <w:tcPr>
            <w:tcW w:w="860" w:type="dxa"/>
            <w:vAlign w:val="bottom"/>
            <w:shd w:val="clear" w:color="auto" w:fill="105FAB"/>
          </w:tcPr>
          <w:p>
            <w:pPr>
              <w:spacing w:after="0"/>
              <w:rPr>
                <w:sz w:val="2"/>
                <w:szCs w:val="2"/>
                <w:color w:val="auto"/>
              </w:rPr>
            </w:pPr>
          </w:p>
        </w:tc>
        <w:tc>
          <w:tcPr>
            <w:tcW w:w="200" w:type="dxa"/>
            <w:vAlign w:val="bottom"/>
            <w:shd w:val="clear" w:color="auto" w:fill="105FAB"/>
          </w:tcPr>
          <w:p>
            <w:pPr>
              <w:spacing w:after="0"/>
              <w:rPr>
                <w:sz w:val="2"/>
                <w:szCs w:val="2"/>
                <w:color w:val="auto"/>
              </w:rPr>
            </w:pPr>
          </w:p>
        </w:tc>
        <w:tc>
          <w:tcPr>
            <w:tcW w:w="840" w:type="dxa"/>
            <w:vAlign w:val="bottom"/>
            <w:shd w:val="clear" w:color="auto" w:fill="105FAB"/>
          </w:tcPr>
          <w:p>
            <w:pPr>
              <w:spacing w:after="0"/>
              <w:rPr>
                <w:sz w:val="2"/>
                <w:szCs w:val="2"/>
                <w:color w:val="auto"/>
              </w:rPr>
            </w:pPr>
          </w:p>
        </w:tc>
        <w:tc>
          <w:tcPr>
            <w:tcW w:w="620" w:type="dxa"/>
            <w:vAlign w:val="bottom"/>
            <w:shd w:val="clear" w:color="auto" w:fill="105FAB"/>
          </w:tcPr>
          <w:p>
            <w:pPr>
              <w:spacing w:after="0"/>
              <w:rPr>
                <w:sz w:val="2"/>
                <w:szCs w:val="2"/>
                <w:color w:val="auto"/>
              </w:rPr>
            </w:pPr>
          </w:p>
        </w:tc>
        <w:tc>
          <w:tcPr>
            <w:tcW w:w="200" w:type="dxa"/>
            <w:vAlign w:val="bottom"/>
            <w:shd w:val="clear" w:color="auto" w:fill="105FAB"/>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300" w:right="260" w:hanging="292"/>
        <w:spacing w:after="0" w:line="238" w:lineRule="auto"/>
        <w:tabs>
          <w:tab w:leader="none" w:pos="300" w:val="left"/>
        </w:tabs>
        <w:numPr>
          <w:ilvl w:val="0"/>
          <w:numId w:val="185"/>
        </w:numPr>
        <w:rPr>
          <w:rFonts w:ascii="Arial" w:cs="Arial" w:eastAsia="Arial" w:hAnsi="Arial"/>
          <w:sz w:val="11"/>
          <w:szCs w:val="11"/>
          <w:color w:val="auto"/>
        </w:rPr>
      </w:pPr>
      <w:r>
        <w:rPr>
          <w:rFonts w:ascii="Arial" w:cs="Arial" w:eastAsia="Arial" w:hAnsi="Arial"/>
          <w:sz w:val="13"/>
          <w:szCs w:val="13"/>
          <w:color w:val="auto"/>
        </w:rPr>
        <w:t>Mr. Dugenske received a sign-on bonus in connection with the commencement of his employment on March 1, 2017. The cash bonus was payable in two installments. The first installment was paid within sixty days of his start date, and the second installment was paid within thirty days after the first anniversary of his start date. In certain circumstances, these amounts are subject to repayment.</w:t>
      </w:r>
    </w:p>
    <w:p>
      <w:pPr>
        <w:ind w:left="300" w:hanging="292"/>
        <w:spacing w:after="0"/>
        <w:tabs>
          <w:tab w:leader="none" w:pos="300" w:val="left"/>
        </w:tabs>
        <w:numPr>
          <w:ilvl w:val="0"/>
          <w:numId w:val="185"/>
        </w:numPr>
        <w:rPr>
          <w:rFonts w:ascii="Arial" w:cs="Arial" w:eastAsia="Arial" w:hAnsi="Arial"/>
          <w:sz w:val="11"/>
          <w:szCs w:val="11"/>
          <w:color w:val="auto"/>
        </w:rPr>
      </w:pPr>
      <w:r>
        <w:rPr>
          <w:rFonts w:ascii="Arial" w:cs="Arial" w:eastAsia="Arial" w:hAnsi="Arial"/>
          <w:sz w:val="13"/>
          <w:szCs w:val="13"/>
          <w:color w:val="auto"/>
        </w:rPr>
        <w:t>Mr. Dugenske received a sign-on grant of restricted stock units (“RSUs”) on April 5, 2017. These RSUs will become 100% vested on April 4, 2020.</w:t>
      </w:r>
    </w:p>
    <w:p>
      <w:pPr>
        <w:spacing w:after="0" w:line="12" w:lineRule="exact"/>
        <w:rPr>
          <w:rFonts w:ascii="Arial" w:cs="Arial" w:eastAsia="Arial" w:hAnsi="Arial"/>
          <w:sz w:val="11"/>
          <w:szCs w:val="11"/>
          <w:color w:val="auto"/>
        </w:rPr>
      </w:pPr>
    </w:p>
    <w:p>
      <w:pPr>
        <w:ind w:left="300" w:right="120" w:hanging="292"/>
        <w:spacing w:after="0" w:line="241" w:lineRule="auto"/>
        <w:tabs>
          <w:tab w:leader="none" w:pos="300" w:val="left"/>
        </w:tabs>
        <w:numPr>
          <w:ilvl w:val="0"/>
          <w:numId w:val="185"/>
        </w:numPr>
        <w:rPr>
          <w:rFonts w:ascii="Arial" w:cs="Arial" w:eastAsia="Arial" w:hAnsi="Arial"/>
          <w:sz w:val="11"/>
          <w:szCs w:val="11"/>
          <w:color w:val="auto"/>
        </w:rPr>
      </w:pPr>
      <w:r>
        <w:rPr>
          <w:rFonts w:ascii="Arial" w:cs="Arial" w:eastAsia="Arial" w:hAnsi="Arial"/>
          <w:sz w:val="13"/>
          <w:szCs w:val="13"/>
          <w:color w:val="auto"/>
        </w:rPr>
        <w:t>The aggregate grant date fair value of PSAs granted in 2018, 2017, and 2016, and the RSUs granted in 2017 to Mr. Dugenske, is computed in accordance with Financial Accounting Standards Board (FASB) Accounting Standards Codification Topic 718 (ASC 718). The fair value of PSAs and RSUs is based on the final closing price of Allstate’s common stock on the grant date, which in part reflects the payment of expected future dividends. (See note 18 to our audited financial statements for 2018.) This amount reflects an accounting expense and does not correspond to actual value that will be realized by the named executives. The value of PSAs is based on the probable satisfaction of the performance conditions. The number of PSAs granted in 2018 to each named executive is provided in the Grants of Plan-Based Awards table on page 56. The value of the PSAs granted in 2018 at grant date fair value share price if maximum corporate performance were to be achieved is as follows: Mr. Wilson $11,625,056, Mr. Rizzo $2,520,077, Mr. Dugenske $2,760,058, Mr. Shapiro $2,925,056, and Mr. Shebik $3,570,016.</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1120" w:type="dxa"/>
            <w:vAlign w:val="bottom"/>
          </w:tcPr>
          <w:p>
            <w:pPr>
              <w:ind w:left="9640"/>
              <w:spacing w:after="0"/>
              <w:rPr>
                <w:sz w:val="20"/>
                <w:szCs w:val="20"/>
                <w:color w:val="auto"/>
              </w:rPr>
            </w:pPr>
            <w:r>
              <w:rPr>
                <w:rFonts w:ascii="Arial" w:cs="Arial" w:eastAsia="Arial" w:hAnsi="Arial"/>
                <w:sz w:val="13"/>
                <w:szCs w:val="13"/>
                <w:color w:val="105EAB"/>
              </w:rPr>
              <w:t>2019 Proxy Statement</w:t>
            </w:r>
          </w:p>
        </w:tc>
        <w:tc>
          <w:tcPr>
            <w:tcW w:w="320" w:type="dxa"/>
            <w:vAlign w:val="bottom"/>
          </w:tcPr>
          <w:p>
            <w:pPr>
              <w:jc w:val="right"/>
              <w:spacing w:after="0"/>
              <w:rPr>
                <w:sz w:val="20"/>
                <w:szCs w:val="20"/>
                <w:color w:val="auto"/>
              </w:rPr>
            </w:pPr>
            <w:r>
              <w:rPr>
                <w:rFonts w:ascii="Arial" w:cs="Arial" w:eastAsia="Arial" w:hAnsi="Arial"/>
                <w:sz w:val="13"/>
                <w:szCs w:val="13"/>
                <w:b w:val="1"/>
                <w:bCs w:val="1"/>
                <w:color w:val="105EAB"/>
              </w:rPr>
              <w:t>53</w:t>
            </w:r>
          </w:p>
        </w:tc>
      </w:tr>
      <w:tr>
        <w:trPr>
          <w:trHeight w:val="213"/>
        </w:trPr>
        <w:tc>
          <w:tcPr>
            <w:tcW w:w="1112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-13970</wp:posOffset>
            </wp:positionV>
            <wp:extent cx="1270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b w:val="1"/>
          <w:bCs w:val="1"/>
          <w:color w:val="105EAB"/>
        </w:rPr>
        <w:t xml:space="preserve">Executive Compensation | </w:t>
      </w:r>
      <w:r>
        <w:rPr>
          <w:rFonts w:ascii="Arial" w:cs="Arial" w:eastAsia="Arial" w:hAnsi="Arial"/>
          <w:sz w:val="13"/>
          <w:szCs w:val="13"/>
          <w:b w:val="1"/>
          <w:bCs w:val="1"/>
          <w:color w:val="000000"/>
        </w:rPr>
        <w:t>Summary Compensation Table</w:t>
      </w:r>
    </w:p>
    <w:p>
      <w:pPr>
        <w:spacing w:after="0" w:line="231" w:lineRule="exact"/>
        <w:rPr>
          <w:sz w:val="20"/>
          <w:szCs w:val="20"/>
          <w:color w:val="auto"/>
        </w:rPr>
      </w:pPr>
    </w:p>
    <w:p>
      <w:pPr>
        <w:ind w:left="300" w:right="100" w:hanging="292"/>
        <w:spacing w:after="0" w:line="258" w:lineRule="auto"/>
        <w:tabs>
          <w:tab w:leader="none" w:pos="300" w:val="left"/>
        </w:tabs>
        <w:numPr>
          <w:ilvl w:val="0"/>
          <w:numId w:val="186"/>
        </w:numPr>
        <w:rPr>
          <w:rFonts w:ascii="Arial" w:cs="Arial" w:eastAsia="Arial" w:hAnsi="Arial"/>
          <w:sz w:val="11"/>
          <w:szCs w:val="11"/>
          <w:color w:val="auto"/>
        </w:rPr>
      </w:pPr>
      <w:r>
        <w:rPr>
          <w:rFonts w:ascii="Arial" w:cs="Arial" w:eastAsia="Arial" w:hAnsi="Arial"/>
          <w:sz w:val="13"/>
          <w:szCs w:val="13"/>
          <w:color w:val="auto"/>
        </w:rPr>
        <w:t>The aggregate grant date fair value of option awards is computed in accordance with FASB ASC 718. The fair value of each option award is estimated on the grant date using a binomial lattice model and the assumptions (see note 18 to our audited financial statements for 2018) as set forth in the following table:</w:t>
      </w:r>
    </w:p>
    <w:p>
      <w:pPr>
        <w:spacing w:after="0" w:line="108" w:lineRule="exact"/>
        <w:rPr>
          <w:sz w:val="20"/>
          <w:szCs w:val="20"/>
          <w:color w:val="auto"/>
        </w:rPr>
      </w:pPr>
    </w:p>
    <w:tbl>
      <w:tblPr>
        <w:tblLayout w:type="fixed"/>
        <w:tblInd w:w="280" w:type="dxa"/>
        <w:tblCellMar>
          <w:top w:w="0" w:type="dxa"/>
          <w:left w:w="0" w:type="dxa"/>
          <w:bottom w:w="0" w:type="dxa"/>
          <w:right w:w="0" w:type="dxa"/>
        </w:tblCellMar>
      </w:tblPr>
      <w:tr>
        <w:trPr>
          <w:trHeight w:val="178"/>
        </w:trPr>
        <w:tc>
          <w:tcPr>
            <w:tcW w:w="5400" w:type="dxa"/>
            <w:vAlign w:val="bottom"/>
          </w:tcPr>
          <w:p>
            <w:pPr>
              <w:spacing w:after="0"/>
              <w:rPr>
                <w:sz w:val="15"/>
                <w:szCs w:val="15"/>
                <w:color w:val="auto"/>
              </w:rPr>
            </w:pPr>
          </w:p>
        </w:tc>
        <w:tc>
          <w:tcPr>
            <w:tcW w:w="3880" w:type="dxa"/>
            <w:vAlign w:val="bottom"/>
          </w:tcPr>
          <w:p>
            <w:pPr>
              <w:jc w:val="right"/>
              <w:ind w:right="73"/>
              <w:spacing w:after="0"/>
              <w:rPr>
                <w:sz w:val="20"/>
                <w:szCs w:val="20"/>
                <w:color w:val="auto"/>
              </w:rPr>
            </w:pPr>
            <w:r>
              <w:rPr>
                <w:rFonts w:ascii="Arial" w:cs="Arial" w:eastAsia="Arial" w:hAnsi="Arial"/>
                <w:sz w:val="13"/>
                <w:szCs w:val="13"/>
                <w:b w:val="1"/>
                <w:bCs w:val="1"/>
                <w:color w:val="105FAB"/>
              </w:rPr>
              <w:t>2018</w:t>
            </w:r>
          </w:p>
        </w:tc>
        <w:tc>
          <w:tcPr>
            <w:tcW w:w="960" w:type="dxa"/>
            <w:vAlign w:val="bottom"/>
          </w:tcPr>
          <w:p>
            <w:pPr>
              <w:jc w:val="right"/>
              <w:ind w:right="73"/>
              <w:spacing w:after="0"/>
              <w:rPr>
                <w:sz w:val="20"/>
                <w:szCs w:val="20"/>
                <w:color w:val="auto"/>
              </w:rPr>
            </w:pPr>
            <w:r>
              <w:rPr>
                <w:rFonts w:ascii="Arial" w:cs="Arial" w:eastAsia="Arial" w:hAnsi="Arial"/>
                <w:sz w:val="13"/>
                <w:szCs w:val="13"/>
                <w:b w:val="1"/>
                <w:bCs w:val="1"/>
                <w:color w:val="105FAB"/>
              </w:rPr>
              <w:t>2017</w:t>
            </w:r>
          </w:p>
        </w:tc>
        <w:tc>
          <w:tcPr>
            <w:tcW w:w="900" w:type="dxa"/>
            <w:vAlign w:val="bottom"/>
          </w:tcPr>
          <w:p>
            <w:pPr>
              <w:jc w:val="right"/>
              <w:ind w:right="13"/>
              <w:spacing w:after="0"/>
              <w:rPr>
                <w:sz w:val="20"/>
                <w:szCs w:val="20"/>
                <w:color w:val="auto"/>
              </w:rPr>
            </w:pPr>
            <w:r>
              <w:rPr>
                <w:rFonts w:ascii="Arial" w:cs="Arial" w:eastAsia="Arial" w:hAnsi="Arial"/>
                <w:sz w:val="13"/>
                <w:szCs w:val="13"/>
                <w:b w:val="1"/>
                <w:bCs w:val="1"/>
                <w:color w:val="105FAB"/>
              </w:rPr>
              <w:t>2016</w:t>
            </w:r>
          </w:p>
        </w:tc>
      </w:tr>
      <w:tr>
        <w:trPr>
          <w:trHeight w:val="48"/>
        </w:trPr>
        <w:tc>
          <w:tcPr>
            <w:tcW w:w="5400" w:type="dxa"/>
            <w:vAlign w:val="bottom"/>
            <w:tcBorders>
              <w:bottom w:val="single" w:sz="8" w:color="105FAB"/>
            </w:tcBorders>
          </w:tcPr>
          <w:p>
            <w:pPr>
              <w:spacing w:after="0"/>
              <w:rPr>
                <w:sz w:val="4"/>
                <w:szCs w:val="4"/>
                <w:color w:val="auto"/>
              </w:rPr>
            </w:pPr>
          </w:p>
        </w:tc>
        <w:tc>
          <w:tcPr>
            <w:tcW w:w="3880" w:type="dxa"/>
            <w:vAlign w:val="bottom"/>
            <w:tcBorders>
              <w:bottom w:val="single" w:sz="8" w:color="105FAB"/>
            </w:tcBorders>
          </w:tcPr>
          <w:p>
            <w:pPr>
              <w:spacing w:after="0"/>
              <w:rPr>
                <w:sz w:val="4"/>
                <w:szCs w:val="4"/>
                <w:color w:val="auto"/>
              </w:rPr>
            </w:pPr>
          </w:p>
        </w:tc>
        <w:tc>
          <w:tcPr>
            <w:tcW w:w="960" w:type="dxa"/>
            <w:vAlign w:val="bottom"/>
            <w:tcBorders>
              <w:bottom w:val="single" w:sz="8" w:color="105FAB"/>
            </w:tcBorders>
          </w:tcPr>
          <w:p>
            <w:pPr>
              <w:spacing w:after="0"/>
              <w:rPr>
                <w:sz w:val="4"/>
                <w:szCs w:val="4"/>
                <w:color w:val="auto"/>
              </w:rPr>
            </w:pPr>
          </w:p>
        </w:tc>
        <w:tc>
          <w:tcPr>
            <w:tcW w:w="900" w:type="dxa"/>
            <w:vAlign w:val="bottom"/>
            <w:tcBorders>
              <w:bottom w:val="single" w:sz="8" w:color="105FAB"/>
            </w:tcBorders>
          </w:tcPr>
          <w:p>
            <w:pPr>
              <w:spacing w:after="0"/>
              <w:rPr>
                <w:sz w:val="4"/>
                <w:szCs w:val="4"/>
                <w:color w:val="auto"/>
              </w:rPr>
            </w:pPr>
          </w:p>
        </w:tc>
      </w:tr>
      <w:tr>
        <w:trPr>
          <w:trHeight w:val="202"/>
        </w:trPr>
        <w:tc>
          <w:tcPr>
            <w:tcW w:w="5400" w:type="dxa"/>
            <w:vAlign w:val="bottom"/>
          </w:tcPr>
          <w:p>
            <w:pPr>
              <w:ind w:left="60"/>
              <w:spacing w:after="0"/>
              <w:rPr>
                <w:sz w:val="20"/>
                <w:szCs w:val="20"/>
                <w:color w:val="auto"/>
              </w:rPr>
            </w:pPr>
            <w:r>
              <w:rPr>
                <w:rFonts w:ascii="Arial" w:cs="Arial" w:eastAsia="Arial" w:hAnsi="Arial"/>
                <w:sz w:val="13"/>
                <w:szCs w:val="13"/>
                <w:color w:val="auto"/>
              </w:rPr>
              <w:t>Weighted average expected term</w:t>
            </w:r>
          </w:p>
        </w:tc>
        <w:tc>
          <w:tcPr>
            <w:tcW w:w="3880" w:type="dxa"/>
            <w:vAlign w:val="bottom"/>
          </w:tcPr>
          <w:p>
            <w:pPr>
              <w:jc w:val="right"/>
              <w:ind w:right="73"/>
              <w:spacing w:after="0"/>
              <w:rPr>
                <w:sz w:val="20"/>
                <w:szCs w:val="20"/>
                <w:color w:val="auto"/>
              </w:rPr>
            </w:pPr>
            <w:r>
              <w:rPr>
                <w:rFonts w:ascii="Arial" w:cs="Arial" w:eastAsia="Arial" w:hAnsi="Arial"/>
                <w:sz w:val="13"/>
                <w:szCs w:val="13"/>
                <w:color w:val="auto"/>
              </w:rPr>
              <w:t>5.7 years</w:t>
            </w:r>
          </w:p>
        </w:tc>
        <w:tc>
          <w:tcPr>
            <w:tcW w:w="960" w:type="dxa"/>
            <w:vAlign w:val="bottom"/>
          </w:tcPr>
          <w:p>
            <w:pPr>
              <w:jc w:val="right"/>
              <w:ind w:right="73"/>
              <w:spacing w:after="0"/>
              <w:rPr>
                <w:sz w:val="20"/>
                <w:szCs w:val="20"/>
                <w:color w:val="auto"/>
              </w:rPr>
            </w:pPr>
            <w:r>
              <w:rPr>
                <w:rFonts w:ascii="Arial" w:cs="Arial" w:eastAsia="Arial" w:hAnsi="Arial"/>
                <w:sz w:val="13"/>
                <w:szCs w:val="13"/>
                <w:color w:val="auto"/>
              </w:rPr>
              <w:t>6.1 years</w:t>
            </w:r>
          </w:p>
        </w:tc>
        <w:tc>
          <w:tcPr>
            <w:tcW w:w="900" w:type="dxa"/>
            <w:vAlign w:val="bottom"/>
          </w:tcPr>
          <w:p>
            <w:pPr>
              <w:jc w:val="right"/>
              <w:ind w:right="13"/>
              <w:spacing w:after="0"/>
              <w:rPr>
                <w:sz w:val="20"/>
                <w:szCs w:val="20"/>
                <w:color w:val="auto"/>
              </w:rPr>
            </w:pPr>
            <w:r>
              <w:rPr>
                <w:rFonts w:ascii="Arial" w:cs="Arial" w:eastAsia="Arial" w:hAnsi="Arial"/>
                <w:sz w:val="13"/>
                <w:szCs w:val="13"/>
                <w:color w:val="auto"/>
              </w:rPr>
              <w:t>5.0 years</w:t>
            </w:r>
          </w:p>
        </w:tc>
      </w:tr>
      <w:tr>
        <w:trPr>
          <w:trHeight w:val="41"/>
        </w:trPr>
        <w:tc>
          <w:tcPr>
            <w:tcW w:w="5400" w:type="dxa"/>
            <w:vAlign w:val="bottom"/>
            <w:tcBorders>
              <w:bottom w:val="single" w:sz="8" w:color="DFF1FB"/>
            </w:tcBorders>
          </w:tcPr>
          <w:p>
            <w:pPr>
              <w:spacing w:after="0"/>
              <w:rPr>
                <w:sz w:val="3"/>
                <w:szCs w:val="3"/>
                <w:color w:val="auto"/>
              </w:rPr>
            </w:pPr>
          </w:p>
        </w:tc>
        <w:tc>
          <w:tcPr>
            <w:tcW w:w="3880" w:type="dxa"/>
            <w:vAlign w:val="bottom"/>
            <w:tcBorders>
              <w:bottom w:val="single" w:sz="8" w:color="DFF1FB"/>
            </w:tcBorders>
          </w:tcPr>
          <w:p>
            <w:pPr>
              <w:spacing w:after="0"/>
              <w:rPr>
                <w:sz w:val="3"/>
                <w:szCs w:val="3"/>
                <w:color w:val="auto"/>
              </w:rPr>
            </w:pPr>
          </w:p>
        </w:tc>
        <w:tc>
          <w:tcPr>
            <w:tcW w:w="960" w:type="dxa"/>
            <w:vAlign w:val="bottom"/>
            <w:tcBorders>
              <w:bottom w:val="single" w:sz="8" w:color="DFF1FB"/>
            </w:tcBorders>
          </w:tcPr>
          <w:p>
            <w:pPr>
              <w:spacing w:after="0"/>
              <w:rPr>
                <w:sz w:val="3"/>
                <w:szCs w:val="3"/>
                <w:color w:val="auto"/>
              </w:rPr>
            </w:pPr>
          </w:p>
        </w:tc>
        <w:tc>
          <w:tcPr>
            <w:tcW w:w="900" w:type="dxa"/>
            <w:vAlign w:val="bottom"/>
            <w:tcBorders>
              <w:bottom w:val="single" w:sz="8" w:color="DFF1FB"/>
            </w:tcBorders>
          </w:tcPr>
          <w:p>
            <w:pPr>
              <w:spacing w:after="0"/>
              <w:rPr>
                <w:sz w:val="3"/>
                <w:szCs w:val="3"/>
                <w:color w:val="auto"/>
              </w:rPr>
            </w:pPr>
          </w:p>
        </w:tc>
      </w:tr>
      <w:tr>
        <w:trPr>
          <w:trHeight w:val="195"/>
        </w:trPr>
        <w:tc>
          <w:tcPr>
            <w:tcW w:w="5400" w:type="dxa"/>
            <w:vAlign w:val="bottom"/>
          </w:tcPr>
          <w:p>
            <w:pPr>
              <w:ind w:left="60"/>
              <w:spacing w:after="0"/>
              <w:rPr>
                <w:sz w:val="20"/>
                <w:szCs w:val="20"/>
                <w:color w:val="auto"/>
              </w:rPr>
            </w:pPr>
            <w:r>
              <w:rPr>
                <w:rFonts w:ascii="Arial" w:cs="Arial" w:eastAsia="Arial" w:hAnsi="Arial"/>
                <w:sz w:val="13"/>
                <w:szCs w:val="13"/>
                <w:color w:val="auto"/>
              </w:rPr>
              <w:t>Expected volatility</w:t>
            </w:r>
          </w:p>
        </w:tc>
        <w:tc>
          <w:tcPr>
            <w:tcW w:w="3880" w:type="dxa"/>
            <w:vAlign w:val="bottom"/>
          </w:tcPr>
          <w:p>
            <w:pPr>
              <w:jc w:val="right"/>
              <w:ind w:right="73"/>
              <w:spacing w:after="0"/>
              <w:rPr>
                <w:sz w:val="20"/>
                <w:szCs w:val="20"/>
                <w:color w:val="auto"/>
              </w:rPr>
            </w:pPr>
            <w:r>
              <w:rPr>
                <w:rFonts w:ascii="Arial" w:cs="Arial" w:eastAsia="Arial" w:hAnsi="Arial"/>
                <w:sz w:val="13"/>
                <w:szCs w:val="13"/>
                <w:color w:val="auto"/>
              </w:rPr>
              <w:t>15.6-30.7%</w:t>
            </w:r>
          </w:p>
        </w:tc>
        <w:tc>
          <w:tcPr>
            <w:tcW w:w="960" w:type="dxa"/>
            <w:vAlign w:val="bottom"/>
          </w:tcPr>
          <w:p>
            <w:pPr>
              <w:jc w:val="right"/>
              <w:ind w:right="73"/>
              <w:spacing w:after="0"/>
              <w:rPr>
                <w:sz w:val="20"/>
                <w:szCs w:val="20"/>
                <w:color w:val="auto"/>
              </w:rPr>
            </w:pPr>
            <w:r>
              <w:rPr>
                <w:rFonts w:ascii="Arial" w:cs="Arial" w:eastAsia="Arial" w:hAnsi="Arial"/>
                <w:sz w:val="13"/>
                <w:szCs w:val="13"/>
                <w:color w:val="auto"/>
              </w:rPr>
              <w:t>15.7-32.7%</w:t>
            </w:r>
          </w:p>
        </w:tc>
        <w:tc>
          <w:tcPr>
            <w:tcW w:w="900" w:type="dxa"/>
            <w:vAlign w:val="bottom"/>
          </w:tcPr>
          <w:p>
            <w:pPr>
              <w:jc w:val="right"/>
              <w:ind w:right="13"/>
              <w:spacing w:after="0"/>
              <w:rPr>
                <w:sz w:val="20"/>
                <w:szCs w:val="20"/>
                <w:color w:val="auto"/>
              </w:rPr>
            </w:pPr>
            <w:r>
              <w:rPr>
                <w:rFonts w:ascii="Arial" w:cs="Arial" w:eastAsia="Arial" w:hAnsi="Arial"/>
                <w:sz w:val="13"/>
                <w:szCs w:val="13"/>
                <w:color w:val="auto"/>
              </w:rPr>
              <w:t>16.0-34.3%</w:t>
            </w:r>
          </w:p>
        </w:tc>
      </w:tr>
      <w:tr>
        <w:trPr>
          <w:trHeight w:val="41"/>
        </w:trPr>
        <w:tc>
          <w:tcPr>
            <w:tcW w:w="5400" w:type="dxa"/>
            <w:vAlign w:val="bottom"/>
            <w:tcBorders>
              <w:bottom w:val="single" w:sz="8" w:color="DFF1FB"/>
            </w:tcBorders>
          </w:tcPr>
          <w:p>
            <w:pPr>
              <w:spacing w:after="0"/>
              <w:rPr>
                <w:sz w:val="3"/>
                <w:szCs w:val="3"/>
                <w:color w:val="auto"/>
              </w:rPr>
            </w:pPr>
          </w:p>
        </w:tc>
        <w:tc>
          <w:tcPr>
            <w:tcW w:w="3880" w:type="dxa"/>
            <w:vAlign w:val="bottom"/>
            <w:tcBorders>
              <w:bottom w:val="single" w:sz="8" w:color="DFF1FB"/>
            </w:tcBorders>
          </w:tcPr>
          <w:p>
            <w:pPr>
              <w:spacing w:after="0"/>
              <w:rPr>
                <w:sz w:val="3"/>
                <w:szCs w:val="3"/>
                <w:color w:val="auto"/>
              </w:rPr>
            </w:pPr>
          </w:p>
        </w:tc>
        <w:tc>
          <w:tcPr>
            <w:tcW w:w="960" w:type="dxa"/>
            <w:vAlign w:val="bottom"/>
            <w:tcBorders>
              <w:bottom w:val="single" w:sz="8" w:color="DFF1FB"/>
            </w:tcBorders>
          </w:tcPr>
          <w:p>
            <w:pPr>
              <w:spacing w:after="0"/>
              <w:rPr>
                <w:sz w:val="3"/>
                <w:szCs w:val="3"/>
                <w:color w:val="auto"/>
              </w:rPr>
            </w:pPr>
          </w:p>
        </w:tc>
        <w:tc>
          <w:tcPr>
            <w:tcW w:w="900" w:type="dxa"/>
            <w:vAlign w:val="bottom"/>
            <w:tcBorders>
              <w:bottom w:val="single" w:sz="8" w:color="DFF1FB"/>
            </w:tcBorders>
          </w:tcPr>
          <w:p>
            <w:pPr>
              <w:spacing w:after="0"/>
              <w:rPr>
                <w:sz w:val="3"/>
                <w:szCs w:val="3"/>
                <w:color w:val="auto"/>
              </w:rPr>
            </w:pPr>
          </w:p>
        </w:tc>
      </w:tr>
      <w:tr>
        <w:trPr>
          <w:trHeight w:val="195"/>
        </w:trPr>
        <w:tc>
          <w:tcPr>
            <w:tcW w:w="5400" w:type="dxa"/>
            <w:vAlign w:val="bottom"/>
          </w:tcPr>
          <w:p>
            <w:pPr>
              <w:ind w:left="60"/>
              <w:spacing w:after="0"/>
              <w:rPr>
                <w:sz w:val="20"/>
                <w:szCs w:val="20"/>
                <w:color w:val="auto"/>
              </w:rPr>
            </w:pPr>
            <w:r>
              <w:rPr>
                <w:rFonts w:ascii="Arial" w:cs="Arial" w:eastAsia="Arial" w:hAnsi="Arial"/>
                <w:sz w:val="13"/>
                <w:szCs w:val="13"/>
                <w:color w:val="auto"/>
              </w:rPr>
              <w:t>Weighted average volatility</w:t>
            </w:r>
          </w:p>
        </w:tc>
        <w:tc>
          <w:tcPr>
            <w:tcW w:w="3880" w:type="dxa"/>
            <w:vAlign w:val="bottom"/>
          </w:tcPr>
          <w:p>
            <w:pPr>
              <w:jc w:val="right"/>
              <w:ind w:right="73"/>
              <w:spacing w:after="0"/>
              <w:rPr>
                <w:sz w:val="20"/>
                <w:szCs w:val="20"/>
                <w:color w:val="auto"/>
              </w:rPr>
            </w:pPr>
            <w:r>
              <w:rPr>
                <w:rFonts w:ascii="Arial" w:cs="Arial" w:eastAsia="Arial" w:hAnsi="Arial"/>
                <w:sz w:val="13"/>
                <w:szCs w:val="13"/>
                <w:color w:val="auto"/>
              </w:rPr>
              <w:t>19.8%</w:t>
            </w:r>
          </w:p>
        </w:tc>
        <w:tc>
          <w:tcPr>
            <w:tcW w:w="960" w:type="dxa"/>
            <w:vAlign w:val="bottom"/>
          </w:tcPr>
          <w:p>
            <w:pPr>
              <w:jc w:val="right"/>
              <w:ind w:right="73"/>
              <w:spacing w:after="0"/>
              <w:rPr>
                <w:sz w:val="20"/>
                <w:szCs w:val="20"/>
                <w:color w:val="auto"/>
              </w:rPr>
            </w:pPr>
            <w:r>
              <w:rPr>
                <w:rFonts w:ascii="Arial" w:cs="Arial" w:eastAsia="Arial" w:hAnsi="Arial"/>
                <w:sz w:val="13"/>
                <w:szCs w:val="13"/>
                <w:color w:val="auto"/>
              </w:rPr>
              <w:t>21.0%</w:t>
            </w:r>
          </w:p>
        </w:tc>
        <w:tc>
          <w:tcPr>
            <w:tcW w:w="900" w:type="dxa"/>
            <w:vAlign w:val="bottom"/>
          </w:tcPr>
          <w:p>
            <w:pPr>
              <w:jc w:val="right"/>
              <w:ind w:right="13"/>
              <w:spacing w:after="0"/>
              <w:rPr>
                <w:sz w:val="20"/>
                <w:szCs w:val="20"/>
                <w:color w:val="auto"/>
              </w:rPr>
            </w:pPr>
            <w:r>
              <w:rPr>
                <w:rFonts w:ascii="Arial" w:cs="Arial" w:eastAsia="Arial" w:hAnsi="Arial"/>
                <w:sz w:val="13"/>
                <w:szCs w:val="13"/>
                <w:color w:val="auto"/>
              </w:rPr>
              <w:t>24.3%</w:t>
            </w:r>
          </w:p>
        </w:tc>
      </w:tr>
      <w:tr>
        <w:trPr>
          <w:trHeight w:val="41"/>
        </w:trPr>
        <w:tc>
          <w:tcPr>
            <w:tcW w:w="5400" w:type="dxa"/>
            <w:vAlign w:val="bottom"/>
            <w:tcBorders>
              <w:bottom w:val="single" w:sz="8" w:color="DFF1FB"/>
            </w:tcBorders>
          </w:tcPr>
          <w:p>
            <w:pPr>
              <w:spacing w:after="0"/>
              <w:rPr>
                <w:sz w:val="3"/>
                <w:szCs w:val="3"/>
                <w:color w:val="auto"/>
              </w:rPr>
            </w:pPr>
          </w:p>
        </w:tc>
        <w:tc>
          <w:tcPr>
            <w:tcW w:w="3880" w:type="dxa"/>
            <w:vAlign w:val="bottom"/>
            <w:tcBorders>
              <w:bottom w:val="single" w:sz="8" w:color="DFF1FB"/>
            </w:tcBorders>
          </w:tcPr>
          <w:p>
            <w:pPr>
              <w:spacing w:after="0"/>
              <w:rPr>
                <w:sz w:val="3"/>
                <w:szCs w:val="3"/>
                <w:color w:val="auto"/>
              </w:rPr>
            </w:pPr>
          </w:p>
        </w:tc>
        <w:tc>
          <w:tcPr>
            <w:tcW w:w="960" w:type="dxa"/>
            <w:vAlign w:val="bottom"/>
            <w:tcBorders>
              <w:bottom w:val="single" w:sz="8" w:color="DFF1FB"/>
            </w:tcBorders>
          </w:tcPr>
          <w:p>
            <w:pPr>
              <w:spacing w:after="0"/>
              <w:rPr>
                <w:sz w:val="3"/>
                <w:szCs w:val="3"/>
                <w:color w:val="auto"/>
              </w:rPr>
            </w:pPr>
          </w:p>
        </w:tc>
        <w:tc>
          <w:tcPr>
            <w:tcW w:w="900" w:type="dxa"/>
            <w:vAlign w:val="bottom"/>
            <w:tcBorders>
              <w:bottom w:val="single" w:sz="8" w:color="DFF1FB"/>
            </w:tcBorders>
          </w:tcPr>
          <w:p>
            <w:pPr>
              <w:spacing w:after="0"/>
              <w:rPr>
                <w:sz w:val="3"/>
                <w:szCs w:val="3"/>
                <w:color w:val="auto"/>
              </w:rPr>
            </w:pPr>
          </w:p>
        </w:tc>
      </w:tr>
      <w:tr>
        <w:trPr>
          <w:trHeight w:val="195"/>
        </w:trPr>
        <w:tc>
          <w:tcPr>
            <w:tcW w:w="5400" w:type="dxa"/>
            <w:vAlign w:val="bottom"/>
          </w:tcPr>
          <w:p>
            <w:pPr>
              <w:ind w:left="60"/>
              <w:spacing w:after="0"/>
              <w:rPr>
                <w:sz w:val="20"/>
                <w:szCs w:val="20"/>
                <w:color w:val="auto"/>
              </w:rPr>
            </w:pPr>
            <w:r>
              <w:rPr>
                <w:rFonts w:ascii="Arial" w:cs="Arial" w:eastAsia="Arial" w:hAnsi="Arial"/>
                <w:sz w:val="13"/>
                <w:szCs w:val="13"/>
                <w:color w:val="auto"/>
              </w:rPr>
              <w:t>Expected dividends</w:t>
            </w:r>
          </w:p>
        </w:tc>
        <w:tc>
          <w:tcPr>
            <w:tcW w:w="3880" w:type="dxa"/>
            <w:vAlign w:val="bottom"/>
          </w:tcPr>
          <w:p>
            <w:pPr>
              <w:jc w:val="right"/>
              <w:ind w:right="73"/>
              <w:spacing w:after="0"/>
              <w:rPr>
                <w:sz w:val="20"/>
                <w:szCs w:val="20"/>
                <w:color w:val="auto"/>
              </w:rPr>
            </w:pPr>
            <w:r>
              <w:rPr>
                <w:rFonts w:ascii="Arial" w:cs="Arial" w:eastAsia="Arial" w:hAnsi="Arial"/>
                <w:sz w:val="13"/>
                <w:szCs w:val="13"/>
                <w:color w:val="auto"/>
              </w:rPr>
              <w:t>1.5-2.2%</w:t>
            </w:r>
          </w:p>
        </w:tc>
        <w:tc>
          <w:tcPr>
            <w:tcW w:w="960" w:type="dxa"/>
            <w:vAlign w:val="bottom"/>
          </w:tcPr>
          <w:p>
            <w:pPr>
              <w:jc w:val="right"/>
              <w:ind w:right="73"/>
              <w:spacing w:after="0"/>
              <w:rPr>
                <w:sz w:val="20"/>
                <w:szCs w:val="20"/>
                <w:color w:val="auto"/>
              </w:rPr>
            </w:pPr>
            <w:r>
              <w:rPr>
                <w:rFonts w:ascii="Arial" w:cs="Arial" w:eastAsia="Arial" w:hAnsi="Arial"/>
                <w:sz w:val="13"/>
                <w:szCs w:val="13"/>
                <w:color w:val="auto"/>
              </w:rPr>
              <w:t>1.4-1.9%</w:t>
            </w:r>
          </w:p>
        </w:tc>
        <w:tc>
          <w:tcPr>
            <w:tcW w:w="900" w:type="dxa"/>
            <w:vAlign w:val="bottom"/>
          </w:tcPr>
          <w:p>
            <w:pPr>
              <w:jc w:val="right"/>
              <w:ind w:right="13"/>
              <w:spacing w:after="0"/>
              <w:rPr>
                <w:sz w:val="20"/>
                <w:szCs w:val="20"/>
                <w:color w:val="auto"/>
              </w:rPr>
            </w:pPr>
            <w:r>
              <w:rPr>
                <w:rFonts w:ascii="Arial" w:cs="Arial" w:eastAsia="Arial" w:hAnsi="Arial"/>
                <w:sz w:val="13"/>
                <w:szCs w:val="13"/>
                <w:color w:val="auto"/>
              </w:rPr>
              <w:t>1.9-2.1%</w:t>
            </w:r>
          </w:p>
        </w:tc>
      </w:tr>
      <w:tr>
        <w:trPr>
          <w:trHeight w:val="41"/>
        </w:trPr>
        <w:tc>
          <w:tcPr>
            <w:tcW w:w="5400" w:type="dxa"/>
            <w:vAlign w:val="bottom"/>
            <w:tcBorders>
              <w:bottom w:val="single" w:sz="8" w:color="DFF1FB"/>
            </w:tcBorders>
          </w:tcPr>
          <w:p>
            <w:pPr>
              <w:spacing w:after="0"/>
              <w:rPr>
                <w:sz w:val="3"/>
                <w:szCs w:val="3"/>
                <w:color w:val="auto"/>
              </w:rPr>
            </w:pPr>
          </w:p>
        </w:tc>
        <w:tc>
          <w:tcPr>
            <w:tcW w:w="3880" w:type="dxa"/>
            <w:vAlign w:val="bottom"/>
            <w:tcBorders>
              <w:bottom w:val="single" w:sz="8" w:color="DFF1FB"/>
            </w:tcBorders>
          </w:tcPr>
          <w:p>
            <w:pPr>
              <w:spacing w:after="0"/>
              <w:rPr>
                <w:sz w:val="3"/>
                <w:szCs w:val="3"/>
                <w:color w:val="auto"/>
              </w:rPr>
            </w:pPr>
          </w:p>
        </w:tc>
        <w:tc>
          <w:tcPr>
            <w:tcW w:w="960" w:type="dxa"/>
            <w:vAlign w:val="bottom"/>
            <w:tcBorders>
              <w:bottom w:val="single" w:sz="8" w:color="DFF1FB"/>
            </w:tcBorders>
          </w:tcPr>
          <w:p>
            <w:pPr>
              <w:spacing w:after="0"/>
              <w:rPr>
                <w:sz w:val="3"/>
                <w:szCs w:val="3"/>
                <w:color w:val="auto"/>
              </w:rPr>
            </w:pPr>
          </w:p>
        </w:tc>
        <w:tc>
          <w:tcPr>
            <w:tcW w:w="900" w:type="dxa"/>
            <w:vAlign w:val="bottom"/>
            <w:tcBorders>
              <w:bottom w:val="single" w:sz="8" w:color="DFF1FB"/>
            </w:tcBorders>
          </w:tcPr>
          <w:p>
            <w:pPr>
              <w:spacing w:after="0"/>
              <w:rPr>
                <w:sz w:val="3"/>
                <w:szCs w:val="3"/>
                <w:color w:val="auto"/>
              </w:rPr>
            </w:pPr>
          </w:p>
        </w:tc>
      </w:tr>
      <w:tr>
        <w:trPr>
          <w:trHeight w:val="195"/>
        </w:trPr>
        <w:tc>
          <w:tcPr>
            <w:tcW w:w="5400" w:type="dxa"/>
            <w:vAlign w:val="bottom"/>
          </w:tcPr>
          <w:p>
            <w:pPr>
              <w:ind w:left="60"/>
              <w:spacing w:after="0"/>
              <w:rPr>
                <w:sz w:val="20"/>
                <w:szCs w:val="20"/>
                <w:color w:val="auto"/>
              </w:rPr>
            </w:pPr>
            <w:r>
              <w:rPr>
                <w:rFonts w:ascii="Arial" w:cs="Arial" w:eastAsia="Arial" w:hAnsi="Arial"/>
                <w:sz w:val="13"/>
                <w:szCs w:val="13"/>
                <w:color w:val="auto"/>
              </w:rPr>
              <w:t>Weighted average expected dividends</w:t>
            </w:r>
          </w:p>
        </w:tc>
        <w:tc>
          <w:tcPr>
            <w:tcW w:w="3880" w:type="dxa"/>
            <w:vAlign w:val="bottom"/>
          </w:tcPr>
          <w:p>
            <w:pPr>
              <w:jc w:val="right"/>
              <w:ind w:right="73"/>
              <w:spacing w:after="0"/>
              <w:rPr>
                <w:sz w:val="20"/>
                <w:szCs w:val="20"/>
                <w:color w:val="auto"/>
              </w:rPr>
            </w:pPr>
            <w:r>
              <w:rPr>
                <w:rFonts w:ascii="Arial" w:cs="Arial" w:eastAsia="Arial" w:hAnsi="Arial"/>
                <w:sz w:val="13"/>
                <w:szCs w:val="13"/>
                <w:color w:val="auto"/>
              </w:rPr>
              <w:t>2.0%</w:t>
            </w:r>
          </w:p>
        </w:tc>
        <w:tc>
          <w:tcPr>
            <w:tcW w:w="960" w:type="dxa"/>
            <w:vAlign w:val="bottom"/>
          </w:tcPr>
          <w:p>
            <w:pPr>
              <w:jc w:val="right"/>
              <w:ind w:right="73"/>
              <w:spacing w:after="0"/>
              <w:rPr>
                <w:sz w:val="20"/>
                <w:szCs w:val="20"/>
                <w:color w:val="auto"/>
              </w:rPr>
            </w:pPr>
            <w:r>
              <w:rPr>
                <w:rFonts w:ascii="Arial" w:cs="Arial" w:eastAsia="Arial" w:hAnsi="Arial"/>
                <w:sz w:val="13"/>
                <w:szCs w:val="13"/>
                <w:color w:val="auto"/>
              </w:rPr>
              <w:t>1.9%</w:t>
            </w:r>
          </w:p>
        </w:tc>
        <w:tc>
          <w:tcPr>
            <w:tcW w:w="900" w:type="dxa"/>
            <w:vAlign w:val="bottom"/>
          </w:tcPr>
          <w:p>
            <w:pPr>
              <w:jc w:val="right"/>
              <w:ind w:right="13"/>
              <w:spacing w:after="0"/>
              <w:rPr>
                <w:sz w:val="20"/>
                <w:szCs w:val="20"/>
                <w:color w:val="auto"/>
              </w:rPr>
            </w:pPr>
            <w:r>
              <w:rPr>
                <w:rFonts w:ascii="Arial" w:cs="Arial" w:eastAsia="Arial" w:hAnsi="Arial"/>
                <w:sz w:val="13"/>
                <w:szCs w:val="13"/>
                <w:color w:val="auto"/>
              </w:rPr>
              <w:t>2.1%</w:t>
            </w:r>
          </w:p>
        </w:tc>
      </w:tr>
      <w:tr>
        <w:trPr>
          <w:trHeight w:val="41"/>
        </w:trPr>
        <w:tc>
          <w:tcPr>
            <w:tcW w:w="5400" w:type="dxa"/>
            <w:vAlign w:val="bottom"/>
            <w:tcBorders>
              <w:bottom w:val="single" w:sz="8" w:color="DFF1FB"/>
            </w:tcBorders>
          </w:tcPr>
          <w:p>
            <w:pPr>
              <w:spacing w:after="0"/>
              <w:rPr>
                <w:sz w:val="3"/>
                <w:szCs w:val="3"/>
                <w:color w:val="auto"/>
              </w:rPr>
            </w:pPr>
          </w:p>
        </w:tc>
        <w:tc>
          <w:tcPr>
            <w:tcW w:w="3880" w:type="dxa"/>
            <w:vAlign w:val="bottom"/>
            <w:tcBorders>
              <w:bottom w:val="single" w:sz="8" w:color="DFF1FB"/>
            </w:tcBorders>
          </w:tcPr>
          <w:p>
            <w:pPr>
              <w:spacing w:after="0"/>
              <w:rPr>
                <w:sz w:val="3"/>
                <w:szCs w:val="3"/>
                <w:color w:val="auto"/>
              </w:rPr>
            </w:pPr>
          </w:p>
        </w:tc>
        <w:tc>
          <w:tcPr>
            <w:tcW w:w="960" w:type="dxa"/>
            <w:vAlign w:val="bottom"/>
            <w:tcBorders>
              <w:bottom w:val="single" w:sz="8" w:color="DFF1FB"/>
            </w:tcBorders>
          </w:tcPr>
          <w:p>
            <w:pPr>
              <w:spacing w:after="0"/>
              <w:rPr>
                <w:sz w:val="3"/>
                <w:szCs w:val="3"/>
                <w:color w:val="auto"/>
              </w:rPr>
            </w:pPr>
          </w:p>
        </w:tc>
        <w:tc>
          <w:tcPr>
            <w:tcW w:w="900" w:type="dxa"/>
            <w:vAlign w:val="bottom"/>
            <w:tcBorders>
              <w:bottom w:val="single" w:sz="8" w:color="DFF1FB"/>
            </w:tcBorders>
          </w:tcPr>
          <w:p>
            <w:pPr>
              <w:spacing w:after="0"/>
              <w:rPr>
                <w:sz w:val="3"/>
                <w:szCs w:val="3"/>
                <w:color w:val="auto"/>
              </w:rPr>
            </w:pPr>
          </w:p>
        </w:tc>
      </w:tr>
      <w:tr>
        <w:trPr>
          <w:trHeight w:val="195"/>
        </w:trPr>
        <w:tc>
          <w:tcPr>
            <w:tcW w:w="5400" w:type="dxa"/>
            <w:vAlign w:val="bottom"/>
          </w:tcPr>
          <w:p>
            <w:pPr>
              <w:ind w:left="60"/>
              <w:spacing w:after="0"/>
              <w:rPr>
                <w:sz w:val="20"/>
                <w:szCs w:val="20"/>
                <w:color w:val="auto"/>
              </w:rPr>
            </w:pPr>
            <w:r>
              <w:rPr>
                <w:rFonts w:ascii="Arial" w:cs="Arial" w:eastAsia="Arial" w:hAnsi="Arial"/>
                <w:sz w:val="13"/>
                <w:szCs w:val="13"/>
                <w:color w:val="auto"/>
              </w:rPr>
              <w:t>Risk-free rate</w:t>
            </w:r>
          </w:p>
        </w:tc>
        <w:tc>
          <w:tcPr>
            <w:tcW w:w="3880" w:type="dxa"/>
            <w:vAlign w:val="bottom"/>
          </w:tcPr>
          <w:p>
            <w:pPr>
              <w:jc w:val="right"/>
              <w:ind w:right="73"/>
              <w:spacing w:after="0"/>
              <w:rPr>
                <w:sz w:val="20"/>
                <w:szCs w:val="20"/>
                <w:color w:val="auto"/>
              </w:rPr>
            </w:pPr>
            <w:r>
              <w:rPr>
                <w:rFonts w:ascii="Arial" w:cs="Arial" w:eastAsia="Arial" w:hAnsi="Arial"/>
                <w:sz w:val="13"/>
                <w:szCs w:val="13"/>
                <w:color w:val="auto"/>
              </w:rPr>
              <w:t>1.3-3.2%</w:t>
            </w:r>
          </w:p>
        </w:tc>
        <w:tc>
          <w:tcPr>
            <w:tcW w:w="960" w:type="dxa"/>
            <w:vAlign w:val="bottom"/>
          </w:tcPr>
          <w:p>
            <w:pPr>
              <w:jc w:val="right"/>
              <w:ind w:right="73"/>
              <w:spacing w:after="0"/>
              <w:rPr>
                <w:sz w:val="20"/>
                <w:szCs w:val="20"/>
                <w:color w:val="auto"/>
              </w:rPr>
            </w:pPr>
            <w:r>
              <w:rPr>
                <w:rFonts w:ascii="Arial" w:cs="Arial" w:eastAsia="Arial" w:hAnsi="Arial"/>
                <w:sz w:val="13"/>
                <w:szCs w:val="13"/>
                <w:color w:val="auto"/>
              </w:rPr>
              <w:t>0.5-2.5%</w:t>
            </w:r>
          </w:p>
        </w:tc>
        <w:tc>
          <w:tcPr>
            <w:tcW w:w="900" w:type="dxa"/>
            <w:vAlign w:val="bottom"/>
          </w:tcPr>
          <w:p>
            <w:pPr>
              <w:jc w:val="right"/>
              <w:ind w:right="13"/>
              <w:spacing w:after="0"/>
              <w:rPr>
                <w:sz w:val="20"/>
                <w:szCs w:val="20"/>
                <w:color w:val="auto"/>
              </w:rPr>
            </w:pPr>
            <w:r>
              <w:rPr>
                <w:rFonts w:ascii="Arial" w:cs="Arial" w:eastAsia="Arial" w:hAnsi="Arial"/>
                <w:sz w:val="13"/>
                <w:szCs w:val="13"/>
                <w:color w:val="auto"/>
              </w:rPr>
              <w:t>0.2-2.4%</w:t>
            </w:r>
          </w:p>
        </w:tc>
      </w:tr>
      <w:tr>
        <w:trPr>
          <w:trHeight w:val="48"/>
        </w:trPr>
        <w:tc>
          <w:tcPr>
            <w:tcW w:w="5400" w:type="dxa"/>
            <w:vAlign w:val="bottom"/>
            <w:tcBorders>
              <w:bottom w:val="single" w:sz="8" w:color="105FAB"/>
            </w:tcBorders>
          </w:tcPr>
          <w:p>
            <w:pPr>
              <w:spacing w:after="0"/>
              <w:rPr>
                <w:sz w:val="4"/>
                <w:szCs w:val="4"/>
                <w:color w:val="auto"/>
              </w:rPr>
            </w:pPr>
          </w:p>
        </w:tc>
        <w:tc>
          <w:tcPr>
            <w:tcW w:w="3880" w:type="dxa"/>
            <w:vAlign w:val="bottom"/>
            <w:tcBorders>
              <w:bottom w:val="single" w:sz="8" w:color="105FAB"/>
            </w:tcBorders>
          </w:tcPr>
          <w:p>
            <w:pPr>
              <w:spacing w:after="0"/>
              <w:rPr>
                <w:sz w:val="4"/>
                <w:szCs w:val="4"/>
                <w:color w:val="auto"/>
              </w:rPr>
            </w:pPr>
          </w:p>
        </w:tc>
        <w:tc>
          <w:tcPr>
            <w:tcW w:w="960" w:type="dxa"/>
            <w:vAlign w:val="bottom"/>
            <w:tcBorders>
              <w:bottom w:val="single" w:sz="8" w:color="105FAB"/>
            </w:tcBorders>
          </w:tcPr>
          <w:p>
            <w:pPr>
              <w:spacing w:after="0"/>
              <w:rPr>
                <w:sz w:val="4"/>
                <w:szCs w:val="4"/>
                <w:color w:val="auto"/>
              </w:rPr>
            </w:pPr>
          </w:p>
        </w:tc>
        <w:tc>
          <w:tcPr>
            <w:tcW w:w="900" w:type="dxa"/>
            <w:vAlign w:val="bottom"/>
            <w:tcBorders>
              <w:bottom w:val="single" w:sz="8" w:color="105FAB"/>
            </w:tcBorders>
          </w:tcPr>
          <w:p>
            <w:pPr>
              <w:spacing w:after="0"/>
              <w:rPr>
                <w:sz w:val="4"/>
                <w:szCs w:val="4"/>
                <w:color w:val="auto"/>
              </w:rPr>
            </w:pPr>
          </w:p>
        </w:tc>
      </w:tr>
    </w:tbl>
    <w:p>
      <w:pPr>
        <w:spacing w:after="0" w:line="107" w:lineRule="exact"/>
        <w:rPr>
          <w:sz w:val="20"/>
          <w:szCs w:val="20"/>
          <w:color w:val="auto"/>
        </w:rPr>
      </w:pPr>
    </w:p>
    <w:p>
      <w:pPr>
        <w:jc w:val="both"/>
        <w:ind w:left="300"/>
        <w:spacing w:after="0" w:line="238" w:lineRule="auto"/>
        <w:rPr>
          <w:sz w:val="20"/>
          <w:szCs w:val="20"/>
          <w:color w:val="auto"/>
        </w:rPr>
      </w:pPr>
      <w:r>
        <w:rPr>
          <w:rFonts w:ascii="Arial" w:cs="Arial" w:eastAsia="Arial" w:hAnsi="Arial"/>
          <w:sz w:val="13"/>
          <w:szCs w:val="13"/>
          <w:color w:val="auto"/>
        </w:rPr>
        <w:t xml:space="preserve">This amount reflects an accounting expense and does not correspond to actual value that will be realized by the named executives. The number of options granted in 2018 to each named executive is provided in the </w:t>
      </w:r>
      <w:r>
        <w:rPr>
          <w:rFonts w:ascii="Arial" w:cs="Arial" w:eastAsia="Arial" w:hAnsi="Arial"/>
          <w:sz w:val="13"/>
          <w:szCs w:val="13"/>
          <w:i w:val="1"/>
          <w:iCs w:val="1"/>
          <w:color w:val="auto"/>
        </w:rPr>
        <w:t>Grants of Plan-Based Awards</w:t>
      </w:r>
      <w:r>
        <w:rPr>
          <w:rFonts w:ascii="Arial" w:cs="Arial" w:eastAsia="Arial" w:hAnsi="Arial"/>
          <w:sz w:val="13"/>
          <w:szCs w:val="13"/>
          <w:color w:val="auto"/>
        </w:rPr>
        <w:t xml:space="preserve"> table on page 56.</w:t>
      </w:r>
    </w:p>
    <w:p>
      <w:pPr>
        <w:jc w:val="both"/>
        <w:ind w:left="300" w:right="360" w:hanging="292"/>
        <w:spacing w:after="0" w:line="248" w:lineRule="auto"/>
        <w:tabs>
          <w:tab w:leader="none" w:pos="300" w:val="left"/>
        </w:tabs>
        <w:numPr>
          <w:ilvl w:val="0"/>
          <w:numId w:val="187"/>
        </w:numPr>
        <w:rPr>
          <w:rFonts w:ascii="Arial" w:cs="Arial" w:eastAsia="Arial" w:hAnsi="Arial"/>
          <w:sz w:val="11"/>
          <w:szCs w:val="11"/>
          <w:color w:val="auto"/>
        </w:rPr>
      </w:pPr>
      <w:r>
        <w:rPr>
          <w:rFonts w:ascii="Arial" w:cs="Arial" w:eastAsia="Arial" w:hAnsi="Arial"/>
          <w:sz w:val="13"/>
          <w:szCs w:val="13"/>
          <w:color w:val="auto"/>
        </w:rPr>
        <w:t xml:space="preserve">Amounts reflect the aggregate increase in actuarial value of the pension benefits as set forth in the </w:t>
      </w:r>
      <w:r>
        <w:rPr>
          <w:rFonts w:ascii="Arial" w:cs="Arial" w:eastAsia="Arial" w:hAnsi="Arial"/>
          <w:sz w:val="13"/>
          <w:szCs w:val="13"/>
          <w:i w:val="1"/>
          <w:iCs w:val="1"/>
          <w:color w:val="auto"/>
        </w:rPr>
        <w:t>Pension Benefits</w:t>
      </w:r>
      <w:r>
        <w:rPr>
          <w:rFonts w:ascii="Arial" w:cs="Arial" w:eastAsia="Arial" w:hAnsi="Arial"/>
          <w:sz w:val="13"/>
          <w:szCs w:val="13"/>
          <w:color w:val="auto"/>
        </w:rPr>
        <w:t xml:space="preserve"> table, accrued during 2018, 2017, and 2016. These are benefits under the Allstate Retirement Plan (ARP) and the Supplemental Retirement Income Plan (SRIP). Non-qualified deferred compensation earnings are not reflected since our Deferred Compensation Plan does not provide above-market earnings. The pension plan measurement date is December 31. (See note 17 to our audited financial statements for 2018.)</w:t>
      </w:r>
    </w:p>
    <w:p>
      <w:pPr>
        <w:spacing w:after="0" w:line="197" w:lineRule="exact"/>
        <w:rPr>
          <w:rFonts w:ascii="Arial" w:cs="Arial" w:eastAsia="Arial" w:hAnsi="Arial"/>
          <w:sz w:val="11"/>
          <w:szCs w:val="11"/>
          <w:color w:val="auto"/>
        </w:rPr>
      </w:pPr>
    </w:p>
    <w:p>
      <w:pPr>
        <w:ind w:left="300"/>
        <w:spacing w:after="0"/>
        <w:rPr>
          <w:rFonts w:ascii="Arial" w:cs="Arial" w:eastAsia="Arial" w:hAnsi="Arial"/>
          <w:sz w:val="11"/>
          <w:szCs w:val="11"/>
          <w:color w:val="auto"/>
        </w:rPr>
      </w:pPr>
      <w:r>
        <w:rPr>
          <w:rFonts w:ascii="Arial" w:cs="Arial" w:eastAsia="Arial" w:hAnsi="Arial"/>
          <w:sz w:val="13"/>
          <w:szCs w:val="13"/>
          <w:color w:val="auto"/>
        </w:rPr>
        <w:t>The following table reflects the respective change in the actuarial value of the benefits provided to the named executives in 2018:</w:t>
      </w:r>
    </w:p>
    <w:p>
      <w:pPr>
        <w:spacing w:after="0" w:line="117" w:lineRule="exact"/>
        <w:rPr>
          <w:sz w:val="20"/>
          <w:szCs w:val="20"/>
          <w:color w:val="auto"/>
        </w:rPr>
      </w:pPr>
    </w:p>
    <w:tbl>
      <w:tblPr>
        <w:tblLayout w:type="fixed"/>
        <w:tblInd w:w="280" w:type="dxa"/>
        <w:tblCellMar>
          <w:top w:w="0" w:type="dxa"/>
          <w:left w:w="0" w:type="dxa"/>
          <w:bottom w:w="0" w:type="dxa"/>
          <w:right w:w="0" w:type="dxa"/>
        </w:tblCellMar>
      </w:tblPr>
      <w:tr>
        <w:trPr>
          <w:trHeight w:val="149"/>
        </w:trPr>
        <w:tc>
          <w:tcPr>
            <w:tcW w:w="5340" w:type="dxa"/>
            <w:vAlign w:val="bottom"/>
          </w:tcPr>
          <w:p>
            <w:pPr>
              <w:spacing w:after="0"/>
              <w:rPr>
                <w:sz w:val="13"/>
                <w:szCs w:val="13"/>
                <w:color w:val="auto"/>
              </w:rPr>
            </w:pPr>
          </w:p>
        </w:tc>
        <w:tc>
          <w:tcPr>
            <w:tcW w:w="5080" w:type="dxa"/>
            <w:vAlign w:val="bottom"/>
          </w:tcPr>
          <w:p>
            <w:pPr>
              <w:jc w:val="right"/>
              <w:ind w:right="153"/>
              <w:spacing w:after="0"/>
              <w:rPr>
                <w:sz w:val="20"/>
                <w:szCs w:val="20"/>
                <w:color w:val="auto"/>
              </w:rPr>
            </w:pPr>
            <w:r>
              <w:rPr>
                <w:rFonts w:ascii="Arial" w:cs="Arial" w:eastAsia="Arial" w:hAnsi="Arial"/>
                <w:sz w:val="13"/>
                <w:szCs w:val="13"/>
                <w:b w:val="1"/>
                <w:bCs w:val="1"/>
                <w:color w:val="105FAB"/>
              </w:rPr>
              <w:t>ARP</w:t>
            </w:r>
          </w:p>
        </w:tc>
        <w:tc>
          <w:tcPr>
            <w:tcW w:w="720" w:type="dxa"/>
            <w:vAlign w:val="bottom"/>
          </w:tcPr>
          <w:p>
            <w:pPr>
              <w:jc w:val="right"/>
              <w:ind w:right="13"/>
              <w:spacing w:after="0"/>
              <w:rPr>
                <w:sz w:val="20"/>
                <w:szCs w:val="20"/>
                <w:color w:val="auto"/>
              </w:rPr>
            </w:pPr>
            <w:r>
              <w:rPr>
                <w:rFonts w:ascii="Arial" w:cs="Arial" w:eastAsia="Arial" w:hAnsi="Arial"/>
                <w:sz w:val="13"/>
                <w:szCs w:val="13"/>
                <w:b w:val="1"/>
                <w:bCs w:val="1"/>
                <w:color w:val="105FAB"/>
              </w:rPr>
              <w:t>SRIP</w:t>
            </w:r>
          </w:p>
        </w:tc>
      </w:tr>
      <w:tr>
        <w:trPr>
          <w:trHeight w:val="199"/>
        </w:trPr>
        <w:tc>
          <w:tcPr>
            <w:tcW w:w="5340" w:type="dxa"/>
            <w:vAlign w:val="bottom"/>
            <w:tcBorders>
              <w:bottom w:val="single" w:sz="8" w:color="105FAB"/>
            </w:tcBorders>
          </w:tcPr>
          <w:p>
            <w:pPr>
              <w:ind w:left="60"/>
              <w:spacing w:after="0"/>
              <w:rPr>
                <w:sz w:val="20"/>
                <w:szCs w:val="20"/>
                <w:color w:val="auto"/>
              </w:rPr>
            </w:pPr>
            <w:r>
              <w:rPr>
                <w:rFonts w:ascii="Arial" w:cs="Arial" w:eastAsia="Arial" w:hAnsi="Arial"/>
                <w:sz w:val="13"/>
                <w:szCs w:val="13"/>
                <w:b w:val="1"/>
                <w:bCs w:val="1"/>
                <w:color w:val="105FAB"/>
              </w:rPr>
              <w:t>Name</w:t>
            </w:r>
          </w:p>
        </w:tc>
        <w:tc>
          <w:tcPr>
            <w:tcW w:w="5080" w:type="dxa"/>
            <w:vAlign w:val="bottom"/>
            <w:tcBorders>
              <w:bottom w:val="single" w:sz="8" w:color="105FAB"/>
            </w:tcBorders>
          </w:tcPr>
          <w:p>
            <w:pPr>
              <w:jc w:val="right"/>
              <w:ind w:right="153"/>
              <w:spacing w:after="0"/>
              <w:rPr>
                <w:sz w:val="20"/>
                <w:szCs w:val="20"/>
                <w:color w:val="auto"/>
              </w:rPr>
            </w:pPr>
            <w:r>
              <w:rPr>
                <w:rFonts w:ascii="Arial" w:cs="Arial" w:eastAsia="Arial" w:hAnsi="Arial"/>
                <w:sz w:val="13"/>
                <w:szCs w:val="13"/>
                <w:b w:val="1"/>
                <w:bCs w:val="1"/>
                <w:color w:val="105FAB"/>
              </w:rPr>
              <w:t>($)</w:t>
            </w:r>
          </w:p>
        </w:tc>
        <w:tc>
          <w:tcPr>
            <w:tcW w:w="720" w:type="dxa"/>
            <w:vAlign w:val="bottom"/>
            <w:tcBorders>
              <w:bottom w:val="single" w:sz="8" w:color="105FAB"/>
            </w:tcBorders>
          </w:tcPr>
          <w:p>
            <w:pPr>
              <w:jc w:val="right"/>
              <w:ind w:right="13"/>
              <w:spacing w:after="0"/>
              <w:rPr>
                <w:sz w:val="20"/>
                <w:szCs w:val="20"/>
                <w:color w:val="auto"/>
              </w:rPr>
            </w:pPr>
            <w:r>
              <w:rPr>
                <w:rFonts w:ascii="Arial" w:cs="Arial" w:eastAsia="Arial" w:hAnsi="Arial"/>
                <w:sz w:val="13"/>
                <w:szCs w:val="13"/>
                <w:b w:val="1"/>
                <w:bCs w:val="1"/>
                <w:color w:val="105FAB"/>
              </w:rPr>
              <w:t>($)</w:t>
            </w:r>
          </w:p>
        </w:tc>
      </w:tr>
      <w:tr>
        <w:trPr>
          <w:trHeight w:val="202"/>
        </w:trPr>
        <w:tc>
          <w:tcPr>
            <w:tcW w:w="5340" w:type="dxa"/>
            <w:vAlign w:val="bottom"/>
          </w:tcPr>
          <w:p>
            <w:pPr>
              <w:ind w:left="60"/>
              <w:spacing w:after="0"/>
              <w:rPr>
                <w:sz w:val="20"/>
                <w:szCs w:val="20"/>
                <w:color w:val="auto"/>
              </w:rPr>
            </w:pPr>
            <w:r>
              <w:rPr>
                <w:rFonts w:ascii="Arial" w:cs="Arial" w:eastAsia="Arial" w:hAnsi="Arial"/>
                <w:sz w:val="13"/>
                <w:szCs w:val="13"/>
                <w:b w:val="1"/>
                <w:bCs w:val="1"/>
                <w:color w:val="105FAB"/>
              </w:rPr>
              <w:t>Mr. Wilson</w:t>
            </w:r>
          </w:p>
        </w:tc>
        <w:tc>
          <w:tcPr>
            <w:tcW w:w="5080" w:type="dxa"/>
            <w:vAlign w:val="bottom"/>
          </w:tcPr>
          <w:p>
            <w:pPr>
              <w:jc w:val="right"/>
              <w:ind w:right="153"/>
              <w:spacing w:after="0"/>
              <w:rPr>
                <w:sz w:val="20"/>
                <w:szCs w:val="20"/>
                <w:color w:val="auto"/>
              </w:rPr>
            </w:pPr>
            <w:r>
              <w:rPr>
                <w:rFonts w:ascii="Arial" w:cs="Arial" w:eastAsia="Arial" w:hAnsi="Arial"/>
                <w:sz w:val="13"/>
                <w:szCs w:val="13"/>
                <w:color w:val="auto"/>
              </w:rPr>
              <w:t>26,769</w:t>
            </w:r>
          </w:p>
        </w:tc>
        <w:tc>
          <w:tcPr>
            <w:tcW w:w="720" w:type="dxa"/>
            <w:vAlign w:val="bottom"/>
          </w:tcPr>
          <w:p>
            <w:pPr>
              <w:jc w:val="right"/>
              <w:ind w:right="13"/>
              <w:spacing w:after="0"/>
              <w:rPr>
                <w:sz w:val="20"/>
                <w:szCs w:val="20"/>
                <w:color w:val="auto"/>
              </w:rPr>
            </w:pPr>
            <w:r>
              <w:rPr>
                <w:rFonts w:ascii="Arial" w:cs="Arial" w:eastAsia="Arial" w:hAnsi="Arial"/>
                <w:sz w:val="13"/>
                <w:szCs w:val="13"/>
                <w:color w:val="auto"/>
              </w:rPr>
              <w:t>846,401</w:t>
            </w:r>
          </w:p>
        </w:tc>
      </w:tr>
      <w:tr>
        <w:trPr>
          <w:trHeight w:val="41"/>
        </w:trPr>
        <w:tc>
          <w:tcPr>
            <w:tcW w:w="5340" w:type="dxa"/>
            <w:vAlign w:val="bottom"/>
            <w:tcBorders>
              <w:bottom w:val="single" w:sz="8" w:color="DFF1FB"/>
            </w:tcBorders>
          </w:tcPr>
          <w:p>
            <w:pPr>
              <w:spacing w:after="0"/>
              <w:rPr>
                <w:sz w:val="3"/>
                <w:szCs w:val="3"/>
                <w:color w:val="auto"/>
              </w:rPr>
            </w:pPr>
          </w:p>
        </w:tc>
        <w:tc>
          <w:tcPr>
            <w:tcW w:w="5080" w:type="dxa"/>
            <w:vAlign w:val="bottom"/>
            <w:tcBorders>
              <w:bottom w:val="single" w:sz="8" w:color="DFF1FB"/>
            </w:tcBorders>
          </w:tcPr>
          <w:p>
            <w:pPr>
              <w:spacing w:after="0"/>
              <w:rPr>
                <w:sz w:val="3"/>
                <w:szCs w:val="3"/>
                <w:color w:val="auto"/>
              </w:rPr>
            </w:pPr>
          </w:p>
        </w:tc>
        <w:tc>
          <w:tcPr>
            <w:tcW w:w="720" w:type="dxa"/>
            <w:vAlign w:val="bottom"/>
            <w:tcBorders>
              <w:bottom w:val="single" w:sz="8" w:color="DFF1FB"/>
            </w:tcBorders>
          </w:tcPr>
          <w:p>
            <w:pPr>
              <w:spacing w:after="0"/>
              <w:rPr>
                <w:sz w:val="3"/>
                <w:szCs w:val="3"/>
                <w:color w:val="auto"/>
              </w:rPr>
            </w:pPr>
          </w:p>
        </w:tc>
      </w:tr>
      <w:tr>
        <w:trPr>
          <w:trHeight w:val="195"/>
        </w:trPr>
        <w:tc>
          <w:tcPr>
            <w:tcW w:w="5340" w:type="dxa"/>
            <w:vAlign w:val="bottom"/>
          </w:tcPr>
          <w:p>
            <w:pPr>
              <w:ind w:left="60"/>
              <w:spacing w:after="0"/>
              <w:rPr>
                <w:sz w:val="20"/>
                <w:szCs w:val="20"/>
                <w:color w:val="auto"/>
              </w:rPr>
            </w:pPr>
            <w:r>
              <w:rPr>
                <w:rFonts w:ascii="Arial" w:cs="Arial" w:eastAsia="Arial" w:hAnsi="Arial"/>
                <w:sz w:val="13"/>
                <w:szCs w:val="13"/>
                <w:b w:val="1"/>
                <w:bCs w:val="1"/>
                <w:color w:val="105FAB"/>
              </w:rPr>
              <w:t>Mr. Rizzo</w:t>
            </w:r>
          </w:p>
        </w:tc>
        <w:tc>
          <w:tcPr>
            <w:tcW w:w="5080" w:type="dxa"/>
            <w:vAlign w:val="bottom"/>
          </w:tcPr>
          <w:p>
            <w:pPr>
              <w:jc w:val="right"/>
              <w:ind w:right="113"/>
              <w:spacing w:after="0"/>
              <w:rPr>
                <w:sz w:val="20"/>
                <w:szCs w:val="20"/>
                <w:color w:val="auto"/>
              </w:rPr>
            </w:pPr>
            <w:r>
              <w:rPr>
                <w:rFonts w:ascii="Arial" w:cs="Arial" w:eastAsia="Arial" w:hAnsi="Arial"/>
                <w:sz w:val="13"/>
                <w:szCs w:val="13"/>
                <w:color w:val="auto"/>
              </w:rPr>
              <w:t>(34,216)</w:t>
            </w:r>
          </w:p>
        </w:tc>
        <w:tc>
          <w:tcPr>
            <w:tcW w:w="720" w:type="dxa"/>
            <w:vAlign w:val="bottom"/>
          </w:tcPr>
          <w:p>
            <w:pPr>
              <w:jc w:val="right"/>
              <w:ind w:right="13"/>
              <w:spacing w:after="0"/>
              <w:rPr>
                <w:sz w:val="20"/>
                <w:szCs w:val="20"/>
                <w:color w:val="auto"/>
              </w:rPr>
            </w:pPr>
            <w:r>
              <w:rPr>
                <w:rFonts w:ascii="Arial" w:cs="Arial" w:eastAsia="Arial" w:hAnsi="Arial"/>
                <w:sz w:val="13"/>
                <w:szCs w:val="13"/>
                <w:color w:val="auto"/>
              </w:rPr>
              <w:t>17,743</w:t>
            </w:r>
          </w:p>
        </w:tc>
      </w:tr>
      <w:tr>
        <w:trPr>
          <w:trHeight w:val="41"/>
        </w:trPr>
        <w:tc>
          <w:tcPr>
            <w:tcW w:w="5340" w:type="dxa"/>
            <w:vAlign w:val="bottom"/>
            <w:tcBorders>
              <w:bottom w:val="single" w:sz="8" w:color="DFF1FB"/>
            </w:tcBorders>
          </w:tcPr>
          <w:p>
            <w:pPr>
              <w:spacing w:after="0"/>
              <w:rPr>
                <w:sz w:val="3"/>
                <w:szCs w:val="3"/>
                <w:color w:val="auto"/>
              </w:rPr>
            </w:pPr>
          </w:p>
        </w:tc>
        <w:tc>
          <w:tcPr>
            <w:tcW w:w="5080" w:type="dxa"/>
            <w:vAlign w:val="bottom"/>
            <w:tcBorders>
              <w:bottom w:val="single" w:sz="8" w:color="DFF1FB"/>
            </w:tcBorders>
          </w:tcPr>
          <w:p>
            <w:pPr>
              <w:spacing w:after="0"/>
              <w:rPr>
                <w:sz w:val="3"/>
                <w:szCs w:val="3"/>
                <w:color w:val="auto"/>
              </w:rPr>
            </w:pPr>
          </w:p>
        </w:tc>
        <w:tc>
          <w:tcPr>
            <w:tcW w:w="720" w:type="dxa"/>
            <w:vAlign w:val="bottom"/>
            <w:tcBorders>
              <w:bottom w:val="single" w:sz="8" w:color="DFF1FB"/>
            </w:tcBorders>
          </w:tcPr>
          <w:p>
            <w:pPr>
              <w:spacing w:after="0"/>
              <w:rPr>
                <w:sz w:val="3"/>
                <w:szCs w:val="3"/>
                <w:color w:val="auto"/>
              </w:rPr>
            </w:pPr>
          </w:p>
        </w:tc>
      </w:tr>
      <w:tr>
        <w:trPr>
          <w:trHeight w:val="195"/>
        </w:trPr>
        <w:tc>
          <w:tcPr>
            <w:tcW w:w="5340" w:type="dxa"/>
            <w:vAlign w:val="bottom"/>
          </w:tcPr>
          <w:p>
            <w:pPr>
              <w:ind w:left="60"/>
              <w:spacing w:after="0"/>
              <w:rPr>
                <w:sz w:val="20"/>
                <w:szCs w:val="20"/>
                <w:color w:val="auto"/>
              </w:rPr>
            </w:pPr>
            <w:r>
              <w:rPr>
                <w:rFonts w:ascii="Arial" w:cs="Arial" w:eastAsia="Arial" w:hAnsi="Arial"/>
                <w:sz w:val="13"/>
                <w:szCs w:val="13"/>
                <w:b w:val="1"/>
                <w:bCs w:val="1"/>
                <w:color w:val="105FAB"/>
              </w:rPr>
              <w:t>Mr. Dugenske</w:t>
            </w:r>
          </w:p>
        </w:tc>
        <w:tc>
          <w:tcPr>
            <w:tcW w:w="5080" w:type="dxa"/>
            <w:vAlign w:val="bottom"/>
          </w:tcPr>
          <w:p>
            <w:pPr>
              <w:jc w:val="right"/>
              <w:ind w:right="153"/>
              <w:spacing w:after="0"/>
              <w:rPr>
                <w:sz w:val="20"/>
                <w:szCs w:val="20"/>
                <w:color w:val="auto"/>
              </w:rPr>
            </w:pPr>
            <w:r>
              <w:rPr>
                <w:rFonts w:ascii="Arial" w:cs="Arial" w:eastAsia="Arial" w:hAnsi="Arial"/>
                <w:sz w:val="13"/>
                <w:szCs w:val="13"/>
                <w:color w:val="auto"/>
              </w:rPr>
              <w:t>7,917</w:t>
            </w:r>
          </w:p>
        </w:tc>
        <w:tc>
          <w:tcPr>
            <w:tcW w:w="720" w:type="dxa"/>
            <w:vAlign w:val="bottom"/>
          </w:tcPr>
          <w:p>
            <w:pPr>
              <w:jc w:val="right"/>
              <w:ind w:right="13"/>
              <w:spacing w:after="0"/>
              <w:rPr>
                <w:sz w:val="20"/>
                <w:szCs w:val="20"/>
                <w:color w:val="auto"/>
              </w:rPr>
            </w:pPr>
            <w:r>
              <w:rPr>
                <w:rFonts w:ascii="Arial" w:cs="Arial" w:eastAsia="Arial" w:hAnsi="Arial"/>
                <w:sz w:val="13"/>
                <w:szCs w:val="13"/>
                <w:color w:val="auto"/>
              </w:rPr>
              <w:t>70,089</w:t>
            </w:r>
          </w:p>
        </w:tc>
      </w:tr>
      <w:tr>
        <w:trPr>
          <w:trHeight w:val="41"/>
        </w:trPr>
        <w:tc>
          <w:tcPr>
            <w:tcW w:w="5340" w:type="dxa"/>
            <w:vAlign w:val="bottom"/>
            <w:tcBorders>
              <w:bottom w:val="single" w:sz="8" w:color="DFF1FB"/>
            </w:tcBorders>
          </w:tcPr>
          <w:p>
            <w:pPr>
              <w:spacing w:after="0"/>
              <w:rPr>
                <w:sz w:val="3"/>
                <w:szCs w:val="3"/>
                <w:color w:val="auto"/>
              </w:rPr>
            </w:pPr>
          </w:p>
        </w:tc>
        <w:tc>
          <w:tcPr>
            <w:tcW w:w="5080" w:type="dxa"/>
            <w:vAlign w:val="bottom"/>
            <w:tcBorders>
              <w:bottom w:val="single" w:sz="8" w:color="DFF1FB"/>
            </w:tcBorders>
          </w:tcPr>
          <w:p>
            <w:pPr>
              <w:spacing w:after="0"/>
              <w:rPr>
                <w:sz w:val="3"/>
                <w:szCs w:val="3"/>
                <w:color w:val="auto"/>
              </w:rPr>
            </w:pPr>
          </w:p>
        </w:tc>
        <w:tc>
          <w:tcPr>
            <w:tcW w:w="720" w:type="dxa"/>
            <w:vAlign w:val="bottom"/>
            <w:tcBorders>
              <w:bottom w:val="single" w:sz="8" w:color="DFF1FB"/>
            </w:tcBorders>
          </w:tcPr>
          <w:p>
            <w:pPr>
              <w:spacing w:after="0"/>
              <w:rPr>
                <w:sz w:val="3"/>
                <w:szCs w:val="3"/>
                <w:color w:val="auto"/>
              </w:rPr>
            </w:pPr>
          </w:p>
        </w:tc>
      </w:tr>
      <w:tr>
        <w:trPr>
          <w:trHeight w:val="195"/>
        </w:trPr>
        <w:tc>
          <w:tcPr>
            <w:tcW w:w="5340" w:type="dxa"/>
            <w:vAlign w:val="bottom"/>
          </w:tcPr>
          <w:p>
            <w:pPr>
              <w:ind w:left="60"/>
              <w:spacing w:after="0"/>
              <w:rPr>
                <w:sz w:val="20"/>
                <w:szCs w:val="20"/>
                <w:color w:val="auto"/>
              </w:rPr>
            </w:pPr>
            <w:r>
              <w:rPr>
                <w:rFonts w:ascii="Arial" w:cs="Arial" w:eastAsia="Arial" w:hAnsi="Arial"/>
                <w:sz w:val="13"/>
                <w:szCs w:val="13"/>
                <w:b w:val="1"/>
                <w:bCs w:val="1"/>
                <w:color w:val="105FAB"/>
              </w:rPr>
              <w:t>Mr. Shapiro</w:t>
            </w:r>
          </w:p>
        </w:tc>
        <w:tc>
          <w:tcPr>
            <w:tcW w:w="5080" w:type="dxa"/>
            <w:vAlign w:val="bottom"/>
          </w:tcPr>
          <w:p>
            <w:pPr>
              <w:jc w:val="right"/>
              <w:ind w:right="153"/>
              <w:spacing w:after="0"/>
              <w:rPr>
                <w:sz w:val="20"/>
                <w:szCs w:val="20"/>
                <w:color w:val="auto"/>
              </w:rPr>
            </w:pPr>
            <w:r>
              <w:rPr>
                <w:rFonts w:ascii="Arial" w:cs="Arial" w:eastAsia="Arial" w:hAnsi="Arial"/>
                <w:sz w:val="13"/>
                <w:szCs w:val="13"/>
                <w:color w:val="auto"/>
              </w:rPr>
              <w:t>7,182</w:t>
            </w:r>
          </w:p>
        </w:tc>
        <w:tc>
          <w:tcPr>
            <w:tcW w:w="720" w:type="dxa"/>
            <w:vAlign w:val="bottom"/>
          </w:tcPr>
          <w:p>
            <w:pPr>
              <w:jc w:val="right"/>
              <w:ind w:right="13"/>
              <w:spacing w:after="0"/>
              <w:rPr>
                <w:sz w:val="20"/>
                <w:szCs w:val="20"/>
                <w:color w:val="auto"/>
              </w:rPr>
            </w:pPr>
            <w:r>
              <w:rPr>
                <w:rFonts w:ascii="Arial" w:cs="Arial" w:eastAsia="Arial" w:hAnsi="Arial"/>
                <w:sz w:val="13"/>
                <w:szCs w:val="13"/>
                <w:color w:val="auto"/>
              </w:rPr>
              <w:t>39,382</w:t>
            </w:r>
          </w:p>
        </w:tc>
      </w:tr>
      <w:tr>
        <w:trPr>
          <w:trHeight w:val="41"/>
        </w:trPr>
        <w:tc>
          <w:tcPr>
            <w:tcW w:w="5340" w:type="dxa"/>
            <w:vAlign w:val="bottom"/>
            <w:tcBorders>
              <w:bottom w:val="single" w:sz="8" w:color="DFF1FB"/>
            </w:tcBorders>
          </w:tcPr>
          <w:p>
            <w:pPr>
              <w:spacing w:after="0"/>
              <w:rPr>
                <w:sz w:val="3"/>
                <w:szCs w:val="3"/>
                <w:color w:val="auto"/>
              </w:rPr>
            </w:pPr>
          </w:p>
        </w:tc>
        <w:tc>
          <w:tcPr>
            <w:tcW w:w="5080" w:type="dxa"/>
            <w:vAlign w:val="bottom"/>
            <w:tcBorders>
              <w:bottom w:val="single" w:sz="8" w:color="DFF1FB"/>
            </w:tcBorders>
          </w:tcPr>
          <w:p>
            <w:pPr>
              <w:spacing w:after="0"/>
              <w:rPr>
                <w:sz w:val="3"/>
                <w:szCs w:val="3"/>
                <w:color w:val="auto"/>
              </w:rPr>
            </w:pPr>
          </w:p>
        </w:tc>
        <w:tc>
          <w:tcPr>
            <w:tcW w:w="720" w:type="dxa"/>
            <w:vAlign w:val="bottom"/>
            <w:tcBorders>
              <w:bottom w:val="single" w:sz="8" w:color="DFF1FB"/>
            </w:tcBorders>
          </w:tcPr>
          <w:p>
            <w:pPr>
              <w:spacing w:after="0"/>
              <w:rPr>
                <w:sz w:val="3"/>
                <w:szCs w:val="3"/>
                <w:color w:val="auto"/>
              </w:rPr>
            </w:pPr>
          </w:p>
        </w:tc>
      </w:tr>
      <w:tr>
        <w:trPr>
          <w:trHeight w:val="195"/>
        </w:trPr>
        <w:tc>
          <w:tcPr>
            <w:tcW w:w="5340" w:type="dxa"/>
            <w:vAlign w:val="bottom"/>
          </w:tcPr>
          <w:p>
            <w:pPr>
              <w:ind w:left="60"/>
              <w:spacing w:after="0"/>
              <w:rPr>
                <w:sz w:val="20"/>
                <w:szCs w:val="20"/>
                <w:color w:val="auto"/>
              </w:rPr>
            </w:pPr>
            <w:r>
              <w:rPr>
                <w:rFonts w:ascii="Arial" w:cs="Arial" w:eastAsia="Arial" w:hAnsi="Arial"/>
                <w:sz w:val="13"/>
                <w:szCs w:val="13"/>
                <w:b w:val="1"/>
                <w:bCs w:val="1"/>
                <w:color w:val="105FAB"/>
              </w:rPr>
              <w:t>Mr. Shebik</w:t>
            </w:r>
          </w:p>
        </w:tc>
        <w:tc>
          <w:tcPr>
            <w:tcW w:w="5080" w:type="dxa"/>
            <w:vAlign w:val="bottom"/>
          </w:tcPr>
          <w:p>
            <w:pPr>
              <w:jc w:val="right"/>
              <w:ind w:right="153"/>
              <w:spacing w:after="0"/>
              <w:rPr>
                <w:sz w:val="20"/>
                <w:szCs w:val="20"/>
                <w:color w:val="auto"/>
              </w:rPr>
            </w:pPr>
            <w:r>
              <w:rPr>
                <w:rFonts w:ascii="Arial" w:cs="Arial" w:eastAsia="Arial" w:hAnsi="Arial"/>
                <w:sz w:val="13"/>
                <w:szCs w:val="13"/>
                <w:color w:val="auto"/>
              </w:rPr>
              <w:t>42,161</w:t>
            </w:r>
          </w:p>
        </w:tc>
        <w:tc>
          <w:tcPr>
            <w:tcW w:w="720" w:type="dxa"/>
            <w:vAlign w:val="bottom"/>
          </w:tcPr>
          <w:p>
            <w:pPr>
              <w:jc w:val="right"/>
              <w:ind w:right="13"/>
              <w:spacing w:after="0"/>
              <w:rPr>
                <w:sz w:val="20"/>
                <w:szCs w:val="20"/>
                <w:color w:val="auto"/>
              </w:rPr>
            </w:pPr>
            <w:r>
              <w:rPr>
                <w:rFonts w:ascii="Arial" w:cs="Arial" w:eastAsia="Arial" w:hAnsi="Arial"/>
                <w:sz w:val="13"/>
                <w:szCs w:val="13"/>
                <w:color w:val="auto"/>
              </w:rPr>
              <w:t>309,158</w:t>
            </w:r>
          </w:p>
        </w:tc>
      </w:tr>
      <w:tr>
        <w:trPr>
          <w:trHeight w:val="48"/>
        </w:trPr>
        <w:tc>
          <w:tcPr>
            <w:tcW w:w="5340" w:type="dxa"/>
            <w:vAlign w:val="bottom"/>
            <w:tcBorders>
              <w:bottom w:val="single" w:sz="8" w:color="105FAB"/>
            </w:tcBorders>
          </w:tcPr>
          <w:p>
            <w:pPr>
              <w:spacing w:after="0"/>
              <w:rPr>
                <w:sz w:val="4"/>
                <w:szCs w:val="4"/>
                <w:color w:val="auto"/>
              </w:rPr>
            </w:pPr>
          </w:p>
        </w:tc>
        <w:tc>
          <w:tcPr>
            <w:tcW w:w="5080" w:type="dxa"/>
            <w:vAlign w:val="bottom"/>
            <w:tcBorders>
              <w:bottom w:val="single" w:sz="8" w:color="105FAB"/>
            </w:tcBorders>
          </w:tcPr>
          <w:p>
            <w:pPr>
              <w:spacing w:after="0"/>
              <w:rPr>
                <w:sz w:val="4"/>
                <w:szCs w:val="4"/>
                <w:color w:val="auto"/>
              </w:rPr>
            </w:pPr>
          </w:p>
        </w:tc>
        <w:tc>
          <w:tcPr>
            <w:tcW w:w="720" w:type="dxa"/>
            <w:vAlign w:val="bottom"/>
            <w:tcBorders>
              <w:bottom w:val="single" w:sz="8" w:color="105FAB"/>
            </w:tcBorders>
          </w:tcPr>
          <w:p>
            <w:pPr>
              <w:spacing w:after="0"/>
              <w:rPr>
                <w:sz w:val="4"/>
                <w:szCs w:val="4"/>
                <w:color w:val="auto"/>
              </w:rPr>
            </w:pPr>
          </w:p>
        </w:tc>
      </w:tr>
    </w:tbl>
    <w:p>
      <w:pPr>
        <w:spacing w:after="0" w:line="107" w:lineRule="exact"/>
        <w:rPr>
          <w:sz w:val="20"/>
          <w:szCs w:val="20"/>
          <w:color w:val="auto"/>
        </w:rPr>
      </w:pPr>
    </w:p>
    <w:p>
      <w:pPr>
        <w:jc w:val="both"/>
        <w:ind w:left="280" w:right="20"/>
        <w:spacing w:after="0" w:line="248" w:lineRule="auto"/>
        <w:rPr>
          <w:sz w:val="20"/>
          <w:szCs w:val="20"/>
          <w:color w:val="auto"/>
        </w:rPr>
      </w:pPr>
      <w:r>
        <w:rPr>
          <w:rFonts w:ascii="Arial" w:cs="Arial" w:eastAsia="Arial" w:hAnsi="Arial"/>
          <w:sz w:val="13"/>
          <w:szCs w:val="13"/>
          <w:color w:val="auto"/>
        </w:rPr>
        <w:t>Interest rates and other assumptions can have a significant impact on the change in pension value from one year to another. Effective January 1, 2014, Allstate modified its pension plans so that all eligible employees earn future pension benefits under a new cash balance formula. Had these pension benefit changes not been made, the change in actuarial value of benefits provided for each named executive in 2018 would have been as indicated in the following table under the prior formula:</w:t>
      </w:r>
    </w:p>
    <w:p>
      <w:pPr>
        <w:spacing w:after="0" w:line="100" w:lineRule="exact"/>
        <w:rPr>
          <w:sz w:val="20"/>
          <w:szCs w:val="20"/>
          <w:color w:val="auto"/>
        </w:rPr>
      </w:pPr>
    </w:p>
    <w:tbl>
      <w:tblPr>
        <w:tblLayout w:type="fixed"/>
        <w:tblInd w:w="280" w:type="dxa"/>
        <w:tblCellMar>
          <w:top w:w="0" w:type="dxa"/>
          <w:left w:w="0" w:type="dxa"/>
          <w:bottom w:w="0" w:type="dxa"/>
          <w:right w:w="0" w:type="dxa"/>
        </w:tblCellMar>
      </w:tblPr>
      <w:tr>
        <w:trPr>
          <w:trHeight w:val="149"/>
        </w:trPr>
        <w:tc>
          <w:tcPr>
            <w:tcW w:w="5280" w:type="dxa"/>
            <w:vAlign w:val="bottom"/>
          </w:tcPr>
          <w:p>
            <w:pPr>
              <w:spacing w:after="0"/>
              <w:rPr>
                <w:sz w:val="12"/>
                <w:szCs w:val="12"/>
                <w:color w:val="auto"/>
              </w:rPr>
            </w:pPr>
          </w:p>
        </w:tc>
        <w:tc>
          <w:tcPr>
            <w:tcW w:w="5020" w:type="dxa"/>
            <w:vAlign w:val="bottom"/>
          </w:tcPr>
          <w:p>
            <w:pPr>
              <w:jc w:val="right"/>
              <w:ind w:right="153"/>
              <w:spacing w:after="0"/>
              <w:rPr>
                <w:sz w:val="20"/>
                <w:szCs w:val="20"/>
                <w:color w:val="auto"/>
              </w:rPr>
            </w:pPr>
            <w:r>
              <w:rPr>
                <w:rFonts w:ascii="Arial" w:cs="Arial" w:eastAsia="Arial" w:hAnsi="Arial"/>
                <w:sz w:val="13"/>
                <w:szCs w:val="13"/>
                <w:b w:val="1"/>
                <w:bCs w:val="1"/>
                <w:color w:val="105FAB"/>
              </w:rPr>
              <w:t>ARP</w:t>
            </w:r>
          </w:p>
        </w:tc>
        <w:tc>
          <w:tcPr>
            <w:tcW w:w="840" w:type="dxa"/>
            <w:vAlign w:val="bottom"/>
          </w:tcPr>
          <w:p>
            <w:pPr>
              <w:jc w:val="right"/>
              <w:ind w:right="13"/>
              <w:spacing w:after="0"/>
              <w:rPr>
                <w:sz w:val="20"/>
                <w:szCs w:val="20"/>
                <w:color w:val="auto"/>
              </w:rPr>
            </w:pPr>
            <w:r>
              <w:rPr>
                <w:rFonts w:ascii="Arial" w:cs="Arial" w:eastAsia="Arial" w:hAnsi="Arial"/>
                <w:sz w:val="13"/>
                <w:szCs w:val="13"/>
                <w:b w:val="1"/>
                <w:bCs w:val="1"/>
                <w:color w:val="105FAB"/>
              </w:rPr>
              <w:t>SRIP</w:t>
            </w:r>
          </w:p>
        </w:tc>
      </w:tr>
      <w:tr>
        <w:trPr>
          <w:trHeight w:val="199"/>
        </w:trPr>
        <w:tc>
          <w:tcPr>
            <w:tcW w:w="5280" w:type="dxa"/>
            <w:vAlign w:val="bottom"/>
            <w:tcBorders>
              <w:bottom w:val="single" w:sz="8" w:color="105FAB"/>
            </w:tcBorders>
          </w:tcPr>
          <w:p>
            <w:pPr>
              <w:ind w:left="60"/>
              <w:spacing w:after="0"/>
              <w:rPr>
                <w:sz w:val="20"/>
                <w:szCs w:val="20"/>
                <w:color w:val="auto"/>
              </w:rPr>
            </w:pPr>
            <w:r>
              <w:rPr>
                <w:rFonts w:ascii="Arial" w:cs="Arial" w:eastAsia="Arial" w:hAnsi="Arial"/>
                <w:sz w:val="13"/>
                <w:szCs w:val="13"/>
                <w:b w:val="1"/>
                <w:bCs w:val="1"/>
                <w:color w:val="105FAB"/>
              </w:rPr>
              <w:t>Name</w:t>
            </w:r>
          </w:p>
        </w:tc>
        <w:tc>
          <w:tcPr>
            <w:tcW w:w="5020" w:type="dxa"/>
            <w:vAlign w:val="bottom"/>
            <w:tcBorders>
              <w:bottom w:val="single" w:sz="8" w:color="105FAB"/>
            </w:tcBorders>
          </w:tcPr>
          <w:p>
            <w:pPr>
              <w:jc w:val="right"/>
              <w:ind w:right="153"/>
              <w:spacing w:after="0"/>
              <w:rPr>
                <w:sz w:val="20"/>
                <w:szCs w:val="20"/>
                <w:color w:val="auto"/>
              </w:rPr>
            </w:pPr>
            <w:r>
              <w:rPr>
                <w:rFonts w:ascii="Arial" w:cs="Arial" w:eastAsia="Arial" w:hAnsi="Arial"/>
                <w:sz w:val="13"/>
                <w:szCs w:val="13"/>
                <w:b w:val="1"/>
                <w:bCs w:val="1"/>
                <w:color w:val="105FAB"/>
              </w:rPr>
              <w:t>($)</w:t>
            </w:r>
          </w:p>
        </w:tc>
        <w:tc>
          <w:tcPr>
            <w:tcW w:w="840" w:type="dxa"/>
            <w:vAlign w:val="bottom"/>
            <w:tcBorders>
              <w:bottom w:val="single" w:sz="8" w:color="105FAB"/>
            </w:tcBorders>
          </w:tcPr>
          <w:p>
            <w:pPr>
              <w:jc w:val="right"/>
              <w:ind w:right="13"/>
              <w:spacing w:after="0"/>
              <w:rPr>
                <w:sz w:val="20"/>
                <w:szCs w:val="20"/>
                <w:color w:val="auto"/>
              </w:rPr>
            </w:pPr>
            <w:r>
              <w:rPr>
                <w:rFonts w:ascii="Arial" w:cs="Arial" w:eastAsia="Arial" w:hAnsi="Arial"/>
                <w:sz w:val="13"/>
                <w:szCs w:val="13"/>
                <w:b w:val="1"/>
                <w:bCs w:val="1"/>
                <w:color w:val="105FAB"/>
              </w:rPr>
              <w:t>($)</w:t>
            </w:r>
          </w:p>
        </w:tc>
      </w:tr>
      <w:tr>
        <w:trPr>
          <w:trHeight w:val="202"/>
        </w:trPr>
        <w:tc>
          <w:tcPr>
            <w:tcW w:w="5280" w:type="dxa"/>
            <w:vAlign w:val="bottom"/>
          </w:tcPr>
          <w:p>
            <w:pPr>
              <w:ind w:left="60"/>
              <w:spacing w:after="0"/>
              <w:rPr>
                <w:sz w:val="20"/>
                <w:szCs w:val="20"/>
                <w:color w:val="auto"/>
              </w:rPr>
            </w:pPr>
            <w:r>
              <w:rPr>
                <w:rFonts w:ascii="Arial" w:cs="Arial" w:eastAsia="Arial" w:hAnsi="Arial"/>
                <w:sz w:val="13"/>
                <w:szCs w:val="13"/>
                <w:b w:val="1"/>
                <w:bCs w:val="1"/>
                <w:color w:val="105FAB"/>
              </w:rPr>
              <w:t>Mr. Wilson</w:t>
            </w:r>
          </w:p>
        </w:tc>
        <w:tc>
          <w:tcPr>
            <w:tcW w:w="5020" w:type="dxa"/>
            <w:vAlign w:val="bottom"/>
          </w:tcPr>
          <w:p>
            <w:pPr>
              <w:jc w:val="right"/>
              <w:ind w:right="153"/>
              <w:spacing w:after="0"/>
              <w:rPr>
                <w:sz w:val="20"/>
                <w:szCs w:val="20"/>
                <w:color w:val="auto"/>
              </w:rPr>
            </w:pPr>
            <w:r>
              <w:rPr>
                <w:rFonts w:ascii="Arial" w:cs="Arial" w:eastAsia="Arial" w:hAnsi="Arial"/>
                <w:sz w:val="13"/>
                <w:szCs w:val="13"/>
                <w:color w:val="auto"/>
              </w:rPr>
              <w:t>101,414</w:t>
            </w:r>
          </w:p>
        </w:tc>
        <w:tc>
          <w:tcPr>
            <w:tcW w:w="840" w:type="dxa"/>
            <w:vAlign w:val="bottom"/>
          </w:tcPr>
          <w:p>
            <w:pPr>
              <w:jc w:val="right"/>
              <w:ind w:right="13"/>
              <w:spacing w:after="0"/>
              <w:rPr>
                <w:sz w:val="20"/>
                <w:szCs w:val="20"/>
                <w:color w:val="auto"/>
              </w:rPr>
            </w:pPr>
            <w:r>
              <w:rPr>
                <w:rFonts w:ascii="Arial" w:cs="Arial" w:eastAsia="Arial" w:hAnsi="Arial"/>
                <w:sz w:val="13"/>
                <w:szCs w:val="13"/>
                <w:color w:val="auto"/>
              </w:rPr>
              <w:t>3,150,777</w:t>
            </w:r>
          </w:p>
        </w:tc>
      </w:tr>
      <w:tr>
        <w:trPr>
          <w:trHeight w:val="41"/>
        </w:trPr>
        <w:tc>
          <w:tcPr>
            <w:tcW w:w="5280" w:type="dxa"/>
            <w:vAlign w:val="bottom"/>
            <w:tcBorders>
              <w:bottom w:val="single" w:sz="8" w:color="DFF1FB"/>
            </w:tcBorders>
          </w:tcPr>
          <w:p>
            <w:pPr>
              <w:spacing w:after="0"/>
              <w:rPr>
                <w:sz w:val="3"/>
                <w:szCs w:val="3"/>
                <w:color w:val="auto"/>
              </w:rPr>
            </w:pPr>
          </w:p>
        </w:tc>
        <w:tc>
          <w:tcPr>
            <w:tcW w:w="5020" w:type="dxa"/>
            <w:vAlign w:val="bottom"/>
            <w:tcBorders>
              <w:bottom w:val="single" w:sz="8" w:color="DFF1FB"/>
            </w:tcBorders>
          </w:tcPr>
          <w:p>
            <w:pPr>
              <w:spacing w:after="0"/>
              <w:rPr>
                <w:sz w:val="3"/>
                <w:szCs w:val="3"/>
                <w:color w:val="auto"/>
              </w:rPr>
            </w:pPr>
          </w:p>
        </w:tc>
        <w:tc>
          <w:tcPr>
            <w:tcW w:w="840" w:type="dxa"/>
            <w:vAlign w:val="bottom"/>
            <w:tcBorders>
              <w:bottom w:val="single" w:sz="8" w:color="DFF1FB"/>
            </w:tcBorders>
          </w:tcPr>
          <w:p>
            <w:pPr>
              <w:spacing w:after="0"/>
              <w:rPr>
                <w:sz w:val="3"/>
                <w:szCs w:val="3"/>
                <w:color w:val="auto"/>
              </w:rPr>
            </w:pPr>
          </w:p>
        </w:tc>
      </w:tr>
      <w:tr>
        <w:trPr>
          <w:trHeight w:val="195"/>
        </w:trPr>
        <w:tc>
          <w:tcPr>
            <w:tcW w:w="5280" w:type="dxa"/>
            <w:vAlign w:val="bottom"/>
          </w:tcPr>
          <w:p>
            <w:pPr>
              <w:ind w:left="60"/>
              <w:spacing w:after="0"/>
              <w:rPr>
                <w:sz w:val="20"/>
                <w:szCs w:val="20"/>
                <w:color w:val="auto"/>
              </w:rPr>
            </w:pPr>
            <w:r>
              <w:rPr>
                <w:rFonts w:ascii="Arial" w:cs="Arial" w:eastAsia="Arial" w:hAnsi="Arial"/>
                <w:sz w:val="13"/>
                <w:szCs w:val="13"/>
                <w:b w:val="1"/>
                <w:bCs w:val="1"/>
                <w:color w:val="105FAB"/>
              </w:rPr>
              <w:t>Mr. Rizzo</w:t>
            </w:r>
          </w:p>
        </w:tc>
        <w:tc>
          <w:tcPr>
            <w:tcW w:w="5020" w:type="dxa"/>
            <w:vAlign w:val="bottom"/>
          </w:tcPr>
          <w:p>
            <w:pPr>
              <w:jc w:val="right"/>
              <w:ind w:right="93"/>
              <w:spacing w:after="0"/>
              <w:rPr>
                <w:sz w:val="20"/>
                <w:szCs w:val="20"/>
                <w:color w:val="auto"/>
              </w:rPr>
            </w:pPr>
            <w:r>
              <w:rPr>
                <w:rFonts w:ascii="Arial" w:cs="Arial" w:eastAsia="Arial" w:hAnsi="Arial"/>
                <w:sz w:val="13"/>
                <w:szCs w:val="13"/>
                <w:color w:val="auto"/>
              </w:rPr>
              <w:t>(33,062)</w:t>
            </w:r>
          </w:p>
        </w:tc>
        <w:tc>
          <w:tcPr>
            <w:tcW w:w="840" w:type="dxa"/>
            <w:vAlign w:val="bottom"/>
          </w:tcPr>
          <w:p>
            <w:pPr>
              <w:jc w:val="right"/>
              <w:ind w:right="13"/>
              <w:spacing w:after="0"/>
              <w:rPr>
                <w:sz w:val="20"/>
                <w:szCs w:val="20"/>
                <w:color w:val="auto"/>
              </w:rPr>
            </w:pPr>
            <w:r>
              <w:rPr>
                <w:rFonts w:ascii="Arial" w:cs="Arial" w:eastAsia="Arial" w:hAnsi="Arial"/>
                <w:sz w:val="13"/>
                <w:szCs w:val="13"/>
                <w:color w:val="auto"/>
              </w:rPr>
              <w:t>342,695</w:t>
            </w:r>
          </w:p>
        </w:tc>
      </w:tr>
      <w:tr>
        <w:trPr>
          <w:trHeight w:val="41"/>
        </w:trPr>
        <w:tc>
          <w:tcPr>
            <w:tcW w:w="5280" w:type="dxa"/>
            <w:vAlign w:val="bottom"/>
            <w:tcBorders>
              <w:bottom w:val="single" w:sz="8" w:color="DFF1FB"/>
            </w:tcBorders>
          </w:tcPr>
          <w:p>
            <w:pPr>
              <w:spacing w:after="0"/>
              <w:rPr>
                <w:sz w:val="3"/>
                <w:szCs w:val="3"/>
                <w:color w:val="auto"/>
              </w:rPr>
            </w:pPr>
          </w:p>
        </w:tc>
        <w:tc>
          <w:tcPr>
            <w:tcW w:w="5020" w:type="dxa"/>
            <w:vAlign w:val="bottom"/>
            <w:tcBorders>
              <w:bottom w:val="single" w:sz="8" w:color="DFF1FB"/>
            </w:tcBorders>
          </w:tcPr>
          <w:p>
            <w:pPr>
              <w:spacing w:after="0"/>
              <w:rPr>
                <w:sz w:val="3"/>
                <w:szCs w:val="3"/>
                <w:color w:val="auto"/>
              </w:rPr>
            </w:pPr>
          </w:p>
        </w:tc>
        <w:tc>
          <w:tcPr>
            <w:tcW w:w="840" w:type="dxa"/>
            <w:vAlign w:val="bottom"/>
            <w:tcBorders>
              <w:bottom w:val="single" w:sz="8" w:color="DFF1FB"/>
            </w:tcBorders>
          </w:tcPr>
          <w:p>
            <w:pPr>
              <w:spacing w:after="0"/>
              <w:rPr>
                <w:sz w:val="3"/>
                <w:szCs w:val="3"/>
                <w:color w:val="auto"/>
              </w:rPr>
            </w:pPr>
          </w:p>
        </w:tc>
      </w:tr>
      <w:tr>
        <w:trPr>
          <w:trHeight w:val="195"/>
        </w:trPr>
        <w:tc>
          <w:tcPr>
            <w:tcW w:w="5280" w:type="dxa"/>
            <w:vAlign w:val="bottom"/>
          </w:tcPr>
          <w:p>
            <w:pPr>
              <w:ind w:left="60"/>
              <w:spacing w:after="0"/>
              <w:rPr>
                <w:sz w:val="20"/>
                <w:szCs w:val="20"/>
                <w:color w:val="auto"/>
              </w:rPr>
            </w:pPr>
            <w:r>
              <w:rPr>
                <w:rFonts w:ascii="Arial" w:cs="Arial" w:eastAsia="Arial" w:hAnsi="Arial"/>
                <w:sz w:val="13"/>
                <w:szCs w:val="13"/>
                <w:b w:val="1"/>
                <w:bCs w:val="1"/>
                <w:color w:val="105FAB"/>
              </w:rPr>
              <w:t>Mr. Dugenske</w:t>
            </w:r>
          </w:p>
        </w:tc>
        <w:tc>
          <w:tcPr>
            <w:tcW w:w="5020" w:type="dxa"/>
            <w:vAlign w:val="bottom"/>
          </w:tcPr>
          <w:p>
            <w:pPr>
              <w:jc w:val="right"/>
              <w:ind w:right="153"/>
              <w:spacing w:after="0"/>
              <w:rPr>
                <w:sz w:val="20"/>
                <w:szCs w:val="20"/>
                <w:color w:val="auto"/>
              </w:rPr>
            </w:pPr>
            <w:r>
              <w:rPr>
                <w:rFonts w:ascii="Arial" w:cs="Arial" w:eastAsia="Arial" w:hAnsi="Arial"/>
                <w:sz w:val="13"/>
                <w:szCs w:val="13"/>
                <w:color w:val="auto"/>
              </w:rPr>
              <w:t>7,152</w:t>
            </w:r>
          </w:p>
        </w:tc>
        <w:tc>
          <w:tcPr>
            <w:tcW w:w="840" w:type="dxa"/>
            <w:vAlign w:val="bottom"/>
          </w:tcPr>
          <w:p>
            <w:pPr>
              <w:jc w:val="right"/>
              <w:ind w:right="13"/>
              <w:spacing w:after="0"/>
              <w:rPr>
                <w:sz w:val="20"/>
                <w:szCs w:val="20"/>
                <w:color w:val="auto"/>
              </w:rPr>
            </w:pPr>
            <w:r>
              <w:rPr>
                <w:rFonts w:ascii="Arial" w:cs="Arial" w:eastAsia="Arial" w:hAnsi="Arial"/>
                <w:sz w:val="13"/>
                <w:szCs w:val="13"/>
                <w:color w:val="auto"/>
              </w:rPr>
              <w:t>47,867</w:t>
            </w:r>
          </w:p>
        </w:tc>
      </w:tr>
      <w:tr>
        <w:trPr>
          <w:trHeight w:val="41"/>
        </w:trPr>
        <w:tc>
          <w:tcPr>
            <w:tcW w:w="5280" w:type="dxa"/>
            <w:vAlign w:val="bottom"/>
            <w:tcBorders>
              <w:bottom w:val="single" w:sz="8" w:color="DFF1FB"/>
            </w:tcBorders>
          </w:tcPr>
          <w:p>
            <w:pPr>
              <w:spacing w:after="0"/>
              <w:rPr>
                <w:sz w:val="3"/>
                <w:szCs w:val="3"/>
                <w:color w:val="auto"/>
              </w:rPr>
            </w:pPr>
          </w:p>
        </w:tc>
        <w:tc>
          <w:tcPr>
            <w:tcW w:w="5020" w:type="dxa"/>
            <w:vAlign w:val="bottom"/>
            <w:tcBorders>
              <w:bottom w:val="single" w:sz="8" w:color="DFF1FB"/>
            </w:tcBorders>
          </w:tcPr>
          <w:p>
            <w:pPr>
              <w:spacing w:after="0"/>
              <w:rPr>
                <w:sz w:val="3"/>
                <w:szCs w:val="3"/>
                <w:color w:val="auto"/>
              </w:rPr>
            </w:pPr>
          </w:p>
        </w:tc>
        <w:tc>
          <w:tcPr>
            <w:tcW w:w="840" w:type="dxa"/>
            <w:vAlign w:val="bottom"/>
            <w:tcBorders>
              <w:bottom w:val="single" w:sz="8" w:color="DFF1FB"/>
            </w:tcBorders>
          </w:tcPr>
          <w:p>
            <w:pPr>
              <w:spacing w:after="0"/>
              <w:rPr>
                <w:sz w:val="3"/>
                <w:szCs w:val="3"/>
                <w:color w:val="auto"/>
              </w:rPr>
            </w:pPr>
          </w:p>
        </w:tc>
      </w:tr>
      <w:tr>
        <w:trPr>
          <w:trHeight w:val="195"/>
        </w:trPr>
        <w:tc>
          <w:tcPr>
            <w:tcW w:w="5280" w:type="dxa"/>
            <w:vAlign w:val="bottom"/>
          </w:tcPr>
          <w:p>
            <w:pPr>
              <w:ind w:left="60"/>
              <w:spacing w:after="0"/>
              <w:rPr>
                <w:sz w:val="20"/>
                <w:szCs w:val="20"/>
                <w:color w:val="auto"/>
              </w:rPr>
            </w:pPr>
            <w:r>
              <w:rPr>
                <w:rFonts w:ascii="Arial" w:cs="Arial" w:eastAsia="Arial" w:hAnsi="Arial"/>
                <w:sz w:val="13"/>
                <w:szCs w:val="13"/>
                <w:b w:val="1"/>
                <w:bCs w:val="1"/>
                <w:color w:val="105FAB"/>
              </w:rPr>
              <w:t>Mr. Shapiro</w:t>
            </w:r>
          </w:p>
        </w:tc>
        <w:tc>
          <w:tcPr>
            <w:tcW w:w="5020" w:type="dxa"/>
            <w:vAlign w:val="bottom"/>
          </w:tcPr>
          <w:p>
            <w:pPr>
              <w:jc w:val="right"/>
              <w:ind w:right="153"/>
              <w:spacing w:after="0"/>
              <w:rPr>
                <w:sz w:val="20"/>
                <w:szCs w:val="20"/>
                <w:color w:val="auto"/>
              </w:rPr>
            </w:pPr>
            <w:r>
              <w:rPr>
                <w:rFonts w:ascii="Arial" w:cs="Arial" w:eastAsia="Arial" w:hAnsi="Arial"/>
                <w:sz w:val="13"/>
                <w:szCs w:val="13"/>
                <w:color w:val="auto"/>
              </w:rPr>
              <w:t>6,593</w:t>
            </w:r>
          </w:p>
        </w:tc>
        <w:tc>
          <w:tcPr>
            <w:tcW w:w="840" w:type="dxa"/>
            <w:vAlign w:val="bottom"/>
          </w:tcPr>
          <w:p>
            <w:pPr>
              <w:jc w:val="right"/>
              <w:ind w:right="13"/>
              <w:spacing w:after="0"/>
              <w:rPr>
                <w:sz w:val="20"/>
                <w:szCs w:val="20"/>
                <w:color w:val="auto"/>
              </w:rPr>
            </w:pPr>
            <w:r>
              <w:rPr>
                <w:rFonts w:ascii="Arial" w:cs="Arial" w:eastAsia="Arial" w:hAnsi="Arial"/>
                <w:sz w:val="13"/>
                <w:szCs w:val="13"/>
                <w:color w:val="auto"/>
              </w:rPr>
              <w:t>38,402</w:t>
            </w:r>
          </w:p>
        </w:tc>
      </w:tr>
      <w:tr>
        <w:trPr>
          <w:trHeight w:val="41"/>
        </w:trPr>
        <w:tc>
          <w:tcPr>
            <w:tcW w:w="5280" w:type="dxa"/>
            <w:vAlign w:val="bottom"/>
            <w:tcBorders>
              <w:bottom w:val="single" w:sz="8" w:color="DFF1FB"/>
            </w:tcBorders>
          </w:tcPr>
          <w:p>
            <w:pPr>
              <w:spacing w:after="0"/>
              <w:rPr>
                <w:sz w:val="3"/>
                <w:szCs w:val="3"/>
                <w:color w:val="auto"/>
              </w:rPr>
            </w:pPr>
          </w:p>
        </w:tc>
        <w:tc>
          <w:tcPr>
            <w:tcW w:w="5020" w:type="dxa"/>
            <w:vAlign w:val="bottom"/>
            <w:tcBorders>
              <w:bottom w:val="single" w:sz="8" w:color="DFF1FB"/>
            </w:tcBorders>
          </w:tcPr>
          <w:p>
            <w:pPr>
              <w:spacing w:after="0"/>
              <w:rPr>
                <w:sz w:val="3"/>
                <w:szCs w:val="3"/>
                <w:color w:val="auto"/>
              </w:rPr>
            </w:pPr>
          </w:p>
        </w:tc>
        <w:tc>
          <w:tcPr>
            <w:tcW w:w="840" w:type="dxa"/>
            <w:vAlign w:val="bottom"/>
            <w:tcBorders>
              <w:bottom w:val="single" w:sz="8" w:color="DFF1FB"/>
            </w:tcBorders>
          </w:tcPr>
          <w:p>
            <w:pPr>
              <w:spacing w:after="0"/>
              <w:rPr>
                <w:sz w:val="3"/>
                <w:szCs w:val="3"/>
                <w:color w:val="auto"/>
              </w:rPr>
            </w:pPr>
          </w:p>
        </w:tc>
      </w:tr>
      <w:tr>
        <w:trPr>
          <w:trHeight w:val="195"/>
        </w:trPr>
        <w:tc>
          <w:tcPr>
            <w:tcW w:w="5280" w:type="dxa"/>
            <w:vAlign w:val="bottom"/>
          </w:tcPr>
          <w:p>
            <w:pPr>
              <w:ind w:left="60"/>
              <w:spacing w:after="0"/>
              <w:rPr>
                <w:sz w:val="20"/>
                <w:szCs w:val="20"/>
                <w:color w:val="auto"/>
              </w:rPr>
            </w:pPr>
            <w:r>
              <w:rPr>
                <w:rFonts w:ascii="Arial" w:cs="Arial" w:eastAsia="Arial" w:hAnsi="Arial"/>
                <w:sz w:val="13"/>
                <w:szCs w:val="13"/>
                <w:b w:val="1"/>
                <w:bCs w:val="1"/>
                <w:color w:val="105FAB"/>
              </w:rPr>
              <w:t>Mr. Shebik</w:t>
            </w:r>
          </w:p>
        </w:tc>
        <w:tc>
          <w:tcPr>
            <w:tcW w:w="5020" w:type="dxa"/>
            <w:vAlign w:val="bottom"/>
          </w:tcPr>
          <w:p>
            <w:pPr>
              <w:jc w:val="right"/>
              <w:ind w:right="153"/>
              <w:spacing w:after="0"/>
              <w:rPr>
                <w:sz w:val="20"/>
                <w:szCs w:val="20"/>
                <w:color w:val="auto"/>
              </w:rPr>
            </w:pPr>
            <w:r>
              <w:rPr>
                <w:rFonts w:ascii="Arial" w:cs="Arial" w:eastAsia="Arial" w:hAnsi="Arial"/>
                <w:sz w:val="13"/>
                <w:szCs w:val="13"/>
                <w:color w:val="auto"/>
              </w:rPr>
              <w:t>62,839</w:t>
            </w:r>
          </w:p>
        </w:tc>
        <w:tc>
          <w:tcPr>
            <w:tcW w:w="840" w:type="dxa"/>
            <w:vAlign w:val="bottom"/>
          </w:tcPr>
          <w:p>
            <w:pPr>
              <w:jc w:val="right"/>
              <w:ind w:right="13"/>
              <w:spacing w:after="0"/>
              <w:rPr>
                <w:sz w:val="20"/>
                <w:szCs w:val="20"/>
                <w:color w:val="auto"/>
              </w:rPr>
            </w:pPr>
            <w:r>
              <w:rPr>
                <w:rFonts w:ascii="Arial" w:cs="Arial" w:eastAsia="Arial" w:hAnsi="Arial"/>
                <w:sz w:val="13"/>
                <w:szCs w:val="13"/>
                <w:color w:val="auto"/>
              </w:rPr>
              <w:t>2,907,282</w:t>
            </w:r>
          </w:p>
        </w:tc>
      </w:tr>
      <w:tr>
        <w:trPr>
          <w:trHeight w:val="48"/>
        </w:trPr>
        <w:tc>
          <w:tcPr>
            <w:tcW w:w="5280" w:type="dxa"/>
            <w:vAlign w:val="bottom"/>
            <w:tcBorders>
              <w:bottom w:val="single" w:sz="8" w:color="105FAB"/>
            </w:tcBorders>
          </w:tcPr>
          <w:p>
            <w:pPr>
              <w:spacing w:after="0"/>
              <w:rPr>
                <w:sz w:val="4"/>
                <w:szCs w:val="4"/>
                <w:color w:val="auto"/>
              </w:rPr>
            </w:pPr>
          </w:p>
        </w:tc>
        <w:tc>
          <w:tcPr>
            <w:tcW w:w="5020" w:type="dxa"/>
            <w:vAlign w:val="bottom"/>
            <w:tcBorders>
              <w:bottom w:val="single" w:sz="8" w:color="105FAB"/>
            </w:tcBorders>
          </w:tcPr>
          <w:p>
            <w:pPr>
              <w:spacing w:after="0"/>
              <w:rPr>
                <w:sz w:val="4"/>
                <w:szCs w:val="4"/>
                <w:color w:val="auto"/>
              </w:rPr>
            </w:pPr>
          </w:p>
        </w:tc>
        <w:tc>
          <w:tcPr>
            <w:tcW w:w="840" w:type="dxa"/>
            <w:vAlign w:val="bottom"/>
            <w:tcBorders>
              <w:bottom w:val="single" w:sz="8" w:color="105FAB"/>
            </w:tcBorders>
          </w:tcPr>
          <w:p>
            <w:pPr>
              <w:spacing w:after="0"/>
              <w:rPr>
                <w:sz w:val="4"/>
                <w:szCs w:val="4"/>
                <w:color w:val="auto"/>
              </w:rPr>
            </w:pPr>
          </w:p>
        </w:tc>
      </w:tr>
    </w:tbl>
    <w:p>
      <w:pPr>
        <w:spacing w:after="0" w:line="30" w:lineRule="exact"/>
        <w:rPr>
          <w:sz w:val="20"/>
          <w:szCs w:val="20"/>
          <w:color w:val="auto"/>
        </w:rPr>
      </w:pPr>
    </w:p>
    <w:p>
      <w:pPr>
        <w:ind w:left="300" w:hanging="292"/>
        <w:spacing w:after="0"/>
        <w:tabs>
          <w:tab w:leader="none" w:pos="300" w:val="left"/>
        </w:tabs>
        <w:numPr>
          <w:ilvl w:val="0"/>
          <w:numId w:val="188"/>
        </w:numPr>
        <w:rPr>
          <w:rFonts w:ascii="Arial" w:cs="Arial" w:eastAsia="Arial" w:hAnsi="Arial"/>
          <w:sz w:val="22"/>
          <w:szCs w:val="22"/>
          <w:color w:val="auto"/>
          <w:vertAlign w:val="superscript"/>
        </w:rPr>
      </w:pPr>
      <w:r>
        <w:rPr>
          <w:rFonts w:ascii="Arial" w:cs="Arial" w:eastAsia="Arial" w:hAnsi="Arial"/>
          <w:sz w:val="13"/>
          <w:szCs w:val="13"/>
          <w:color w:val="auto"/>
        </w:rPr>
        <w:t>The following table describes the incremental cost of other benefits provided in 2018 that are included in the “All Other Compensation” column.</w:t>
      </w:r>
    </w:p>
    <w:p>
      <w:pPr>
        <w:spacing w:after="0" w:line="118" w:lineRule="exact"/>
        <w:rPr>
          <w:sz w:val="20"/>
          <w:szCs w:val="20"/>
          <w:color w:val="auto"/>
        </w:rPr>
      </w:pPr>
    </w:p>
    <w:tbl>
      <w:tblPr>
        <w:tblLayout w:type="fixed"/>
        <w:tblInd w:w="280" w:type="dxa"/>
        <w:tblCellMar>
          <w:top w:w="0" w:type="dxa"/>
          <w:left w:w="0" w:type="dxa"/>
          <w:bottom w:w="0" w:type="dxa"/>
          <w:right w:w="0" w:type="dxa"/>
        </w:tblCellMar>
      </w:tblPr>
      <w:tr>
        <w:trPr>
          <w:trHeight w:val="166"/>
        </w:trPr>
        <w:tc>
          <w:tcPr>
            <w:tcW w:w="4300" w:type="dxa"/>
            <w:vAlign w:val="bottom"/>
          </w:tcPr>
          <w:p>
            <w:pPr>
              <w:spacing w:after="0"/>
              <w:rPr>
                <w:sz w:val="14"/>
                <w:szCs w:val="14"/>
                <w:color w:val="auto"/>
              </w:rPr>
            </w:pPr>
          </w:p>
        </w:tc>
        <w:tc>
          <w:tcPr>
            <w:tcW w:w="4120" w:type="dxa"/>
            <w:vAlign w:val="bottom"/>
          </w:tcPr>
          <w:p>
            <w:pPr>
              <w:jc w:val="right"/>
              <w:ind w:right="74"/>
              <w:spacing w:after="0"/>
              <w:rPr>
                <w:sz w:val="20"/>
                <w:szCs w:val="20"/>
                <w:color w:val="auto"/>
              </w:rPr>
            </w:pPr>
            <w:r>
              <w:rPr>
                <w:rFonts w:ascii="Arial" w:cs="Arial" w:eastAsia="Arial" w:hAnsi="Arial"/>
                <w:sz w:val="13"/>
                <w:szCs w:val="13"/>
                <w:b w:val="1"/>
                <w:bCs w:val="1"/>
                <w:color w:val="105FAB"/>
              </w:rPr>
              <w:t>Personal</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jc w:val="right"/>
              <w:ind w:right="13"/>
              <w:spacing w:after="0"/>
              <w:rPr>
                <w:sz w:val="20"/>
                <w:szCs w:val="20"/>
                <w:color w:val="auto"/>
              </w:rPr>
            </w:pPr>
            <w:r>
              <w:rPr>
                <w:rFonts w:ascii="Arial" w:cs="Arial" w:eastAsia="Arial" w:hAnsi="Arial"/>
                <w:sz w:val="13"/>
                <w:szCs w:val="13"/>
                <w:b w:val="1"/>
                <w:bCs w:val="1"/>
                <w:color w:val="105FAB"/>
              </w:rPr>
              <w:t>Total</w:t>
            </w: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4120" w:type="dxa"/>
            <w:vAlign w:val="bottom"/>
          </w:tcPr>
          <w:p>
            <w:pPr>
              <w:jc w:val="right"/>
              <w:ind w:right="74"/>
              <w:spacing w:after="0" w:line="149" w:lineRule="exact"/>
              <w:rPr>
                <w:sz w:val="20"/>
                <w:szCs w:val="20"/>
                <w:color w:val="auto"/>
              </w:rPr>
            </w:pPr>
            <w:r>
              <w:rPr>
                <w:rFonts w:ascii="Arial" w:cs="Arial" w:eastAsia="Arial" w:hAnsi="Arial"/>
                <w:sz w:val="13"/>
                <w:szCs w:val="13"/>
                <w:b w:val="1"/>
                <w:bCs w:val="1"/>
                <w:color w:val="105FAB"/>
              </w:rPr>
              <w:t>Use of</w:t>
            </w:r>
          </w:p>
        </w:tc>
        <w:tc>
          <w:tcPr>
            <w:tcW w:w="800" w:type="dxa"/>
            <w:vAlign w:val="bottom"/>
          </w:tcPr>
          <w:p>
            <w:pPr>
              <w:jc w:val="right"/>
              <w:ind w:right="74"/>
              <w:spacing w:after="0" w:line="149" w:lineRule="exact"/>
              <w:rPr>
                <w:sz w:val="20"/>
                <w:szCs w:val="20"/>
                <w:color w:val="auto"/>
              </w:rPr>
            </w:pPr>
            <w:r>
              <w:rPr>
                <w:rFonts w:ascii="Arial" w:cs="Arial" w:eastAsia="Arial" w:hAnsi="Arial"/>
                <w:sz w:val="13"/>
                <w:szCs w:val="13"/>
                <w:b w:val="1"/>
                <w:bCs w:val="1"/>
                <w:color w:val="105FAB"/>
              </w:rPr>
              <w:t>401(k)</w:t>
            </w:r>
          </w:p>
        </w:tc>
        <w:tc>
          <w:tcPr>
            <w:tcW w:w="780" w:type="dxa"/>
            <w:vAlign w:val="bottom"/>
            <w:vMerge w:val="restart"/>
          </w:tcPr>
          <w:p>
            <w:pPr>
              <w:jc w:val="right"/>
              <w:ind w:right="73"/>
              <w:spacing w:after="0"/>
              <w:rPr>
                <w:sz w:val="20"/>
                <w:szCs w:val="20"/>
                <w:color w:val="auto"/>
              </w:rPr>
            </w:pPr>
            <w:r>
              <w:rPr>
                <w:rFonts w:ascii="Arial" w:cs="Arial" w:eastAsia="Arial" w:hAnsi="Arial"/>
                <w:sz w:val="13"/>
                <w:szCs w:val="13"/>
                <w:b w:val="1"/>
                <w:bCs w:val="1"/>
                <w:color w:val="105FAB"/>
              </w:rPr>
              <w:t>Other</w:t>
            </w:r>
            <w:r>
              <w:rPr>
                <w:rFonts w:ascii="Arial" w:cs="Arial" w:eastAsia="Arial" w:hAnsi="Arial"/>
                <w:sz w:val="22"/>
                <w:szCs w:val="22"/>
                <w:b w:val="1"/>
                <w:bCs w:val="1"/>
                <w:color w:val="105FAB"/>
                <w:vertAlign w:val="superscript"/>
              </w:rPr>
              <w:t>(3)</w:t>
            </w:r>
          </w:p>
        </w:tc>
        <w:tc>
          <w:tcPr>
            <w:tcW w:w="1140" w:type="dxa"/>
            <w:vAlign w:val="bottom"/>
          </w:tcPr>
          <w:p>
            <w:pPr>
              <w:jc w:val="right"/>
              <w:ind w:right="13"/>
              <w:spacing w:after="0" w:line="149" w:lineRule="exact"/>
              <w:rPr>
                <w:sz w:val="20"/>
                <w:szCs w:val="20"/>
                <w:color w:val="auto"/>
              </w:rPr>
            </w:pPr>
            <w:r>
              <w:rPr>
                <w:rFonts w:ascii="Arial" w:cs="Arial" w:eastAsia="Arial" w:hAnsi="Arial"/>
                <w:sz w:val="13"/>
                <w:szCs w:val="13"/>
                <w:b w:val="1"/>
                <w:bCs w:val="1"/>
                <w:color w:val="105FAB"/>
              </w:rPr>
              <w:t>All Other</w:t>
            </w:r>
          </w:p>
        </w:tc>
        <w:tc>
          <w:tcPr>
            <w:tcW w:w="0" w:type="dxa"/>
            <w:vAlign w:val="bottom"/>
          </w:tcPr>
          <w:p>
            <w:pPr>
              <w:spacing w:after="0"/>
              <w:rPr>
                <w:sz w:val="1"/>
                <w:szCs w:val="1"/>
                <w:color w:val="auto"/>
              </w:rPr>
            </w:pPr>
          </w:p>
        </w:tc>
      </w:tr>
      <w:tr>
        <w:trPr>
          <w:trHeight w:val="159"/>
        </w:trPr>
        <w:tc>
          <w:tcPr>
            <w:tcW w:w="4300" w:type="dxa"/>
            <w:vAlign w:val="bottom"/>
          </w:tcPr>
          <w:p>
            <w:pPr>
              <w:spacing w:after="0"/>
              <w:rPr>
                <w:sz w:val="13"/>
                <w:szCs w:val="13"/>
                <w:color w:val="auto"/>
              </w:rPr>
            </w:pPr>
          </w:p>
        </w:tc>
        <w:tc>
          <w:tcPr>
            <w:tcW w:w="4120" w:type="dxa"/>
            <w:vAlign w:val="bottom"/>
          </w:tcPr>
          <w:p>
            <w:pPr>
              <w:jc w:val="right"/>
              <w:ind w:right="74"/>
              <w:spacing w:after="0" w:line="159" w:lineRule="exact"/>
              <w:rPr>
                <w:sz w:val="20"/>
                <w:szCs w:val="20"/>
                <w:color w:val="auto"/>
              </w:rPr>
            </w:pPr>
            <w:r>
              <w:rPr>
                <w:rFonts w:ascii="Arial" w:cs="Arial" w:eastAsia="Arial" w:hAnsi="Arial"/>
                <w:sz w:val="11"/>
                <w:szCs w:val="11"/>
                <w:b w:val="1"/>
                <w:bCs w:val="1"/>
                <w:color w:val="105FAB"/>
              </w:rPr>
              <w:t>Aircraft</w:t>
            </w:r>
            <w:r>
              <w:rPr>
                <w:rFonts w:ascii="Arial" w:cs="Arial" w:eastAsia="Arial" w:hAnsi="Arial"/>
                <w:sz w:val="18"/>
                <w:szCs w:val="18"/>
                <w:b w:val="1"/>
                <w:bCs w:val="1"/>
                <w:color w:val="105FAB"/>
                <w:vertAlign w:val="superscript"/>
              </w:rPr>
              <w:t>(1)</w:t>
            </w:r>
          </w:p>
        </w:tc>
        <w:tc>
          <w:tcPr>
            <w:tcW w:w="800" w:type="dxa"/>
            <w:vAlign w:val="bottom"/>
          </w:tcPr>
          <w:p>
            <w:pPr>
              <w:jc w:val="right"/>
              <w:ind w:right="74"/>
              <w:spacing w:after="0" w:line="159" w:lineRule="exact"/>
              <w:rPr>
                <w:sz w:val="20"/>
                <w:szCs w:val="20"/>
                <w:color w:val="auto"/>
              </w:rPr>
            </w:pPr>
            <w:r>
              <w:rPr>
                <w:rFonts w:ascii="Arial" w:cs="Arial" w:eastAsia="Arial" w:hAnsi="Arial"/>
                <w:sz w:val="11"/>
                <w:szCs w:val="11"/>
                <w:b w:val="1"/>
                <w:bCs w:val="1"/>
                <w:color w:val="105FAB"/>
              </w:rPr>
              <w:t>Match</w:t>
            </w:r>
            <w:r>
              <w:rPr>
                <w:rFonts w:ascii="Arial" w:cs="Arial" w:eastAsia="Arial" w:hAnsi="Arial"/>
                <w:sz w:val="18"/>
                <w:szCs w:val="18"/>
                <w:b w:val="1"/>
                <w:bCs w:val="1"/>
                <w:color w:val="105FAB"/>
                <w:vertAlign w:val="superscript"/>
              </w:rPr>
              <w:t>(2)</w:t>
            </w:r>
          </w:p>
        </w:tc>
        <w:tc>
          <w:tcPr>
            <w:tcW w:w="780" w:type="dxa"/>
            <w:vAlign w:val="bottom"/>
            <w:vMerge w:val="continue"/>
          </w:tcPr>
          <w:p>
            <w:pPr>
              <w:spacing w:after="0"/>
              <w:rPr>
                <w:sz w:val="13"/>
                <w:szCs w:val="13"/>
                <w:color w:val="auto"/>
              </w:rPr>
            </w:pPr>
          </w:p>
        </w:tc>
        <w:tc>
          <w:tcPr>
            <w:tcW w:w="1140" w:type="dxa"/>
            <w:vAlign w:val="bottom"/>
          </w:tcPr>
          <w:p>
            <w:pPr>
              <w:jc w:val="right"/>
              <w:ind w:right="13"/>
              <w:spacing w:after="0"/>
              <w:rPr>
                <w:sz w:val="20"/>
                <w:szCs w:val="20"/>
                <w:color w:val="auto"/>
              </w:rPr>
            </w:pPr>
            <w:r>
              <w:rPr>
                <w:rFonts w:ascii="Arial" w:cs="Arial" w:eastAsia="Arial" w:hAnsi="Arial"/>
                <w:sz w:val="13"/>
                <w:szCs w:val="13"/>
                <w:b w:val="1"/>
                <w:bCs w:val="1"/>
                <w:color w:val="105FAB"/>
              </w:rPr>
              <w:t>Compensation</w:t>
            </w:r>
          </w:p>
        </w:tc>
        <w:tc>
          <w:tcPr>
            <w:tcW w:w="0" w:type="dxa"/>
            <w:vAlign w:val="bottom"/>
          </w:tcPr>
          <w:p>
            <w:pPr>
              <w:spacing w:after="0"/>
              <w:rPr>
                <w:sz w:val="1"/>
                <w:szCs w:val="1"/>
                <w:color w:val="auto"/>
              </w:rPr>
            </w:pPr>
          </w:p>
        </w:tc>
      </w:tr>
      <w:tr>
        <w:trPr>
          <w:trHeight w:val="199"/>
        </w:trPr>
        <w:tc>
          <w:tcPr>
            <w:tcW w:w="4300" w:type="dxa"/>
            <w:vAlign w:val="bottom"/>
            <w:tcBorders>
              <w:bottom w:val="single" w:sz="8" w:color="105FAB"/>
            </w:tcBorders>
          </w:tcPr>
          <w:p>
            <w:pPr>
              <w:ind w:left="60"/>
              <w:spacing w:after="0"/>
              <w:rPr>
                <w:sz w:val="20"/>
                <w:szCs w:val="20"/>
                <w:color w:val="auto"/>
              </w:rPr>
            </w:pPr>
            <w:r>
              <w:rPr>
                <w:rFonts w:ascii="Arial" w:cs="Arial" w:eastAsia="Arial" w:hAnsi="Arial"/>
                <w:sz w:val="13"/>
                <w:szCs w:val="13"/>
                <w:b w:val="1"/>
                <w:bCs w:val="1"/>
                <w:color w:val="105FAB"/>
              </w:rPr>
              <w:t>Name</w:t>
            </w:r>
          </w:p>
        </w:tc>
        <w:tc>
          <w:tcPr>
            <w:tcW w:w="4120" w:type="dxa"/>
            <w:vAlign w:val="bottom"/>
            <w:tcBorders>
              <w:bottom w:val="single" w:sz="8" w:color="105FAB"/>
            </w:tcBorders>
          </w:tcPr>
          <w:p>
            <w:pPr>
              <w:jc w:val="right"/>
              <w:ind w:right="74"/>
              <w:spacing w:after="0"/>
              <w:rPr>
                <w:sz w:val="20"/>
                <w:szCs w:val="20"/>
                <w:color w:val="auto"/>
              </w:rPr>
            </w:pPr>
            <w:r>
              <w:rPr>
                <w:rFonts w:ascii="Arial" w:cs="Arial" w:eastAsia="Arial" w:hAnsi="Arial"/>
                <w:sz w:val="13"/>
                <w:szCs w:val="13"/>
                <w:b w:val="1"/>
                <w:bCs w:val="1"/>
                <w:color w:val="105FAB"/>
              </w:rPr>
              <w:t>($)</w:t>
            </w:r>
          </w:p>
        </w:tc>
        <w:tc>
          <w:tcPr>
            <w:tcW w:w="800" w:type="dxa"/>
            <w:vAlign w:val="bottom"/>
            <w:tcBorders>
              <w:bottom w:val="single" w:sz="8" w:color="105FAB"/>
            </w:tcBorders>
          </w:tcPr>
          <w:p>
            <w:pPr>
              <w:jc w:val="right"/>
              <w:ind w:right="74"/>
              <w:spacing w:after="0"/>
              <w:rPr>
                <w:sz w:val="20"/>
                <w:szCs w:val="20"/>
                <w:color w:val="auto"/>
              </w:rPr>
            </w:pPr>
            <w:r>
              <w:rPr>
                <w:rFonts w:ascii="Arial" w:cs="Arial" w:eastAsia="Arial" w:hAnsi="Arial"/>
                <w:sz w:val="13"/>
                <w:szCs w:val="13"/>
                <w:b w:val="1"/>
                <w:bCs w:val="1"/>
                <w:color w:val="105FAB"/>
              </w:rPr>
              <w:t>($)</w:t>
            </w:r>
          </w:p>
        </w:tc>
        <w:tc>
          <w:tcPr>
            <w:tcW w:w="780" w:type="dxa"/>
            <w:vAlign w:val="bottom"/>
            <w:tcBorders>
              <w:bottom w:val="single" w:sz="8" w:color="105FAB"/>
            </w:tcBorders>
          </w:tcPr>
          <w:p>
            <w:pPr>
              <w:jc w:val="right"/>
              <w:ind w:right="73"/>
              <w:spacing w:after="0"/>
              <w:rPr>
                <w:sz w:val="20"/>
                <w:szCs w:val="20"/>
                <w:color w:val="auto"/>
              </w:rPr>
            </w:pPr>
            <w:r>
              <w:rPr>
                <w:rFonts w:ascii="Arial" w:cs="Arial" w:eastAsia="Arial" w:hAnsi="Arial"/>
                <w:sz w:val="13"/>
                <w:szCs w:val="13"/>
                <w:b w:val="1"/>
                <w:bCs w:val="1"/>
                <w:color w:val="105FAB"/>
              </w:rPr>
              <w:t>($)</w:t>
            </w:r>
          </w:p>
        </w:tc>
        <w:tc>
          <w:tcPr>
            <w:tcW w:w="1140" w:type="dxa"/>
            <w:vAlign w:val="bottom"/>
            <w:tcBorders>
              <w:bottom w:val="single" w:sz="8" w:color="105FAB"/>
            </w:tcBorders>
          </w:tcPr>
          <w:p>
            <w:pPr>
              <w:jc w:val="right"/>
              <w:ind w:right="13"/>
              <w:spacing w:after="0"/>
              <w:rPr>
                <w:sz w:val="20"/>
                <w:szCs w:val="20"/>
                <w:color w:val="auto"/>
              </w:rPr>
            </w:pPr>
            <w:r>
              <w:rPr>
                <w:rFonts w:ascii="Arial" w:cs="Arial" w:eastAsia="Arial" w:hAnsi="Arial"/>
                <w:sz w:val="13"/>
                <w:szCs w:val="13"/>
                <w:b w:val="1"/>
                <w:bCs w:val="1"/>
                <w:color w:val="105FAB"/>
              </w:rPr>
              <w:t>($)</w:t>
            </w:r>
          </w:p>
        </w:tc>
        <w:tc>
          <w:tcPr>
            <w:tcW w:w="0" w:type="dxa"/>
            <w:vAlign w:val="bottom"/>
          </w:tcPr>
          <w:p>
            <w:pPr>
              <w:spacing w:after="0"/>
              <w:rPr>
                <w:sz w:val="1"/>
                <w:szCs w:val="1"/>
                <w:color w:val="auto"/>
              </w:rPr>
            </w:pPr>
          </w:p>
        </w:tc>
      </w:tr>
      <w:tr>
        <w:trPr>
          <w:trHeight w:val="202"/>
        </w:trPr>
        <w:tc>
          <w:tcPr>
            <w:tcW w:w="4300" w:type="dxa"/>
            <w:vAlign w:val="bottom"/>
          </w:tcPr>
          <w:p>
            <w:pPr>
              <w:ind w:left="60"/>
              <w:spacing w:after="0"/>
              <w:rPr>
                <w:sz w:val="20"/>
                <w:szCs w:val="20"/>
                <w:color w:val="auto"/>
              </w:rPr>
            </w:pPr>
            <w:r>
              <w:rPr>
                <w:rFonts w:ascii="Arial" w:cs="Arial" w:eastAsia="Arial" w:hAnsi="Arial"/>
                <w:sz w:val="13"/>
                <w:szCs w:val="13"/>
                <w:b w:val="1"/>
                <w:bCs w:val="1"/>
                <w:color w:val="105FAB"/>
              </w:rPr>
              <w:t>Mr. Wilson</w:t>
            </w:r>
          </w:p>
        </w:tc>
        <w:tc>
          <w:tcPr>
            <w:tcW w:w="4120" w:type="dxa"/>
            <w:vAlign w:val="bottom"/>
          </w:tcPr>
          <w:p>
            <w:pPr>
              <w:jc w:val="right"/>
              <w:ind w:right="74"/>
              <w:spacing w:after="0"/>
              <w:rPr>
                <w:sz w:val="20"/>
                <w:szCs w:val="20"/>
                <w:color w:val="auto"/>
              </w:rPr>
            </w:pPr>
            <w:r>
              <w:rPr>
                <w:rFonts w:ascii="Arial" w:cs="Arial" w:eastAsia="Arial" w:hAnsi="Arial"/>
                <w:sz w:val="13"/>
                <w:szCs w:val="13"/>
                <w:color w:val="auto"/>
              </w:rPr>
              <w:t>72,331</w:t>
            </w:r>
          </w:p>
        </w:tc>
        <w:tc>
          <w:tcPr>
            <w:tcW w:w="800" w:type="dxa"/>
            <w:vAlign w:val="bottom"/>
          </w:tcPr>
          <w:p>
            <w:pPr>
              <w:jc w:val="right"/>
              <w:ind w:right="74"/>
              <w:spacing w:after="0"/>
              <w:rPr>
                <w:sz w:val="20"/>
                <w:szCs w:val="20"/>
                <w:color w:val="auto"/>
              </w:rPr>
            </w:pPr>
            <w:r>
              <w:rPr>
                <w:rFonts w:ascii="Arial" w:cs="Arial" w:eastAsia="Arial" w:hAnsi="Arial"/>
                <w:sz w:val="13"/>
                <w:szCs w:val="13"/>
                <w:color w:val="auto"/>
              </w:rPr>
              <w:t>11,000</w:t>
            </w:r>
          </w:p>
        </w:tc>
        <w:tc>
          <w:tcPr>
            <w:tcW w:w="780" w:type="dxa"/>
            <w:vAlign w:val="bottom"/>
          </w:tcPr>
          <w:p>
            <w:pPr>
              <w:jc w:val="right"/>
              <w:ind w:right="73"/>
              <w:spacing w:after="0"/>
              <w:rPr>
                <w:sz w:val="20"/>
                <w:szCs w:val="20"/>
                <w:color w:val="auto"/>
              </w:rPr>
            </w:pPr>
            <w:r>
              <w:rPr>
                <w:rFonts w:ascii="Arial" w:cs="Arial" w:eastAsia="Arial" w:hAnsi="Arial"/>
                <w:sz w:val="13"/>
                <w:szCs w:val="13"/>
                <w:color w:val="auto"/>
              </w:rPr>
              <w:t>33,640</w:t>
            </w:r>
          </w:p>
        </w:tc>
        <w:tc>
          <w:tcPr>
            <w:tcW w:w="1140" w:type="dxa"/>
            <w:vAlign w:val="bottom"/>
          </w:tcPr>
          <w:p>
            <w:pPr>
              <w:jc w:val="right"/>
              <w:ind w:right="13"/>
              <w:spacing w:after="0"/>
              <w:rPr>
                <w:sz w:val="20"/>
                <w:szCs w:val="20"/>
                <w:color w:val="auto"/>
              </w:rPr>
            </w:pPr>
            <w:r>
              <w:rPr>
                <w:rFonts w:ascii="Arial" w:cs="Arial" w:eastAsia="Arial" w:hAnsi="Arial"/>
                <w:sz w:val="13"/>
                <w:szCs w:val="13"/>
                <w:color w:val="auto"/>
              </w:rPr>
              <w:t>116,971</w:t>
            </w:r>
          </w:p>
        </w:tc>
        <w:tc>
          <w:tcPr>
            <w:tcW w:w="0" w:type="dxa"/>
            <w:vAlign w:val="bottom"/>
          </w:tcPr>
          <w:p>
            <w:pPr>
              <w:spacing w:after="0"/>
              <w:rPr>
                <w:sz w:val="1"/>
                <w:szCs w:val="1"/>
                <w:color w:val="auto"/>
              </w:rPr>
            </w:pPr>
          </w:p>
        </w:tc>
      </w:tr>
      <w:tr>
        <w:trPr>
          <w:trHeight w:val="41"/>
        </w:trPr>
        <w:tc>
          <w:tcPr>
            <w:tcW w:w="4300" w:type="dxa"/>
            <w:vAlign w:val="bottom"/>
            <w:tcBorders>
              <w:bottom w:val="single" w:sz="8" w:color="DFF1FB"/>
            </w:tcBorders>
          </w:tcPr>
          <w:p>
            <w:pPr>
              <w:spacing w:after="0"/>
              <w:rPr>
                <w:sz w:val="3"/>
                <w:szCs w:val="3"/>
                <w:color w:val="auto"/>
              </w:rPr>
            </w:pPr>
          </w:p>
        </w:tc>
        <w:tc>
          <w:tcPr>
            <w:tcW w:w="4120" w:type="dxa"/>
            <w:vAlign w:val="bottom"/>
            <w:tcBorders>
              <w:bottom w:val="single" w:sz="8" w:color="DFF1FB"/>
            </w:tcBorders>
          </w:tcPr>
          <w:p>
            <w:pPr>
              <w:spacing w:after="0"/>
              <w:rPr>
                <w:sz w:val="3"/>
                <w:szCs w:val="3"/>
                <w:color w:val="auto"/>
              </w:rPr>
            </w:pPr>
          </w:p>
        </w:tc>
        <w:tc>
          <w:tcPr>
            <w:tcW w:w="800" w:type="dxa"/>
            <w:vAlign w:val="bottom"/>
            <w:tcBorders>
              <w:bottom w:val="single" w:sz="8" w:color="DFF1FB"/>
            </w:tcBorders>
          </w:tcPr>
          <w:p>
            <w:pPr>
              <w:spacing w:after="0"/>
              <w:rPr>
                <w:sz w:val="3"/>
                <w:szCs w:val="3"/>
                <w:color w:val="auto"/>
              </w:rPr>
            </w:pPr>
          </w:p>
        </w:tc>
        <w:tc>
          <w:tcPr>
            <w:tcW w:w="780" w:type="dxa"/>
            <w:vAlign w:val="bottom"/>
            <w:tcBorders>
              <w:bottom w:val="single" w:sz="8" w:color="DFF1FB"/>
            </w:tcBorders>
          </w:tcPr>
          <w:p>
            <w:pPr>
              <w:spacing w:after="0"/>
              <w:rPr>
                <w:sz w:val="3"/>
                <w:szCs w:val="3"/>
                <w:color w:val="auto"/>
              </w:rPr>
            </w:pPr>
          </w:p>
        </w:tc>
        <w:tc>
          <w:tcPr>
            <w:tcW w:w="1140" w:type="dxa"/>
            <w:vAlign w:val="bottom"/>
            <w:tcBorders>
              <w:bottom w:val="single" w:sz="8" w:color="DFF1FB"/>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4300" w:type="dxa"/>
            <w:vAlign w:val="bottom"/>
          </w:tcPr>
          <w:p>
            <w:pPr>
              <w:ind w:left="60"/>
              <w:spacing w:after="0"/>
              <w:rPr>
                <w:sz w:val="20"/>
                <w:szCs w:val="20"/>
                <w:color w:val="auto"/>
              </w:rPr>
            </w:pPr>
            <w:r>
              <w:rPr>
                <w:rFonts w:ascii="Arial" w:cs="Arial" w:eastAsia="Arial" w:hAnsi="Arial"/>
                <w:sz w:val="13"/>
                <w:szCs w:val="13"/>
                <w:b w:val="1"/>
                <w:bCs w:val="1"/>
                <w:color w:val="105FAB"/>
              </w:rPr>
              <w:t>Mr. Rizzo</w:t>
            </w:r>
          </w:p>
        </w:tc>
        <w:tc>
          <w:tcPr>
            <w:tcW w:w="4120" w:type="dxa"/>
            <w:vAlign w:val="bottom"/>
          </w:tcPr>
          <w:p>
            <w:pPr>
              <w:jc w:val="right"/>
              <w:ind w:right="74"/>
              <w:spacing w:after="0"/>
              <w:rPr>
                <w:sz w:val="20"/>
                <w:szCs w:val="20"/>
                <w:color w:val="auto"/>
              </w:rPr>
            </w:pPr>
            <w:r>
              <w:rPr>
                <w:rFonts w:ascii="Arial" w:cs="Arial" w:eastAsia="Arial" w:hAnsi="Arial"/>
                <w:sz w:val="13"/>
                <w:szCs w:val="13"/>
                <w:color w:val="auto"/>
              </w:rPr>
              <w:t>0</w:t>
            </w:r>
          </w:p>
        </w:tc>
        <w:tc>
          <w:tcPr>
            <w:tcW w:w="800" w:type="dxa"/>
            <w:vAlign w:val="bottom"/>
          </w:tcPr>
          <w:p>
            <w:pPr>
              <w:jc w:val="right"/>
              <w:ind w:right="74"/>
              <w:spacing w:after="0"/>
              <w:rPr>
                <w:sz w:val="20"/>
                <w:szCs w:val="20"/>
                <w:color w:val="auto"/>
              </w:rPr>
            </w:pPr>
            <w:r>
              <w:rPr>
                <w:rFonts w:ascii="Arial" w:cs="Arial" w:eastAsia="Arial" w:hAnsi="Arial"/>
                <w:sz w:val="13"/>
                <w:szCs w:val="13"/>
                <w:color w:val="auto"/>
              </w:rPr>
              <w:t>11,000</w:t>
            </w:r>
          </w:p>
        </w:tc>
        <w:tc>
          <w:tcPr>
            <w:tcW w:w="780" w:type="dxa"/>
            <w:vAlign w:val="bottom"/>
          </w:tcPr>
          <w:p>
            <w:pPr>
              <w:jc w:val="right"/>
              <w:ind w:right="73"/>
              <w:spacing w:after="0"/>
              <w:rPr>
                <w:sz w:val="20"/>
                <w:szCs w:val="20"/>
                <w:color w:val="auto"/>
              </w:rPr>
            </w:pPr>
            <w:r>
              <w:rPr>
                <w:rFonts w:ascii="Arial" w:cs="Arial" w:eastAsia="Arial" w:hAnsi="Arial"/>
                <w:sz w:val="13"/>
                <w:szCs w:val="13"/>
                <w:color w:val="auto"/>
              </w:rPr>
              <w:t>14,391</w:t>
            </w:r>
          </w:p>
        </w:tc>
        <w:tc>
          <w:tcPr>
            <w:tcW w:w="1140" w:type="dxa"/>
            <w:vAlign w:val="bottom"/>
          </w:tcPr>
          <w:p>
            <w:pPr>
              <w:jc w:val="right"/>
              <w:ind w:right="13"/>
              <w:spacing w:after="0"/>
              <w:rPr>
                <w:sz w:val="20"/>
                <w:szCs w:val="20"/>
                <w:color w:val="auto"/>
              </w:rPr>
            </w:pPr>
            <w:r>
              <w:rPr>
                <w:rFonts w:ascii="Arial" w:cs="Arial" w:eastAsia="Arial" w:hAnsi="Arial"/>
                <w:sz w:val="13"/>
                <w:szCs w:val="13"/>
                <w:color w:val="auto"/>
              </w:rPr>
              <w:t>25,391</w:t>
            </w:r>
          </w:p>
        </w:tc>
        <w:tc>
          <w:tcPr>
            <w:tcW w:w="0" w:type="dxa"/>
            <w:vAlign w:val="bottom"/>
          </w:tcPr>
          <w:p>
            <w:pPr>
              <w:spacing w:after="0"/>
              <w:rPr>
                <w:sz w:val="1"/>
                <w:szCs w:val="1"/>
                <w:color w:val="auto"/>
              </w:rPr>
            </w:pPr>
          </w:p>
        </w:tc>
      </w:tr>
      <w:tr>
        <w:trPr>
          <w:trHeight w:val="41"/>
        </w:trPr>
        <w:tc>
          <w:tcPr>
            <w:tcW w:w="4300" w:type="dxa"/>
            <w:vAlign w:val="bottom"/>
            <w:tcBorders>
              <w:bottom w:val="single" w:sz="8" w:color="DFF1FB"/>
            </w:tcBorders>
          </w:tcPr>
          <w:p>
            <w:pPr>
              <w:spacing w:after="0"/>
              <w:rPr>
                <w:sz w:val="3"/>
                <w:szCs w:val="3"/>
                <w:color w:val="auto"/>
              </w:rPr>
            </w:pPr>
          </w:p>
        </w:tc>
        <w:tc>
          <w:tcPr>
            <w:tcW w:w="4120" w:type="dxa"/>
            <w:vAlign w:val="bottom"/>
            <w:tcBorders>
              <w:bottom w:val="single" w:sz="8" w:color="DFF1FB"/>
            </w:tcBorders>
          </w:tcPr>
          <w:p>
            <w:pPr>
              <w:spacing w:after="0"/>
              <w:rPr>
                <w:sz w:val="3"/>
                <w:szCs w:val="3"/>
                <w:color w:val="auto"/>
              </w:rPr>
            </w:pPr>
          </w:p>
        </w:tc>
        <w:tc>
          <w:tcPr>
            <w:tcW w:w="800" w:type="dxa"/>
            <w:vAlign w:val="bottom"/>
            <w:tcBorders>
              <w:bottom w:val="single" w:sz="8" w:color="DFF1FB"/>
            </w:tcBorders>
          </w:tcPr>
          <w:p>
            <w:pPr>
              <w:spacing w:after="0"/>
              <w:rPr>
                <w:sz w:val="3"/>
                <w:szCs w:val="3"/>
                <w:color w:val="auto"/>
              </w:rPr>
            </w:pPr>
          </w:p>
        </w:tc>
        <w:tc>
          <w:tcPr>
            <w:tcW w:w="780" w:type="dxa"/>
            <w:vAlign w:val="bottom"/>
            <w:tcBorders>
              <w:bottom w:val="single" w:sz="8" w:color="DFF1FB"/>
            </w:tcBorders>
          </w:tcPr>
          <w:p>
            <w:pPr>
              <w:spacing w:after="0"/>
              <w:rPr>
                <w:sz w:val="3"/>
                <w:szCs w:val="3"/>
                <w:color w:val="auto"/>
              </w:rPr>
            </w:pPr>
          </w:p>
        </w:tc>
        <w:tc>
          <w:tcPr>
            <w:tcW w:w="1140" w:type="dxa"/>
            <w:vAlign w:val="bottom"/>
            <w:tcBorders>
              <w:bottom w:val="single" w:sz="8" w:color="DFF1FB"/>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4300" w:type="dxa"/>
            <w:vAlign w:val="bottom"/>
          </w:tcPr>
          <w:p>
            <w:pPr>
              <w:ind w:left="60"/>
              <w:spacing w:after="0"/>
              <w:rPr>
                <w:sz w:val="20"/>
                <w:szCs w:val="20"/>
                <w:color w:val="auto"/>
              </w:rPr>
            </w:pPr>
            <w:r>
              <w:rPr>
                <w:rFonts w:ascii="Arial" w:cs="Arial" w:eastAsia="Arial" w:hAnsi="Arial"/>
                <w:sz w:val="13"/>
                <w:szCs w:val="13"/>
                <w:b w:val="1"/>
                <w:bCs w:val="1"/>
                <w:color w:val="105FAB"/>
              </w:rPr>
              <w:t>Mr. Dugenske</w:t>
            </w:r>
          </w:p>
        </w:tc>
        <w:tc>
          <w:tcPr>
            <w:tcW w:w="4120" w:type="dxa"/>
            <w:vAlign w:val="bottom"/>
          </w:tcPr>
          <w:p>
            <w:pPr>
              <w:jc w:val="right"/>
              <w:ind w:right="74"/>
              <w:spacing w:after="0"/>
              <w:rPr>
                <w:sz w:val="20"/>
                <w:szCs w:val="20"/>
                <w:color w:val="auto"/>
              </w:rPr>
            </w:pPr>
            <w:r>
              <w:rPr>
                <w:rFonts w:ascii="Arial" w:cs="Arial" w:eastAsia="Arial" w:hAnsi="Arial"/>
                <w:sz w:val="13"/>
                <w:szCs w:val="13"/>
                <w:color w:val="auto"/>
              </w:rPr>
              <w:t>0</w:t>
            </w:r>
          </w:p>
        </w:tc>
        <w:tc>
          <w:tcPr>
            <w:tcW w:w="800" w:type="dxa"/>
            <w:vAlign w:val="bottom"/>
          </w:tcPr>
          <w:p>
            <w:pPr>
              <w:jc w:val="right"/>
              <w:ind w:right="74"/>
              <w:spacing w:after="0"/>
              <w:rPr>
                <w:sz w:val="20"/>
                <w:szCs w:val="20"/>
                <w:color w:val="auto"/>
              </w:rPr>
            </w:pPr>
            <w:r>
              <w:rPr>
                <w:rFonts w:ascii="Arial" w:cs="Arial" w:eastAsia="Arial" w:hAnsi="Arial"/>
                <w:sz w:val="13"/>
                <w:szCs w:val="13"/>
                <w:color w:val="auto"/>
              </w:rPr>
              <w:t>11,000</w:t>
            </w:r>
          </w:p>
        </w:tc>
        <w:tc>
          <w:tcPr>
            <w:tcW w:w="780" w:type="dxa"/>
            <w:vAlign w:val="bottom"/>
          </w:tcPr>
          <w:p>
            <w:pPr>
              <w:jc w:val="right"/>
              <w:ind w:right="73"/>
              <w:spacing w:after="0"/>
              <w:rPr>
                <w:sz w:val="20"/>
                <w:szCs w:val="20"/>
                <w:color w:val="auto"/>
              </w:rPr>
            </w:pPr>
            <w:r>
              <w:rPr>
                <w:rFonts w:ascii="Arial" w:cs="Arial" w:eastAsia="Arial" w:hAnsi="Arial"/>
                <w:sz w:val="13"/>
                <w:szCs w:val="13"/>
                <w:color w:val="auto"/>
              </w:rPr>
              <w:t>13,560</w:t>
            </w:r>
          </w:p>
        </w:tc>
        <w:tc>
          <w:tcPr>
            <w:tcW w:w="1140" w:type="dxa"/>
            <w:vAlign w:val="bottom"/>
          </w:tcPr>
          <w:p>
            <w:pPr>
              <w:jc w:val="right"/>
              <w:ind w:right="13"/>
              <w:spacing w:after="0"/>
              <w:rPr>
                <w:sz w:val="20"/>
                <w:szCs w:val="20"/>
                <w:color w:val="auto"/>
              </w:rPr>
            </w:pPr>
            <w:r>
              <w:rPr>
                <w:rFonts w:ascii="Arial" w:cs="Arial" w:eastAsia="Arial" w:hAnsi="Arial"/>
                <w:sz w:val="13"/>
                <w:szCs w:val="13"/>
                <w:color w:val="auto"/>
              </w:rPr>
              <w:t>24,560</w:t>
            </w:r>
          </w:p>
        </w:tc>
        <w:tc>
          <w:tcPr>
            <w:tcW w:w="0" w:type="dxa"/>
            <w:vAlign w:val="bottom"/>
          </w:tcPr>
          <w:p>
            <w:pPr>
              <w:spacing w:after="0"/>
              <w:rPr>
                <w:sz w:val="1"/>
                <w:szCs w:val="1"/>
                <w:color w:val="auto"/>
              </w:rPr>
            </w:pPr>
          </w:p>
        </w:tc>
      </w:tr>
      <w:tr>
        <w:trPr>
          <w:trHeight w:val="41"/>
        </w:trPr>
        <w:tc>
          <w:tcPr>
            <w:tcW w:w="4300" w:type="dxa"/>
            <w:vAlign w:val="bottom"/>
            <w:tcBorders>
              <w:bottom w:val="single" w:sz="8" w:color="DFF1FB"/>
            </w:tcBorders>
          </w:tcPr>
          <w:p>
            <w:pPr>
              <w:spacing w:after="0"/>
              <w:rPr>
                <w:sz w:val="3"/>
                <w:szCs w:val="3"/>
                <w:color w:val="auto"/>
              </w:rPr>
            </w:pPr>
          </w:p>
        </w:tc>
        <w:tc>
          <w:tcPr>
            <w:tcW w:w="4120" w:type="dxa"/>
            <w:vAlign w:val="bottom"/>
            <w:tcBorders>
              <w:bottom w:val="single" w:sz="8" w:color="DFF1FB"/>
            </w:tcBorders>
          </w:tcPr>
          <w:p>
            <w:pPr>
              <w:spacing w:after="0"/>
              <w:rPr>
                <w:sz w:val="3"/>
                <w:szCs w:val="3"/>
                <w:color w:val="auto"/>
              </w:rPr>
            </w:pPr>
          </w:p>
        </w:tc>
        <w:tc>
          <w:tcPr>
            <w:tcW w:w="800" w:type="dxa"/>
            <w:vAlign w:val="bottom"/>
            <w:tcBorders>
              <w:bottom w:val="single" w:sz="8" w:color="DFF1FB"/>
            </w:tcBorders>
          </w:tcPr>
          <w:p>
            <w:pPr>
              <w:spacing w:after="0"/>
              <w:rPr>
                <w:sz w:val="3"/>
                <w:szCs w:val="3"/>
                <w:color w:val="auto"/>
              </w:rPr>
            </w:pPr>
          </w:p>
        </w:tc>
        <w:tc>
          <w:tcPr>
            <w:tcW w:w="780" w:type="dxa"/>
            <w:vAlign w:val="bottom"/>
            <w:tcBorders>
              <w:bottom w:val="single" w:sz="8" w:color="DFF1FB"/>
            </w:tcBorders>
          </w:tcPr>
          <w:p>
            <w:pPr>
              <w:spacing w:after="0"/>
              <w:rPr>
                <w:sz w:val="3"/>
                <w:szCs w:val="3"/>
                <w:color w:val="auto"/>
              </w:rPr>
            </w:pPr>
          </w:p>
        </w:tc>
        <w:tc>
          <w:tcPr>
            <w:tcW w:w="1140" w:type="dxa"/>
            <w:vAlign w:val="bottom"/>
            <w:tcBorders>
              <w:bottom w:val="single" w:sz="8" w:color="DFF1FB"/>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4300" w:type="dxa"/>
            <w:vAlign w:val="bottom"/>
          </w:tcPr>
          <w:p>
            <w:pPr>
              <w:ind w:left="60"/>
              <w:spacing w:after="0"/>
              <w:rPr>
                <w:sz w:val="20"/>
                <w:szCs w:val="20"/>
                <w:color w:val="auto"/>
              </w:rPr>
            </w:pPr>
            <w:r>
              <w:rPr>
                <w:rFonts w:ascii="Arial" w:cs="Arial" w:eastAsia="Arial" w:hAnsi="Arial"/>
                <w:sz w:val="13"/>
                <w:szCs w:val="13"/>
                <w:b w:val="1"/>
                <w:bCs w:val="1"/>
                <w:color w:val="105FAB"/>
              </w:rPr>
              <w:t>Mr. Shapiro</w:t>
            </w:r>
          </w:p>
        </w:tc>
        <w:tc>
          <w:tcPr>
            <w:tcW w:w="4120" w:type="dxa"/>
            <w:vAlign w:val="bottom"/>
          </w:tcPr>
          <w:p>
            <w:pPr>
              <w:jc w:val="right"/>
              <w:ind w:right="74"/>
              <w:spacing w:after="0"/>
              <w:rPr>
                <w:sz w:val="20"/>
                <w:szCs w:val="20"/>
                <w:color w:val="auto"/>
              </w:rPr>
            </w:pPr>
            <w:r>
              <w:rPr>
                <w:rFonts w:ascii="Arial" w:cs="Arial" w:eastAsia="Arial" w:hAnsi="Arial"/>
                <w:sz w:val="13"/>
                <w:szCs w:val="13"/>
                <w:color w:val="auto"/>
              </w:rPr>
              <w:t>0</w:t>
            </w:r>
          </w:p>
        </w:tc>
        <w:tc>
          <w:tcPr>
            <w:tcW w:w="800" w:type="dxa"/>
            <w:vAlign w:val="bottom"/>
          </w:tcPr>
          <w:p>
            <w:pPr>
              <w:jc w:val="right"/>
              <w:ind w:right="74"/>
              <w:spacing w:after="0"/>
              <w:rPr>
                <w:sz w:val="20"/>
                <w:szCs w:val="20"/>
                <w:color w:val="auto"/>
              </w:rPr>
            </w:pPr>
            <w:r>
              <w:rPr>
                <w:rFonts w:ascii="Arial" w:cs="Arial" w:eastAsia="Arial" w:hAnsi="Arial"/>
                <w:sz w:val="13"/>
                <w:szCs w:val="13"/>
                <w:color w:val="auto"/>
              </w:rPr>
              <w:t>11,000</w:t>
            </w:r>
          </w:p>
        </w:tc>
        <w:tc>
          <w:tcPr>
            <w:tcW w:w="780" w:type="dxa"/>
            <w:vAlign w:val="bottom"/>
          </w:tcPr>
          <w:p>
            <w:pPr>
              <w:jc w:val="right"/>
              <w:ind w:right="73"/>
              <w:spacing w:after="0"/>
              <w:rPr>
                <w:sz w:val="20"/>
                <w:szCs w:val="20"/>
                <w:color w:val="auto"/>
              </w:rPr>
            </w:pPr>
            <w:r>
              <w:rPr>
                <w:rFonts w:ascii="Arial" w:cs="Arial" w:eastAsia="Arial" w:hAnsi="Arial"/>
                <w:sz w:val="13"/>
                <w:szCs w:val="13"/>
                <w:color w:val="auto"/>
              </w:rPr>
              <w:t>27,270</w:t>
            </w:r>
          </w:p>
        </w:tc>
        <w:tc>
          <w:tcPr>
            <w:tcW w:w="1140" w:type="dxa"/>
            <w:vAlign w:val="bottom"/>
          </w:tcPr>
          <w:p>
            <w:pPr>
              <w:jc w:val="right"/>
              <w:ind w:right="13"/>
              <w:spacing w:after="0"/>
              <w:rPr>
                <w:sz w:val="20"/>
                <w:szCs w:val="20"/>
                <w:color w:val="auto"/>
              </w:rPr>
            </w:pPr>
            <w:r>
              <w:rPr>
                <w:rFonts w:ascii="Arial" w:cs="Arial" w:eastAsia="Arial" w:hAnsi="Arial"/>
                <w:sz w:val="13"/>
                <w:szCs w:val="13"/>
                <w:color w:val="auto"/>
              </w:rPr>
              <w:t>38,270</w:t>
            </w:r>
          </w:p>
        </w:tc>
        <w:tc>
          <w:tcPr>
            <w:tcW w:w="0" w:type="dxa"/>
            <w:vAlign w:val="bottom"/>
          </w:tcPr>
          <w:p>
            <w:pPr>
              <w:spacing w:after="0"/>
              <w:rPr>
                <w:sz w:val="1"/>
                <w:szCs w:val="1"/>
                <w:color w:val="auto"/>
              </w:rPr>
            </w:pPr>
          </w:p>
        </w:tc>
      </w:tr>
      <w:tr>
        <w:trPr>
          <w:trHeight w:val="41"/>
        </w:trPr>
        <w:tc>
          <w:tcPr>
            <w:tcW w:w="4300" w:type="dxa"/>
            <w:vAlign w:val="bottom"/>
            <w:tcBorders>
              <w:bottom w:val="single" w:sz="8" w:color="DFF1FB"/>
            </w:tcBorders>
          </w:tcPr>
          <w:p>
            <w:pPr>
              <w:spacing w:after="0"/>
              <w:rPr>
                <w:sz w:val="3"/>
                <w:szCs w:val="3"/>
                <w:color w:val="auto"/>
              </w:rPr>
            </w:pPr>
          </w:p>
        </w:tc>
        <w:tc>
          <w:tcPr>
            <w:tcW w:w="4120" w:type="dxa"/>
            <w:vAlign w:val="bottom"/>
            <w:tcBorders>
              <w:bottom w:val="single" w:sz="8" w:color="DFF1FB"/>
            </w:tcBorders>
          </w:tcPr>
          <w:p>
            <w:pPr>
              <w:spacing w:after="0"/>
              <w:rPr>
                <w:sz w:val="3"/>
                <w:szCs w:val="3"/>
                <w:color w:val="auto"/>
              </w:rPr>
            </w:pPr>
          </w:p>
        </w:tc>
        <w:tc>
          <w:tcPr>
            <w:tcW w:w="800" w:type="dxa"/>
            <w:vAlign w:val="bottom"/>
            <w:tcBorders>
              <w:bottom w:val="single" w:sz="8" w:color="DFF1FB"/>
            </w:tcBorders>
          </w:tcPr>
          <w:p>
            <w:pPr>
              <w:spacing w:after="0"/>
              <w:rPr>
                <w:sz w:val="3"/>
                <w:szCs w:val="3"/>
                <w:color w:val="auto"/>
              </w:rPr>
            </w:pPr>
          </w:p>
        </w:tc>
        <w:tc>
          <w:tcPr>
            <w:tcW w:w="780" w:type="dxa"/>
            <w:vAlign w:val="bottom"/>
            <w:tcBorders>
              <w:bottom w:val="single" w:sz="8" w:color="DFF1FB"/>
            </w:tcBorders>
          </w:tcPr>
          <w:p>
            <w:pPr>
              <w:spacing w:after="0"/>
              <w:rPr>
                <w:sz w:val="3"/>
                <w:szCs w:val="3"/>
                <w:color w:val="auto"/>
              </w:rPr>
            </w:pPr>
          </w:p>
        </w:tc>
        <w:tc>
          <w:tcPr>
            <w:tcW w:w="1140" w:type="dxa"/>
            <w:vAlign w:val="bottom"/>
            <w:tcBorders>
              <w:bottom w:val="single" w:sz="8" w:color="DFF1FB"/>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4300" w:type="dxa"/>
            <w:vAlign w:val="bottom"/>
          </w:tcPr>
          <w:p>
            <w:pPr>
              <w:ind w:left="60"/>
              <w:spacing w:after="0"/>
              <w:rPr>
                <w:sz w:val="20"/>
                <w:szCs w:val="20"/>
                <w:color w:val="auto"/>
              </w:rPr>
            </w:pPr>
            <w:r>
              <w:rPr>
                <w:rFonts w:ascii="Arial" w:cs="Arial" w:eastAsia="Arial" w:hAnsi="Arial"/>
                <w:sz w:val="13"/>
                <w:szCs w:val="13"/>
                <w:b w:val="1"/>
                <w:bCs w:val="1"/>
                <w:color w:val="105FAB"/>
              </w:rPr>
              <w:t>Mr. Shebik</w:t>
            </w:r>
          </w:p>
        </w:tc>
        <w:tc>
          <w:tcPr>
            <w:tcW w:w="4120" w:type="dxa"/>
            <w:vAlign w:val="bottom"/>
          </w:tcPr>
          <w:p>
            <w:pPr>
              <w:jc w:val="right"/>
              <w:ind w:right="74"/>
              <w:spacing w:after="0"/>
              <w:rPr>
                <w:sz w:val="20"/>
                <w:szCs w:val="20"/>
                <w:color w:val="auto"/>
              </w:rPr>
            </w:pPr>
            <w:r>
              <w:rPr>
                <w:rFonts w:ascii="Arial" w:cs="Arial" w:eastAsia="Arial" w:hAnsi="Arial"/>
                <w:sz w:val="13"/>
                <w:szCs w:val="13"/>
                <w:color w:val="auto"/>
              </w:rPr>
              <w:t>0</w:t>
            </w:r>
          </w:p>
        </w:tc>
        <w:tc>
          <w:tcPr>
            <w:tcW w:w="800" w:type="dxa"/>
            <w:vAlign w:val="bottom"/>
          </w:tcPr>
          <w:p>
            <w:pPr>
              <w:jc w:val="right"/>
              <w:ind w:right="74"/>
              <w:spacing w:after="0"/>
              <w:rPr>
                <w:sz w:val="20"/>
                <w:szCs w:val="20"/>
                <w:color w:val="auto"/>
              </w:rPr>
            </w:pPr>
            <w:r>
              <w:rPr>
                <w:rFonts w:ascii="Arial" w:cs="Arial" w:eastAsia="Arial" w:hAnsi="Arial"/>
                <w:sz w:val="13"/>
                <w:szCs w:val="13"/>
                <w:color w:val="auto"/>
              </w:rPr>
              <w:t>11,000</w:t>
            </w:r>
          </w:p>
        </w:tc>
        <w:tc>
          <w:tcPr>
            <w:tcW w:w="780" w:type="dxa"/>
            <w:vAlign w:val="bottom"/>
          </w:tcPr>
          <w:p>
            <w:pPr>
              <w:jc w:val="right"/>
              <w:ind w:right="73"/>
              <w:spacing w:after="0"/>
              <w:rPr>
                <w:sz w:val="20"/>
                <w:szCs w:val="20"/>
                <w:color w:val="auto"/>
              </w:rPr>
            </w:pPr>
            <w:r>
              <w:rPr>
                <w:rFonts w:ascii="Arial" w:cs="Arial" w:eastAsia="Arial" w:hAnsi="Arial"/>
                <w:sz w:val="13"/>
                <w:szCs w:val="13"/>
                <w:color w:val="auto"/>
              </w:rPr>
              <w:t>26,560</w:t>
            </w:r>
          </w:p>
        </w:tc>
        <w:tc>
          <w:tcPr>
            <w:tcW w:w="1140" w:type="dxa"/>
            <w:vAlign w:val="bottom"/>
          </w:tcPr>
          <w:p>
            <w:pPr>
              <w:jc w:val="right"/>
              <w:ind w:right="13"/>
              <w:spacing w:after="0"/>
              <w:rPr>
                <w:sz w:val="20"/>
                <w:szCs w:val="20"/>
                <w:color w:val="auto"/>
              </w:rPr>
            </w:pPr>
            <w:r>
              <w:rPr>
                <w:rFonts w:ascii="Arial" w:cs="Arial" w:eastAsia="Arial" w:hAnsi="Arial"/>
                <w:sz w:val="13"/>
                <w:szCs w:val="13"/>
                <w:color w:val="auto"/>
              </w:rPr>
              <w:t>37,560</w:t>
            </w:r>
          </w:p>
        </w:tc>
        <w:tc>
          <w:tcPr>
            <w:tcW w:w="0" w:type="dxa"/>
            <w:vAlign w:val="bottom"/>
          </w:tcPr>
          <w:p>
            <w:pPr>
              <w:spacing w:after="0"/>
              <w:rPr>
                <w:sz w:val="1"/>
                <w:szCs w:val="1"/>
                <w:color w:val="auto"/>
              </w:rPr>
            </w:pPr>
          </w:p>
        </w:tc>
      </w:tr>
      <w:tr>
        <w:trPr>
          <w:trHeight w:val="48"/>
        </w:trPr>
        <w:tc>
          <w:tcPr>
            <w:tcW w:w="4300" w:type="dxa"/>
            <w:vAlign w:val="bottom"/>
            <w:tcBorders>
              <w:bottom w:val="single" w:sz="8" w:color="105FAB"/>
            </w:tcBorders>
          </w:tcPr>
          <w:p>
            <w:pPr>
              <w:spacing w:after="0"/>
              <w:rPr>
                <w:sz w:val="4"/>
                <w:szCs w:val="4"/>
                <w:color w:val="auto"/>
              </w:rPr>
            </w:pPr>
          </w:p>
        </w:tc>
        <w:tc>
          <w:tcPr>
            <w:tcW w:w="4120" w:type="dxa"/>
            <w:vAlign w:val="bottom"/>
            <w:tcBorders>
              <w:bottom w:val="single" w:sz="8" w:color="105FAB"/>
            </w:tcBorders>
          </w:tcPr>
          <w:p>
            <w:pPr>
              <w:spacing w:after="0"/>
              <w:rPr>
                <w:sz w:val="4"/>
                <w:szCs w:val="4"/>
                <w:color w:val="auto"/>
              </w:rPr>
            </w:pPr>
          </w:p>
        </w:tc>
        <w:tc>
          <w:tcPr>
            <w:tcW w:w="800" w:type="dxa"/>
            <w:vAlign w:val="bottom"/>
            <w:tcBorders>
              <w:bottom w:val="single" w:sz="8" w:color="105FAB"/>
            </w:tcBorders>
          </w:tcPr>
          <w:p>
            <w:pPr>
              <w:spacing w:after="0"/>
              <w:rPr>
                <w:sz w:val="4"/>
                <w:szCs w:val="4"/>
                <w:color w:val="auto"/>
              </w:rPr>
            </w:pPr>
          </w:p>
        </w:tc>
        <w:tc>
          <w:tcPr>
            <w:tcW w:w="780" w:type="dxa"/>
            <w:vAlign w:val="bottom"/>
            <w:tcBorders>
              <w:bottom w:val="single" w:sz="8" w:color="105FAB"/>
            </w:tcBorders>
          </w:tcPr>
          <w:p>
            <w:pPr>
              <w:spacing w:after="0"/>
              <w:rPr>
                <w:sz w:val="4"/>
                <w:szCs w:val="4"/>
                <w:color w:val="auto"/>
              </w:rPr>
            </w:pPr>
          </w:p>
        </w:tc>
        <w:tc>
          <w:tcPr>
            <w:tcW w:w="1140" w:type="dxa"/>
            <w:vAlign w:val="bottom"/>
            <w:tcBorders>
              <w:bottom w:val="single" w:sz="8" w:color="105FAB"/>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560" w:right="20" w:hanging="282"/>
        <w:spacing w:after="0" w:line="243" w:lineRule="auto"/>
        <w:tabs>
          <w:tab w:leader="none" w:pos="560" w:val="left"/>
        </w:tabs>
        <w:numPr>
          <w:ilvl w:val="0"/>
          <w:numId w:val="189"/>
        </w:numPr>
        <w:rPr>
          <w:rFonts w:ascii="Arial" w:cs="Arial" w:eastAsia="Arial" w:hAnsi="Arial"/>
          <w:sz w:val="11"/>
          <w:szCs w:val="11"/>
          <w:color w:val="auto"/>
        </w:rPr>
      </w:pPr>
      <w:r>
        <w:rPr>
          <w:rFonts w:ascii="Arial" w:cs="Arial" w:eastAsia="Arial" w:hAnsi="Arial"/>
          <w:sz w:val="13"/>
          <w:szCs w:val="13"/>
          <w:color w:val="auto"/>
        </w:rPr>
        <w:t>The amount reported for personal use of aircraft is based on the incremental cost method, which is calculated based on Allstate’s average variable costs per flight hour. Variable costs include fuel, maintenance, on-board catering, landing/ramp fees, and other miscellaneous variable costs. The total annual variable costs are divided by the annual number of flight hours flown by the aircraft to derive an average variable cost per flight hour. This average variable cost per flight hour is then multiplied by the flight hours flown for personal use to derive the incremental cost. This method of calculating the incremental cost excludes fixed costs that do not change based on usage, such as pilots’ and other employees’ salaries, costs incurred in purchasing the aircraft, and non-trip-related hangar expenses.</w:t>
      </w:r>
    </w:p>
    <w:p>
      <w:pPr>
        <w:spacing w:after="0" w:line="201" w:lineRule="exact"/>
        <w:rPr>
          <w:sz w:val="20"/>
          <w:szCs w:val="20"/>
          <w:color w:val="auto"/>
        </w:rPr>
      </w:pPr>
    </w:p>
    <w:p>
      <w:pPr>
        <w:ind w:left="460" w:hanging="452"/>
        <w:spacing w:after="0"/>
        <w:tabs>
          <w:tab w:leader="none" w:pos="460" w:val="left"/>
        </w:tabs>
        <w:numPr>
          <w:ilvl w:val="0"/>
          <w:numId w:val="190"/>
        </w:numPr>
        <w:rPr>
          <w:rFonts w:ascii="Arial" w:cs="Arial" w:eastAsia="Arial" w:hAnsi="Arial"/>
          <w:sz w:val="13"/>
          <w:szCs w:val="13"/>
          <w:b w:val="1"/>
          <w:bCs w:val="1"/>
          <w:color w:val="105EAB"/>
        </w:rPr>
      </w:pPr>
      <w:r>
        <w:rPr>
          <w:rFonts w:ascii="Arial" w:cs="Arial" w:eastAsia="Arial" w:hAnsi="Arial"/>
          <w:sz w:val="13"/>
          <w:szCs w:val="13"/>
          <w:color w:val="105EAB"/>
        </w:rPr>
        <w:t>www.allstateproxy.com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134620</wp:posOffset>
            </wp:positionV>
            <wp:extent cx="7268210" cy="209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jc w:val="right"/>
        <w:ind w:right="20"/>
        <w:spacing w:after="0"/>
        <w:rPr>
          <w:sz w:val="20"/>
          <w:szCs w:val="20"/>
          <w:color w:val="auto"/>
        </w:rPr>
      </w:pPr>
      <w:r>
        <w:rPr>
          <w:rFonts w:ascii="Arial" w:cs="Arial" w:eastAsia="Arial" w:hAnsi="Arial"/>
          <w:sz w:val="13"/>
          <w:szCs w:val="13"/>
          <w:b w:val="1"/>
          <w:bCs w:val="1"/>
          <w:color w:val="auto"/>
        </w:rPr>
        <w:t xml:space="preserve">Summary Compensation Table </w:t>
      </w:r>
      <w:r>
        <w:rPr>
          <w:rFonts w:ascii="Arial" w:cs="Arial" w:eastAsia="Arial" w:hAnsi="Arial"/>
          <w:sz w:val="13"/>
          <w:szCs w:val="13"/>
          <w:b w:val="1"/>
          <w:bCs w:val="1"/>
          <w:color w:val="105EAB"/>
        </w:rPr>
        <w:t>| Executive Compensation</w:t>
      </w:r>
    </w:p>
    <w:p>
      <w:pPr>
        <w:spacing w:after="0" w:line="231" w:lineRule="exact"/>
        <w:rPr>
          <w:sz w:val="20"/>
          <w:szCs w:val="20"/>
          <w:color w:val="auto"/>
        </w:rPr>
      </w:pPr>
    </w:p>
    <w:p>
      <w:pPr>
        <w:ind w:left="580" w:right="120" w:hanging="289"/>
        <w:spacing w:after="0" w:line="238" w:lineRule="auto"/>
        <w:tabs>
          <w:tab w:leader="none" w:pos="580" w:val="left"/>
        </w:tabs>
        <w:numPr>
          <w:ilvl w:val="1"/>
          <w:numId w:val="191"/>
        </w:numPr>
        <w:rPr>
          <w:rFonts w:ascii="Arial" w:cs="Arial" w:eastAsia="Arial" w:hAnsi="Arial"/>
          <w:sz w:val="11"/>
          <w:szCs w:val="11"/>
          <w:color w:val="auto"/>
        </w:rPr>
      </w:pPr>
      <w:r>
        <w:rPr>
          <w:rFonts w:ascii="Arial" w:cs="Arial" w:eastAsia="Arial" w:hAnsi="Arial"/>
          <w:sz w:val="13"/>
          <w:szCs w:val="13"/>
          <w:color w:val="auto"/>
        </w:rPr>
        <w:t>Each of the named executives participated in our 401(k) plan during 2018. The amount shown is the amount allocated to their accounts as employer matching contributions. Each of Messrs. Dugenske and Shapiro will not be vested in the employer matching contribution until they have completed three years of vesting service, respectively.</w:t>
      </w:r>
    </w:p>
    <w:p>
      <w:pPr>
        <w:ind w:left="580" w:right="40" w:hanging="289"/>
        <w:spacing w:after="0" w:line="238" w:lineRule="auto"/>
        <w:tabs>
          <w:tab w:leader="none" w:pos="580" w:val="left"/>
        </w:tabs>
        <w:numPr>
          <w:ilvl w:val="1"/>
          <w:numId w:val="191"/>
        </w:numPr>
        <w:rPr>
          <w:rFonts w:ascii="Arial" w:cs="Arial" w:eastAsia="Arial" w:hAnsi="Arial"/>
          <w:sz w:val="11"/>
          <w:szCs w:val="11"/>
          <w:color w:val="auto"/>
        </w:rPr>
      </w:pPr>
      <w:r>
        <w:rPr>
          <w:rFonts w:ascii="Arial" w:cs="Arial" w:eastAsia="Arial" w:hAnsi="Arial"/>
          <w:sz w:val="13"/>
          <w:szCs w:val="13"/>
          <w:color w:val="auto"/>
        </w:rPr>
        <w:t>“Other” consists of personal benefits and perquisites related to mobile devices, tax preparation services, financial planning, ground transportation, executive physical related items and supplemental long-term disability coverage. There was no incremental cost for the use of mobile devices. We provide supplemental long-term disability coverage to all regular full- and part-time employees who participate in the long-term disability plan and whose annual earnings exceed the level that produces the maximum monthly benefit provided by the long-term disability plan. This coverage is self-insured (funded and paid for by Allstate when obligations are incurred). No obligations for the named executives were incurred in 2018, and therefore, no incremental cost is reflected in the table.</w:t>
      </w:r>
    </w:p>
    <w:p>
      <w:pPr>
        <w:jc w:val="both"/>
        <w:ind w:left="300" w:right="140" w:hanging="292"/>
        <w:spacing w:after="0" w:line="248" w:lineRule="auto"/>
        <w:tabs>
          <w:tab w:leader="none" w:pos="300" w:val="left"/>
        </w:tabs>
        <w:numPr>
          <w:ilvl w:val="0"/>
          <w:numId w:val="192"/>
        </w:numPr>
        <w:rPr>
          <w:rFonts w:ascii="Arial" w:cs="Arial" w:eastAsia="Arial" w:hAnsi="Arial"/>
          <w:sz w:val="11"/>
          <w:szCs w:val="11"/>
          <w:color w:val="auto"/>
        </w:rPr>
      </w:pPr>
      <w:r>
        <w:rPr>
          <w:rFonts w:ascii="Arial" w:cs="Arial" w:eastAsia="Arial" w:hAnsi="Arial"/>
          <w:sz w:val="13"/>
          <w:szCs w:val="13"/>
          <w:color w:val="auto"/>
        </w:rPr>
        <w:t>We have included an additional column to show total compensation minus the change in pension value. The amounts reported in this column may differ substantially from, and are not a substitute for, the amounts reported in the “Total” column required under SEC rules. The change in pension value is subject to several external variables, including interest rates, that are not related to Company or individual performance and may differ significantly based on the formula under which the benefits were earned.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1120" w:type="dxa"/>
            <w:vAlign w:val="bottom"/>
          </w:tcPr>
          <w:p>
            <w:pPr>
              <w:ind w:left="9640"/>
              <w:spacing w:after="0"/>
              <w:rPr>
                <w:sz w:val="20"/>
                <w:szCs w:val="20"/>
                <w:color w:val="auto"/>
              </w:rPr>
            </w:pPr>
            <w:r>
              <w:rPr>
                <w:rFonts w:ascii="Arial" w:cs="Arial" w:eastAsia="Arial" w:hAnsi="Arial"/>
                <w:sz w:val="13"/>
                <w:szCs w:val="13"/>
                <w:color w:val="105EAB"/>
              </w:rPr>
              <w:t>2019 Proxy Statement</w:t>
            </w:r>
          </w:p>
        </w:tc>
        <w:tc>
          <w:tcPr>
            <w:tcW w:w="320" w:type="dxa"/>
            <w:vAlign w:val="bottom"/>
          </w:tcPr>
          <w:p>
            <w:pPr>
              <w:jc w:val="right"/>
              <w:spacing w:after="0"/>
              <w:rPr>
                <w:sz w:val="20"/>
                <w:szCs w:val="20"/>
                <w:color w:val="auto"/>
              </w:rPr>
            </w:pPr>
            <w:r>
              <w:rPr>
                <w:rFonts w:ascii="Arial" w:cs="Arial" w:eastAsia="Arial" w:hAnsi="Arial"/>
                <w:sz w:val="13"/>
                <w:szCs w:val="13"/>
                <w:b w:val="1"/>
                <w:bCs w:val="1"/>
                <w:color w:val="105EAB"/>
              </w:rPr>
              <w:t>55</w:t>
            </w:r>
          </w:p>
        </w:tc>
      </w:tr>
      <w:tr>
        <w:trPr>
          <w:trHeight w:val="213"/>
        </w:trPr>
        <w:tc>
          <w:tcPr>
            <w:tcW w:w="1112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-13970</wp:posOffset>
            </wp:positionV>
            <wp:extent cx="1270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b w:val="1"/>
          <w:bCs w:val="1"/>
          <w:color w:val="105EAB"/>
        </w:rPr>
        <w:t xml:space="preserve">Executive Compensation | </w:t>
      </w:r>
      <w:r>
        <w:rPr>
          <w:rFonts w:ascii="Arial" w:cs="Arial" w:eastAsia="Arial" w:hAnsi="Arial"/>
          <w:sz w:val="13"/>
          <w:szCs w:val="13"/>
          <w:b w:val="1"/>
          <w:bCs w:val="1"/>
          <w:color w:val="000000"/>
        </w:rPr>
        <w:t>Grants of Plan-Based Awards at Fiscal Year-end 2018</w:t>
      </w:r>
    </w:p>
    <w:p>
      <w:pPr>
        <w:spacing w:after="0" w:line="200" w:lineRule="exact"/>
        <w:rPr>
          <w:sz w:val="20"/>
          <w:szCs w:val="20"/>
          <w:color w:val="auto"/>
        </w:rPr>
      </w:pPr>
    </w:p>
    <w:p>
      <w:pPr>
        <w:spacing w:after="0"/>
        <w:rPr>
          <w:sz w:val="20"/>
          <w:szCs w:val="20"/>
          <w:color w:val="auto"/>
        </w:rPr>
      </w:pPr>
      <w:r>
        <w:rPr>
          <w:rFonts w:ascii="Arial" w:cs="Arial" w:eastAsia="Arial" w:hAnsi="Arial"/>
          <w:sz w:val="31"/>
          <w:szCs w:val="31"/>
          <w:b w:val="1"/>
          <w:bCs w:val="1"/>
          <w:color w:val="959595"/>
        </w:rPr>
        <w:t>Grants of Plan-Based Awards at Fiscal Year-end 2018</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awards granted to our named executives during fiscal year 2018.</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b w:val="1"/>
                <w:bCs w:val="1"/>
                <w:color w:val="105FAB"/>
              </w:rPr>
              <w:t>All Other</w:t>
            </w: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3"/>
                <w:szCs w:val="13"/>
                <w:b w:val="1"/>
                <w:bCs w:val="1"/>
                <w:color w:val="105FAB"/>
              </w:rPr>
              <w:t>Option</w:t>
            </w:r>
          </w:p>
        </w:tc>
        <w:tc>
          <w:tcPr>
            <w:tcW w:w="680" w:type="dxa"/>
            <w:vAlign w:val="bottom"/>
            <w:vMerge w:val="restart"/>
          </w:tcPr>
          <w:p>
            <w:pPr>
              <w:jc w:val="right"/>
              <w:ind w:right="15"/>
              <w:spacing w:after="0"/>
              <w:rPr>
                <w:sz w:val="20"/>
                <w:szCs w:val="20"/>
                <w:color w:val="auto"/>
              </w:rPr>
            </w:pPr>
            <w:r>
              <w:rPr>
                <w:rFonts w:ascii="Arial" w:cs="Arial" w:eastAsia="Arial" w:hAnsi="Arial"/>
                <w:sz w:val="13"/>
                <w:szCs w:val="13"/>
                <w:b w:val="1"/>
                <w:bCs w:val="1"/>
                <w:color w:val="105FAB"/>
              </w:rPr>
              <w:t>Exercise</w:t>
            </w: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0" w:type="dxa"/>
            <w:vAlign w:val="bottom"/>
            <w:gridSpan w:val="4"/>
          </w:tcPr>
          <w:p>
            <w:pPr>
              <w:jc w:val="center"/>
              <w:ind w:right="80"/>
              <w:spacing w:after="0" w:line="138" w:lineRule="exact"/>
              <w:rPr>
                <w:sz w:val="20"/>
                <w:szCs w:val="20"/>
                <w:color w:val="auto"/>
              </w:rPr>
            </w:pPr>
            <w:r>
              <w:rPr>
                <w:rFonts w:ascii="Arial" w:cs="Arial" w:eastAsia="Arial" w:hAnsi="Arial"/>
                <w:sz w:val="13"/>
                <w:szCs w:val="13"/>
                <w:b w:val="1"/>
                <w:bCs w:val="1"/>
                <w:color w:val="105FAB"/>
              </w:rPr>
              <w:t>Estimated Possible Payouts</w:t>
            </w:r>
          </w:p>
        </w:tc>
        <w:tc>
          <w:tcPr>
            <w:tcW w:w="1920" w:type="dxa"/>
            <w:vAlign w:val="bottom"/>
            <w:gridSpan w:val="4"/>
          </w:tcPr>
          <w:p>
            <w:pPr>
              <w:jc w:val="center"/>
              <w:ind w:right="60"/>
              <w:spacing w:after="0" w:line="138" w:lineRule="exact"/>
              <w:rPr>
                <w:sz w:val="20"/>
                <w:szCs w:val="20"/>
                <w:color w:val="auto"/>
              </w:rPr>
            </w:pPr>
            <w:r>
              <w:rPr>
                <w:rFonts w:ascii="Arial" w:cs="Arial" w:eastAsia="Arial" w:hAnsi="Arial"/>
                <w:sz w:val="13"/>
                <w:szCs w:val="13"/>
                <w:b w:val="1"/>
                <w:bCs w:val="1"/>
                <w:color w:val="105FAB"/>
              </w:rPr>
              <w:t>Estimated Future Payouts</w:t>
            </w:r>
          </w:p>
        </w:tc>
        <w:tc>
          <w:tcPr>
            <w:tcW w:w="800" w:type="dxa"/>
            <w:vAlign w:val="bottom"/>
          </w:tcPr>
          <w:p>
            <w:pPr>
              <w:jc w:val="right"/>
              <w:spacing w:after="0" w:line="138" w:lineRule="exact"/>
              <w:rPr>
                <w:sz w:val="20"/>
                <w:szCs w:val="20"/>
                <w:color w:val="auto"/>
              </w:rPr>
            </w:pPr>
            <w:r>
              <w:rPr>
                <w:rFonts w:ascii="Arial" w:cs="Arial" w:eastAsia="Arial" w:hAnsi="Arial"/>
                <w:sz w:val="13"/>
                <w:szCs w:val="13"/>
                <w:b w:val="1"/>
                <w:bCs w:val="1"/>
                <w:color w:val="105FAB"/>
              </w:rPr>
              <w:t>Awards:</w:t>
            </w:r>
          </w:p>
        </w:tc>
        <w:tc>
          <w:tcPr>
            <w:tcW w:w="680" w:type="dxa"/>
            <w:vAlign w:val="bottom"/>
            <w:vMerge w:val="continue"/>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0" w:type="dxa"/>
            <w:vAlign w:val="bottom"/>
            <w:gridSpan w:val="4"/>
          </w:tcPr>
          <w:p>
            <w:pPr>
              <w:jc w:val="center"/>
              <w:ind w:right="80"/>
              <w:spacing w:after="0" w:line="149" w:lineRule="exact"/>
              <w:rPr>
                <w:sz w:val="20"/>
                <w:szCs w:val="20"/>
                <w:color w:val="auto"/>
              </w:rPr>
            </w:pPr>
            <w:r>
              <w:rPr>
                <w:rFonts w:ascii="Arial" w:cs="Arial" w:eastAsia="Arial" w:hAnsi="Arial"/>
                <w:sz w:val="13"/>
                <w:szCs w:val="13"/>
                <w:b w:val="1"/>
                <w:bCs w:val="1"/>
                <w:color w:val="105FAB"/>
              </w:rPr>
              <w:t>Under Non-Equity Incentive</w:t>
            </w:r>
          </w:p>
        </w:tc>
        <w:tc>
          <w:tcPr>
            <w:tcW w:w="1920" w:type="dxa"/>
            <w:vAlign w:val="bottom"/>
            <w:gridSpan w:val="4"/>
          </w:tcPr>
          <w:p>
            <w:pPr>
              <w:jc w:val="center"/>
              <w:ind w:right="60"/>
              <w:spacing w:after="0" w:line="149" w:lineRule="exact"/>
              <w:rPr>
                <w:sz w:val="20"/>
                <w:szCs w:val="20"/>
                <w:color w:val="auto"/>
              </w:rPr>
            </w:pPr>
            <w:r>
              <w:rPr>
                <w:rFonts w:ascii="Arial" w:cs="Arial" w:eastAsia="Arial" w:hAnsi="Arial"/>
                <w:sz w:val="13"/>
                <w:szCs w:val="13"/>
                <w:b w:val="1"/>
                <w:bCs w:val="1"/>
                <w:color w:val="105FAB"/>
              </w:rPr>
              <w:t>Under Equity Incentive</w:t>
            </w:r>
          </w:p>
        </w:tc>
        <w:tc>
          <w:tcPr>
            <w:tcW w:w="800" w:type="dxa"/>
            <w:vAlign w:val="bottom"/>
          </w:tcPr>
          <w:p>
            <w:pPr>
              <w:jc w:val="right"/>
              <w:spacing w:after="0" w:line="149" w:lineRule="exact"/>
              <w:rPr>
                <w:sz w:val="20"/>
                <w:szCs w:val="20"/>
                <w:color w:val="auto"/>
              </w:rPr>
            </w:pPr>
            <w:r>
              <w:rPr>
                <w:rFonts w:ascii="Arial" w:cs="Arial" w:eastAsia="Arial" w:hAnsi="Arial"/>
                <w:sz w:val="13"/>
                <w:szCs w:val="13"/>
                <w:b w:val="1"/>
                <w:bCs w:val="1"/>
                <w:color w:val="105FAB"/>
              </w:rPr>
              <w:t>Number of</w:t>
            </w:r>
          </w:p>
        </w:tc>
        <w:tc>
          <w:tcPr>
            <w:tcW w:w="680" w:type="dxa"/>
            <w:vAlign w:val="bottom"/>
          </w:tcPr>
          <w:p>
            <w:pPr>
              <w:jc w:val="right"/>
              <w:ind w:right="15"/>
              <w:spacing w:after="0" w:line="149" w:lineRule="exact"/>
              <w:rPr>
                <w:sz w:val="20"/>
                <w:szCs w:val="20"/>
                <w:color w:val="auto"/>
              </w:rPr>
            </w:pPr>
            <w:r>
              <w:rPr>
                <w:rFonts w:ascii="Arial" w:cs="Arial" w:eastAsia="Arial" w:hAnsi="Arial"/>
                <w:sz w:val="13"/>
                <w:szCs w:val="13"/>
                <w:b w:val="1"/>
                <w:bCs w:val="1"/>
                <w:color w:val="105FAB"/>
              </w:rPr>
              <w:t>or Base</w:t>
            </w:r>
          </w:p>
        </w:tc>
        <w:tc>
          <w:tcPr>
            <w:tcW w:w="1360" w:type="dxa"/>
            <w:vAlign w:val="bottom"/>
            <w:gridSpan w:val="2"/>
          </w:tcPr>
          <w:p>
            <w:pPr>
              <w:jc w:val="right"/>
              <w:ind w:right="273"/>
              <w:spacing w:after="0" w:line="149" w:lineRule="exact"/>
              <w:rPr>
                <w:sz w:val="20"/>
                <w:szCs w:val="20"/>
                <w:color w:val="auto"/>
              </w:rPr>
            </w:pPr>
            <w:r>
              <w:rPr>
                <w:rFonts w:ascii="Arial" w:cs="Arial" w:eastAsia="Arial" w:hAnsi="Arial"/>
                <w:sz w:val="13"/>
                <w:szCs w:val="13"/>
                <w:b w:val="1"/>
                <w:bCs w:val="1"/>
                <w:color w:val="105FAB"/>
              </w:rPr>
              <w:t>Grant Date</w:t>
            </w:r>
          </w:p>
        </w:tc>
        <w:tc>
          <w:tcPr>
            <w:tcW w:w="0" w:type="dxa"/>
            <w:vAlign w:val="bottom"/>
          </w:tcPr>
          <w:p>
            <w:pPr>
              <w:spacing w:after="0"/>
              <w:rPr>
                <w:sz w:val="1"/>
                <w:szCs w:val="1"/>
                <w:color w:val="auto"/>
              </w:rPr>
            </w:pPr>
          </w:p>
        </w:tc>
      </w:tr>
      <w:tr>
        <w:trPr>
          <w:trHeight w:val="189"/>
        </w:trPr>
        <w:tc>
          <w:tcPr>
            <w:tcW w:w="28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0" w:type="dxa"/>
            <w:vAlign w:val="bottom"/>
            <w:gridSpan w:val="4"/>
          </w:tcPr>
          <w:p>
            <w:pPr>
              <w:jc w:val="center"/>
              <w:ind w:right="80"/>
              <w:spacing w:after="0" w:line="189" w:lineRule="exact"/>
              <w:rPr>
                <w:sz w:val="20"/>
                <w:szCs w:val="20"/>
                <w:color w:val="auto"/>
              </w:rPr>
            </w:pPr>
            <w:r>
              <w:rPr>
                <w:rFonts w:ascii="Arial" w:cs="Arial" w:eastAsia="Arial" w:hAnsi="Arial"/>
                <w:sz w:val="13"/>
                <w:szCs w:val="13"/>
                <w:b w:val="1"/>
                <w:bCs w:val="1"/>
                <w:color w:val="105FAB"/>
              </w:rPr>
              <w:t>Plan Awards</w:t>
            </w:r>
            <w:r>
              <w:rPr>
                <w:rFonts w:ascii="Arial" w:cs="Arial" w:eastAsia="Arial" w:hAnsi="Arial"/>
                <w:sz w:val="21"/>
                <w:szCs w:val="21"/>
                <w:b w:val="1"/>
                <w:bCs w:val="1"/>
                <w:color w:val="105FAB"/>
                <w:vertAlign w:val="superscript"/>
              </w:rPr>
              <w:t>(2)</w:t>
            </w:r>
          </w:p>
        </w:tc>
        <w:tc>
          <w:tcPr>
            <w:tcW w:w="1920" w:type="dxa"/>
            <w:vAlign w:val="bottom"/>
            <w:gridSpan w:val="4"/>
          </w:tcPr>
          <w:p>
            <w:pPr>
              <w:jc w:val="center"/>
              <w:ind w:right="60"/>
              <w:spacing w:after="0" w:line="189" w:lineRule="exact"/>
              <w:rPr>
                <w:sz w:val="20"/>
                <w:szCs w:val="20"/>
                <w:color w:val="auto"/>
              </w:rPr>
            </w:pPr>
            <w:r>
              <w:rPr>
                <w:rFonts w:ascii="Arial" w:cs="Arial" w:eastAsia="Arial" w:hAnsi="Arial"/>
                <w:sz w:val="13"/>
                <w:szCs w:val="13"/>
                <w:b w:val="1"/>
                <w:bCs w:val="1"/>
                <w:color w:val="105FAB"/>
                <w:w w:val="98"/>
              </w:rPr>
              <w:t>Plan Awards</w:t>
            </w:r>
            <w:r>
              <w:rPr>
                <w:rFonts w:ascii="Arial" w:cs="Arial" w:eastAsia="Arial" w:hAnsi="Arial"/>
                <w:sz w:val="21"/>
                <w:szCs w:val="21"/>
                <w:b w:val="1"/>
                <w:bCs w:val="1"/>
                <w:color w:val="105FAB"/>
                <w:w w:val="98"/>
                <w:vertAlign w:val="superscript"/>
              </w:rPr>
              <w:t>(3)</w:t>
            </w:r>
          </w:p>
        </w:tc>
        <w:tc>
          <w:tcPr>
            <w:tcW w:w="800" w:type="dxa"/>
            <w:vAlign w:val="bottom"/>
          </w:tcPr>
          <w:p>
            <w:pPr>
              <w:jc w:val="right"/>
              <w:spacing w:after="0"/>
              <w:rPr>
                <w:sz w:val="20"/>
                <w:szCs w:val="20"/>
                <w:color w:val="auto"/>
              </w:rPr>
            </w:pPr>
            <w:r>
              <w:rPr>
                <w:rFonts w:ascii="Arial" w:cs="Arial" w:eastAsia="Arial" w:hAnsi="Arial"/>
                <w:sz w:val="13"/>
                <w:szCs w:val="13"/>
                <w:b w:val="1"/>
                <w:bCs w:val="1"/>
                <w:color w:val="105FAB"/>
              </w:rPr>
              <w:t>Securities</w:t>
            </w:r>
          </w:p>
        </w:tc>
        <w:tc>
          <w:tcPr>
            <w:tcW w:w="680" w:type="dxa"/>
            <w:vAlign w:val="bottom"/>
          </w:tcPr>
          <w:p>
            <w:pPr>
              <w:jc w:val="right"/>
              <w:ind w:right="15"/>
              <w:spacing w:after="0"/>
              <w:rPr>
                <w:sz w:val="20"/>
                <w:szCs w:val="20"/>
                <w:color w:val="auto"/>
              </w:rPr>
            </w:pPr>
            <w:r>
              <w:rPr>
                <w:rFonts w:ascii="Arial" w:cs="Arial" w:eastAsia="Arial" w:hAnsi="Arial"/>
                <w:sz w:val="13"/>
                <w:szCs w:val="13"/>
                <w:b w:val="1"/>
                <w:bCs w:val="1"/>
                <w:color w:val="105FAB"/>
              </w:rPr>
              <w:t>Price of</w:t>
            </w:r>
          </w:p>
        </w:tc>
        <w:tc>
          <w:tcPr>
            <w:tcW w:w="1360" w:type="dxa"/>
            <w:vAlign w:val="bottom"/>
            <w:gridSpan w:val="2"/>
          </w:tcPr>
          <w:p>
            <w:pPr>
              <w:jc w:val="right"/>
              <w:ind w:right="133"/>
              <w:spacing w:after="0" w:line="189" w:lineRule="exact"/>
              <w:rPr>
                <w:sz w:val="20"/>
                <w:szCs w:val="20"/>
                <w:color w:val="auto"/>
              </w:rPr>
            </w:pPr>
            <w:r>
              <w:rPr>
                <w:rFonts w:ascii="Arial" w:cs="Arial" w:eastAsia="Arial" w:hAnsi="Arial"/>
                <w:sz w:val="13"/>
                <w:szCs w:val="13"/>
                <w:b w:val="1"/>
                <w:bCs w:val="1"/>
                <w:color w:val="105FAB"/>
              </w:rPr>
              <w:t>Fair Value ($)</w:t>
            </w:r>
            <w:r>
              <w:rPr>
                <w:rFonts w:ascii="Arial" w:cs="Arial" w:eastAsia="Arial" w:hAnsi="Arial"/>
                <w:sz w:val="21"/>
                <w:szCs w:val="21"/>
                <w:b w:val="1"/>
                <w:bCs w:val="1"/>
                <w:color w:val="105FAB"/>
                <w:vertAlign w:val="superscript"/>
              </w:rPr>
              <w:t>(5)</w:t>
            </w:r>
          </w:p>
        </w:tc>
        <w:tc>
          <w:tcPr>
            <w:tcW w:w="0" w:type="dxa"/>
            <w:vAlign w:val="bottom"/>
          </w:tcPr>
          <w:p>
            <w:pPr>
              <w:spacing w:after="0"/>
              <w:rPr>
                <w:sz w:val="1"/>
                <w:szCs w:val="1"/>
                <w:color w:val="auto"/>
              </w:rPr>
            </w:pPr>
          </w:p>
        </w:tc>
      </w:tr>
      <w:tr>
        <w:trPr>
          <w:trHeight w:val="61"/>
        </w:trPr>
        <w:tc>
          <w:tcPr>
            <w:tcW w:w="28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Borders>
              <w:bottom w:val="single" w:sz="8" w:color="105FAB"/>
            </w:tcBorders>
          </w:tcPr>
          <w:p>
            <w:pPr>
              <w:spacing w:after="0"/>
              <w:rPr>
                <w:sz w:val="5"/>
                <w:szCs w:val="5"/>
                <w:color w:val="auto"/>
              </w:rPr>
            </w:pPr>
          </w:p>
        </w:tc>
        <w:tc>
          <w:tcPr>
            <w:tcW w:w="700" w:type="dxa"/>
            <w:vAlign w:val="bottom"/>
            <w:tcBorders>
              <w:bottom w:val="single" w:sz="8" w:color="105FAB"/>
            </w:tcBorders>
          </w:tcPr>
          <w:p>
            <w:pPr>
              <w:spacing w:after="0"/>
              <w:rPr>
                <w:sz w:val="5"/>
                <w:szCs w:val="5"/>
                <w:color w:val="auto"/>
              </w:rPr>
            </w:pPr>
          </w:p>
        </w:tc>
        <w:tc>
          <w:tcPr>
            <w:tcW w:w="720" w:type="dxa"/>
            <w:vAlign w:val="bottom"/>
            <w:tcBorders>
              <w:bottom w:val="single" w:sz="8" w:color="105FAB"/>
            </w:tcBorders>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Borders>
              <w:bottom w:val="single" w:sz="8" w:color="105FAB"/>
            </w:tcBorders>
          </w:tcPr>
          <w:p>
            <w:pPr>
              <w:spacing w:after="0"/>
              <w:rPr>
                <w:sz w:val="5"/>
                <w:szCs w:val="5"/>
                <w:color w:val="auto"/>
              </w:rPr>
            </w:pPr>
          </w:p>
        </w:tc>
        <w:tc>
          <w:tcPr>
            <w:tcW w:w="500" w:type="dxa"/>
            <w:vAlign w:val="bottom"/>
            <w:tcBorders>
              <w:bottom w:val="single" w:sz="8" w:color="105FAB"/>
            </w:tcBorders>
          </w:tcPr>
          <w:p>
            <w:pPr>
              <w:spacing w:after="0"/>
              <w:rPr>
                <w:sz w:val="5"/>
                <w:szCs w:val="5"/>
                <w:color w:val="auto"/>
              </w:rPr>
            </w:pPr>
          </w:p>
        </w:tc>
        <w:tc>
          <w:tcPr>
            <w:tcW w:w="680" w:type="dxa"/>
            <w:vAlign w:val="bottom"/>
            <w:tcBorders>
              <w:bottom w:val="single" w:sz="8" w:color="105FAB"/>
            </w:tcBorders>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vMerge w:val="restart"/>
          </w:tcPr>
          <w:p>
            <w:pPr>
              <w:jc w:val="right"/>
              <w:spacing w:after="0" w:line="108" w:lineRule="exact"/>
              <w:rPr>
                <w:sz w:val="20"/>
                <w:szCs w:val="20"/>
                <w:color w:val="auto"/>
              </w:rPr>
            </w:pPr>
            <w:r>
              <w:rPr>
                <w:rFonts w:ascii="Arial" w:cs="Arial" w:eastAsia="Arial" w:hAnsi="Arial"/>
                <w:sz w:val="12"/>
                <w:szCs w:val="12"/>
                <w:b w:val="1"/>
                <w:bCs w:val="1"/>
                <w:color w:val="105FAB"/>
              </w:rPr>
              <w:t>Underlying</w:t>
            </w:r>
          </w:p>
        </w:tc>
        <w:tc>
          <w:tcPr>
            <w:tcW w:w="680" w:type="dxa"/>
            <w:vAlign w:val="bottom"/>
            <w:vMerge w:val="restart"/>
          </w:tcPr>
          <w:p>
            <w:pPr>
              <w:jc w:val="right"/>
              <w:ind w:right="15"/>
              <w:spacing w:after="0" w:line="108" w:lineRule="exact"/>
              <w:rPr>
                <w:sz w:val="20"/>
                <w:szCs w:val="20"/>
                <w:color w:val="auto"/>
              </w:rPr>
            </w:pPr>
            <w:r>
              <w:rPr>
                <w:rFonts w:ascii="Arial" w:cs="Arial" w:eastAsia="Arial" w:hAnsi="Arial"/>
                <w:sz w:val="12"/>
                <w:szCs w:val="12"/>
                <w:b w:val="1"/>
                <w:bCs w:val="1"/>
                <w:color w:val="105FAB"/>
              </w:rPr>
              <w:t>Option</w:t>
            </w:r>
          </w:p>
        </w:tc>
        <w:tc>
          <w:tcPr>
            <w:tcW w:w="640" w:type="dxa"/>
            <w:vAlign w:val="bottom"/>
            <w:tcBorders>
              <w:bottom w:val="single" w:sz="8" w:color="105FAB"/>
            </w:tcBorders>
          </w:tcPr>
          <w:p>
            <w:pPr>
              <w:spacing w:after="0"/>
              <w:rPr>
                <w:sz w:val="5"/>
                <w:szCs w:val="5"/>
                <w:color w:val="auto"/>
              </w:rPr>
            </w:pPr>
          </w:p>
        </w:tc>
        <w:tc>
          <w:tcPr>
            <w:tcW w:w="720" w:type="dxa"/>
            <w:vAlign w:val="bottom"/>
            <w:tcBorders>
              <w:bottom w:val="single" w:sz="8" w:color="105FAB"/>
            </w:tcBorders>
          </w:tcPr>
          <w:p>
            <w:pPr>
              <w:spacing w:after="0"/>
              <w:rPr>
                <w:sz w:val="5"/>
                <w:szCs w:val="5"/>
                <w:color w:val="auto"/>
              </w:rPr>
            </w:pP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8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3"/>
                <w:szCs w:val="13"/>
                <w:b w:val="1"/>
                <w:bCs w:val="1"/>
                <w:color w:val="105FAB"/>
              </w:rPr>
              <w:t>Grant</w:t>
            </w:r>
          </w:p>
        </w:tc>
        <w:tc>
          <w:tcPr>
            <w:tcW w:w="880" w:type="dxa"/>
            <w:vAlign w:val="bottom"/>
            <w:gridSpan w:val="2"/>
          </w:tcPr>
          <w:p>
            <w:pPr>
              <w:jc w:val="right"/>
              <w:ind w:right="69"/>
              <w:spacing w:after="0" w:line="149" w:lineRule="exact"/>
              <w:rPr>
                <w:sz w:val="20"/>
                <w:szCs w:val="20"/>
                <w:color w:val="auto"/>
              </w:rPr>
            </w:pPr>
            <w:r>
              <w:rPr>
                <w:rFonts w:ascii="Arial" w:cs="Arial" w:eastAsia="Arial" w:hAnsi="Arial"/>
                <w:sz w:val="13"/>
                <w:szCs w:val="13"/>
                <w:b w:val="1"/>
                <w:bCs w:val="1"/>
                <w:color w:val="105FAB"/>
              </w:rPr>
              <w:t>Plan</w:t>
            </w:r>
          </w:p>
        </w:tc>
        <w:tc>
          <w:tcPr>
            <w:tcW w:w="700" w:type="dxa"/>
            <w:vAlign w:val="bottom"/>
          </w:tcPr>
          <w:p>
            <w:pPr>
              <w:jc w:val="right"/>
              <w:spacing w:after="0" w:line="149" w:lineRule="exact"/>
              <w:rPr>
                <w:sz w:val="20"/>
                <w:szCs w:val="20"/>
                <w:color w:val="auto"/>
              </w:rPr>
            </w:pPr>
            <w:r>
              <w:rPr>
                <w:rFonts w:ascii="Arial" w:cs="Arial" w:eastAsia="Arial" w:hAnsi="Arial"/>
                <w:sz w:val="13"/>
                <w:szCs w:val="13"/>
                <w:b w:val="1"/>
                <w:bCs w:val="1"/>
                <w:color w:val="105FAB"/>
              </w:rPr>
              <w:t>Threshold</w:t>
            </w:r>
          </w:p>
        </w:tc>
        <w:tc>
          <w:tcPr>
            <w:tcW w:w="700" w:type="dxa"/>
            <w:vAlign w:val="bottom"/>
          </w:tcPr>
          <w:p>
            <w:pPr>
              <w:jc w:val="right"/>
              <w:spacing w:after="0" w:line="149" w:lineRule="exact"/>
              <w:rPr>
                <w:sz w:val="20"/>
                <w:szCs w:val="20"/>
                <w:color w:val="auto"/>
              </w:rPr>
            </w:pPr>
            <w:r>
              <w:rPr>
                <w:rFonts w:ascii="Arial" w:cs="Arial" w:eastAsia="Arial" w:hAnsi="Arial"/>
                <w:sz w:val="13"/>
                <w:szCs w:val="13"/>
                <w:b w:val="1"/>
                <w:bCs w:val="1"/>
                <w:color w:val="105FAB"/>
              </w:rPr>
              <w:t>Target</w:t>
            </w:r>
          </w:p>
        </w:tc>
        <w:tc>
          <w:tcPr>
            <w:tcW w:w="800" w:type="dxa"/>
            <w:vAlign w:val="bottom"/>
            <w:gridSpan w:val="2"/>
          </w:tcPr>
          <w:p>
            <w:pPr>
              <w:ind w:left="100"/>
              <w:spacing w:after="0" w:line="149" w:lineRule="exact"/>
              <w:rPr>
                <w:sz w:val="20"/>
                <w:szCs w:val="20"/>
                <w:color w:val="auto"/>
              </w:rPr>
            </w:pPr>
            <w:r>
              <w:rPr>
                <w:rFonts w:ascii="Arial" w:cs="Arial" w:eastAsia="Arial" w:hAnsi="Arial"/>
                <w:sz w:val="13"/>
                <w:szCs w:val="13"/>
                <w:b w:val="1"/>
                <w:bCs w:val="1"/>
                <w:color w:val="105FAB"/>
              </w:rPr>
              <w:t>Maximum</w:t>
            </w:r>
          </w:p>
        </w:tc>
        <w:tc>
          <w:tcPr>
            <w:tcW w:w="700" w:type="dxa"/>
            <w:vAlign w:val="bottom"/>
          </w:tcPr>
          <w:p>
            <w:pPr>
              <w:jc w:val="right"/>
              <w:spacing w:after="0" w:line="149" w:lineRule="exact"/>
              <w:rPr>
                <w:sz w:val="20"/>
                <w:szCs w:val="20"/>
                <w:color w:val="auto"/>
              </w:rPr>
            </w:pPr>
            <w:r>
              <w:rPr>
                <w:rFonts w:ascii="Arial" w:cs="Arial" w:eastAsia="Arial" w:hAnsi="Arial"/>
                <w:sz w:val="13"/>
                <w:szCs w:val="13"/>
                <w:b w:val="1"/>
                <w:bCs w:val="1"/>
                <w:color w:val="105FAB"/>
              </w:rPr>
              <w:t>Threshold</w:t>
            </w:r>
          </w:p>
        </w:tc>
        <w:tc>
          <w:tcPr>
            <w:tcW w:w="500" w:type="dxa"/>
            <w:vAlign w:val="bottom"/>
          </w:tcPr>
          <w:p>
            <w:pPr>
              <w:jc w:val="right"/>
              <w:spacing w:after="0" w:line="149" w:lineRule="exact"/>
              <w:rPr>
                <w:sz w:val="20"/>
                <w:szCs w:val="20"/>
                <w:color w:val="auto"/>
              </w:rPr>
            </w:pPr>
            <w:r>
              <w:rPr>
                <w:rFonts w:ascii="Arial" w:cs="Arial" w:eastAsia="Arial" w:hAnsi="Arial"/>
                <w:sz w:val="13"/>
                <w:szCs w:val="13"/>
                <w:b w:val="1"/>
                <w:bCs w:val="1"/>
                <w:color w:val="105FAB"/>
              </w:rPr>
              <w:t>Target</w:t>
            </w:r>
          </w:p>
        </w:tc>
        <w:tc>
          <w:tcPr>
            <w:tcW w:w="720" w:type="dxa"/>
            <w:vAlign w:val="bottom"/>
            <w:gridSpan w:val="2"/>
          </w:tcPr>
          <w:p>
            <w:pPr>
              <w:ind w:left="60"/>
              <w:spacing w:after="0" w:line="149" w:lineRule="exact"/>
              <w:rPr>
                <w:sz w:val="20"/>
                <w:szCs w:val="20"/>
                <w:color w:val="auto"/>
              </w:rPr>
            </w:pPr>
            <w:r>
              <w:rPr>
                <w:rFonts w:ascii="Arial" w:cs="Arial" w:eastAsia="Arial" w:hAnsi="Arial"/>
                <w:sz w:val="13"/>
                <w:szCs w:val="13"/>
                <w:b w:val="1"/>
                <w:bCs w:val="1"/>
                <w:color w:val="105FAB"/>
              </w:rPr>
              <w:t>Maximum</w:t>
            </w:r>
          </w:p>
        </w:tc>
        <w:tc>
          <w:tcPr>
            <w:tcW w:w="800" w:type="dxa"/>
            <w:vAlign w:val="bottom"/>
          </w:tcPr>
          <w:p>
            <w:pPr>
              <w:jc w:val="right"/>
              <w:spacing w:after="0" w:line="149" w:lineRule="exact"/>
              <w:rPr>
                <w:sz w:val="20"/>
                <w:szCs w:val="20"/>
                <w:color w:val="auto"/>
              </w:rPr>
            </w:pPr>
            <w:r>
              <w:rPr>
                <w:rFonts w:ascii="Arial" w:cs="Arial" w:eastAsia="Arial" w:hAnsi="Arial"/>
                <w:sz w:val="13"/>
                <w:szCs w:val="13"/>
                <w:b w:val="1"/>
                <w:bCs w:val="1"/>
                <w:color w:val="105FAB"/>
              </w:rPr>
              <w:t>Options</w:t>
            </w:r>
          </w:p>
        </w:tc>
        <w:tc>
          <w:tcPr>
            <w:tcW w:w="680" w:type="dxa"/>
            <w:vAlign w:val="bottom"/>
          </w:tcPr>
          <w:p>
            <w:pPr>
              <w:jc w:val="right"/>
              <w:ind w:right="15"/>
              <w:spacing w:after="0" w:line="149" w:lineRule="exact"/>
              <w:rPr>
                <w:sz w:val="20"/>
                <w:szCs w:val="20"/>
                <w:color w:val="auto"/>
              </w:rPr>
            </w:pPr>
            <w:r>
              <w:rPr>
                <w:rFonts w:ascii="Arial" w:cs="Arial" w:eastAsia="Arial" w:hAnsi="Arial"/>
                <w:sz w:val="13"/>
                <w:szCs w:val="13"/>
                <w:b w:val="1"/>
                <w:bCs w:val="1"/>
                <w:color w:val="105FAB"/>
              </w:rPr>
              <w:t>Awards</w:t>
            </w:r>
          </w:p>
        </w:tc>
        <w:tc>
          <w:tcPr>
            <w:tcW w:w="640" w:type="dxa"/>
            <w:vAlign w:val="bottom"/>
          </w:tcPr>
          <w:p>
            <w:pPr>
              <w:jc w:val="right"/>
              <w:spacing w:after="0" w:line="149" w:lineRule="exact"/>
              <w:rPr>
                <w:sz w:val="20"/>
                <w:szCs w:val="20"/>
                <w:color w:val="auto"/>
              </w:rPr>
            </w:pPr>
            <w:r>
              <w:rPr>
                <w:rFonts w:ascii="Arial" w:cs="Arial" w:eastAsia="Arial" w:hAnsi="Arial"/>
                <w:sz w:val="13"/>
                <w:szCs w:val="13"/>
                <w:b w:val="1"/>
                <w:bCs w:val="1"/>
                <w:color w:val="105FAB"/>
              </w:rPr>
              <w:t>Stock</w:t>
            </w:r>
          </w:p>
        </w:tc>
        <w:tc>
          <w:tcPr>
            <w:tcW w:w="720" w:type="dxa"/>
            <w:vAlign w:val="bottom"/>
          </w:tcPr>
          <w:p>
            <w:pPr>
              <w:jc w:val="right"/>
              <w:ind w:right="13"/>
              <w:spacing w:after="0" w:line="149" w:lineRule="exact"/>
              <w:rPr>
                <w:sz w:val="20"/>
                <w:szCs w:val="20"/>
                <w:color w:val="auto"/>
              </w:rPr>
            </w:pPr>
            <w:r>
              <w:rPr>
                <w:rFonts w:ascii="Arial" w:cs="Arial" w:eastAsia="Arial" w:hAnsi="Arial"/>
                <w:sz w:val="13"/>
                <w:szCs w:val="13"/>
                <w:b w:val="1"/>
                <w:bCs w:val="1"/>
                <w:color w:val="105FAB"/>
              </w:rPr>
              <w:t>Option</w:t>
            </w:r>
          </w:p>
        </w:tc>
        <w:tc>
          <w:tcPr>
            <w:tcW w:w="0" w:type="dxa"/>
            <w:vAlign w:val="bottom"/>
          </w:tcPr>
          <w:p>
            <w:pPr>
              <w:spacing w:after="0"/>
              <w:rPr>
                <w:sz w:val="1"/>
                <w:szCs w:val="1"/>
                <w:color w:val="auto"/>
              </w:rPr>
            </w:pPr>
          </w:p>
        </w:tc>
      </w:tr>
      <w:tr>
        <w:trPr>
          <w:trHeight w:val="94"/>
        </w:trPr>
        <w:tc>
          <w:tcPr>
            <w:tcW w:w="2860" w:type="dxa"/>
            <w:vAlign w:val="bottom"/>
            <w:vMerge w:val="restart"/>
          </w:tcPr>
          <w:p>
            <w:pPr>
              <w:ind w:left="80"/>
              <w:spacing w:after="0"/>
              <w:rPr>
                <w:sz w:val="20"/>
                <w:szCs w:val="20"/>
                <w:color w:val="auto"/>
              </w:rPr>
            </w:pPr>
            <w:r>
              <w:rPr>
                <w:rFonts w:ascii="Arial" w:cs="Arial" w:eastAsia="Arial" w:hAnsi="Arial"/>
                <w:sz w:val="13"/>
                <w:szCs w:val="13"/>
                <w:b w:val="1"/>
                <w:bCs w:val="1"/>
                <w:color w:val="105FAB"/>
              </w:rPr>
              <w:t>Name</w:t>
            </w:r>
          </w:p>
        </w:tc>
        <w:tc>
          <w:tcPr>
            <w:tcW w:w="720" w:type="dxa"/>
            <w:vAlign w:val="bottom"/>
            <w:vMerge w:val="restart"/>
          </w:tcPr>
          <w:p>
            <w:pPr>
              <w:jc w:val="right"/>
              <w:spacing w:after="0"/>
              <w:rPr>
                <w:sz w:val="20"/>
                <w:szCs w:val="20"/>
                <w:color w:val="auto"/>
              </w:rPr>
            </w:pPr>
            <w:r>
              <w:rPr>
                <w:rFonts w:ascii="Arial" w:cs="Arial" w:eastAsia="Arial" w:hAnsi="Arial"/>
                <w:sz w:val="13"/>
                <w:szCs w:val="13"/>
                <w:b w:val="1"/>
                <w:bCs w:val="1"/>
                <w:color w:val="105FAB"/>
              </w:rPr>
              <w:t>Date</w:t>
            </w:r>
          </w:p>
        </w:tc>
        <w:tc>
          <w:tcPr>
            <w:tcW w:w="660" w:type="dxa"/>
            <w:vAlign w:val="bottom"/>
            <w:vMerge w:val="restart"/>
          </w:tcPr>
          <w:p>
            <w:pPr>
              <w:ind w:left="180"/>
              <w:spacing w:after="0"/>
              <w:rPr>
                <w:sz w:val="20"/>
                <w:szCs w:val="20"/>
                <w:color w:val="auto"/>
              </w:rPr>
            </w:pPr>
            <w:r>
              <w:rPr>
                <w:rFonts w:ascii="Arial" w:cs="Arial" w:eastAsia="Arial" w:hAnsi="Arial"/>
                <w:sz w:val="13"/>
                <w:szCs w:val="13"/>
                <w:b w:val="1"/>
                <w:bCs w:val="1"/>
                <w:color w:val="105FAB"/>
                <w:w w:val="97"/>
              </w:rPr>
              <w:t>Awards</w:t>
            </w:r>
          </w:p>
        </w:tc>
        <w:tc>
          <w:tcPr>
            <w:tcW w:w="220" w:type="dxa"/>
            <w:vAlign w:val="bottom"/>
          </w:tcPr>
          <w:p>
            <w:pPr>
              <w:jc w:val="right"/>
              <w:ind w:right="29"/>
              <w:spacing w:after="0" w:line="95" w:lineRule="exact"/>
              <w:rPr>
                <w:sz w:val="20"/>
                <w:szCs w:val="20"/>
                <w:color w:val="auto"/>
              </w:rPr>
            </w:pPr>
            <w:r>
              <w:rPr>
                <w:rFonts w:ascii="Arial" w:cs="Arial" w:eastAsia="Arial" w:hAnsi="Arial"/>
                <w:sz w:val="10"/>
                <w:szCs w:val="10"/>
                <w:b w:val="1"/>
                <w:bCs w:val="1"/>
                <w:color w:val="105FAB"/>
                <w:w w:val="97"/>
              </w:rPr>
              <w:t>(1)</w:t>
            </w:r>
          </w:p>
        </w:tc>
        <w:tc>
          <w:tcPr>
            <w:tcW w:w="700" w:type="dxa"/>
            <w:vAlign w:val="bottom"/>
            <w:vMerge w:val="restart"/>
          </w:tcPr>
          <w:p>
            <w:pPr>
              <w:jc w:val="right"/>
              <w:spacing w:after="0"/>
              <w:rPr>
                <w:sz w:val="20"/>
                <w:szCs w:val="20"/>
                <w:color w:val="auto"/>
              </w:rPr>
            </w:pPr>
            <w:r>
              <w:rPr>
                <w:rFonts w:ascii="Arial" w:cs="Arial" w:eastAsia="Arial" w:hAnsi="Arial"/>
                <w:sz w:val="13"/>
                <w:szCs w:val="13"/>
                <w:b w:val="1"/>
                <w:bCs w:val="1"/>
                <w:color w:val="105FAB"/>
              </w:rPr>
              <w:t>($)</w:t>
            </w:r>
          </w:p>
        </w:tc>
        <w:tc>
          <w:tcPr>
            <w:tcW w:w="700" w:type="dxa"/>
            <w:vAlign w:val="bottom"/>
            <w:vMerge w:val="restart"/>
          </w:tcPr>
          <w:p>
            <w:pPr>
              <w:jc w:val="right"/>
              <w:spacing w:after="0"/>
              <w:rPr>
                <w:sz w:val="20"/>
                <w:szCs w:val="20"/>
                <w:color w:val="auto"/>
              </w:rPr>
            </w:pPr>
            <w:r>
              <w:rPr>
                <w:rFonts w:ascii="Arial" w:cs="Arial" w:eastAsia="Arial" w:hAnsi="Arial"/>
                <w:sz w:val="13"/>
                <w:szCs w:val="13"/>
                <w:b w:val="1"/>
                <w:bCs w:val="1"/>
                <w:color w:val="105FAB"/>
              </w:rPr>
              <w:t>($)</w:t>
            </w:r>
          </w:p>
        </w:tc>
        <w:tc>
          <w:tcPr>
            <w:tcW w:w="800" w:type="dxa"/>
            <w:vAlign w:val="bottom"/>
            <w:gridSpan w:val="2"/>
            <w:vMerge w:val="restart"/>
          </w:tcPr>
          <w:p>
            <w:pPr>
              <w:jc w:val="right"/>
              <w:ind w:right="80"/>
              <w:spacing w:after="0"/>
              <w:rPr>
                <w:sz w:val="20"/>
                <w:szCs w:val="20"/>
                <w:color w:val="auto"/>
              </w:rPr>
            </w:pPr>
            <w:r>
              <w:rPr>
                <w:rFonts w:ascii="Arial" w:cs="Arial" w:eastAsia="Arial" w:hAnsi="Arial"/>
                <w:sz w:val="13"/>
                <w:szCs w:val="13"/>
                <w:b w:val="1"/>
                <w:bCs w:val="1"/>
                <w:color w:val="105FAB"/>
              </w:rPr>
              <w:t>($)</w:t>
            </w:r>
          </w:p>
        </w:tc>
        <w:tc>
          <w:tcPr>
            <w:tcW w:w="700" w:type="dxa"/>
            <w:vAlign w:val="bottom"/>
            <w:vMerge w:val="restart"/>
          </w:tcPr>
          <w:p>
            <w:pPr>
              <w:jc w:val="right"/>
              <w:spacing w:after="0"/>
              <w:rPr>
                <w:sz w:val="20"/>
                <w:szCs w:val="20"/>
                <w:color w:val="auto"/>
              </w:rPr>
            </w:pPr>
            <w:r>
              <w:rPr>
                <w:rFonts w:ascii="Arial" w:cs="Arial" w:eastAsia="Arial" w:hAnsi="Arial"/>
                <w:sz w:val="13"/>
                <w:szCs w:val="13"/>
                <w:b w:val="1"/>
                <w:bCs w:val="1"/>
                <w:color w:val="105FAB"/>
              </w:rPr>
              <w:t>(#)</w:t>
            </w:r>
          </w:p>
        </w:tc>
        <w:tc>
          <w:tcPr>
            <w:tcW w:w="500" w:type="dxa"/>
            <w:vAlign w:val="bottom"/>
            <w:vMerge w:val="restart"/>
          </w:tcPr>
          <w:p>
            <w:pPr>
              <w:jc w:val="right"/>
              <w:spacing w:after="0"/>
              <w:rPr>
                <w:sz w:val="20"/>
                <w:szCs w:val="20"/>
                <w:color w:val="auto"/>
              </w:rPr>
            </w:pPr>
            <w:r>
              <w:rPr>
                <w:rFonts w:ascii="Arial" w:cs="Arial" w:eastAsia="Arial" w:hAnsi="Arial"/>
                <w:sz w:val="13"/>
                <w:szCs w:val="13"/>
                <w:b w:val="1"/>
                <w:bCs w:val="1"/>
                <w:color w:val="105FAB"/>
              </w:rPr>
              <w:t>(#)</w:t>
            </w:r>
          </w:p>
        </w:tc>
        <w:tc>
          <w:tcPr>
            <w:tcW w:w="720" w:type="dxa"/>
            <w:vAlign w:val="bottom"/>
            <w:gridSpan w:val="2"/>
            <w:vMerge w:val="restart"/>
          </w:tcPr>
          <w:p>
            <w:pPr>
              <w:jc w:val="right"/>
              <w:ind w:right="40"/>
              <w:spacing w:after="0"/>
              <w:rPr>
                <w:sz w:val="20"/>
                <w:szCs w:val="20"/>
                <w:color w:val="auto"/>
              </w:rPr>
            </w:pPr>
            <w:r>
              <w:rPr>
                <w:rFonts w:ascii="Arial" w:cs="Arial" w:eastAsia="Arial" w:hAnsi="Arial"/>
                <w:sz w:val="13"/>
                <w:szCs w:val="13"/>
                <w:b w:val="1"/>
                <w:bCs w:val="1"/>
                <w:color w:val="105FAB"/>
              </w:rPr>
              <w:t>(#)</w:t>
            </w:r>
          </w:p>
        </w:tc>
        <w:tc>
          <w:tcPr>
            <w:tcW w:w="800" w:type="dxa"/>
            <w:vAlign w:val="bottom"/>
            <w:vMerge w:val="restart"/>
          </w:tcPr>
          <w:p>
            <w:pPr>
              <w:jc w:val="right"/>
              <w:spacing w:after="0"/>
              <w:rPr>
                <w:sz w:val="20"/>
                <w:szCs w:val="20"/>
                <w:color w:val="auto"/>
              </w:rPr>
            </w:pPr>
            <w:r>
              <w:rPr>
                <w:rFonts w:ascii="Arial" w:cs="Arial" w:eastAsia="Arial" w:hAnsi="Arial"/>
                <w:sz w:val="13"/>
                <w:szCs w:val="13"/>
                <w:b w:val="1"/>
                <w:bCs w:val="1"/>
                <w:color w:val="105FAB"/>
              </w:rPr>
              <w:t>(#)</w:t>
            </w:r>
          </w:p>
        </w:tc>
        <w:tc>
          <w:tcPr>
            <w:tcW w:w="680" w:type="dxa"/>
            <w:vAlign w:val="bottom"/>
          </w:tcPr>
          <w:p>
            <w:pPr>
              <w:jc w:val="right"/>
              <w:ind w:right="15"/>
              <w:spacing w:after="0" w:line="95" w:lineRule="exact"/>
              <w:rPr>
                <w:sz w:val="20"/>
                <w:szCs w:val="20"/>
                <w:color w:val="auto"/>
              </w:rPr>
            </w:pPr>
            <w:r>
              <w:rPr>
                <w:rFonts w:ascii="Arial" w:cs="Arial" w:eastAsia="Arial" w:hAnsi="Arial"/>
                <w:sz w:val="10"/>
                <w:szCs w:val="10"/>
                <w:b w:val="1"/>
                <w:bCs w:val="1"/>
                <w:color w:val="105FAB"/>
              </w:rPr>
              <w:t>(4)</w:t>
            </w:r>
          </w:p>
        </w:tc>
        <w:tc>
          <w:tcPr>
            <w:tcW w:w="640" w:type="dxa"/>
            <w:vAlign w:val="bottom"/>
            <w:vMerge w:val="restart"/>
          </w:tcPr>
          <w:p>
            <w:pPr>
              <w:jc w:val="right"/>
              <w:spacing w:after="0"/>
              <w:rPr>
                <w:sz w:val="20"/>
                <w:szCs w:val="20"/>
                <w:color w:val="auto"/>
              </w:rPr>
            </w:pPr>
            <w:r>
              <w:rPr>
                <w:rFonts w:ascii="Arial" w:cs="Arial" w:eastAsia="Arial" w:hAnsi="Arial"/>
                <w:sz w:val="13"/>
                <w:szCs w:val="13"/>
                <w:b w:val="1"/>
                <w:bCs w:val="1"/>
                <w:color w:val="105FAB"/>
              </w:rPr>
              <w:t>Awards</w:t>
            </w:r>
          </w:p>
        </w:tc>
        <w:tc>
          <w:tcPr>
            <w:tcW w:w="720" w:type="dxa"/>
            <w:vAlign w:val="bottom"/>
            <w:vMerge w:val="restart"/>
          </w:tcPr>
          <w:p>
            <w:pPr>
              <w:jc w:val="right"/>
              <w:ind w:right="13"/>
              <w:spacing w:after="0"/>
              <w:rPr>
                <w:sz w:val="20"/>
                <w:szCs w:val="20"/>
                <w:color w:val="auto"/>
              </w:rPr>
            </w:pPr>
            <w:r>
              <w:rPr>
                <w:rFonts w:ascii="Arial" w:cs="Arial" w:eastAsia="Arial" w:hAnsi="Arial"/>
                <w:sz w:val="13"/>
                <w:szCs w:val="13"/>
                <w:b w:val="1"/>
                <w:bCs w:val="1"/>
                <w:color w:val="105FAB"/>
              </w:rPr>
              <w:t>Awards</w:t>
            </w:r>
          </w:p>
        </w:tc>
        <w:tc>
          <w:tcPr>
            <w:tcW w:w="0" w:type="dxa"/>
            <w:vAlign w:val="bottom"/>
          </w:tcPr>
          <w:p>
            <w:pPr>
              <w:spacing w:after="0"/>
              <w:rPr>
                <w:sz w:val="1"/>
                <w:szCs w:val="1"/>
                <w:color w:val="auto"/>
              </w:rPr>
            </w:pPr>
          </w:p>
        </w:tc>
      </w:tr>
      <w:tr>
        <w:trPr>
          <w:trHeight w:val="115"/>
        </w:trPr>
        <w:tc>
          <w:tcPr>
            <w:tcW w:w="2860" w:type="dxa"/>
            <w:vAlign w:val="bottom"/>
            <w:tcBorders>
              <w:bottom w:val="single" w:sz="8" w:color="105FAB"/>
            </w:tcBorders>
            <w:vMerge w:val="continue"/>
          </w:tcPr>
          <w:p>
            <w:pPr>
              <w:spacing w:after="0"/>
              <w:rPr>
                <w:sz w:val="9"/>
                <w:szCs w:val="9"/>
                <w:color w:val="auto"/>
              </w:rPr>
            </w:pPr>
          </w:p>
        </w:tc>
        <w:tc>
          <w:tcPr>
            <w:tcW w:w="720" w:type="dxa"/>
            <w:vAlign w:val="bottom"/>
            <w:tcBorders>
              <w:bottom w:val="single" w:sz="8" w:color="105FAB"/>
            </w:tcBorders>
            <w:vMerge w:val="continue"/>
          </w:tcPr>
          <w:p>
            <w:pPr>
              <w:spacing w:after="0"/>
              <w:rPr>
                <w:sz w:val="9"/>
                <w:szCs w:val="9"/>
                <w:color w:val="auto"/>
              </w:rPr>
            </w:pPr>
          </w:p>
        </w:tc>
        <w:tc>
          <w:tcPr>
            <w:tcW w:w="660" w:type="dxa"/>
            <w:vAlign w:val="bottom"/>
            <w:tcBorders>
              <w:bottom w:val="single" w:sz="8" w:color="105FAB"/>
            </w:tcBorders>
            <w:vMerge w:val="continue"/>
          </w:tcPr>
          <w:p>
            <w:pPr>
              <w:spacing w:after="0"/>
              <w:rPr>
                <w:sz w:val="9"/>
                <w:szCs w:val="9"/>
                <w:color w:val="auto"/>
              </w:rPr>
            </w:pPr>
          </w:p>
        </w:tc>
        <w:tc>
          <w:tcPr>
            <w:tcW w:w="220" w:type="dxa"/>
            <w:vAlign w:val="bottom"/>
            <w:tcBorders>
              <w:bottom w:val="single" w:sz="8" w:color="105FAB"/>
            </w:tcBorders>
          </w:tcPr>
          <w:p>
            <w:pPr>
              <w:spacing w:after="0"/>
              <w:rPr>
                <w:sz w:val="9"/>
                <w:szCs w:val="9"/>
                <w:color w:val="auto"/>
              </w:rPr>
            </w:pPr>
          </w:p>
        </w:tc>
        <w:tc>
          <w:tcPr>
            <w:tcW w:w="700" w:type="dxa"/>
            <w:vAlign w:val="bottom"/>
            <w:tcBorders>
              <w:bottom w:val="single" w:sz="8" w:color="105FAB"/>
            </w:tcBorders>
            <w:vMerge w:val="continue"/>
          </w:tcPr>
          <w:p>
            <w:pPr>
              <w:spacing w:after="0"/>
              <w:rPr>
                <w:sz w:val="9"/>
                <w:szCs w:val="9"/>
                <w:color w:val="auto"/>
              </w:rPr>
            </w:pPr>
          </w:p>
        </w:tc>
        <w:tc>
          <w:tcPr>
            <w:tcW w:w="700" w:type="dxa"/>
            <w:vAlign w:val="bottom"/>
            <w:tcBorders>
              <w:bottom w:val="single" w:sz="8" w:color="105FAB"/>
            </w:tcBorders>
            <w:vMerge w:val="continue"/>
          </w:tcPr>
          <w:p>
            <w:pPr>
              <w:spacing w:after="0"/>
              <w:rPr>
                <w:sz w:val="9"/>
                <w:szCs w:val="9"/>
                <w:color w:val="auto"/>
              </w:rPr>
            </w:pPr>
          </w:p>
        </w:tc>
        <w:tc>
          <w:tcPr>
            <w:tcW w:w="800" w:type="dxa"/>
            <w:vAlign w:val="bottom"/>
            <w:tcBorders>
              <w:bottom w:val="single" w:sz="8" w:color="105FAB"/>
            </w:tcBorders>
            <w:gridSpan w:val="2"/>
            <w:vMerge w:val="continue"/>
          </w:tcPr>
          <w:p>
            <w:pPr>
              <w:spacing w:after="0"/>
              <w:rPr>
                <w:sz w:val="9"/>
                <w:szCs w:val="9"/>
                <w:color w:val="auto"/>
              </w:rPr>
            </w:pPr>
          </w:p>
        </w:tc>
        <w:tc>
          <w:tcPr>
            <w:tcW w:w="700" w:type="dxa"/>
            <w:vAlign w:val="bottom"/>
            <w:tcBorders>
              <w:bottom w:val="single" w:sz="8" w:color="105FAB"/>
            </w:tcBorders>
            <w:vMerge w:val="continue"/>
          </w:tcPr>
          <w:p>
            <w:pPr>
              <w:spacing w:after="0"/>
              <w:rPr>
                <w:sz w:val="9"/>
                <w:szCs w:val="9"/>
                <w:color w:val="auto"/>
              </w:rPr>
            </w:pPr>
          </w:p>
        </w:tc>
        <w:tc>
          <w:tcPr>
            <w:tcW w:w="500" w:type="dxa"/>
            <w:vAlign w:val="bottom"/>
            <w:tcBorders>
              <w:bottom w:val="single" w:sz="8" w:color="105FAB"/>
            </w:tcBorders>
            <w:vMerge w:val="continue"/>
          </w:tcPr>
          <w:p>
            <w:pPr>
              <w:spacing w:after="0"/>
              <w:rPr>
                <w:sz w:val="9"/>
                <w:szCs w:val="9"/>
                <w:color w:val="auto"/>
              </w:rPr>
            </w:pPr>
          </w:p>
        </w:tc>
        <w:tc>
          <w:tcPr>
            <w:tcW w:w="720" w:type="dxa"/>
            <w:vAlign w:val="bottom"/>
            <w:tcBorders>
              <w:bottom w:val="single" w:sz="8" w:color="105FAB"/>
            </w:tcBorders>
            <w:gridSpan w:val="2"/>
            <w:vMerge w:val="continue"/>
          </w:tcPr>
          <w:p>
            <w:pPr>
              <w:spacing w:after="0"/>
              <w:rPr>
                <w:sz w:val="9"/>
                <w:szCs w:val="9"/>
                <w:color w:val="auto"/>
              </w:rPr>
            </w:pPr>
          </w:p>
        </w:tc>
        <w:tc>
          <w:tcPr>
            <w:tcW w:w="800" w:type="dxa"/>
            <w:vAlign w:val="bottom"/>
            <w:tcBorders>
              <w:bottom w:val="single" w:sz="8" w:color="105FAB"/>
            </w:tcBorders>
            <w:vMerge w:val="continue"/>
          </w:tcPr>
          <w:p>
            <w:pPr>
              <w:spacing w:after="0"/>
              <w:rPr>
                <w:sz w:val="9"/>
                <w:szCs w:val="9"/>
                <w:color w:val="auto"/>
              </w:rPr>
            </w:pPr>
          </w:p>
        </w:tc>
        <w:tc>
          <w:tcPr>
            <w:tcW w:w="680" w:type="dxa"/>
            <w:vAlign w:val="bottom"/>
            <w:tcBorders>
              <w:bottom w:val="single" w:sz="8" w:color="105FAB"/>
            </w:tcBorders>
          </w:tcPr>
          <w:p>
            <w:pPr>
              <w:jc w:val="right"/>
              <w:ind w:right="155"/>
              <w:spacing w:after="0" w:line="108" w:lineRule="exact"/>
              <w:rPr>
                <w:sz w:val="20"/>
                <w:szCs w:val="20"/>
                <w:color w:val="auto"/>
              </w:rPr>
            </w:pPr>
            <w:r>
              <w:rPr>
                <w:rFonts w:ascii="Arial" w:cs="Arial" w:eastAsia="Arial" w:hAnsi="Arial"/>
                <w:sz w:val="12"/>
                <w:szCs w:val="12"/>
                <w:b w:val="1"/>
                <w:bCs w:val="1"/>
                <w:color w:val="105FAB"/>
              </w:rPr>
              <w:t>($/Sh)</w:t>
            </w:r>
          </w:p>
        </w:tc>
        <w:tc>
          <w:tcPr>
            <w:tcW w:w="640" w:type="dxa"/>
            <w:vAlign w:val="bottom"/>
            <w:tcBorders>
              <w:bottom w:val="single" w:sz="8" w:color="105FAB"/>
            </w:tcBorders>
            <w:vMerge w:val="continue"/>
          </w:tcPr>
          <w:p>
            <w:pPr>
              <w:spacing w:after="0"/>
              <w:rPr>
                <w:sz w:val="9"/>
                <w:szCs w:val="9"/>
                <w:color w:val="auto"/>
              </w:rPr>
            </w:pPr>
          </w:p>
        </w:tc>
        <w:tc>
          <w:tcPr>
            <w:tcW w:w="720" w:type="dxa"/>
            <w:vAlign w:val="bottom"/>
            <w:tcBorders>
              <w:bottom w:val="single" w:sz="8" w:color="105FAB"/>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860" w:type="dxa"/>
            <w:vAlign w:val="bottom"/>
          </w:tcPr>
          <w:p>
            <w:pPr>
              <w:ind w:left="80"/>
              <w:spacing w:after="0"/>
              <w:rPr>
                <w:sz w:val="20"/>
                <w:szCs w:val="20"/>
                <w:color w:val="auto"/>
              </w:rPr>
            </w:pPr>
            <w:r>
              <w:rPr>
                <w:rFonts w:ascii="Arial" w:cs="Arial" w:eastAsia="Arial" w:hAnsi="Arial"/>
                <w:sz w:val="13"/>
                <w:szCs w:val="13"/>
                <w:b w:val="1"/>
                <w:bCs w:val="1"/>
                <w:color w:val="105FAB"/>
              </w:rPr>
              <w:t>Mr. Wilson</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9"/>
              <w:spacing w:after="0"/>
              <w:rPr>
                <w:sz w:val="20"/>
                <w:szCs w:val="20"/>
                <w:color w:val="auto"/>
              </w:rPr>
            </w:pPr>
            <w:r>
              <w:rPr>
                <w:rFonts w:ascii="Arial" w:cs="Arial" w:eastAsia="Arial" w:hAnsi="Arial"/>
                <w:sz w:val="13"/>
                <w:szCs w:val="13"/>
                <w:color w:val="auto"/>
              </w:rPr>
              <w:t>Annual cash</w:t>
            </w:r>
          </w:p>
        </w:tc>
        <w:tc>
          <w:tcPr>
            <w:tcW w:w="700" w:type="dxa"/>
            <w:vAlign w:val="bottom"/>
          </w:tcPr>
          <w:p>
            <w:pPr>
              <w:jc w:val="right"/>
              <w:spacing w:after="0"/>
              <w:rPr>
                <w:sz w:val="20"/>
                <w:szCs w:val="20"/>
                <w:color w:val="auto"/>
              </w:rPr>
            </w:pPr>
            <w:r>
              <w:rPr>
                <w:rFonts w:ascii="Arial" w:cs="Arial" w:eastAsia="Arial" w:hAnsi="Arial"/>
                <w:sz w:val="13"/>
                <w:szCs w:val="13"/>
                <w:color w:val="auto"/>
              </w:rPr>
              <w:t>1,937,261</w:t>
            </w:r>
          </w:p>
        </w:tc>
        <w:tc>
          <w:tcPr>
            <w:tcW w:w="700" w:type="dxa"/>
            <w:vAlign w:val="bottom"/>
          </w:tcPr>
          <w:p>
            <w:pPr>
              <w:jc w:val="right"/>
              <w:spacing w:after="0"/>
              <w:rPr>
                <w:sz w:val="20"/>
                <w:szCs w:val="20"/>
                <w:color w:val="auto"/>
              </w:rPr>
            </w:pPr>
            <w:r>
              <w:rPr>
                <w:rFonts w:ascii="Arial" w:cs="Arial" w:eastAsia="Arial" w:hAnsi="Arial"/>
                <w:sz w:val="13"/>
                <w:szCs w:val="13"/>
                <w:color w:val="auto"/>
              </w:rPr>
              <w:t>3,874,521</w:t>
            </w:r>
          </w:p>
        </w:tc>
        <w:tc>
          <w:tcPr>
            <w:tcW w:w="720" w:type="dxa"/>
            <w:vAlign w:val="bottom"/>
          </w:tcPr>
          <w:p>
            <w:pPr>
              <w:jc w:val="right"/>
              <w:spacing w:after="0"/>
              <w:rPr>
                <w:sz w:val="20"/>
                <w:szCs w:val="20"/>
                <w:color w:val="auto"/>
              </w:rPr>
            </w:pPr>
            <w:r>
              <w:rPr>
                <w:rFonts w:ascii="Arial" w:cs="Arial" w:eastAsia="Arial" w:hAnsi="Arial"/>
                <w:sz w:val="13"/>
                <w:szCs w:val="13"/>
                <w:color w:val="auto"/>
              </w:rPr>
              <w:t>15,498,084</w:t>
            </w: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8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80" w:type="dxa"/>
            <w:vAlign w:val="bottom"/>
            <w:gridSpan w:val="2"/>
          </w:tcPr>
          <w:p>
            <w:pPr>
              <w:jc w:val="right"/>
              <w:ind w:right="29"/>
              <w:spacing w:after="0"/>
              <w:rPr>
                <w:sz w:val="20"/>
                <w:szCs w:val="20"/>
                <w:color w:val="auto"/>
              </w:rPr>
            </w:pPr>
            <w:r>
              <w:rPr>
                <w:rFonts w:ascii="Arial" w:cs="Arial" w:eastAsia="Arial" w:hAnsi="Arial"/>
                <w:sz w:val="13"/>
                <w:szCs w:val="13"/>
                <w:color w:val="auto"/>
              </w:rPr>
              <w:t>incentive</w:t>
            </w: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2860" w:type="dxa"/>
            <w:vAlign w:val="bottom"/>
          </w:tcPr>
          <w:p>
            <w:pPr>
              <w:spacing w:after="0"/>
              <w:rPr>
                <w:sz w:val="3"/>
                <w:szCs w:val="3"/>
                <w:color w:val="auto"/>
              </w:rPr>
            </w:pPr>
          </w:p>
        </w:tc>
        <w:tc>
          <w:tcPr>
            <w:tcW w:w="720" w:type="dxa"/>
            <w:vAlign w:val="bottom"/>
            <w:tcBorders>
              <w:bottom w:val="single" w:sz="8" w:color="DFF1FB"/>
            </w:tcBorders>
          </w:tcPr>
          <w:p>
            <w:pPr>
              <w:spacing w:after="0"/>
              <w:rPr>
                <w:sz w:val="3"/>
                <w:szCs w:val="3"/>
                <w:color w:val="auto"/>
              </w:rPr>
            </w:pPr>
          </w:p>
        </w:tc>
        <w:tc>
          <w:tcPr>
            <w:tcW w:w="880" w:type="dxa"/>
            <w:vAlign w:val="bottom"/>
            <w:tcBorders>
              <w:bottom w:val="single" w:sz="8" w:color="DFF1FB"/>
            </w:tcBorders>
            <w:gridSpan w:val="2"/>
          </w:tcPr>
          <w:p>
            <w:pPr>
              <w:spacing w:after="0"/>
              <w:rPr>
                <w:sz w:val="3"/>
                <w:szCs w:val="3"/>
                <w:color w:val="auto"/>
              </w:rPr>
            </w:pPr>
          </w:p>
        </w:tc>
        <w:tc>
          <w:tcPr>
            <w:tcW w:w="700" w:type="dxa"/>
            <w:vAlign w:val="bottom"/>
            <w:tcBorders>
              <w:bottom w:val="single" w:sz="8" w:color="DFF1FB"/>
            </w:tcBorders>
          </w:tcPr>
          <w:p>
            <w:pPr>
              <w:spacing w:after="0"/>
              <w:rPr>
                <w:sz w:val="3"/>
                <w:szCs w:val="3"/>
                <w:color w:val="auto"/>
              </w:rPr>
            </w:pPr>
          </w:p>
        </w:tc>
        <w:tc>
          <w:tcPr>
            <w:tcW w:w="700" w:type="dxa"/>
            <w:vAlign w:val="bottom"/>
            <w:tcBorders>
              <w:bottom w:val="single" w:sz="8" w:color="DFF1FB"/>
            </w:tcBorders>
          </w:tcPr>
          <w:p>
            <w:pPr>
              <w:spacing w:after="0"/>
              <w:rPr>
                <w:sz w:val="3"/>
                <w:szCs w:val="3"/>
                <w:color w:val="auto"/>
              </w:rPr>
            </w:pPr>
          </w:p>
        </w:tc>
        <w:tc>
          <w:tcPr>
            <w:tcW w:w="720" w:type="dxa"/>
            <w:vAlign w:val="bottom"/>
            <w:tcBorders>
              <w:bottom w:val="single" w:sz="8" w:color="DFF1FB"/>
            </w:tcBorders>
          </w:tcPr>
          <w:p>
            <w:pPr>
              <w:spacing w:after="0"/>
              <w:rPr>
                <w:sz w:val="3"/>
                <w:szCs w:val="3"/>
                <w:color w:val="auto"/>
              </w:rPr>
            </w:pPr>
          </w:p>
        </w:tc>
        <w:tc>
          <w:tcPr>
            <w:tcW w:w="80" w:type="dxa"/>
            <w:vAlign w:val="bottom"/>
            <w:tcBorders>
              <w:bottom w:val="single" w:sz="8" w:color="DFF1FB"/>
            </w:tcBorders>
          </w:tcPr>
          <w:p>
            <w:pPr>
              <w:spacing w:after="0"/>
              <w:rPr>
                <w:sz w:val="3"/>
                <w:szCs w:val="3"/>
                <w:color w:val="auto"/>
              </w:rPr>
            </w:pPr>
          </w:p>
        </w:tc>
        <w:tc>
          <w:tcPr>
            <w:tcW w:w="700" w:type="dxa"/>
            <w:vAlign w:val="bottom"/>
            <w:tcBorders>
              <w:bottom w:val="single" w:sz="8" w:color="DFF1FB"/>
            </w:tcBorders>
          </w:tcPr>
          <w:p>
            <w:pPr>
              <w:spacing w:after="0"/>
              <w:rPr>
                <w:sz w:val="3"/>
                <w:szCs w:val="3"/>
                <w:color w:val="auto"/>
              </w:rPr>
            </w:pPr>
          </w:p>
        </w:tc>
        <w:tc>
          <w:tcPr>
            <w:tcW w:w="500" w:type="dxa"/>
            <w:vAlign w:val="bottom"/>
            <w:tcBorders>
              <w:bottom w:val="single" w:sz="8" w:color="DFF1FB"/>
            </w:tcBorders>
          </w:tcPr>
          <w:p>
            <w:pPr>
              <w:spacing w:after="0"/>
              <w:rPr>
                <w:sz w:val="3"/>
                <w:szCs w:val="3"/>
                <w:color w:val="auto"/>
              </w:rPr>
            </w:pPr>
          </w:p>
        </w:tc>
        <w:tc>
          <w:tcPr>
            <w:tcW w:w="680" w:type="dxa"/>
            <w:vAlign w:val="bottom"/>
            <w:tcBorders>
              <w:bottom w:val="single" w:sz="8" w:color="DFF1FB"/>
            </w:tcBorders>
          </w:tcPr>
          <w:p>
            <w:pPr>
              <w:spacing w:after="0"/>
              <w:rPr>
                <w:sz w:val="3"/>
                <w:szCs w:val="3"/>
                <w:color w:val="auto"/>
              </w:rPr>
            </w:pPr>
          </w:p>
        </w:tc>
        <w:tc>
          <w:tcPr>
            <w:tcW w:w="40" w:type="dxa"/>
            <w:vAlign w:val="bottom"/>
            <w:tcBorders>
              <w:bottom w:val="single" w:sz="8" w:color="DFF1FB"/>
            </w:tcBorders>
          </w:tcPr>
          <w:p>
            <w:pPr>
              <w:spacing w:after="0"/>
              <w:rPr>
                <w:sz w:val="3"/>
                <w:szCs w:val="3"/>
                <w:color w:val="auto"/>
              </w:rPr>
            </w:pPr>
          </w:p>
        </w:tc>
        <w:tc>
          <w:tcPr>
            <w:tcW w:w="800" w:type="dxa"/>
            <w:vAlign w:val="bottom"/>
            <w:tcBorders>
              <w:bottom w:val="single" w:sz="8" w:color="DFF1FB"/>
            </w:tcBorders>
          </w:tcPr>
          <w:p>
            <w:pPr>
              <w:spacing w:after="0"/>
              <w:rPr>
                <w:sz w:val="3"/>
                <w:szCs w:val="3"/>
                <w:color w:val="auto"/>
              </w:rPr>
            </w:pPr>
          </w:p>
        </w:tc>
        <w:tc>
          <w:tcPr>
            <w:tcW w:w="680" w:type="dxa"/>
            <w:vAlign w:val="bottom"/>
            <w:tcBorders>
              <w:bottom w:val="single" w:sz="8" w:color="DFF1FB"/>
            </w:tcBorders>
          </w:tcPr>
          <w:p>
            <w:pPr>
              <w:spacing w:after="0"/>
              <w:rPr>
                <w:sz w:val="3"/>
                <w:szCs w:val="3"/>
                <w:color w:val="auto"/>
              </w:rPr>
            </w:pPr>
          </w:p>
        </w:tc>
        <w:tc>
          <w:tcPr>
            <w:tcW w:w="640" w:type="dxa"/>
            <w:vAlign w:val="bottom"/>
            <w:tcBorders>
              <w:bottom w:val="single" w:sz="8" w:color="DFF1FB"/>
            </w:tcBorders>
          </w:tcPr>
          <w:p>
            <w:pPr>
              <w:spacing w:after="0"/>
              <w:rPr>
                <w:sz w:val="3"/>
                <w:szCs w:val="3"/>
                <w:color w:val="auto"/>
              </w:rPr>
            </w:pPr>
          </w:p>
        </w:tc>
        <w:tc>
          <w:tcPr>
            <w:tcW w:w="720" w:type="dxa"/>
            <w:vAlign w:val="bottom"/>
            <w:tcBorders>
              <w:bottom w:val="single" w:sz="8" w:color="DFF1FB"/>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28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02/22/2018</w:t>
            </w:r>
          </w:p>
        </w:tc>
        <w:tc>
          <w:tcPr>
            <w:tcW w:w="880" w:type="dxa"/>
            <w:vAlign w:val="bottom"/>
            <w:gridSpan w:val="2"/>
          </w:tcPr>
          <w:p>
            <w:pPr>
              <w:jc w:val="right"/>
              <w:ind w:right="29"/>
              <w:spacing w:after="0"/>
              <w:rPr>
                <w:sz w:val="20"/>
                <w:szCs w:val="20"/>
                <w:color w:val="auto"/>
              </w:rPr>
            </w:pPr>
            <w:r>
              <w:rPr>
                <w:rFonts w:ascii="Arial" w:cs="Arial" w:eastAsia="Arial" w:hAnsi="Arial"/>
                <w:sz w:val="13"/>
                <w:szCs w:val="13"/>
                <w:color w:val="auto"/>
              </w:rPr>
              <w:t>PSAs</w:t>
            </w: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0</w:t>
            </w:r>
          </w:p>
        </w:tc>
        <w:tc>
          <w:tcPr>
            <w:tcW w:w="500" w:type="dxa"/>
            <w:vAlign w:val="bottom"/>
          </w:tcPr>
          <w:p>
            <w:pPr>
              <w:jc w:val="right"/>
              <w:spacing w:after="0"/>
              <w:rPr>
                <w:sz w:val="20"/>
                <w:szCs w:val="20"/>
                <w:color w:val="auto"/>
              </w:rPr>
            </w:pPr>
            <w:r>
              <w:rPr>
                <w:rFonts w:ascii="Arial" w:cs="Arial" w:eastAsia="Arial" w:hAnsi="Arial"/>
                <w:sz w:val="13"/>
                <w:szCs w:val="13"/>
                <w:color w:val="auto"/>
              </w:rPr>
              <w:t>62,635</w:t>
            </w:r>
          </w:p>
        </w:tc>
        <w:tc>
          <w:tcPr>
            <w:tcW w:w="720" w:type="dxa"/>
            <w:vAlign w:val="bottom"/>
            <w:gridSpan w:val="2"/>
          </w:tcPr>
          <w:p>
            <w:pPr>
              <w:jc w:val="right"/>
              <w:ind w:right="40"/>
              <w:spacing w:after="0"/>
              <w:rPr>
                <w:sz w:val="20"/>
                <w:szCs w:val="20"/>
                <w:color w:val="auto"/>
              </w:rPr>
            </w:pPr>
            <w:r>
              <w:rPr>
                <w:rFonts w:ascii="Arial" w:cs="Arial" w:eastAsia="Arial" w:hAnsi="Arial"/>
                <w:sz w:val="13"/>
                <w:szCs w:val="13"/>
                <w:color w:val="auto"/>
              </w:rPr>
              <w:t>125,270</w:t>
            </w:r>
          </w:p>
        </w:tc>
        <w:tc>
          <w:tcPr>
            <w:tcW w:w="8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5,812,528</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2860" w:type="dxa"/>
            <w:vAlign w:val="bottom"/>
          </w:tcPr>
          <w:p>
            <w:pPr>
              <w:spacing w:after="0"/>
              <w:rPr>
                <w:sz w:val="3"/>
                <w:szCs w:val="3"/>
                <w:color w:val="auto"/>
              </w:rPr>
            </w:pPr>
          </w:p>
        </w:tc>
        <w:tc>
          <w:tcPr>
            <w:tcW w:w="720" w:type="dxa"/>
            <w:vAlign w:val="bottom"/>
            <w:tcBorders>
              <w:bottom w:val="single" w:sz="8" w:color="DFF1FB"/>
            </w:tcBorders>
          </w:tcPr>
          <w:p>
            <w:pPr>
              <w:spacing w:after="0"/>
              <w:rPr>
                <w:sz w:val="3"/>
                <w:szCs w:val="3"/>
                <w:color w:val="auto"/>
              </w:rPr>
            </w:pPr>
          </w:p>
        </w:tc>
        <w:tc>
          <w:tcPr>
            <w:tcW w:w="880" w:type="dxa"/>
            <w:vAlign w:val="bottom"/>
            <w:tcBorders>
              <w:bottom w:val="single" w:sz="8" w:color="DFF1FB"/>
            </w:tcBorders>
            <w:gridSpan w:val="2"/>
          </w:tcPr>
          <w:p>
            <w:pPr>
              <w:spacing w:after="0"/>
              <w:rPr>
                <w:sz w:val="3"/>
                <w:szCs w:val="3"/>
                <w:color w:val="auto"/>
              </w:rPr>
            </w:pPr>
          </w:p>
        </w:tc>
        <w:tc>
          <w:tcPr>
            <w:tcW w:w="700" w:type="dxa"/>
            <w:vAlign w:val="bottom"/>
            <w:tcBorders>
              <w:bottom w:val="single" w:sz="8" w:color="DFF1FB"/>
            </w:tcBorders>
          </w:tcPr>
          <w:p>
            <w:pPr>
              <w:spacing w:after="0"/>
              <w:rPr>
                <w:sz w:val="3"/>
                <w:szCs w:val="3"/>
                <w:color w:val="auto"/>
              </w:rPr>
            </w:pPr>
          </w:p>
        </w:tc>
        <w:tc>
          <w:tcPr>
            <w:tcW w:w="700" w:type="dxa"/>
            <w:vAlign w:val="bottom"/>
            <w:tcBorders>
              <w:bottom w:val="single" w:sz="8" w:color="DFF1FB"/>
            </w:tcBorders>
          </w:tcPr>
          <w:p>
            <w:pPr>
              <w:spacing w:after="0"/>
              <w:rPr>
                <w:sz w:val="3"/>
                <w:szCs w:val="3"/>
                <w:color w:val="auto"/>
              </w:rPr>
            </w:pPr>
          </w:p>
        </w:tc>
        <w:tc>
          <w:tcPr>
            <w:tcW w:w="720" w:type="dxa"/>
            <w:vAlign w:val="bottom"/>
            <w:tcBorders>
              <w:bottom w:val="single" w:sz="8" w:color="DFF1FB"/>
            </w:tcBorders>
          </w:tcPr>
          <w:p>
            <w:pPr>
              <w:spacing w:after="0"/>
              <w:rPr>
                <w:sz w:val="3"/>
                <w:szCs w:val="3"/>
                <w:color w:val="auto"/>
              </w:rPr>
            </w:pPr>
          </w:p>
        </w:tc>
        <w:tc>
          <w:tcPr>
            <w:tcW w:w="80" w:type="dxa"/>
            <w:vAlign w:val="bottom"/>
            <w:tcBorders>
              <w:bottom w:val="single" w:sz="8" w:color="DFF1FB"/>
            </w:tcBorders>
          </w:tcPr>
          <w:p>
            <w:pPr>
              <w:spacing w:after="0"/>
              <w:rPr>
                <w:sz w:val="3"/>
                <w:szCs w:val="3"/>
                <w:color w:val="auto"/>
              </w:rPr>
            </w:pPr>
          </w:p>
        </w:tc>
        <w:tc>
          <w:tcPr>
            <w:tcW w:w="700" w:type="dxa"/>
            <w:vAlign w:val="bottom"/>
            <w:tcBorders>
              <w:bottom w:val="single" w:sz="8" w:color="DFF1FB"/>
            </w:tcBorders>
          </w:tcPr>
          <w:p>
            <w:pPr>
              <w:spacing w:after="0"/>
              <w:rPr>
                <w:sz w:val="3"/>
                <w:szCs w:val="3"/>
                <w:color w:val="auto"/>
              </w:rPr>
            </w:pPr>
          </w:p>
        </w:tc>
        <w:tc>
          <w:tcPr>
            <w:tcW w:w="500" w:type="dxa"/>
            <w:vAlign w:val="bottom"/>
            <w:tcBorders>
              <w:bottom w:val="single" w:sz="8" w:color="DFF1FB"/>
            </w:tcBorders>
          </w:tcPr>
          <w:p>
            <w:pPr>
              <w:spacing w:after="0"/>
              <w:rPr>
                <w:sz w:val="3"/>
                <w:szCs w:val="3"/>
                <w:color w:val="auto"/>
              </w:rPr>
            </w:pPr>
          </w:p>
        </w:tc>
        <w:tc>
          <w:tcPr>
            <w:tcW w:w="680" w:type="dxa"/>
            <w:vAlign w:val="bottom"/>
            <w:tcBorders>
              <w:bottom w:val="single" w:sz="8" w:color="DFF1FB"/>
            </w:tcBorders>
          </w:tcPr>
          <w:p>
            <w:pPr>
              <w:spacing w:after="0"/>
              <w:rPr>
                <w:sz w:val="3"/>
                <w:szCs w:val="3"/>
                <w:color w:val="auto"/>
              </w:rPr>
            </w:pPr>
          </w:p>
        </w:tc>
        <w:tc>
          <w:tcPr>
            <w:tcW w:w="40" w:type="dxa"/>
            <w:vAlign w:val="bottom"/>
            <w:tcBorders>
              <w:bottom w:val="single" w:sz="8" w:color="DFF1FB"/>
            </w:tcBorders>
          </w:tcPr>
          <w:p>
            <w:pPr>
              <w:spacing w:after="0"/>
              <w:rPr>
                <w:sz w:val="3"/>
                <w:szCs w:val="3"/>
                <w:color w:val="auto"/>
              </w:rPr>
            </w:pPr>
          </w:p>
        </w:tc>
        <w:tc>
          <w:tcPr>
            <w:tcW w:w="800" w:type="dxa"/>
            <w:vAlign w:val="bottom"/>
            <w:tcBorders>
              <w:bottom w:val="single" w:sz="8" w:color="DFF1FB"/>
            </w:tcBorders>
          </w:tcPr>
          <w:p>
            <w:pPr>
              <w:spacing w:after="0"/>
              <w:rPr>
                <w:sz w:val="3"/>
                <w:szCs w:val="3"/>
                <w:color w:val="auto"/>
              </w:rPr>
            </w:pPr>
          </w:p>
        </w:tc>
        <w:tc>
          <w:tcPr>
            <w:tcW w:w="680" w:type="dxa"/>
            <w:vAlign w:val="bottom"/>
            <w:tcBorders>
              <w:bottom w:val="single" w:sz="8" w:color="DFF1FB"/>
            </w:tcBorders>
          </w:tcPr>
          <w:p>
            <w:pPr>
              <w:spacing w:after="0"/>
              <w:rPr>
                <w:sz w:val="3"/>
                <w:szCs w:val="3"/>
                <w:color w:val="auto"/>
              </w:rPr>
            </w:pPr>
          </w:p>
        </w:tc>
        <w:tc>
          <w:tcPr>
            <w:tcW w:w="640" w:type="dxa"/>
            <w:vAlign w:val="bottom"/>
            <w:tcBorders>
              <w:bottom w:val="single" w:sz="8" w:color="DFF1FB"/>
            </w:tcBorders>
          </w:tcPr>
          <w:p>
            <w:pPr>
              <w:spacing w:after="0"/>
              <w:rPr>
                <w:sz w:val="3"/>
                <w:szCs w:val="3"/>
                <w:color w:val="auto"/>
              </w:rPr>
            </w:pPr>
          </w:p>
        </w:tc>
        <w:tc>
          <w:tcPr>
            <w:tcW w:w="720" w:type="dxa"/>
            <w:vAlign w:val="bottom"/>
            <w:tcBorders>
              <w:bottom w:val="single" w:sz="8" w:color="DFF1FB"/>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28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02/22/2018</w:t>
            </w:r>
          </w:p>
        </w:tc>
        <w:tc>
          <w:tcPr>
            <w:tcW w:w="880" w:type="dxa"/>
            <w:vAlign w:val="bottom"/>
            <w:gridSpan w:val="2"/>
          </w:tcPr>
          <w:p>
            <w:pPr>
              <w:jc w:val="right"/>
              <w:ind w:right="29"/>
              <w:spacing w:after="0"/>
              <w:rPr>
                <w:sz w:val="20"/>
                <w:szCs w:val="20"/>
                <w:color w:val="auto"/>
              </w:rPr>
            </w:pPr>
            <w:r>
              <w:rPr>
                <w:rFonts w:ascii="Arial" w:cs="Arial" w:eastAsia="Arial" w:hAnsi="Arial"/>
                <w:sz w:val="13"/>
                <w:szCs w:val="13"/>
                <w:color w:val="auto"/>
              </w:rPr>
              <w:t>Stock</w:t>
            </w: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227,406</w:t>
            </w:r>
          </w:p>
        </w:tc>
        <w:tc>
          <w:tcPr>
            <w:tcW w:w="680" w:type="dxa"/>
            <w:vAlign w:val="bottom"/>
          </w:tcPr>
          <w:p>
            <w:pPr>
              <w:jc w:val="right"/>
              <w:ind w:right="15"/>
              <w:spacing w:after="0"/>
              <w:rPr>
                <w:sz w:val="20"/>
                <w:szCs w:val="20"/>
                <w:color w:val="auto"/>
              </w:rPr>
            </w:pPr>
            <w:r>
              <w:rPr>
                <w:rFonts w:ascii="Arial" w:cs="Arial" w:eastAsia="Arial" w:hAnsi="Arial"/>
                <w:sz w:val="13"/>
                <w:szCs w:val="13"/>
                <w:color w:val="auto"/>
              </w:rPr>
              <w:t>92.80</w:t>
            </w:r>
          </w:p>
        </w:tc>
        <w:tc>
          <w:tcPr>
            <w:tcW w:w="640" w:type="dxa"/>
            <w:vAlign w:val="bottom"/>
          </w:tcPr>
          <w:p>
            <w:pPr>
              <w:spacing w:after="0"/>
              <w:rPr>
                <w:sz w:val="16"/>
                <w:szCs w:val="16"/>
                <w:color w:val="auto"/>
              </w:rPr>
            </w:pPr>
          </w:p>
        </w:tc>
        <w:tc>
          <w:tcPr>
            <w:tcW w:w="720" w:type="dxa"/>
            <w:vAlign w:val="bottom"/>
          </w:tcPr>
          <w:p>
            <w:pPr>
              <w:jc w:val="right"/>
              <w:ind w:right="13"/>
              <w:spacing w:after="0"/>
              <w:rPr>
                <w:sz w:val="20"/>
                <w:szCs w:val="20"/>
                <w:color w:val="auto"/>
              </w:rPr>
            </w:pPr>
            <w:r>
              <w:rPr>
                <w:rFonts w:ascii="Arial" w:cs="Arial" w:eastAsia="Arial" w:hAnsi="Arial"/>
                <w:sz w:val="13"/>
                <w:szCs w:val="13"/>
                <w:color w:val="auto"/>
              </w:rPr>
              <w:t>3,874,998</w:t>
            </w:r>
          </w:p>
        </w:tc>
        <w:tc>
          <w:tcPr>
            <w:tcW w:w="0" w:type="dxa"/>
            <w:vAlign w:val="bottom"/>
          </w:tcPr>
          <w:p>
            <w:pPr>
              <w:spacing w:after="0"/>
              <w:rPr>
                <w:sz w:val="1"/>
                <w:szCs w:val="1"/>
                <w:color w:val="auto"/>
              </w:rPr>
            </w:pPr>
          </w:p>
        </w:tc>
      </w:tr>
      <w:tr>
        <w:trPr>
          <w:trHeight w:val="243"/>
        </w:trPr>
        <w:tc>
          <w:tcPr>
            <w:tcW w:w="28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80" w:type="dxa"/>
            <w:vAlign w:val="bottom"/>
            <w:gridSpan w:val="2"/>
          </w:tcPr>
          <w:p>
            <w:pPr>
              <w:jc w:val="right"/>
              <w:ind w:right="29"/>
              <w:spacing w:after="0"/>
              <w:rPr>
                <w:sz w:val="20"/>
                <w:szCs w:val="20"/>
                <w:color w:val="auto"/>
              </w:rPr>
            </w:pPr>
            <w:r>
              <w:rPr>
                <w:rFonts w:ascii="Arial" w:cs="Arial" w:eastAsia="Arial" w:hAnsi="Arial"/>
                <w:sz w:val="13"/>
                <w:szCs w:val="13"/>
                <w:color w:val="auto"/>
              </w:rPr>
              <w:t>options</w:t>
            </w: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2860" w:type="dxa"/>
            <w:vAlign w:val="bottom"/>
            <w:tcBorders>
              <w:bottom w:val="single" w:sz="8" w:color="DFF1FB"/>
            </w:tcBorders>
          </w:tcPr>
          <w:p>
            <w:pPr>
              <w:spacing w:after="0"/>
              <w:rPr>
                <w:sz w:val="3"/>
                <w:szCs w:val="3"/>
                <w:color w:val="auto"/>
              </w:rPr>
            </w:pPr>
          </w:p>
        </w:tc>
        <w:tc>
          <w:tcPr>
            <w:tcW w:w="720" w:type="dxa"/>
            <w:vAlign w:val="bottom"/>
            <w:tcBorders>
              <w:bottom w:val="single" w:sz="8" w:color="DFF1FB"/>
            </w:tcBorders>
          </w:tcPr>
          <w:p>
            <w:pPr>
              <w:spacing w:after="0"/>
              <w:rPr>
                <w:sz w:val="3"/>
                <w:szCs w:val="3"/>
                <w:color w:val="auto"/>
              </w:rPr>
            </w:pPr>
          </w:p>
        </w:tc>
        <w:tc>
          <w:tcPr>
            <w:tcW w:w="880" w:type="dxa"/>
            <w:vAlign w:val="bottom"/>
            <w:tcBorders>
              <w:bottom w:val="single" w:sz="8" w:color="DFF1FB"/>
            </w:tcBorders>
            <w:gridSpan w:val="2"/>
          </w:tcPr>
          <w:p>
            <w:pPr>
              <w:spacing w:after="0"/>
              <w:rPr>
                <w:sz w:val="3"/>
                <w:szCs w:val="3"/>
                <w:color w:val="auto"/>
              </w:rPr>
            </w:pPr>
          </w:p>
        </w:tc>
        <w:tc>
          <w:tcPr>
            <w:tcW w:w="700" w:type="dxa"/>
            <w:vAlign w:val="bottom"/>
            <w:tcBorders>
              <w:bottom w:val="single" w:sz="8" w:color="DFF1FB"/>
            </w:tcBorders>
          </w:tcPr>
          <w:p>
            <w:pPr>
              <w:spacing w:after="0"/>
              <w:rPr>
                <w:sz w:val="3"/>
                <w:szCs w:val="3"/>
                <w:color w:val="auto"/>
              </w:rPr>
            </w:pPr>
          </w:p>
        </w:tc>
        <w:tc>
          <w:tcPr>
            <w:tcW w:w="700" w:type="dxa"/>
            <w:vAlign w:val="bottom"/>
            <w:tcBorders>
              <w:bottom w:val="single" w:sz="8" w:color="DFF1FB"/>
            </w:tcBorders>
          </w:tcPr>
          <w:p>
            <w:pPr>
              <w:spacing w:after="0"/>
              <w:rPr>
                <w:sz w:val="3"/>
                <w:szCs w:val="3"/>
                <w:color w:val="auto"/>
              </w:rPr>
            </w:pPr>
          </w:p>
        </w:tc>
        <w:tc>
          <w:tcPr>
            <w:tcW w:w="720" w:type="dxa"/>
            <w:vAlign w:val="bottom"/>
            <w:tcBorders>
              <w:bottom w:val="single" w:sz="8" w:color="DFF1FB"/>
            </w:tcBorders>
          </w:tcPr>
          <w:p>
            <w:pPr>
              <w:spacing w:after="0"/>
              <w:rPr>
                <w:sz w:val="3"/>
                <w:szCs w:val="3"/>
                <w:color w:val="auto"/>
              </w:rPr>
            </w:pPr>
          </w:p>
        </w:tc>
        <w:tc>
          <w:tcPr>
            <w:tcW w:w="80" w:type="dxa"/>
            <w:vAlign w:val="bottom"/>
            <w:tcBorders>
              <w:bottom w:val="single" w:sz="8" w:color="DFF1FB"/>
            </w:tcBorders>
          </w:tcPr>
          <w:p>
            <w:pPr>
              <w:spacing w:after="0"/>
              <w:rPr>
                <w:sz w:val="3"/>
                <w:szCs w:val="3"/>
                <w:color w:val="auto"/>
              </w:rPr>
            </w:pPr>
          </w:p>
        </w:tc>
        <w:tc>
          <w:tcPr>
            <w:tcW w:w="700" w:type="dxa"/>
            <w:vAlign w:val="bottom"/>
            <w:tcBorders>
              <w:bottom w:val="single" w:sz="8" w:color="DFF1FB"/>
            </w:tcBorders>
          </w:tcPr>
          <w:p>
            <w:pPr>
              <w:spacing w:after="0"/>
              <w:rPr>
                <w:sz w:val="3"/>
                <w:szCs w:val="3"/>
                <w:color w:val="auto"/>
              </w:rPr>
            </w:pPr>
          </w:p>
        </w:tc>
        <w:tc>
          <w:tcPr>
            <w:tcW w:w="500" w:type="dxa"/>
            <w:vAlign w:val="bottom"/>
            <w:tcBorders>
              <w:bottom w:val="single" w:sz="8" w:color="DFF1FB"/>
            </w:tcBorders>
          </w:tcPr>
          <w:p>
            <w:pPr>
              <w:spacing w:after="0"/>
              <w:rPr>
                <w:sz w:val="3"/>
                <w:szCs w:val="3"/>
                <w:color w:val="auto"/>
              </w:rPr>
            </w:pPr>
          </w:p>
        </w:tc>
        <w:tc>
          <w:tcPr>
            <w:tcW w:w="680" w:type="dxa"/>
            <w:vAlign w:val="bottom"/>
            <w:tcBorders>
              <w:bottom w:val="single" w:sz="8" w:color="DFF1FB"/>
            </w:tcBorders>
          </w:tcPr>
          <w:p>
            <w:pPr>
              <w:spacing w:after="0"/>
              <w:rPr>
                <w:sz w:val="3"/>
                <w:szCs w:val="3"/>
                <w:color w:val="auto"/>
              </w:rPr>
            </w:pPr>
          </w:p>
        </w:tc>
        <w:tc>
          <w:tcPr>
            <w:tcW w:w="40" w:type="dxa"/>
            <w:vAlign w:val="bottom"/>
            <w:tcBorders>
              <w:bottom w:val="single" w:sz="8" w:color="DFF1FB"/>
            </w:tcBorders>
          </w:tcPr>
          <w:p>
            <w:pPr>
              <w:spacing w:after="0"/>
              <w:rPr>
                <w:sz w:val="3"/>
                <w:szCs w:val="3"/>
                <w:color w:val="auto"/>
              </w:rPr>
            </w:pPr>
          </w:p>
        </w:tc>
        <w:tc>
          <w:tcPr>
            <w:tcW w:w="800" w:type="dxa"/>
            <w:vAlign w:val="bottom"/>
            <w:tcBorders>
              <w:bottom w:val="single" w:sz="8" w:color="DFF1FB"/>
            </w:tcBorders>
          </w:tcPr>
          <w:p>
            <w:pPr>
              <w:spacing w:after="0"/>
              <w:rPr>
                <w:sz w:val="3"/>
                <w:szCs w:val="3"/>
                <w:color w:val="auto"/>
              </w:rPr>
            </w:pPr>
          </w:p>
        </w:tc>
        <w:tc>
          <w:tcPr>
            <w:tcW w:w="680" w:type="dxa"/>
            <w:vAlign w:val="bottom"/>
            <w:tcBorders>
              <w:bottom w:val="single" w:sz="8" w:color="DFF1FB"/>
            </w:tcBorders>
          </w:tcPr>
          <w:p>
            <w:pPr>
              <w:spacing w:after="0"/>
              <w:rPr>
                <w:sz w:val="3"/>
                <w:szCs w:val="3"/>
                <w:color w:val="auto"/>
              </w:rPr>
            </w:pPr>
          </w:p>
        </w:tc>
        <w:tc>
          <w:tcPr>
            <w:tcW w:w="640" w:type="dxa"/>
            <w:vAlign w:val="bottom"/>
            <w:tcBorders>
              <w:bottom w:val="single" w:sz="8" w:color="DFF1FB"/>
            </w:tcBorders>
          </w:tcPr>
          <w:p>
            <w:pPr>
              <w:spacing w:after="0"/>
              <w:rPr>
                <w:sz w:val="3"/>
                <w:szCs w:val="3"/>
                <w:color w:val="auto"/>
              </w:rPr>
            </w:pPr>
          </w:p>
        </w:tc>
        <w:tc>
          <w:tcPr>
            <w:tcW w:w="720" w:type="dxa"/>
            <w:vAlign w:val="bottom"/>
            <w:tcBorders>
              <w:bottom w:val="single" w:sz="8" w:color="DFF1FB"/>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2860" w:type="dxa"/>
            <w:vAlign w:val="bottom"/>
          </w:tcPr>
          <w:p>
            <w:pPr>
              <w:ind w:left="80"/>
              <w:spacing w:after="0"/>
              <w:rPr>
                <w:sz w:val="20"/>
                <w:szCs w:val="20"/>
                <w:color w:val="auto"/>
              </w:rPr>
            </w:pPr>
            <w:r>
              <w:rPr>
                <w:rFonts w:ascii="Arial" w:cs="Arial" w:eastAsia="Arial" w:hAnsi="Arial"/>
                <w:sz w:val="13"/>
                <w:szCs w:val="13"/>
                <w:b w:val="1"/>
                <w:bCs w:val="1"/>
                <w:color w:val="105FAB"/>
              </w:rPr>
              <w:t>Mr. Rizzo</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9"/>
              <w:spacing w:after="0"/>
              <w:rPr>
                <w:sz w:val="20"/>
                <w:szCs w:val="20"/>
                <w:color w:val="auto"/>
              </w:rPr>
            </w:pPr>
            <w:r>
              <w:rPr>
                <w:rFonts w:ascii="Arial" w:cs="Arial" w:eastAsia="Arial" w:hAnsi="Arial"/>
                <w:sz w:val="13"/>
                <w:szCs w:val="13"/>
                <w:color w:val="auto"/>
              </w:rPr>
              <w:t>Annual cash</w:t>
            </w:r>
          </w:p>
        </w:tc>
        <w:tc>
          <w:tcPr>
            <w:tcW w:w="700" w:type="dxa"/>
            <w:vAlign w:val="bottom"/>
          </w:tcPr>
          <w:p>
            <w:pPr>
              <w:jc w:val="right"/>
              <w:spacing w:after="0"/>
              <w:rPr>
                <w:sz w:val="20"/>
                <w:szCs w:val="20"/>
                <w:color w:val="auto"/>
              </w:rPr>
            </w:pPr>
            <w:r>
              <w:rPr>
                <w:rFonts w:ascii="Arial" w:cs="Arial" w:eastAsia="Arial" w:hAnsi="Arial"/>
                <w:sz w:val="13"/>
                <w:szCs w:val="13"/>
                <w:color w:val="auto"/>
              </w:rPr>
              <w:t>435,587</w:t>
            </w:r>
          </w:p>
        </w:tc>
        <w:tc>
          <w:tcPr>
            <w:tcW w:w="700" w:type="dxa"/>
            <w:vAlign w:val="bottom"/>
          </w:tcPr>
          <w:p>
            <w:pPr>
              <w:jc w:val="right"/>
              <w:spacing w:after="0"/>
              <w:rPr>
                <w:sz w:val="20"/>
                <w:szCs w:val="20"/>
                <w:color w:val="auto"/>
              </w:rPr>
            </w:pPr>
            <w:r>
              <w:rPr>
                <w:rFonts w:ascii="Arial" w:cs="Arial" w:eastAsia="Arial" w:hAnsi="Arial"/>
                <w:sz w:val="13"/>
                <w:szCs w:val="13"/>
                <w:color w:val="auto"/>
              </w:rPr>
              <w:t>871,173</w:t>
            </w:r>
          </w:p>
        </w:tc>
        <w:tc>
          <w:tcPr>
            <w:tcW w:w="720" w:type="dxa"/>
            <w:vAlign w:val="bottom"/>
          </w:tcPr>
          <w:p>
            <w:pPr>
              <w:jc w:val="right"/>
              <w:spacing w:after="0"/>
              <w:rPr>
                <w:sz w:val="20"/>
                <w:szCs w:val="20"/>
                <w:color w:val="auto"/>
              </w:rPr>
            </w:pPr>
            <w:r>
              <w:rPr>
                <w:rFonts w:ascii="Arial" w:cs="Arial" w:eastAsia="Arial" w:hAnsi="Arial"/>
                <w:sz w:val="13"/>
                <w:szCs w:val="13"/>
                <w:color w:val="auto"/>
              </w:rPr>
              <w:t>3,484,692</w:t>
            </w: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8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80" w:type="dxa"/>
            <w:vAlign w:val="bottom"/>
            <w:gridSpan w:val="2"/>
          </w:tcPr>
          <w:p>
            <w:pPr>
              <w:jc w:val="right"/>
              <w:ind w:right="29"/>
              <w:spacing w:after="0"/>
              <w:rPr>
                <w:sz w:val="20"/>
                <w:szCs w:val="20"/>
                <w:color w:val="auto"/>
              </w:rPr>
            </w:pPr>
            <w:r>
              <w:rPr>
                <w:rFonts w:ascii="Arial" w:cs="Arial" w:eastAsia="Arial" w:hAnsi="Arial"/>
                <w:sz w:val="13"/>
                <w:szCs w:val="13"/>
                <w:color w:val="auto"/>
              </w:rPr>
              <w:t>incentive</w:t>
            </w: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2860" w:type="dxa"/>
            <w:vAlign w:val="bottom"/>
          </w:tcPr>
          <w:p>
            <w:pPr>
              <w:spacing w:after="0"/>
              <w:rPr>
                <w:sz w:val="3"/>
                <w:szCs w:val="3"/>
                <w:color w:val="auto"/>
              </w:rPr>
            </w:pPr>
          </w:p>
        </w:tc>
        <w:tc>
          <w:tcPr>
            <w:tcW w:w="720" w:type="dxa"/>
            <w:vAlign w:val="bottom"/>
            <w:tcBorders>
              <w:bottom w:val="single" w:sz="8" w:color="DFF1FB"/>
            </w:tcBorders>
          </w:tcPr>
          <w:p>
            <w:pPr>
              <w:spacing w:after="0"/>
              <w:rPr>
                <w:sz w:val="3"/>
                <w:szCs w:val="3"/>
                <w:color w:val="auto"/>
              </w:rPr>
            </w:pPr>
          </w:p>
        </w:tc>
        <w:tc>
          <w:tcPr>
            <w:tcW w:w="880" w:type="dxa"/>
            <w:vAlign w:val="bottom"/>
            <w:tcBorders>
              <w:bottom w:val="single" w:sz="8" w:color="DFF1FB"/>
            </w:tcBorders>
            <w:gridSpan w:val="2"/>
          </w:tcPr>
          <w:p>
            <w:pPr>
              <w:spacing w:after="0"/>
              <w:rPr>
                <w:sz w:val="3"/>
                <w:szCs w:val="3"/>
                <w:color w:val="auto"/>
              </w:rPr>
            </w:pPr>
          </w:p>
        </w:tc>
        <w:tc>
          <w:tcPr>
            <w:tcW w:w="700" w:type="dxa"/>
            <w:vAlign w:val="bottom"/>
            <w:tcBorders>
              <w:bottom w:val="single" w:sz="8" w:color="DFF1FB"/>
            </w:tcBorders>
          </w:tcPr>
          <w:p>
            <w:pPr>
              <w:spacing w:after="0"/>
              <w:rPr>
                <w:sz w:val="3"/>
                <w:szCs w:val="3"/>
                <w:color w:val="auto"/>
              </w:rPr>
            </w:pPr>
          </w:p>
        </w:tc>
        <w:tc>
          <w:tcPr>
            <w:tcW w:w="700" w:type="dxa"/>
            <w:vAlign w:val="bottom"/>
            <w:tcBorders>
              <w:bottom w:val="single" w:sz="8" w:color="DFF1FB"/>
            </w:tcBorders>
          </w:tcPr>
          <w:p>
            <w:pPr>
              <w:spacing w:after="0"/>
              <w:rPr>
                <w:sz w:val="3"/>
                <w:szCs w:val="3"/>
                <w:color w:val="auto"/>
              </w:rPr>
            </w:pPr>
          </w:p>
        </w:tc>
        <w:tc>
          <w:tcPr>
            <w:tcW w:w="720" w:type="dxa"/>
            <w:vAlign w:val="bottom"/>
            <w:tcBorders>
              <w:bottom w:val="single" w:sz="8" w:color="DFF1FB"/>
            </w:tcBorders>
          </w:tcPr>
          <w:p>
            <w:pPr>
              <w:spacing w:after="0"/>
              <w:rPr>
                <w:sz w:val="3"/>
                <w:szCs w:val="3"/>
                <w:color w:val="auto"/>
              </w:rPr>
            </w:pPr>
          </w:p>
        </w:tc>
        <w:tc>
          <w:tcPr>
            <w:tcW w:w="80" w:type="dxa"/>
            <w:vAlign w:val="bottom"/>
            <w:tcBorders>
              <w:bottom w:val="single" w:sz="8" w:color="DFF1FB"/>
            </w:tcBorders>
          </w:tcPr>
          <w:p>
            <w:pPr>
              <w:spacing w:after="0"/>
              <w:rPr>
                <w:sz w:val="3"/>
                <w:szCs w:val="3"/>
                <w:color w:val="auto"/>
              </w:rPr>
            </w:pPr>
          </w:p>
        </w:tc>
        <w:tc>
          <w:tcPr>
            <w:tcW w:w="700" w:type="dxa"/>
            <w:vAlign w:val="bottom"/>
            <w:tcBorders>
              <w:bottom w:val="single" w:sz="8" w:color="DFF1FB"/>
            </w:tcBorders>
          </w:tcPr>
          <w:p>
            <w:pPr>
              <w:spacing w:after="0"/>
              <w:rPr>
                <w:sz w:val="3"/>
                <w:szCs w:val="3"/>
                <w:color w:val="auto"/>
              </w:rPr>
            </w:pPr>
          </w:p>
        </w:tc>
        <w:tc>
          <w:tcPr>
            <w:tcW w:w="500" w:type="dxa"/>
            <w:vAlign w:val="bottom"/>
            <w:tcBorders>
              <w:bottom w:val="single" w:sz="8" w:color="DFF1FB"/>
            </w:tcBorders>
          </w:tcPr>
          <w:p>
            <w:pPr>
              <w:spacing w:after="0"/>
              <w:rPr>
                <w:sz w:val="3"/>
                <w:szCs w:val="3"/>
                <w:color w:val="auto"/>
              </w:rPr>
            </w:pPr>
          </w:p>
        </w:tc>
        <w:tc>
          <w:tcPr>
            <w:tcW w:w="680" w:type="dxa"/>
            <w:vAlign w:val="bottom"/>
            <w:tcBorders>
              <w:bottom w:val="single" w:sz="8" w:color="DFF1FB"/>
            </w:tcBorders>
          </w:tcPr>
          <w:p>
            <w:pPr>
              <w:spacing w:after="0"/>
              <w:rPr>
                <w:sz w:val="3"/>
                <w:szCs w:val="3"/>
                <w:color w:val="auto"/>
              </w:rPr>
            </w:pPr>
          </w:p>
        </w:tc>
        <w:tc>
          <w:tcPr>
            <w:tcW w:w="40" w:type="dxa"/>
            <w:vAlign w:val="bottom"/>
            <w:tcBorders>
              <w:bottom w:val="single" w:sz="8" w:color="DFF1FB"/>
            </w:tcBorders>
          </w:tcPr>
          <w:p>
            <w:pPr>
              <w:spacing w:after="0"/>
              <w:rPr>
                <w:sz w:val="3"/>
                <w:szCs w:val="3"/>
                <w:color w:val="auto"/>
              </w:rPr>
            </w:pPr>
          </w:p>
        </w:tc>
        <w:tc>
          <w:tcPr>
            <w:tcW w:w="800" w:type="dxa"/>
            <w:vAlign w:val="bottom"/>
            <w:tcBorders>
              <w:bottom w:val="single" w:sz="8" w:color="DFF1FB"/>
            </w:tcBorders>
          </w:tcPr>
          <w:p>
            <w:pPr>
              <w:spacing w:after="0"/>
              <w:rPr>
                <w:sz w:val="3"/>
                <w:szCs w:val="3"/>
                <w:color w:val="auto"/>
              </w:rPr>
            </w:pPr>
          </w:p>
        </w:tc>
        <w:tc>
          <w:tcPr>
            <w:tcW w:w="680" w:type="dxa"/>
            <w:vAlign w:val="bottom"/>
            <w:tcBorders>
              <w:bottom w:val="single" w:sz="8" w:color="DFF1FB"/>
            </w:tcBorders>
          </w:tcPr>
          <w:p>
            <w:pPr>
              <w:spacing w:after="0"/>
              <w:rPr>
                <w:sz w:val="3"/>
                <w:szCs w:val="3"/>
                <w:color w:val="auto"/>
              </w:rPr>
            </w:pPr>
          </w:p>
        </w:tc>
        <w:tc>
          <w:tcPr>
            <w:tcW w:w="640" w:type="dxa"/>
            <w:vAlign w:val="bottom"/>
            <w:tcBorders>
              <w:bottom w:val="single" w:sz="8" w:color="DFF1FB"/>
            </w:tcBorders>
          </w:tcPr>
          <w:p>
            <w:pPr>
              <w:spacing w:after="0"/>
              <w:rPr>
                <w:sz w:val="3"/>
                <w:szCs w:val="3"/>
                <w:color w:val="auto"/>
              </w:rPr>
            </w:pPr>
          </w:p>
        </w:tc>
        <w:tc>
          <w:tcPr>
            <w:tcW w:w="720" w:type="dxa"/>
            <w:vAlign w:val="bottom"/>
            <w:tcBorders>
              <w:bottom w:val="single" w:sz="8" w:color="DFF1FB"/>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28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02/22/2018</w:t>
            </w:r>
          </w:p>
        </w:tc>
        <w:tc>
          <w:tcPr>
            <w:tcW w:w="880" w:type="dxa"/>
            <w:vAlign w:val="bottom"/>
            <w:gridSpan w:val="2"/>
          </w:tcPr>
          <w:p>
            <w:pPr>
              <w:jc w:val="right"/>
              <w:ind w:right="29"/>
              <w:spacing w:after="0"/>
              <w:rPr>
                <w:sz w:val="20"/>
                <w:szCs w:val="20"/>
                <w:color w:val="auto"/>
              </w:rPr>
            </w:pPr>
            <w:r>
              <w:rPr>
                <w:rFonts w:ascii="Arial" w:cs="Arial" w:eastAsia="Arial" w:hAnsi="Arial"/>
                <w:sz w:val="13"/>
                <w:szCs w:val="13"/>
                <w:color w:val="auto"/>
              </w:rPr>
              <w:t>PSAs</w:t>
            </w: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0</w:t>
            </w:r>
          </w:p>
        </w:tc>
        <w:tc>
          <w:tcPr>
            <w:tcW w:w="500" w:type="dxa"/>
            <w:vAlign w:val="bottom"/>
          </w:tcPr>
          <w:p>
            <w:pPr>
              <w:jc w:val="right"/>
              <w:spacing w:after="0"/>
              <w:rPr>
                <w:sz w:val="20"/>
                <w:szCs w:val="20"/>
                <w:color w:val="auto"/>
              </w:rPr>
            </w:pPr>
            <w:r>
              <w:rPr>
                <w:rFonts w:ascii="Arial" w:cs="Arial" w:eastAsia="Arial" w:hAnsi="Arial"/>
                <w:sz w:val="13"/>
                <w:szCs w:val="13"/>
                <w:color w:val="auto"/>
              </w:rPr>
              <w:t>13,578</w:t>
            </w:r>
          </w:p>
        </w:tc>
        <w:tc>
          <w:tcPr>
            <w:tcW w:w="720" w:type="dxa"/>
            <w:vAlign w:val="bottom"/>
            <w:gridSpan w:val="2"/>
          </w:tcPr>
          <w:p>
            <w:pPr>
              <w:jc w:val="right"/>
              <w:ind w:right="40"/>
              <w:spacing w:after="0"/>
              <w:rPr>
                <w:sz w:val="20"/>
                <w:szCs w:val="20"/>
                <w:color w:val="auto"/>
              </w:rPr>
            </w:pPr>
            <w:r>
              <w:rPr>
                <w:rFonts w:ascii="Arial" w:cs="Arial" w:eastAsia="Arial" w:hAnsi="Arial"/>
                <w:sz w:val="13"/>
                <w:szCs w:val="13"/>
                <w:color w:val="auto"/>
              </w:rPr>
              <w:t>27,156</w:t>
            </w:r>
          </w:p>
        </w:tc>
        <w:tc>
          <w:tcPr>
            <w:tcW w:w="8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1,260,038</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2860" w:type="dxa"/>
            <w:vAlign w:val="bottom"/>
          </w:tcPr>
          <w:p>
            <w:pPr>
              <w:spacing w:after="0"/>
              <w:rPr>
                <w:sz w:val="3"/>
                <w:szCs w:val="3"/>
                <w:color w:val="auto"/>
              </w:rPr>
            </w:pPr>
          </w:p>
        </w:tc>
        <w:tc>
          <w:tcPr>
            <w:tcW w:w="720" w:type="dxa"/>
            <w:vAlign w:val="bottom"/>
            <w:tcBorders>
              <w:bottom w:val="single" w:sz="8" w:color="DFF1FB"/>
            </w:tcBorders>
          </w:tcPr>
          <w:p>
            <w:pPr>
              <w:spacing w:after="0"/>
              <w:rPr>
                <w:sz w:val="3"/>
                <w:szCs w:val="3"/>
                <w:color w:val="auto"/>
              </w:rPr>
            </w:pPr>
          </w:p>
        </w:tc>
        <w:tc>
          <w:tcPr>
            <w:tcW w:w="880" w:type="dxa"/>
            <w:vAlign w:val="bottom"/>
            <w:tcBorders>
              <w:bottom w:val="single" w:sz="8" w:color="DFF1FB"/>
            </w:tcBorders>
            <w:gridSpan w:val="2"/>
          </w:tcPr>
          <w:p>
            <w:pPr>
              <w:spacing w:after="0"/>
              <w:rPr>
                <w:sz w:val="3"/>
                <w:szCs w:val="3"/>
                <w:color w:val="auto"/>
              </w:rPr>
            </w:pPr>
          </w:p>
        </w:tc>
        <w:tc>
          <w:tcPr>
            <w:tcW w:w="700" w:type="dxa"/>
            <w:vAlign w:val="bottom"/>
            <w:tcBorders>
              <w:bottom w:val="single" w:sz="8" w:color="DFF1FB"/>
            </w:tcBorders>
          </w:tcPr>
          <w:p>
            <w:pPr>
              <w:spacing w:after="0"/>
              <w:rPr>
                <w:sz w:val="3"/>
                <w:szCs w:val="3"/>
                <w:color w:val="auto"/>
              </w:rPr>
            </w:pPr>
          </w:p>
        </w:tc>
        <w:tc>
          <w:tcPr>
            <w:tcW w:w="700" w:type="dxa"/>
            <w:vAlign w:val="bottom"/>
            <w:tcBorders>
              <w:bottom w:val="single" w:sz="8" w:color="DFF1FB"/>
            </w:tcBorders>
          </w:tcPr>
          <w:p>
            <w:pPr>
              <w:spacing w:after="0"/>
              <w:rPr>
                <w:sz w:val="3"/>
                <w:szCs w:val="3"/>
                <w:color w:val="auto"/>
              </w:rPr>
            </w:pPr>
          </w:p>
        </w:tc>
        <w:tc>
          <w:tcPr>
            <w:tcW w:w="720" w:type="dxa"/>
            <w:vAlign w:val="bottom"/>
            <w:tcBorders>
              <w:bottom w:val="single" w:sz="8" w:color="DFF1FB"/>
            </w:tcBorders>
          </w:tcPr>
          <w:p>
            <w:pPr>
              <w:spacing w:after="0"/>
              <w:rPr>
                <w:sz w:val="3"/>
                <w:szCs w:val="3"/>
                <w:color w:val="auto"/>
              </w:rPr>
            </w:pPr>
          </w:p>
        </w:tc>
        <w:tc>
          <w:tcPr>
            <w:tcW w:w="80" w:type="dxa"/>
            <w:vAlign w:val="bottom"/>
            <w:tcBorders>
              <w:bottom w:val="single" w:sz="8" w:color="DFF1FB"/>
            </w:tcBorders>
          </w:tcPr>
          <w:p>
            <w:pPr>
              <w:spacing w:after="0"/>
              <w:rPr>
                <w:sz w:val="3"/>
                <w:szCs w:val="3"/>
                <w:color w:val="auto"/>
              </w:rPr>
            </w:pPr>
          </w:p>
        </w:tc>
        <w:tc>
          <w:tcPr>
            <w:tcW w:w="700" w:type="dxa"/>
            <w:vAlign w:val="bottom"/>
            <w:tcBorders>
              <w:bottom w:val="single" w:sz="8" w:color="DFF1FB"/>
            </w:tcBorders>
          </w:tcPr>
          <w:p>
            <w:pPr>
              <w:spacing w:after="0"/>
              <w:rPr>
                <w:sz w:val="3"/>
                <w:szCs w:val="3"/>
                <w:color w:val="auto"/>
              </w:rPr>
            </w:pPr>
          </w:p>
        </w:tc>
        <w:tc>
          <w:tcPr>
            <w:tcW w:w="500" w:type="dxa"/>
            <w:vAlign w:val="bottom"/>
            <w:tcBorders>
              <w:bottom w:val="single" w:sz="8" w:color="DFF1FB"/>
            </w:tcBorders>
          </w:tcPr>
          <w:p>
            <w:pPr>
              <w:spacing w:after="0"/>
              <w:rPr>
                <w:sz w:val="3"/>
                <w:szCs w:val="3"/>
                <w:color w:val="auto"/>
              </w:rPr>
            </w:pPr>
          </w:p>
        </w:tc>
        <w:tc>
          <w:tcPr>
            <w:tcW w:w="680" w:type="dxa"/>
            <w:vAlign w:val="bottom"/>
            <w:tcBorders>
              <w:bottom w:val="single" w:sz="8" w:color="DFF1FB"/>
            </w:tcBorders>
          </w:tcPr>
          <w:p>
            <w:pPr>
              <w:spacing w:after="0"/>
              <w:rPr>
                <w:sz w:val="3"/>
                <w:szCs w:val="3"/>
                <w:color w:val="auto"/>
              </w:rPr>
            </w:pPr>
          </w:p>
        </w:tc>
        <w:tc>
          <w:tcPr>
            <w:tcW w:w="40" w:type="dxa"/>
            <w:vAlign w:val="bottom"/>
            <w:tcBorders>
              <w:bottom w:val="single" w:sz="8" w:color="DFF1FB"/>
            </w:tcBorders>
          </w:tcPr>
          <w:p>
            <w:pPr>
              <w:spacing w:after="0"/>
              <w:rPr>
                <w:sz w:val="3"/>
                <w:szCs w:val="3"/>
                <w:color w:val="auto"/>
              </w:rPr>
            </w:pPr>
          </w:p>
        </w:tc>
        <w:tc>
          <w:tcPr>
            <w:tcW w:w="800" w:type="dxa"/>
            <w:vAlign w:val="bottom"/>
            <w:tcBorders>
              <w:bottom w:val="single" w:sz="8" w:color="DFF1FB"/>
            </w:tcBorders>
          </w:tcPr>
          <w:p>
            <w:pPr>
              <w:spacing w:after="0"/>
              <w:rPr>
                <w:sz w:val="3"/>
                <w:szCs w:val="3"/>
                <w:color w:val="auto"/>
              </w:rPr>
            </w:pPr>
          </w:p>
        </w:tc>
        <w:tc>
          <w:tcPr>
            <w:tcW w:w="680" w:type="dxa"/>
            <w:vAlign w:val="bottom"/>
            <w:tcBorders>
              <w:bottom w:val="single" w:sz="8" w:color="DFF1FB"/>
            </w:tcBorders>
          </w:tcPr>
          <w:p>
            <w:pPr>
              <w:spacing w:after="0"/>
              <w:rPr>
                <w:sz w:val="3"/>
                <w:szCs w:val="3"/>
                <w:color w:val="auto"/>
              </w:rPr>
            </w:pPr>
          </w:p>
        </w:tc>
        <w:tc>
          <w:tcPr>
            <w:tcW w:w="640" w:type="dxa"/>
            <w:vAlign w:val="bottom"/>
            <w:tcBorders>
              <w:bottom w:val="single" w:sz="8" w:color="DFF1FB"/>
            </w:tcBorders>
          </w:tcPr>
          <w:p>
            <w:pPr>
              <w:spacing w:after="0"/>
              <w:rPr>
                <w:sz w:val="3"/>
                <w:szCs w:val="3"/>
                <w:color w:val="auto"/>
              </w:rPr>
            </w:pPr>
          </w:p>
        </w:tc>
        <w:tc>
          <w:tcPr>
            <w:tcW w:w="720" w:type="dxa"/>
            <w:vAlign w:val="bottom"/>
            <w:tcBorders>
              <w:bottom w:val="single" w:sz="8" w:color="DFF1FB"/>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28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02/22/2018</w:t>
            </w:r>
          </w:p>
        </w:tc>
        <w:tc>
          <w:tcPr>
            <w:tcW w:w="880" w:type="dxa"/>
            <w:vAlign w:val="bottom"/>
            <w:gridSpan w:val="2"/>
          </w:tcPr>
          <w:p>
            <w:pPr>
              <w:jc w:val="right"/>
              <w:ind w:right="29"/>
              <w:spacing w:after="0"/>
              <w:rPr>
                <w:sz w:val="20"/>
                <w:szCs w:val="20"/>
                <w:color w:val="auto"/>
              </w:rPr>
            </w:pPr>
            <w:r>
              <w:rPr>
                <w:rFonts w:ascii="Arial" w:cs="Arial" w:eastAsia="Arial" w:hAnsi="Arial"/>
                <w:sz w:val="13"/>
                <w:szCs w:val="13"/>
                <w:color w:val="auto"/>
              </w:rPr>
              <w:t>Stock</w:t>
            </w: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49,296</w:t>
            </w:r>
          </w:p>
        </w:tc>
        <w:tc>
          <w:tcPr>
            <w:tcW w:w="680" w:type="dxa"/>
            <w:vAlign w:val="bottom"/>
          </w:tcPr>
          <w:p>
            <w:pPr>
              <w:jc w:val="right"/>
              <w:ind w:right="15"/>
              <w:spacing w:after="0"/>
              <w:rPr>
                <w:sz w:val="20"/>
                <w:szCs w:val="20"/>
                <w:color w:val="auto"/>
              </w:rPr>
            </w:pPr>
            <w:r>
              <w:rPr>
                <w:rFonts w:ascii="Arial" w:cs="Arial" w:eastAsia="Arial" w:hAnsi="Arial"/>
                <w:sz w:val="13"/>
                <w:szCs w:val="13"/>
                <w:color w:val="auto"/>
              </w:rPr>
              <w:t>92.80</w:t>
            </w:r>
          </w:p>
        </w:tc>
        <w:tc>
          <w:tcPr>
            <w:tcW w:w="640" w:type="dxa"/>
            <w:vAlign w:val="bottom"/>
          </w:tcPr>
          <w:p>
            <w:pPr>
              <w:spacing w:after="0"/>
              <w:rPr>
                <w:sz w:val="16"/>
                <w:szCs w:val="16"/>
                <w:color w:val="auto"/>
              </w:rPr>
            </w:pPr>
          </w:p>
        </w:tc>
        <w:tc>
          <w:tcPr>
            <w:tcW w:w="720" w:type="dxa"/>
            <w:vAlign w:val="bottom"/>
          </w:tcPr>
          <w:p>
            <w:pPr>
              <w:jc w:val="right"/>
              <w:ind w:right="13"/>
              <w:spacing w:after="0"/>
              <w:rPr>
                <w:sz w:val="20"/>
                <w:szCs w:val="20"/>
                <w:color w:val="auto"/>
              </w:rPr>
            </w:pPr>
            <w:r>
              <w:rPr>
                <w:rFonts w:ascii="Arial" w:cs="Arial" w:eastAsia="Arial" w:hAnsi="Arial"/>
                <w:sz w:val="13"/>
                <w:szCs w:val="13"/>
                <w:color w:val="auto"/>
              </w:rPr>
              <w:t>840,004</w:t>
            </w:r>
          </w:p>
        </w:tc>
        <w:tc>
          <w:tcPr>
            <w:tcW w:w="0" w:type="dxa"/>
            <w:vAlign w:val="bottom"/>
          </w:tcPr>
          <w:p>
            <w:pPr>
              <w:spacing w:after="0"/>
              <w:rPr>
                <w:sz w:val="1"/>
                <w:szCs w:val="1"/>
                <w:color w:val="auto"/>
              </w:rPr>
            </w:pPr>
          </w:p>
        </w:tc>
      </w:tr>
      <w:tr>
        <w:trPr>
          <w:trHeight w:val="243"/>
        </w:trPr>
        <w:tc>
          <w:tcPr>
            <w:tcW w:w="28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80" w:type="dxa"/>
            <w:vAlign w:val="bottom"/>
            <w:gridSpan w:val="2"/>
          </w:tcPr>
          <w:p>
            <w:pPr>
              <w:jc w:val="right"/>
              <w:ind w:right="29"/>
              <w:spacing w:after="0"/>
              <w:rPr>
                <w:sz w:val="20"/>
                <w:szCs w:val="20"/>
                <w:color w:val="auto"/>
              </w:rPr>
            </w:pPr>
            <w:r>
              <w:rPr>
                <w:rFonts w:ascii="Arial" w:cs="Arial" w:eastAsia="Arial" w:hAnsi="Arial"/>
                <w:sz w:val="13"/>
                <w:szCs w:val="13"/>
                <w:color w:val="auto"/>
              </w:rPr>
              <w:t>options</w:t>
            </w: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2860" w:type="dxa"/>
            <w:vAlign w:val="bottom"/>
            <w:tcBorders>
              <w:bottom w:val="single" w:sz="8" w:color="DFF1FB"/>
            </w:tcBorders>
          </w:tcPr>
          <w:p>
            <w:pPr>
              <w:spacing w:after="0"/>
              <w:rPr>
                <w:sz w:val="3"/>
                <w:szCs w:val="3"/>
                <w:color w:val="auto"/>
              </w:rPr>
            </w:pPr>
          </w:p>
        </w:tc>
        <w:tc>
          <w:tcPr>
            <w:tcW w:w="720" w:type="dxa"/>
            <w:vAlign w:val="bottom"/>
            <w:tcBorders>
              <w:bottom w:val="single" w:sz="8" w:color="DFF1FB"/>
            </w:tcBorders>
          </w:tcPr>
          <w:p>
            <w:pPr>
              <w:spacing w:after="0"/>
              <w:rPr>
                <w:sz w:val="3"/>
                <w:szCs w:val="3"/>
                <w:color w:val="auto"/>
              </w:rPr>
            </w:pPr>
          </w:p>
        </w:tc>
        <w:tc>
          <w:tcPr>
            <w:tcW w:w="880" w:type="dxa"/>
            <w:vAlign w:val="bottom"/>
            <w:tcBorders>
              <w:bottom w:val="single" w:sz="8" w:color="DFF1FB"/>
            </w:tcBorders>
            <w:gridSpan w:val="2"/>
          </w:tcPr>
          <w:p>
            <w:pPr>
              <w:spacing w:after="0"/>
              <w:rPr>
                <w:sz w:val="3"/>
                <w:szCs w:val="3"/>
                <w:color w:val="auto"/>
              </w:rPr>
            </w:pPr>
          </w:p>
        </w:tc>
        <w:tc>
          <w:tcPr>
            <w:tcW w:w="700" w:type="dxa"/>
            <w:vAlign w:val="bottom"/>
            <w:tcBorders>
              <w:bottom w:val="single" w:sz="8" w:color="DFF1FB"/>
            </w:tcBorders>
          </w:tcPr>
          <w:p>
            <w:pPr>
              <w:spacing w:after="0"/>
              <w:rPr>
                <w:sz w:val="3"/>
                <w:szCs w:val="3"/>
                <w:color w:val="auto"/>
              </w:rPr>
            </w:pPr>
          </w:p>
        </w:tc>
        <w:tc>
          <w:tcPr>
            <w:tcW w:w="700" w:type="dxa"/>
            <w:vAlign w:val="bottom"/>
            <w:tcBorders>
              <w:bottom w:val="single" w:sz="8" w:color="DFF1FB"/>
            </w:tcBorders>
          </w:tcPr>
          <w:p>
            <w:pPr>
              <w:spacing w:after="0"/>
              <w:rPr>
                <w:sz w:val="3"/>
                <w:szCs w:val="3"/>
                <w:color w:val="auto"/>
              </w:rPr>
            </w:pPr>
          </w:p>
        </w:tc>
        <w:tc>
          <w:tcPr>
            <w:tcW w:w="720" w:type="dxa"/>
            <w:vAlign w:val="bottom"/>
            <w:tcBorders>
              <w:bottom w:val="single" w:sz="8" w:color="DFF1FB"/>
            </w:tcBorders>
          </w:tcPr>
          <w:p>
            <w:pPr>
              <w:spacing w:after="0"/>
              <w:rPr>
                <w:sz w:val="3"/>
                <w:szCs w:val="3"/>
                <w:color w:val="auto"/>
              </w:rPr>
            </w:pPr>
          </w:p>
        </w:tc>
        <w:tc>
          <w:tcPr>
            <w:tcW w:w="80" w:type="dxa"/>
            <w:vAlign w:val="bottom"/>
            <w:tcBorders>
              <w:bottom w:val="single" w:sz="8" w:color="DFF1FB"/>
            </w:tcBorders>
          </w:tcPr>
          <w:p>
            <w:pPr>
              <w:spacing w:after="0"/>
              <w:rPr>
                <w:sz w:val="3"/>
                <w:szCs w:val="3"/>
                <w:color w:val="auto"/>
              </w:rPr>
            </w:pPr>
          </w:p>
        </w:tc>
        <w:tc>
          <w:tcPr>
            <w:tcW w:w="700" w:type="dxa"/>
            <w:vAlign w:val="bottom"/>
            <w:tcBorders>
              <w:bottom w:val="single" w:sz="8" w:color="DFF1FB"/>
            </w:tcBorders>
          </w:tcPr>
          <w:p>
            <w:pPr>
              <w:spacing w:after="0"/>
              <w:rPr>
                <w:sz w:val="3"/>
                <w:szCs w:val="3"/>
                <w:color w:val="auto"/>
              </w:rPr>
            </w:pPr>
          </w:p>
        </w:tc>
        <w:tc>
          <w:tcPr>
            <w:tcW w:w="500" w:type="dxa"/>
            <w:vAlign w:val="bottom"/>
            <w:tcBorders>
              <w:bottom w:val="single" w:sz="8" w:color="DFF1FB"/>
            </w:tcBorders>
          </w:tcPr>
          <w:p>
            <w:pPr>
              <w:spacing w:after="0"/>
              <w:rPr>
                <w:sz w:val="3"/>
                <w:szCs w:val="3"/>
                <w:color w:val="auto"/>
              </w:rPr>
            </w:pPr>
          </w:p>
        </w:tc>
        <w:tc>
          <w:tcPr>
            <w:tcW w:w="680" w:type="dxa"/>
            <w:vAlign w:val="bottom"/>
            <w:tcBorders>
              <w:bottom w:val="single" w:sz="8" w:color="DFF1FB"/>
            </w:tcBorders>
          </w:tcPr>
          <w:p>
            <w:pPr>
              <w:spacing w:after="0"/>
              <w:rPr>
                <w:sz w:val="3"/>
                <w:szCs w:val="3"/>
                <w:color w:val="auto"/>
              </w:rPr>
            </w:pPr>
          </w:p>
        </w:tc>
        <w:tc>
          <w:tcPr>
            <w:tcW w:w="40" w:type="dxa"/>
            <w:vAlign w:val="bottom"/>
            <w:tcBorders>
              <w:bottom w:val="single" w:sz="8" w:color="DFF1FB"/>
            </w:tcBorders>
          </w:tcPr>
          <w:p>
            <w:pPr>
              <w:spacing w:after="0"/>
              <w:rPr>
                <w:sz w:val="3"/>
                <w:szCs w:val="3"/>
                <w:color w:val="auto"/>
              </w:rPr>
            </w:pPr>
          </w:p>
        </w:tc>
        <w:tc>
          <w:tcPr>
            <w:tcW w:w="800" w:type="dxa"/>
            <w:vAlign w:val="bottom"/>
            <w:tcBorders>
              <w:bottom w:val="single" w:sz="8" w:color="DFF1FB"/>
            </w:tcBorders>
          </w:tcPr>
          <w:p>
            <w:pPr>
              <w:spacing w:after="0"/>
              <w:rPr>
                <w:sz w:val="3"/>
                <w:szCs w:val="3"/>
                <w:color w:val="auto"/>
              </w:rPr>
            </w:pPr>
          </w:p>
        </w:tc>
        <w:tc>
          <w:tcPr>
            <w:tcW w:w="680" w:type="dxa"/>
            <w:vAlign w:val="bottom"/>
            <w:tcBorders>
              <w:bottom w:val="single" w:sz="8" w:color="DFF1FB"/>
            </w:tcBorders>
          </w:tcPr>
          <w:p>
            <w:pPr>
              <w:spacing w:after="0"/>
              <w:rPr>
                <w:sz w:val="3"/>
                <w:szCs w:val="3"/>
                <w:color w:val="auto"/>
              </w:rPr>
            </w:pPr>
          </w:p>
        </w:tc>
        <w:tc>
          <w:tcPr>
            <w:tcW w:w="640" w:type="dxa"/>
            <w:vAlign w:val="bottom"/>
            <w:tcBorders>
              <w:bottom w:val="single" w:sz="8" w:color="DFF1FB"/>
            </w:tcBorders>
          </w:tcPr>
          <w:p>
            <w:pPr>
              <w:spacing w:after="0"/>
              <w:rPr>
                <w:sz w:val="3"/>
                <w:szCs w:val="3"/>
                <w:color w:val="auto"/>
              </w:rPr>
            </w:pPr>
          </w:p>
        </w:tc>
        <w:tc>
          <w:tcPr>
            <w:tcW w:w="720" w:type="dxa"/>
            <w:vAlign w:val="bottom"/>
            <w:tcBorders>
              <w:bottom w:val="single" w:sz="8" w:color="DFF1FB"/>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2860" w:type="dxa"/>
            <w:vAlign w:val="bottom"/>
          </w:tcPr>
          <w:p>
            <w:pPr>
              <w:ind w:left="80"/>
              <w:spacing w:after="0"/>
              <w:rPr>
                <w:sz w:val="20"/>
                <w:szCs w:val="20"/>
                <w:color w:val="auto"/>
              </w:rPr>
            </w:pPr>
            <w:r>
              <w:rPr>
                <w:rFonts w:ascii="Arial" w:cs="Arial" w:eastAsia="Arial" w:hAnsi="Arial"/>
                <w:sz w:val="13"/>
                <w:szCs w:val="13"/>
                <w:b w:val="1"/>
                <w:bCs w:val="1"/>
                <w:color w:val="105FAB"/>
              </w:rPr>
              <w:t>Mr. Dugenske</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9"/>
              <w:spacing w:after="0"/>
              <w:rPr>
                <w:sz w:val="20"/>
                <w:szCs w:val="20"/>
                <w:color w:val="auto"/>
              </w:rPr>
            </w:pPr>
            <w:r>
              <w:rPr>
                <w:rFonts w:ascii="Arial" w:cs="Arial" w:eastAsia="Arial" w:hAnsi="Arial"/>
                <w:sz w:val="13"/>
                <w:szCs w:val="13"/>
                <w:color w:val="auto"/>
              </w:rPr>
              <w:t>Annual cash</w:t>
            </w:r>
          </w:p>
        </w:tc>
        <w:tc>
          <w:tcPr>
            <w:tcW w:w="700" w:type="dxa"/>
            <w:vAlign w:val="bottom"/>
          </w:tcPr>
          <w:p>
            <w:pPr>
              <w:jc w:val="right"/>
              <w:spacing w:after="0"/>
              <w:rPr>
                <w:sz w:val="20"/>
                <w:szCs w:val="20"/>
                <w:color w:val="auto"/>
              </w:rPr>
            </w:pPr>
            <w:r>
              <w:rPr>
                <w:rFonts w:ascii="Arial" w:cs="Arial" w:eastAsia="Arial" w:hAnsi="Arial"/>
                <w:sz w:val="13"/>
                <w:szCs w:val="13"/>
                <w:color w:val="auto"/>
              </w:rPr>
              <w:t>466,096</w:t>
            </w:r>
          </w:p>
        </w:tc>
        <w:tc>
          <w:tcPr>
            <w:tcW w:w="700" w:type="dxa"/>
            <w:vAlign w:val="bottom"/>
          </w:tcPr>
          <w:p>
            <w:pPr>
              <w:jc w:val="right"/>
              <w:spacing w:after="0"/>
              <w:rPr>
                <w:sz w:val="20"/>
                <w:szCs w:val="20"/>
                <w:color w:val="auto"/>
              </w:rPr>
            </w:pPr>
            <w:r>
              <w:rPr>
                <w:rFonts w:ascii="Arial" w:cs="Arial" w:eastAsia="Arial" w:hAnsi="Arial"/>
                <w:sz w:val="13"/>
                <w:szCs w:val="13"/>
                <w:color w:val="auto"/>
              </w:rPr>
              <w:t>932,192</w:t>
            </w:r>
          </w:p>
        </w:tc>
        <w:tc>
          <w:tcPr>
            <w:tcW w:w="720" w:type="dxa"/>
            <w:vAlign w:val="bottom"/>
          </w:tcPr>
          <w:p>
            <w:pPr>
              <w:jc w:val="right"/>
              <w:spacing w:after="0"/>
              <w:rPr>
                <w:sz w:val="20"/>
                <w:szCs w:val="20"/>
                <w:color w:val="auto"/>
              </w:rPr>
            </w:pPr>
            <w:r>
              <w:rPr>
                <w:rFonts w:ascii="Arial" w:cs="Arial" w:eastAsia="Arial" w:hAnsi="Arial"/>
                <w:sz w:val="13"/>
                <w:szCs w:val="13"/>
                <w:color w:val="auto"/>
              </w:rPr>
              <w:t>3,728,768</w:t>
            </w: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8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80" w:type="dxa"/>
            <w:vAlign w:val="bottom"/>
            <w:gridSpan w:val="2"/>
          </w:tcPr>
          <w:p>
            <w:pPr>
              <w:jc w:val="right"/>
              <w:ind w:right="29"/>
              <w:spacing w:after="0"/>
              <w:rPr>
                <w:sz w:val="20"/>
                <w:szCs w:val="20"/>
                <w:color w:val="auto"/>
              </w:rPr>
            </w:pPr>
            <w:r>
              <w:rPr>
                <w:rFonts w:ascii="Arial" w:cs="Arial" w:eastAsia="Arial" w:hAnsi="Arial"/>
                <w:sz w:val="13"/>
                <w:szCs w:val="13"/>
                <w:color w:val="auto"/>
              </w:rPr>
              <w:t>incentive</w:t>
            </w: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2860" w:type="dxa"/>
            <w:vAlign w:val="bottom"/>
          </w:tcPr>
          <w:p>
            <w:pPr>
              <w:spacing w:after="0"/>
              <w:rPr>
                <w:sz w:val="3"/>
                <w:szCs w:val="3"/>
                <w:color w:val="auto"/>
              </w:rPr>
            </w:pPr>
          </w:p>
        </w:tc>
        <w:tc>
          <w:tcPr>
            <w:tcW w:w="720" w:type="dxa"/>
            <w:vAlign w:val="bottom"/>
            <w:tcBorders>
              <w:bottom w:val="single" w:sz="8" w:color="DFF1FB"/>
            </w:tcBorders>
          </w:tcPr>
          <w:p>
            <w:pPr>
              <w:spacing w:after="0"/>
              <w:rPr>
                <w:sz w:val="3"/>
                <w:szCs w:val="3"/>
                <w:color w:val="auto"/>
              </w:rPr>
            </w:pPr>
          </w:p>
        </w:tc>
        <w:tc>
          <w:tcPr>
            <w:tcW w:w="880" w:type="dxa"/>
            <w:vAlign w:val="bottom"/>
            <w:tcBorders>
              <w:bottom w:val="single" w:sz="8" w:color="DFF1FB"/>
            </w:tcBorders>
            <w:gridSpan w:val="2"/>
          </w:tcPr>
          <w:p>
            <w:pPr>
              <w:spacing w:after="0"/>
              <w:rPr>
                <w:sz w:val="3"/>
                <w:szCs w:val="3"/>
                <w:color w:val="auto"/>
              </w:rPr>
            </w:pPr>
          </w:p>
        </w:tc>
        <w:tc>
          <w:tcPr>
            <w:tcW w:w="700" w:type="dxa"/>
            <w:vAlign w:val="bottom"/>
            <w:tcBorders>
              <w:bottom w:val="single" w:sz="8" w:color="DFF1FB"/>
            </w:tcBorders>
          </w:tcPr>
          <w:p>
            <w:pPr>
              <w:spacing w:after="0"/>
              <w:rPr>
                <w:sz w:val="3"/>
                <w:szCs w:val="3"/>
                <w:color w:val="auto"/>
              </w:rPr>
            </w:pPr>
          </w:p>
        </w:tc>
        <w:tc>
          <w:tcPr>
            <w:tcW w:w="700" w:type="dxa"/>
            <w:vAlign w:val="bottom"/>
            <w:tcBorders>
              <w:bottom w:val="single" w:sz="8" w:color="DFF1FB"/>
            </w:tcBorders>
          </w:tcPr>
          <w:p>
            <w:pPr>
              <w:spacing w:after="0"/>
              <w:rPr>
                <w:sz w:val="3"/>
                <w:szCs w:val="3"/>
                <w:color w:val="auto"/>
              </w:rPr>
            </w:pPr>
          </w:p>
        </w:tc>
        <w:tc>
          <w:tcPr>
            <w:tcW w:w="720" w:type="dxa"/>
            <w:vAlign w:val="bottom"/>
            <w:tcBorders>
              <w:bottom w:val="single" w:sz="8" w:color="DFF1FB"/>
            </w:tcBorders>
          </w:tcPr>
          <w:p>
            <w:pPr>
              <w:spacing w:after="0"/>
              <w:rPr>
                <w:sz w:val="3"/>
                <w:szCs w:val="3"/>
                <w:color w:val="auto"/>
              </w:rPr>
            </w:pPr>
          </w:p>
        </w:tc>
        <w:tc>
          <w:tcPr>
            <w:tcW w:w="80" w:type="dxa"/>
            <w:vAlign w:val="bottom"/>
            <w:tcBorders>
              <w:bottom w:val="single" w:sz="8" w:color="DFF1FB"/>
            </w:tcBorders>
          </w:tcPr>
          <w:p>
            <w:pPr>
              <w:spacing w:after="0"/>
              <w:rPr>
                <w:sz w:val="3"/>
                <w:szCs w:val="3"/>
                <w:color w:val="auto"/>
              </w:rPr>
            </w:pPr>
          </w:p>
        </w:tc>
        <w:tc>
          <w:tcPr>
            <w:tcW w:w="700" w:type="dxa"/>
            <w:vAlign w:val="bottom"/>
            <w:tcBorders>
              <w:bottom w:val="single" w:sz="8" w:color="DFF1FB"/>
            </w:tcBorders>
          </w:tcPr>
          <w:p>
            <w:pPr>
              <w:spacing w:after="0"/>
              <w:rPr>
                <w:sz w:val="3"/>
                <w:szCs w:val="3"/>
                <w:color w:val="auto"/>
              </w:rPr>
            </w:pPr>
          </w:p>
        </w:tc>
        <w:tc>
          <w:tcPr>
            <w:tcW w:w="500" w:type="dxa"/>
            <w:vAlign w:val="bottom"/>
            <w:tcBorders>
              <w:bottom w:val="single" w:sz="8" w:color="DFF1FB"/>
            </w:tcBorders>
          </w:tcPr>
          <w:p>
            <w:pPr>
              <w:spacing w:after="0"/>
              <w:rPr>
                <w:sz w:val="3"/>
                <w:szCs w:val="3"/>
                <w:color w:val="auto"/>
              </w:rPr>
            </w:pPr>
          </w:p>
        </w:tc>
        <w:tc>
          <w:tcPr>
            <w:tcW w:w="680" w:type="dxa"/>
            <w:vAlign w:val="bottom"/>
            <w:tcBorders>
              <w:bottom w:val="single" w:sz="8" w:color="DFF1FB"/>
            </w:tcBorders>
          </w:tcPr>
          <w:p>
            <w:pPr>
              <w:spacing w:after="0"/>
              <w:rPr>
                <w:sz w:val="3"/>
                <w:szCs w:val="3"/>
                <w:color w:val="auto"/>
              </w:rPr>
            </w:pPr>
          </w:p>
        </w:tc>
        <w:tc>
          <w:tcPr>
            <w:tcW w:w="40" w:type="dxa"/>
            <w:vAlign w:val="bottom"/>
            <w:tcBorders>
              <w:bottom w:val="single" w:sz="8" w:color="DFF1FB"/>
            </w:tcBorders>
          </w:tcPr>
          <w:p>
            <w:pPr>
              <w:spacing w:after="0"/>
              <w:rPr>
                <w:sz w:val="3"/>
                <w:szCs w:val="3"/>
                <w:color w:val="auto"/>
              </w:rPr>
            </w:pPr>
          </w:p>
        </w:tc>
        <w:tc>
          <w:tcPr>
            <w:tcW w:w="800" w:type="dxa"/>
            <w:vAlign w:val="bottom"/>
            <w:tcBorders>
              <w:bottom w:val="single" w:sz="8" w:color="DFF1FB"/>
            </w:tcBorders>
          </w:tcPr>
          <w:p>
            <w:pPr>
              <w:spacing w:after="0"/>
              <w:rPr>
                <w:sz w:val="3"/>
                <w:szCs w:val="3"/>
                <w:color w:val="auto"/>
              </w:rPr>
            </w:pPr>
          </w:p>
        </w:tc>
        <w:tc>
          <w:tcPr>
            <w:tcW w:w="680" w:type="dxa"/>
            <w:vAlign w:val="bottom"/>
            <w:tcBorders>
              <w:bottom w:val="single" w:sz="8" w:color="DFF1FB"/>
            </w:tcBorders>
          </w:tcPr>
          <w:p>
            <w:pPr>
              <w:spacing w:after="0"/>
              <w:rPr>
                <w:sz w:val="3"/>
                <w:szCs w:val="3"/>
                <w:color w:val="auto"/>
              </w:rPr>
            </w:pPr>
          </w:p>
        </w:tc>
        <w:tc>
          <w:tcPr>
            <w:tcW w:w="640" w:type="dxa"/>
            <w:vAlign w:val="bottom"/>
            <w:tcBorders>
              <w:bottom w:val="single" w:sz="8" w:color="DFF1FB"/>
            </w:tcBorders>
          </w:tcPr>
          <w:p>
            <w:pPr>
              <w:spacing w:after="0"/>
              <w:rPr>
                <w:sz w:val="3"/>
                <w:szCs w:val="3"/>
                <w:color w:val="auto"/>
              </w:rPr>
            </w:pPr>
          </w:p>
        </w:tc>
        <w:tc>
          <w:tcPr>
            <w:tcW w:w="720" w:type="dxa"/>
            <w:vAlign w:val="bottom"/>
            <w:tcBorders>
              <w:bottom w:val="single" w:sz="8" w:color="DFF1FB"/>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28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02/22/2018</w:t>
            </w:r>
          </w:p>
        </w:tc>
        <w:tc>
          <w:tcPr>
            <w:tcW w:w="880" w:type="dxa"/>
            <w:vAlign w:val="bottom"/>
            <w:gridSpan w:val="2"/>
          </w:tcPr>
          <w:p>
            <w:pPr>
              <w:jc w:val="right"/>
              <w:ind w:right="29"/>
              <w:spacing w:after="0"/>
              <w:rPr>
                <w:sz w:val="20"/>
                <w:szCs w:val="20"/>
                <w:color w:val="auto"/>
              </w:rPr>
            </w:pPr>
            <w:r>
              <w:rPr>
                <w:rFonts w:ascii="Arial" w:cs="Arial" w:eastAsia="Arial" w:hAnsi="Arial"/>
                <w:sz w:val="13"/>
                <w:szCs w:val="13"/>
                <w:color w:val="auto"/>
              </w:rPr>
              <w:t>PSAs</w:t>
            </w: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0</w:t>
            </w:r>
          </w:p>
        </w:tc>
        <w:tc>
          <w:tcPr>
            <w:tcW w:w="500" w:type="dxa"/>
            <w:vAlign w:val="bottom"/>
          </w:tcPr>
          <w:p>
            <w:pPr>
              <w:jc w:val="right"/>
              <w:spacing w:after="0"/>
              <w:rPr>
                <w:sz w:val="20"/>
                <w:szCs w:val="20"/>
                <w:color w:val="auto"/>
              </w:rPr>
            </w:pPr>
            <w:r>
              <w:rPr>
                <w:rFonts w:ascii="Arial" w:cs="Arial" w:eastAsia="Arial" w:hAnsi="Arial"/>
                <w:sz w:val="13"/>
                <w:szCs w:val="13"/>
                <w:color w:val="auto"/>
              </w:rPr>
              <w:t>14,871</w:t>
            </w:r>
          </w:p>
        </w:tc>
        <w:tc>
          <w:tcPr>
            <w:tcW w:w="720" w:type="dxa"/>
            <w:vAlign w:val="bottom"/>
            <w:gridSpan w:val="2"/>
          </w:tcPr>
          <w:p>
            <w:pPr>
              <w:jc w:val="right"/>
              <w:ind w:right="40"/>
              <w:spacing w:after="0"/>
              <w:rPr>
                <w:sz w:val="20"/>
                <w:szCs w:val="20"/>
                <w:color w:val="auto"/>
              </w:rPr>
            </w:pPr>
            <w:r>
              <w:rPr>
                <w:rFonts w:ascii="Arial" w:cs="Arial" w:eastAsia="Arial" w:hAnsi="Arial"/>
                <w:sz w:val="13"/>
                <w:szCs w:val="13"/>
                <w:color w:val="auto"/>
              </w:rPr>
              <w:t>29,742</w:t>
            </w:r>
          </w:p>
        </w:tc>
        <w:tc>
          <w:tcPr>
            <w:tcW w:w="8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1,380,029</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2860" w:type="dxa"/>
            <w:vAlign w:val="bottom"/>
          </w:tcPr>
          <w:p>
            <w:pPr>
              <w:spacing w:after="0"/>
              <w:rPr>
                <w:sz w:val="3"/>
                <w:szCs w:val="3"/>
                <w:color w:val="auto"/>
              </w:rPr>
            </w:pPr>
          </w:p>
        </w:tc>
        <w:tc>
          <w:tcPr>
            <w:tcW w:w="720" w:type="dxa"/>
            <w:vAlign w:val="bottom"/>
            <w:tcBorders>
              <w:bottom w:val="single" w:sz="8" w:color="DFF1FB"/>
            </w:tcBorders>
          </w:tcPr>
          <w:p>
            <w:pPr>
              <w:spacing w:after="0"/>
              <w:rPr>
                <w:sz w:val="3"/>
                <w:szCs w:val="3"/>
                <w:color w:val="auto"/>
              </w:rPr>
            </w:pPr>
          </w:p>
        </w:tc>
        <w:tc>
          <w:tcPr>
            <w:tcW w:w="880" w:type="dxa"/>
            <w:vAlign w:val="bottom"/>
            <w:tcBorders>
              <w:bottom w:val="single" w:sz="8" w:color="DFF1FB"/>
            </w:tcBorders>
            <w:gridSpan w:val="2"/>
          </w:tcPr>
          <w:p>
            <w:pPr>
              <w:spacing w:after="0"/>
              <w:rPr>
                <w:sz w:val="3"/>
                <w:szCs w:val="3"/>
                <w:color w:val="auto"/>
              </w:rPr>
            </w:pPr>
          </w:p>
        </w:tc>
        <w:tc>
          <w:tcPr>
            <w:tcW w:w="700" w:type="dxa"/>
            <w:vAlign w:val="bottom"/>
            <w:tcBorders>
              <w:bottom w:val="single" w:sz="8" w:color="DFF1FB"/>
            </w:tcBorders>
          </w:tcPr>
          <w:p>
            <w:pPr>
              <w:spacing w:after="0"/>
              <w:rPr>
                <w:sz w:val="3"/>
                <w:szCs w:val="3"/>
                <w:color w:val="auto"/>
              </w:rPr>
            </w:pPr>
          </w:p>
        </w:tc>
        <w:tc>
          <w:tcPr>
            <w:tcW w:w="700" w:type="dxa"/>
            <w:vAlign w:val="bottom"/>
            <w:tcBorders>
              <w:bottom w:val="single" w:sz="8" w:color="DFF1FB"/>
            </w:tcBorders>
          </w:tcPr>
          <w:p>
            <w:pPr>
              <w:spacing w:after="0"/>
              <w:rPr>
                <w:sz w:val="3"/>
                <w:szCs w:val="3"/>
                <w:color w:val="auto"/>
              </w:rPr>
            </w:pPr>
          </w:p>
        </w:tc>
        <w:tc>
          <w:tcPr>
            <w:tcW w:w="720" w:type="dxa"/>
            <w:vAlign w:val="bottom"/>
            <w:tcBorders>
              <w:bottom w:val="single" w:sz="8" w:color="DFF1FB"/>
            </w:tcBorders>
          </w:tcPr>
          <w:p>
            <w:pPr>
              <w:spacing w:after="0"/>
              <w:rPr>
                <w:sz w:val="3"/>
                <w:szCs w:val="3"/>
                <w:color w:val="auto"/>
              </w:rPr>
            </w:pPr>
          </w:p>
        </w:tc>
        <w:tc>
          <w:tcPr>
            <w:tcW w:w="80" w:type="dxa"/>
            <w:vAlign w:val="bottom"/>
            <w:tcBorders>
              <w:bottom w:val="single" w:sz="8" w:color="DFF1FB"/>
            </w:tcBorders>
          </w:tcPr>
          <w:p>
            <w:pPr>
              <w:spacing w:after="0"/>
              <w:rPr>
                <w:sz w:val="3"/>
                <w:szCs w:val="3"/>
                <w:color w:val="auto"/>
              </w:rPr>
            </w:pPr>
          </w:p>
        </w:tc>
        <w:tc>
          <w:tcPr>
            <w:tcW w:w="700" w:type="dxa"/>
            <w:vAlign w:val="bottom"/>
            <w:tcBorders>
              <w:bottom w:val="single" w:sz="8" w:color="DFF1FB"/>
            </w:tcBorders>
          </w:tcPr>
          <w:p>
            <w:pPr>
              <w:spacing w:after="0"/>
              <w:rPr>
                <w:sz w:val="3"/>
                <w:szCs w:val="3"/>
                <w:color w:val="auto"/>
              </w:rPr>
            </w:pPr>
          </w:p>
        </w:tc>
        <w:tc>
          <w:tcPr>
            <w:tcW w:w="500" w:type="dxa"/>
            <w:vAlign w:val="bottom"/>
            <w:tcBorders>
              <w:bottom w:val="single" w:sz="8" w:color="DFF1FB"/>
            </w:tcBorders>
          </w:tcPr>
          <w:p>
            <w:pPr>
              <w:spacing w:after="0"/>
              <w:rPr>
                <w:sz w:val="3"/>
                <w:szCs w:val="3"/>
                <w:color w:val="auto"/>
              </w:rPr>
            </w:pPr>
          </w:p>
        </w:tc>
        <w:tc>
          <w:tcPr>
            <w:tcW w:w="680" w:type="dxa"/>
            <w:vAlign w:val="bottom"/>
            <w:tcBorders>
              <w:bottom w:val="single" w:sz="8" w:color="DFF1FB"/>
            </w:tcBorders>
          </w:tcPr>
          <w:p>
            <w:pPr>
              <w:spacing w:after="0"/>
              <w:rPr>
                <w:sz w:val="3"/>
                <w:szCs w:val="3"/>
                <w:color w:val="auto"/>
              </w:rPr>
            </w:pPr>
          </w:p>
        </w:tc>
        <w:tc>
          <w:tcPr>
            <w:tcW w:w="40" w:type="dxa"/>
            <w:vAlign w:val="bottom"/>
            <w:tcBorders>
              <w:bottom w:val="single" w:sz="8" w:color="DFF1FB"/>
            </w:tcBorders>
          </w:tcPr>
          <w:p>
            <w:pPr>
              <w:spacing w:after="0"/>
              <w:rPr>
                <w:sz w:val="3"/>
                <w:szCs w:val="3"/>
                <w:color w:val="auto"/>
              </w:rPr>
            </w:pPr>
          </w:p>
        </w:tc>
        <w:tc>
          <w:tcPr>
            <w:tcW w:w="800" w:type="dxa"/>
            <w:vAlign w:val="bottom"/>
            <w:tcBorders>
              <w:bottom w:val="single" w:sz="8" w:color="DFF1FB"/>
            </w:tcBorders>
          </w:tcPr>
          <w:p>
            <w:pPr>
              <w:spacing w:after="0"/>
              <w:rPr>
                <w:sz w:val="3"/>
                <w:szCs w:val="3"/>
                <w:color w:val="auto"/>
              </w:rPr>
            </w:pPr>
          </w:p>
        </w:tc>
        <w:tc>
          <w:tcPr>
            <w:tcW w:w="680" w:type="dxa"/>
            <w:vAlign w:val="bottom"/>
            <w:tcBorders>
              <w:bottom w:val="single" w:sz="8" w:color="DFF1FB"/>
            </w:tcBorders>
          </w:tcPr>
          <w:p>
            <w:pPr>
              <w:spacing w:after="0"/>
              <w:rPr>
                <w:sz w:val="3"/>
                <w:szCs w:val="3"/>
                <w:color w:val="auto"/>
              </w:rPr>
            </w:pPr>
          </w:p>
        </w:tc>
        <w:tc>
          <w:tcPr>
            <w:tcW w:w="640" w:type="dxa"/>
            <w:vAlign w:val="bottom"/>
            <w:tcBorders>
              <w:bottom w:val="single" w:sz="8" w:color="DFF1FB"/>
            </w:tcBorders>
          </w:tcPr>
          <w:p>
            <w:pPr>
              <w:spacing w:after="0"/>
              <w:rPr>
                <w:sz w:val="3"/>
                <w:szCs w:val="3"/>
                <w:color w:val="auto"/>
              </w:rPr>
            </w:pPr>
          </w:p>
        </w:tc>
        <w:tc>
          <w:tcPr>
            <w:tcW w:w="720" w:type="dxa"/>
            <w:vAlign w:val="bottom"/>
            <w:tcBorders>
              <w:bottom w:val="single" w:sz="8" w:color="DFF1FB"/>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28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02/22/2018</w:t>
            </w:r>
          </w:p>
        </w:tc>
        <w:tc>
          <w:tcPr>
            <w:tcW w:w="880" w:type="dxa"/>
            <w:vAlign w:val="bottom"/>
            <w:gridSpan w:val="2"/>
          </w:tcPr>
          <w:p>
            <w:pPr>
              <w:jc w:val="right"/>
              <w:ind w:right="29"/>
              <w:spacing w:after="0"/>
              <w:rPr>
                <w:sz w:val="20"/>
                <w:szCs w:val="20"/>
                <w:color w:val="auto"/>
              </w:rPr>
            </w:pPr>
            <w:r>
              <w:rPr>
                <w:rFonts w:ascii="Arial" w:cs="Arial" w:eastAsia="Arial" w:hAnsi="Arial"/>
                <w:sz w:val="13"/>
                <w:szCs w:val="13"/>
                <w:color w:val="auto"/>
              </w:rPr>
              <w:t>Stock</w:t>
            </w: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53,991</w:t>
            </w:r>
          </w:p>
        </w:tc>
        <w:tc>
          <w:tcPr>
            <w:tcW w:w="680" w:type="dxa"/>
            <w:vAlign w:val="bottom"/>
          </w:tcPr>
          <w:p>
            <w:pPr>
              <w:jc w:val="right"/>
              <w:ind w:right="15"/>
              <w:spacing w:after="0"/>
              <w:rPr>
                <w:sz w:val="20"/>
                <w:szCs w:val="20"/>
                <w:color w:val="auto"/>
              </w:rPr>
            </w:pPr>
            <w:r>
              <w:rPr>
                <w:rFonts w:ascii="Arial" w:cs="Arial" w:eastAsia="Arial" w:hAnsi="Arial"/>
                <w:sz w:val="13"/>
                <w:szCs w:val="13"/>
                <w:color w:val="auto"/>
              </w:rPr>
              <w:t>92.80</w:t>
            </w:r>
          </w:p>
        </w:tc>
        <w:tc>
          <w:tcPr>
            <w:tcW w:w="640" w:type="dxa"/>
            <w:vAlign w:val="bottom"/>
          </w:tcPr>
          <w:p>
            <w:pPr>
              <w:spacing w:after="0"/>
              <w:rPr>
                <w:sz w:val="16"/>
                <w:szCs w:val="16"/>
                <w:color w:val="auto"/>
              </w:rPr>
            </w:pPr>
          </w:p>
        </w:tc>
        <w:tc>
          <w:tcPr>
            <w:tcW w:w="720" w:type="dxa"/>
            <w:vAlign w:val="bottom"/>
          </w:tcPr>
          <w:p>
            <w:pPr>
              <w:jc w:val="right"/>
              <w:ind w:right="13"/>
              <w:spacing w:after="0"/>
              <w:rPr>
                <w:sz w:val="20"/>
                <w:szCs w:val="20"/>
                <w:color w:val="auto"/>
              </w:rPr>
            </w:pPr>
            <w:r>
              <w:rPr>
                <w:rFonts w:ascii="Arial" w:cs="Arial" w:eastAsia="Arial" w:hAnsi="Arial"/>
                <w:sz w:val="13"/>
                <w:szCs w:val="13"/>
                <w:color w:val="auto"/>
              </w:rPr>
              <w:t>920,007</w:t>
            </w:r>
          </w:p>
        </w:tc>
        <w:tc>
          <w:tcPr>
            <w:tcW w:w="0" w:type="dxa"/>
            <w:vAlign w:val="bottom"/>
          </w:tcPr>
          <w:p>
            <w:pPr>
              <w:spacing w:after="0"/>
              <w:rPr>
                <w:sz w:val="1"/>
                <w:szCs w:val="1"/>
                <w:color w:val="auto"/>
              </w:rPr>
            </w:pPr>
          </w:p>
        </w:tc>
      </w:tr>
      <w:tr>
        <w:trPr>
          <w:trHeight w:val="243"/>
        </w:trPr>
        <w:tc>
          <w:tcPr>
            <w:tcW w:w="28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80" w:type="dxa"/>
            <w:vAlign w:val="bottom"/>
            <w:gridSpan w:val="2"/>
          </w:tcPr>
          <w:p>
            <w:pPr>
              <w:jc w:val="right"/>
              <w:ind w:right="29"/>
              <w:spacing w:after="0"/>
              <w:rPr>
                <w:sz w:val="20"/>
                <w:szCs w:val="20"/>
                <w:color w:val="auto"/>
              </w:rPr>
            </w:pPr>
            <w:r>
              <w:rPr>
                <w:rFonts w:ascii="Arial" w:cs="Arial" w:eastAsia="Arial" w:hAnsi="Arial"/>
                <w:sz w:val="13"/>
                <w:szCs w:val="13"/>
                <w:color w:val="auto"/>
              </w:rPr>
              <w:t>options</w:t>
            </w: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2860" w:type="dxa"/>
            <w:vAlign w:val="bottom"/>
            <w:tcBorders>
              <w:bottom w:val="single" w:sz="8" w:color="DFF1FB"/>
            </w:tcBorders>
          </w:tcPr>
          <w:p>
            <w:pPr>
              <w:spacing w:after="0"/>
              <w:rPr>
                <w:sz w:val="3"/>
                <w:szCs w:val="3"/>
                <w:color w:val="auto"/>
              </w:rPr>
            </w:pPr>
          </w:p>
        </w:tc>
        <w:tc>
          <w:tcPr>
            <w:tcW w:w="720" w:type="dxa"/>
            <w:vAlign w:val="bottom"/>
            <w:tcBorders>
              <w:bottom w:val="single" w:sz="8" w:color="DFF1FB"/>
            </w:tcBorders>
          </w:tcPr>
          <w:p>
            <w:pPr>
              <w:spacing w:after="0"/>
              <w:rPr>
                <w:sz w:val="3"/>
                <w:szCs w:val="3"/>
                <w:color w:val="auto"/>
              </w:rPr>
            </w:pPr>
          </w:p>
        </w:tc>
        <w:tc>
          <w:tcPr>
            <w:tcW w:w="880" w:type="dxa"/>
            <w:vAlign w:val="bottom"/>
            <w:tcBorders>
              <w:bottom w:val="single" w:sz="8" w:color="DFF1FB"/>
            </w:tcBorders>
            <w:gridSpan w:val="2"/>
          </w:tcPr>
          <w:p>
            <w:pPr>
              <w:spacing w:after="0"/>
              <w:rPr>
                <w:sz w:val="3"/>
                <w:szCs w:val="3"/>
                <w:color w:val="auto"/>
              </w:rPr>
            </w:pPr>
          </w:p>
        </w:tc>
        <w:tc>
          <w:tcPr>
            <w:tcW w:w="700" w:type="dxa"/>
            <w:vAlign w:val="bottom"/>
            <w:tcBorders>
              <w:bottom w:val="single" w:sz="8" w:color="DFF1FB"/>
            </w:tcBorders>
          </w:tcPr>
          <w:p>
            <w:pPr>
              <w:spacing w:after="0"/>
              <w:rPr>
                <w:sz w:val="3"/>
                <w:szCs w:val="3"/>
                <w:color w:val="auto"/>
              </w:rPr>
            </w:pPr>
          </w:p>
        </w:tc>
        <w:tc>
          <w:tcPr>
            <w:tcW w:w="700" w:type="dxa"/>
            <w:vAlign w:val="bottom"/>
            <w:tcBorders>
              <w:bottom w:val="single" w:sz="8" w:color="DFF1FB"/>
            </w:tcBorders>
          </w:tcPr>
          <w:p>
            <w:pPr>
              <w:spacing w:after="0"/>
              <w:rPr>
                <w:sz w:val="3"/>
                <w:szCs w:val="3"/>
                <w:color w:val="auto"/>
              </w:rPr>
            </w:pPr>
          </w:p>
        </w:tc>
        <w:tc>
          <w:tcPr>
            <w:tcW w:w="720" w:type="dxa"/>
            <w:vAlign w:val="bottom"/>
            <w:tcBorders>
              <w:bottom w:val="single" w:sz="8" w:color="DFF1FB"/>
            </w:tcBorders>
          </w:tcPr>
          <w:p>
            <w:pPr>
              <w:spacing w:after="0"/>
              <w:rPr>
                <w:sz w:val="3"/>
                <w:szCs w:val="3"/>
                <w:color w:val="auto"/>
              </w:rPr>
            </w:pPr>
          </w:p>
        </w:tc>
        <w:tc>
          <w:tcPr>
            <w:tcW w:w="80" w:type="dxa"/>
            <w:vAlign w:val="bottom"/>
            <w:tcBorders>
              <w:bottom w:val="single" w:sz="8" w:color="DFF1FB"/>
            </w:tcBorders>
          </w:tcPr>
          <w:p>
            <w:pPr>
              <w:spacing w:after="0"/>
              <w:rPr>
                <w:sz w:val="3"/>
                <w:szCs w:val="3"/>
                <w:color w:val="auto"/>
              </w:rPr>
            </w:pPr>
          </w:p>
        </w:tc>
        <w:tc>
          <w:tcPr>
            <w:tcW w:w="700" w:type="dxa"/>
            <w:vAlign w:val="bottom"/>
            <w:tcBorders>
              <w:bottom w:val="single" w:sz="8" w:color="DFF1FB"/>
            </w:tcBorders>
          </w:tcPr>
          <w:p>
            <w:pPr>
              <w:spacing w:after="0"/>
              <w:rPr>
                <w:sz w:val="3"/>
                <w:szCs w:val="3"/>
                <w:color w:val="auto"/>
              </w:rPr>
            </w:pPr>
          </w:p>
        </w:tc>
        <w:tc>
          <w:tcPr>
            <w:tcW w:w="500" w:type="dxa"/>
            <w:vAlign w:val="bottom"/>
            <w:tcBorders>
              <w:bottom w:val="single" w:sz="8" w:color="DFF1FB"/>
            </w:tcBorders>
          </w:tcPr>
          <w:p>
            <w:pPr>
              <w:spacing w:after="0"/>
              <w:rPr>
                <w:sz w:val="3"/>
                <w:szCs w:val="3"/>
                <w:color w:val="auto"/>
              </w:rPr>
            </w:pPr>
          </w:p>
        </w:tc>
        <w:tc>
          <w:tcPr>
            <w:tcW w:w="680" w:type="dxa"/>
            <w:vAlign w:val="bottom"/>
            <w:tcBorders>
              <w:bottom w:val="single" w:sz="8" w:color="DFF1FB"/>
            </w:tcBorders>
          </w:tcPr>
          <w:p>
            <w:pPr>
              <w:spacing w:after="0"/>
              <w:rPr>
                <w:sz w:val="3"/>
                <w:szCs w:val="3"/>
                <w:color w:val="auto"/>
              </w:rPr>
            </w:pPr>
          </w:p>
        </w:tc>
        <w:tc>
          <w:tcPr>
            <w:tcW w:w="40" w:type="dxa"/>
            <w:vAlign w:val="bottom"/>
            <w:tcBorders>
              <w:bottom w:val="single" w:sz="8" w:color="DFF1FB"/>
            </w:tcBorders>
          </w:tcPr>
          <w:p>
            <w:pPr>
              <w:spacing w:after="0"/>
              <w:rPr>
                <w:sz w:val="3"/>
                <w:szCs w:val="3"/>
                <w:color w:val="auto"/>
              </w:rPr>
            </w:pPr>
          </w:p>
        </w:tc>
        <w:tc>
          <w:tcPr>
            <w:tcW w:w="800" w:type="dxa"/>
            <w:vAlign w:val="bottom"/>
            <w:tcBorders>
              <w:bottom w:val="single" w:sz="8" w:color="DFF1FB"/>
            </w:tcBorders>
          </w:tcPr>
          <w:p>
            <w:pPr>
              <w:spacing w:after="0"/>
              <w:rPr>
                <w:sz w:val="3"/>
                <w:szCs w:val="3"/>
                <w:color w:val="auto"/>
              </w:rPr>
            </w:pPr>
          </w:p>
        </w:tc>
        <w:tc>
          <w:tcPr>
            <w:tcW w:w="680" w:type="dxa"/>
            <w:vAlign w:val="bottom"/>
            <w:tcBorders>
              <w:bottom w:val="single" w:sz="8" w:color="DFF1FB"/>
            </w:tcBorders>
          </w:tcPr>
          <w:p>
            <w:pPr>
              <w:spacing w:after="0"/>
              <w:rPr>
                <w:sz w:val="3"/>
                <w:szCs w:val="3"/>
                <w:color w:val="auto"/>
              </w:rPr>
            </w:pPr>
          </w:p>
        </w:tc>
        <w:tc>
          <w:tcPr>
            <w:tcW w:w="640" w:type="dxa"/>
            <w:vAlign w:val="bottom"/>
            <w:tcBorders>
              <w:bottom w:val="single" w:sz="8" w:color="DFF1FB"/>
            </w:tcBorders>
          </w:tcPr>
          <w:p>
            <w:pPr>
              <w:spacing w:after="0"/>
              <w:rPr>
                <w:sz w:val="3"/>
                <w:szCs w:val="3"/>
                <w:color w:val="auto"/>
              </w:rPr>
            </w:pPr>
          </w:p>
        </w:tc>
        <w:tc>
          <w:tcPr>
            <w:tcW w:w="720" w:type="dxa"/>
            <w:vAlign w:val="bottom"/>
            <w:tcBorders>
              <w:bottom w:val="single" w:sz="8" w:color="DFF1FB"/>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2860" w:type="dxa"/>
            <w:vAlign w:val="bottom"/>
          </w:tcPr>
          <w:p>
            <w:pPr>
              <w:ind w:left="80"/>
              <w:spacing w:after="0"/>
              <w:rPr>
                <w:sz w:val="20"/>
                <w:szCs w:val="20"/>
                <w:color w:val="auto"/>
              </w:rPr>
            </w:pPr>
            <w:r>
              <w:rPr>
                <w:rFonts w:ascii="Arial" w:cs="Arial" w:eastAsia="Arial" w:hAnsi="Arial"/>
                <w:sz w:val="13"/>
                <w:szCs w:val="13"/>
                <w:b w:val="1"/>
                <w:bCs w:val="1"/>
                <w:color w:val="105FAB"/>
              </w:rPr>
              <w:t>Mr. Shapiro</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9"/>
              <w:spacing w:after="0"/>
              <w:rPr>
                <w:sz w:val="20"/>
                <w:szCs w:val="20"/>
                <w:color w:val="auto"/>
              </w:rPr>
            </w:pPr>
            <w:r>
              <w:rPr>
                <w:rFonts w:ascii="Arial" w:cs="Arial" w:eastAsia="Arial" w:hAnsi="Arial"/>
                <w:sz w:val="13"/>
                <w:szCs w:val="13"/>
                <w:color w:val="auto"/>
              </w:rPr>
              <w:t>Annual cash</w:t>
            </w:r>
          </w:p>
        </w:tc>
        <w:tc>
          <w:tcPr>
            <w:tcW w:w="700" w:type="dxa"/>
            <w:vAlign w:val="bottom"/>
          </w:tcPr>
          <w:p>
            <w:pPr>
              <w:jc w:val="right"/>
              <w:spacing w:after="0"/>
              <w:rPr>
                <w:sz w:val="20"/>
                <w:szCs w:val="20"/>
                <w:color w:val="auto"/>
              </w:rPr>
            </w:pPr>
            <w:r>
              <w:rPr>
                <w:rFonts w:ascii="Arial" w:cs="Arial" w:eastAsia="Arial" w:hAnsi="Arial"/>
                <w:sz w:val="13"/>
                <w:szCs w:val="13"/>
                <w:color w:val="auto"/>
              </w:rPr>
              <w:t>560,718</w:t>
            </w:r>
          </w:p>
        </w:tc>
        <w:tc>
          <w:tcPr>
            <w:tcW w:w="700" w:type="dxa"/>
            <w:vAlign w:val="bottom"/>
          </w:tcPr>
          <w:p>
            <w:pPr>
              <w:jc w:val="right"/>
              <w:spacing w:after="0"/>
              <w:rPr>
                <w:sz w:val="20"/>
                <w:szCs w:val="20"/>
                <w:color w:val="auto"/>
              </w:rPr>
            </w:pPr>
            <w:r>
              <w:rPr>
                <w:rFonts w:ascii="Arial" w:cs="Arial" w:eastAsia="Arial" w:hAnsi="Arial"/>
                <w:sz w:val="13"/>
                <w:szCs w:val="13"/>
                <w:color w:val="auto"/>
              </w:rPr>
              <w:t>1,121,436</w:t>
            </w:r>
          </w:p>
        </w:tc>
        <w:tc>
          <w:tcPr>
            <w:tcW w:w="720" w:type="dxa"/>
            <w:vAlign w:val="bottom"/>
          </w:tcPr>
          <w:p>
            <w:pPr>
              <w:jc w:val="right"/>
              <w:spacing w:after="0"/>
              <w:rPr>
                <w:sz w:val="20"/>
                <w:szCs w:val="20"/>
                <w:color w:val="auto"/>
              </w:rPr>
            </w:pPr>
            <w:r>
              <w:rPr>
                <w:rFonts w:ascii="Arial" w:cs="Arial" w:eastAsia="Arial" w:hAnsi="Arial"/>
                <w:sz w:val="13"/>
                <w:szCs w:val="13"/>
                <w:color w:val="auto"/>
              </w:rPr>
              <w:t>4,485,744</w:t>
            </w: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8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80" w:type="dxa"/>
            <w:vAlign w:val="bottom"/>
            <w:gridSpan w:val="2"/>
          </w:tcPr>
          <w:p>
            <w:pPr>
              <w:jc w:val="right"/>
              <w:ind w:right="29"/>
              <w:spacing w:after="0"/>
              <w:rPr>
                <w:sz w:val="20"/>
                <w:szCs w:val="20"/>
                <w:color w:val="auto"/>
              </w:rPr>
            </w:pPr>
            <w:r>
              <w:rPr>
                <w:rFonts w:ascii="Arial" w:cs="Arial" w:eastAsia="Arial" w:hAnsi="Arial"/>
                <w:sz w:val="13"/>
                <w:szCs w:val="13"/>
                <w:color w:val="auto"/>
              </w:rPr>
              <w:t>incentive</w:t>
            </w: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2860" w:type="dxa"/>
            <w:vAlign w:val="bottom"/>
          </w:tcPr>
          <w:p>
            <w:pPr>
              <w:spacing w:after="0"/>
              <w:rPr>
                <w:sz w:val="3"/>
                <w:szCs w:val="3"/>
                <w:color w:val="auto"/>
              </w:rPr>
            </w:pPr>
          </w:p>
        </w:tc>
        <w:tc>
          <w:tcPr>
            <w:tcW w:w="720" w:type="dxa"/>
            <w:vAlign w:val="bottom"/>
            <w:tcBorders>
              <w:bottom w:val="single" w:sz="8" w:color="DFF1FB"/>
            </w:tcBorders>
          </w:tcPr>
          <w:p>
            <w:pPr>
              <w:spacing w:after="0"/>
              <w:rPr>
                <w:sz w:val="3"/>
                <w:szCs w:val="3"/>
                <w:color w:val="auto"/>
              </w:rPr>
            </w:pPr>
          </w:p>
        </w:tc>
        <w:tc>
          <w:tcPr>
            <w:tcW w:w="880" w:type="dxa"/>
            <w:vAlign w:val="bottom"/>
            <w:tcBorders>
              <w:bottom w:val="single" w:sz="8" w:color="DFF1FB"/>
            </w:tcBorders>
            <w:gridSpan w:val="2"/>
          </w:tcPr>
          <w:p>
            <w:pPr>
              <w:spacing w:after="0"/>
              <w:rPr>
                <w:sz w:val="3"/>
                <w:szCs w:val="3"/>
                <w:color w:val="auto"/>
              </w:rPr>
            </w:pPr>
          </w:p>
        </w:tc>
        <w:tc>
          <w:tcPr>
            <w:tcW w:w="700" w:type="dxa"/>
            <w:vAlign w:val="bottom"/>
            <w:tcBorders>
              <w:bottom w:val="single" w:sz="8" w:color="DFF1FB"/>
            </w:tcBorders>
          </w:tcPr>
          <w:p>
            <w:pPr>
              <w:spacing w:after="0"/>
              <w:rPr>
                <w:sz w:val="3"/>
                <w:szCs w:val="3"/>
                <w:color w:val="auto"/>
              </w:rPr>
            </w:pPr>
          </w:p>
        </w:tc>
        <w:tc>
          <w:tcPr>
            <w:tcW w:w="700" w:type="dxa"/>
            <w:vAlign w:val="bottom"/>
            <w:tcBorders>
              <w:bottom w:val="single" w:sz="8" w:color="DFF1FB"/>
            </w:tcBorders>
          </w:tcPr>
          <w:p>
            <w:pPr>
              <w:spacing w:after="0"/>
              <w:rPr>
                <w:sz w:val="3"/>
                <w:szCs w:val="3"/>
                <w:color w:val="auto"/>
              </w:rPr>
            </w:pPr>
          </w:p>
        </w:tc>
        <w:tc>
          <w:tcPr>
            <w:tcW w:w="720" w:type="dxa"/>
            <w:vAlign w:val="bottom"/>
            <w:tcBorders>
              <w:bottom w:val="single" w:sz="8" w:color="DFF1FB"/>
            </w:tcBorders>
          </w:tcPr>
          <w:p>
            <w:pPr>
              <w:spacing w:after="0"/>
              <w:rPr>
                <w:sz w:val="3"/>
                <w:szCs w:val="3"/>
                <w:color w:val="auto"/>
              </w:rPr>
            </w:pPr>
          </w:p>
        </w:tc>
        <w:tc>
          <w:tcPr>
            <w:tcW w:w="80" w:type="dxa"/>
            <w:vAlign w:val="bottom"/>
            <w:tcBorders>
              <w:bottom w:val="single" w:sz="8" w:color="DFF1FB"/>
            </w:tcBorders>
          </w:tcPr>
          <w:p>
            <w:pPr>
              <w:spacing w:after="0"/>
              <w:rPr>
                <w:sz w:val="3"/>
                <w:szCs w:val="3"/>
                <w:color w:val="auto"/>
              </w:rPr>
            </w:pPr>
          </w:p>
        </w:tc>
        <w:tc>
          <w:tcPr>
            <w:tcW w:w="700" w:type="dxa"/>
            <w:vAlign w:val="bottom"/>
            <w:tcBorders>
              <w:bottom w:val="single" w:sz="8" w:color="DFF1FB"/>
            </w:tcBorders>
          </w:tcPr>
          <w:p>
            <w:pPr>
              <w:spacing w:after="0"/>
              <w:rPr>
                <w:sz w:val="3"/>
                <w:szCs w:val="3"/>
                <w:color w:val="auto"/>
              </w:rPr>
            </w:pPr>
          </w:p>
        </w:tc>
        <w:tc>
          <w:tcPr>
            <w:tcW w:w="500" w:type="dxa"/>
            <w:vAlign w:val="bottom"/>
            <w:tcBorders>
              <w:bottom w:val="single" w:sz="8" w:color="DFF1FB"/>
            </w:tcBorders>
          </w:tcPr>
          <w:p>
            <w:pPr>
              <w:spacing w:after="0"/>
              <w:rPr>
                <w:sz w:val="3"/>
                <w:szCs w:val="3"/>
                <w:color w:val="auto"/>
              </w:rPr>
            </w:pPr>
          </w:p>
        </w:tc>
        <w:tc>
          <w:tcPr>
            <w:tcW w:w="680" w:type="dxa"/>
            <w:vAlign w:val="bottom"/>
            <w:tcBorders>
              <w:bottom w:val="single" w:sz="8" w:color="DFF1FB"/>
            </w:tcBorders>
          </w:tcPr>
          <w:p>
            <w:pPr>
              <w:spacing w:after="0"/>
              <w:rPr>
                <w:sz w:val="3"/>
                <w:szCs w:val="3"/>
                <w:color w:val="auto"/>
              </w:rPr>
            </w:pPr>
          </w:p>
        </w:tc>
        <w:tc>
          <w:tcPr>
            <w:tcW w:w="40" w:type="dxa"/>
            <w:vAlign w:val="bottom"/>
            <w:tcBorders>
              <w:bottom w:val="single" w:sz="8" w:color="DFF1FB"/>
            </w:tcBorders>
          </w:tcPr>
          <w:p>
            <w:pPr>
              <w:spacing w:after="0"/>
              <w:rPr>
                <w:sz w:val="3"/>
                <w:szCs w:val="3"/>
                <w:color w:val="auto"/>
              </w:rPr>
            </w:pPr>
          </w:p>
        </w:tc>
        <w:tc>
          <w:tcPr>
            <w:tcW w:w="800" w:type="dxa"/>
            <w:vAlign w:val="bottom"/>
            <w:tcBorders>
              <w:bottom w:val="single" w:sz="8" w:color="DFF1FB"/>
            </w:tcBorders>
          </w:tcPr>
          <w:p>
            <w:pPr>
              <w:spacing w:after="0"/>
              <w:rPr>
                <w:sz w:val="3"/>
                <w:szCs w:val="3"/>
                <w:color w:val="auto"/>
              </w:rPr>
            </w:pPr>
          </w:p>
        </w:tc>
        <w:tc>
          <w:tcPr>
            <w:tcW w:w="680" w:type="dxa"/>
            <w:vAlign w:val="bottom"/>
            <w:tcBorders>
              <w:bottom w:val="single" w:sz="8" w:color="DFF1FB"/>
            </w:tcBorders>
          </w:tcPr>
          <w:p>
            <w:pPr>
              <w:spacing w:after="0"/>
              <w:rPr>
                <w:sz w:val="3"/>
                <w:szCs w:val="3"/>
                <w:color w:val="auto"/>
              </w:rPr>
            </w:pPr>
          </w:p>
        </w:tc>
        <w:tc>
          <w:tcPr>
            <w:tcW w:w="640" w:type="dxa"/>
            <w:vAlign w:val="bottom"/>
            <w:tcBorders>
              <w:bottom w:val="single" w:sz="8" w:color="DFF1FB"/>
            </w:tcBorders>
          </w:tcPr>
          <w:p>
            <w:pPr>
              <w:spacing w:after="0"/>
              <w:rPr>
                <w:sz w:val="3"/>
                <w:szCs w:val="3"/>
                <w:color w:val="auto"/>
              </w:rPr>
            </w:pPr>
          </w:p>
        </w:tc>
        <w:tc>
          <w:tcPr>
            <w:tcW w:w="720" w:type="dxa"/>
            <w:vAlign w:val="bottom"/>
            <w:tcBorders>
              <w:bottom w:val="single" w:sz="8" w:color="DFF1FB"/>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28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02/22/2018</w:t>
            </w:r>
          </w:p>
        </w:tc>
        <w:tc>
          <w:tcPr>
            <w:tcW w:w="880" w:type="dxa"/>
            <w:vAlign w:val="bottom"/>
            <w:gridSpan w:val="2"/>
          </w:tcPr>
          <w:p>
            <w:pPr>
              <w:jc w:val="right"/>
              <w:ind w:right="29"/>
              <w:spacing w:after="0"/>
              <w:rPr>
                <w:sz w:val="20"/>
                <w:szCs w:val="20"/>
                <w:color w:val="auto"/>
              </w:rPr>
            </w:pPr>
            <w:r>
              <w:rPr>
                <w:rFonts w:ascii="Arial" w:cs="Arial" w:eastAsia="Arial" w:hAnsi="Arial"/>
                <w:sz w:val="13"/>
                <w:szCs w:val="13"/>
                <w:color w:val="auto"/>
              </w:rPr>
              <w:t>PSAs</w:t>
            </w: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0</w:t>
            </w:r>
          </w:p>
        </w:tc>
        <w:tc>
          <w:tcPr>
            <w:tcW w:w="500" w:type="dxa"/>
            <w:vAlign w:val="bottom"/>
          </w:tcPr>
          <w:p>
            <w:pPr>
              <w:jc w:val="right"/>
              <w:spacing w:after="0"/>
              <w:rPr>
                <w:sz w:val="20"/>
                <w:szCs w:val="20"/>
                <w:color w:val="auto"/>
              </w:rPr>
            </w:pPr>
            <w:r>
              <w:rPr>
                <w:rFonts w:ascii="Arial" w:cs="Arial" w:eastAsia="Arial" w:hAnsi="Arial"/>
                <w:sz w:val="13"/>
                <w:szCs w:val="13"/>
                <w:color w:val="auto"/>
              </w:rPr>
              <w:t>15,760</w:t>
            </w:r>
          </w:p>
        </w:tc>
        <w:tc>
          <w:tcPr>
            <w:tcW w:w="720" w:type="dxa"/>
            <w:vAlign w:val="bottom"/>
            <w:gridSpan w:val="2"/>
          </w:tcPr>
          <w:p>
            <w:pPr>
              <w:jc w:val="right"/>
              <w:ind w:right="40"/>
              <w:spacing w:after="0"/>
              <w:rPr>
                <w:sz w:val="20"/>
                <w:szCs w:val="20"/>
                <w:color w:val="auto"/>
              </w:rPr>
            </w:pPr>
            <w:r>
              <w:rPr>
                <w:rFonts w:ascii="Arial" w:cs="Arial" w:eastAsia="Arial" w:hAnsi="Arial"/>
                <w:sz w:val="13"/>
                <w:szCs w:val="13"/>
                <w:color w:val="auto"/>
              </w:rPr>
              <w:t>31,520</w:t>
            </w:r>
          </w:p>
        </w:tc>
        <w:tc>
          <w:tcPr>
            <w:tcW w:w="8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1,462,528</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2860" w:type="dxa"/>
            <w:vAlign w:val="bottom"/>
          </w:tcPr>
          <w:p>
            <w:pPr>
              <w:spacing w:after="0"/>
              <w:rPr>
                <w:sz w:val="3"/>
                <w:szCs w:val="3"/>
                <w:color w:val="auto"/>
              </w:rPr>
            </w:pPr>
          </w:p>
        </w:tc>
        <w:tc>
          <w:tcPr>
            <w:tcW w:w="720" w:type="dxa"/>
            <w:vAlign w:val="bottom"/>
            <w:tcBorders>
              <w:bottom w:val="single" w:sz="8" w:color="DFF1FB"/>
            </w:tcBorders>
          </w:tcPr>
          <w:p>
            <w:pPr>
              <w:spacing w:after="0"/>
              <w:rPr>
                <w:sz w:val="3"/>
                <w:szCs w:val="3"/>
                <w:color w:val="auto"/>
              </w:rPr>
            </w:pPr>
          </w:p>
        </w:tc>
        <w:tc>
          <w:tcPr>
            <w:tcW w:w="880" w:type="dxa"/>
            <w:vAlign w:val="bottom"/>
            <w:tcBorders>
              <w:bottom w:val="single" w:sz="8" w:color="DFF1FB"/>
            </w:tcBorders>
            <w:gridSpan w:val="2"/>
          </w:tcPr>
          <w:p>
            <w:pPr>
              <w:spacing w:after="0"/>
              <w:rPr>
                <w:sz w:val="3"/>
                <w:szCs w:val="3"/>
                <w:color w:val="auto"/>
              </w:rPr>
            </w:pPr>
          </w:p>
        </w:tc>
        <w:tc>
          <w:tcPr>
            <w:tcW w:w="700" w:type="dxa"/>
            <w:vAlign w:val="bottom"/>
            <w:tcBorders>
              <w:bottom w:val="single" w:sz="8" w:color="DFF1FB"/>
            </w:tcBorders>
          </w:tcPr>
          <w:p>
            <w:pPr>
              <w:spacing w:after="0"/>
              <w:rPr>
                <w:sz w:val="3"/>
                <w:szCs w:val="3"/>
                <w:color w:val="auto"/>
              </w:rPr>
            </w:pPr>
          </w:p>
        </w:tc>
        <w:tc>
          <w:tcPr>
            <w:tcW w:w="700" w:type="dxa"/>
            <w:vAlign w:val="bottom"/>
            <w:tcBorders>
              <w:bottom w:val="single" w:sz="8" w:color="DFF1FB"/>
            </w:tcBorders>
          </w:tcPr>
          <w:p>
            <w:pPr>
              <w:spacing w:after="0"/>
              <w:rPr>
                <w:sz w:val="3"/>
                <w:szCs w:val="3"/>
                <w:color w:val="auto"/>
              </w:rPr>
            </w:pPr>
          </w:p>
        </w:tc>
        <w:tc>
          <w:tcPr>
            <w:tcW w:w="720" w:type="dxa"/>
            <w:vAlign w:val="bottom"/>
            <w:tcBorders>
              <w:bottom w:val="single" w:sz="8" w:color="DFF1FB"/>
            </w:tcBorders>
          </w:tcPr>
          <w:p>
            <w:pPr>
              <w:spacing w:after="0"/>
              <w:rPr>
                <w:sz w:val="3"/>
                <w:szCs w:val="3"/>
                <w:color w:val="auto"/>
              </w:rPr>
            </w:pPr>
          </w:p>
        </w:tc>
        <w:tc>
          <w:tcPr>
            <w:tcW w:w="80" w:type="dxa"/>
            <w:vAlign w:val="bottom"/>
            <w:tcBorders>
              <w:bottom w:val="single" w:sz="8" w:color="DFF1FB"/>
            </w:tcBorders>
          </w:tcPr>
          <w:p>
            <w:pPr>
              <w:spacing w:after="0"/>
              <w:rPr>
                <w:sz w:val="3"/>
                <w:szCs w:val="3"/>
                <w:color w:val="auto"/>
              </w:rPr>
            </w:pPr>
          </w:p>
        </w:tc>
        <w:tc>
          <w:tcPr>
            <w:tcW w:w="700" w:type="dxa"/>
            <w:vAlign w:val="bottom"/>
            <w:tcBorders>
              <w:bottom w:val="single" w:sz="8" w:color="DFF1FB"/>
            </w:tcBorders>
          </w:tcPr>
          <w:p>
            <w:pPr>
              <w:spacing w:after="0"/>
              <w:rPr>
                <w:sz w:val="3"/>
                <w:szCs w:val="3"/>
                <w:color w:val="auto"/>
              </w:rPr>
            </w:pPr>
          </w:p>
        </w:tc>
        <w:tc>
          <w:tcPr>
            <w:tcW w:w="500" w:type="dxa"/>
            <w:vAlign w:val="bottom"/>
            <w:tcBorders>
              <w:bottom w:val="single" w:sz="8" w:color="DFF1FB"/>
            </w:tcBorders>
          </w:tcPr>
          <w:p>
            <w:pPr>
              <w:spacing w:after="0"/>
              <w:rPr>
                <w:sz w:val="3"/>
                <w:szCs w:val="3"/>
                <w:color w:val="auto"/>
              </w:rPr>
            </w:pPr>
          </w:p>
        </w:tc>
        <w:tc>
          <w:tcPr>
            <w:tcW w:w="680" w:type="dxa"/>
            <w:vAlign w:val="bottom"/>
            <w:tcBorders>
              <w:bottom w:val="single" w:sz="8" w:color="DFF1FB"/>
            </w:tcBorders>
          </w:tcPr>
          <w:p>
            <w:pPr>
              <w:spacing w:after="0"/>
              <w:rPr>
                <w:sz w:val="3"/>
                <w:szCs w:val="3"/>
                <w:color w:val="auto"/>
              </w:rPr>
            </w:pPr>
          </w:p>
        </w:tc>
        <w:tc>
          <w:tcPr>
            <w:tcW w:w="40" w:type="dxa"/>
            <w:vAlign w:val="bottom"/>
            <w:tcBorders>
              <w:bottom w:val="single" w:sz="8" w:color="DFF1FB"/>
            </w:tcBorders>
          </w:tcPr>
          <w:p>
            <w:pPr>
              <w:spacing w:after="0"/>
              <w:rPr>
                <w:sz w:val="3"/>
                <w:szCs w:val="3"/>
                <w:color w:val="auto"/>
              </w:rPr>
            </w:pPr>
          </w:p>
        </w:tc>
        <w:tc>
          <w:tcPr>
            <w:tcW w:w="800" w:type="dxa"/>
            <w:vAlign w:val="bottom"/>
            <w:tcBorders>
              <w:bottom w:val="single" w:sz="8" w:color="DFF1FB"/>
            </w:tcBorders>
          </w:tcPr>
          <w:p>
            <w:pPr>
              <w:spacing w:after="0"/>
              <w:rPr>
                <w:sz w:val="3"/>
                <w:szCs w:val="3"/>
                <w:color w:val="auto"/>
              </w:rPr>
            </w:pPr>
          </w:p>
        </w:tc>
        <w:tc>
          <w:tcPr>
            <w:tcW w:w="680" w:type="dxa"/>
            <w:vAlign w:val="bottom"/>
            <w:tcBorders>
              <w:bottom w:val="single" w:sz="8" w:color="DFF1FB"/>
            </w:tcBorders>
          </w:tcPr>
          <w:p>
            <w:pPr>
              <w:spacing w:after="0"/>
              <w:rPr>
                <w:sz w:val="3"/>
                <w:szCs w:val="3"/>
                <w:color w:val="auto"/>
              </w:rPr>
            </w:pPr>
          </w:p>
        </w:tc>
        <w:tc>
          <w:tcPr>
            <w:tcW w:w="640" w:type="dxa"/>
            <w:vAlign w:val="bottom"/>
            <w:tcBorders>
              <w:bottom w:val="single" w:sz="8" w:color="DFF1FB"/>
            </w:tcBorders>
          </w:tcPr>
          <w:p>
            <w:pPr>
              <w:spacing w:after="0"/>
              <w:rPr>
                <w:sz w:val="3"/>
                <w:szCs w:val="3"/>
                <w:color w:val="auto"/>
              </w:rPr>
            </w:pPr>
          </w:p>
        </w:tc>
        <w:tc>
          <w:tcPr>
            <w:tcW w:w="720" w:type="dxa"/>
            <w:vAlign w:val="bottom"/>
            <w:tcBorders>
              <w:bottom w:val="single" w:sz="8" w:color="DFF1FB"/>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28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02/22/2018</w:t>
            </w:r>
          </w:p>
        </w:tc>
        <w:tc>
          <w:tcPr>
            <w:tcW w:w="880" w:type="dxa"/>
            <w:vAlign w:val="bottom"/>
            <w:gridSpan w:val="2"/>
          </w:tcPr>
          <w:p>
            <w:pPr>
              <w:jc w:val="right"/>
              <w:ind w:right="29"/>
              <w:spacing w:after="0"/>
              <w:rPr>
                <w:sz w:val="20"/>
                <w:szCs w:val="20"/>
                <w:color w:val="auto"/>
              </w:rPr>
            </w:pPr>
            <w:r>
              <w:rPr>
                <w:rFonts w:ascii="Arial" w:cs="Arial" w:eastAsia="Arial" w:hAnsi="Arial"/>
                <w:sz w:val="13"/>
                <w:szCs w:val="13"/>
                <w:color w:val="auto"/>
              </w:rPr>
              <w:t>Stock</w:t>
            </w: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57,218</w:t>
            </w:r>
          </w:p>
        </w:tc>
        <w:tc>
          <w:tcPr>
            <w:tcW w:w="680" w:type="dxa"/>
            <w:vAlign w:val="bottom"/>
          </w:tcPr>
          <w:p>
            <w:pPr>
              <w:jc w:val="right"/>
              <w:ind w:right="15"/>
              <w:spacing w:after="0"/>
              <w:rPr>
                <w:sz w:val="20"/>
                <w:szCs w:val="20"/>
                <w:color w:val="auto"/>
              </w:rPr>
            </w:pPr>
            <w:r>
              <w:rPr>
                <w:rFonts w:ascii="Arial" w:cs="Arial" w:eastAsia="Arial" w:hAnsi="Arial"/>
                <w:sz w:val="13"/>
                <w:szCs w:val="13"/>
                <w:color w:val="auto"/>
              </w:rPr>
              <w:t>92.80</w:t>
            </w:r>
          </w:p>
        </w:tc>
        <w:tc>
          <w:tcPr>
            <w:tcW w:w="640" w:type="dxa"/>
            <w:vAlign w:val="bottom"/>
          </w:tcPr>
          <w:p>
            <w:pPr>
              <w:spacing w:after="0"/>
              <w:rPr>
                <w:sz w:val="16"/>
                <w:szCs w:val="16"/>
                <w:color w:val="auto"/>
              </w:rPr>
            </w:pPr>
          </w:p>
        </w:tc>
        <w:tc>
          <w:tcPr>
            <w:tcW w:w="720" w:type="dxa"/>
            <w:vAlign w:val="bottom"/>
          </w:tcPr>
          <w:p>
            <w:pPr>
              <w:jc w:val="right"/>
              <w:ind w:right="13"/>
              <w:spacing w:after="0"/>
              <w:rPr>
                <w:sz w:val="20"/>
                <w:szCs w:val="20"/>
                <w:color w:val="auto"/>
              </w:rPr>
            </w:pPr>
            <w:r>
              <w:rPr>
                <w:rFonts w:ascii="Arial" w:cs="Arial" w:eastAsia="Arial" w:hAnsi="Arial"/>
                <w:sz w:val="13"/>
                <w:szCs w:val="13"/>
                <w:color w:val="auto"/>
              </w:rPr>
              <w:t>974,995</w:t>
            </w:r>
          </w:p>
        </w:tc>
        <w:tc>
          <w:tcPr>
            <w:tcW w:w="0" w:type="dxa"/>
            <w:vAlign w:val="bottom"/>
          </w:tcPr>
          <w:p>
            <w:pPr>
              <w:spacing w:after="0"/>
              <w:rPr>
                <w:sz w:val="1"/>
                <w:szCs w:val="1"/>
                <w:color w:val="auto"/>
              </w:rPr>
            </w:pPr>
          </w:p>
        </w:tc>
      </w:tr>
      <w:tr>
        <w:trPr>
          <w:trHeight w:val="243"/>
        </w:trPr>
        <w:tc>
          <w:tcPr>
            <w:tcW w:w="28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80" w:type="dxa"/>
            <w:vAlign w:val="bottom"/>
            <w:gridSpan w:val="2"/>
          </w:tcPr>
          <w:p>
            <w:pPr>
              <w:jc w:val="right"/>
              <w:ind w:right="29"/>
              <w:spacing w:after="0"/>
              <w:rPr>
                <w:sz w:val="20"/>
                <w:szCs w:val="20"/>
                <w:color w:val="auto"/>
              </w:rPr>
            </w:pPr>
            <w:r>
              <w:rPr>
                <w:rFonts w:ascii="Arial" w:cs="Arial" w:eastAsia="Arial" w:hAnsi="Arial"/>
                <w:sz w:val="13"/>
                <w:szCs w:val="13"/>
                <w:color w:val="auto"/>
              </w:rPr>
              <w:t>options</w:t>
            </w: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2860" w:type="dxa"/>
            <w:vAlign w:val="bottom"/>
            <w:tcBorders>
              <w:bottom w:val="single" w:sz="8" w:color="DFF1FB"/>
            </w:tcBorders>
          </w:tcPr>
          <w:p>
            <w:pPr>
              <w:spacing w:after="0"/>
              <w:rPr>
                <w:sz w:val="3"/>
                <w:szCs w:val="3"/>
                <w:color w:val="auto"/>
              </w:rPr>
            </w:pPr>
          </w:p>
        </w:tc>
        <w:tc>
          <w:tcPr>
            <w:tcW w:w="720" w:type="dxa"/>
            <w:vAlign w:val="bottom"/>
            <w:tcBorders>
              <w:bottom w:val="single" w:sz="8" w:color="DFF1FB"/>
            </w:tcBorders>
          </w:tcPr>
          <w:p>
            <w:pPr>
              <w:spacing w:after="0"/>
              <w:rPr>
                <w:sz w:val="3"/>
                <w:szCs w:val="3"/>
                <w:color w:val="auto"/>
              </w:rPr>
            </w:pPr>
          </w:p>
        </w:tc>
        <w:tc>
          <w:tcPr>
            <w:tcW w:w="880" w:type="dxa"/>
            <w:vAlign w:val="bottom"/>
            <w:tcBorders>
              <w:bottom w:val="single" w:sz="8" w:color="DFF1FB"/>
            </w:tcBorders>
            <w:gridSpan w:val="2"/>
          </w:tcPr>
          <w:p>
            <w:pPr>
              <w:spacing w:after="0"/>
              <w:rPr>
                <w:sz w:val="3"/>
                <w:szCs w:val="3"/>
                <w:color w:val="auto"/>
              </w:rPr>
            </w:pPr>
          </w:p>
        </w:tc>
        <w:tc>
          <w:tcPr>
            <w:tcW w:w="700" w:type="dxa"/>
            <w:vAlign w:val="bottom"/>
            <w:tcBorders>
              <w:bottom w:val="single" w:sz="8" w:color="DFF1FB"/>
            </w:tcBorders>
          </w:tcPr>
          <w:p>
            <w:pPr>
              <w:spacing w:after="0"/>
              <w:rPr>
                <w:sz w:val="3"/>
                <w:szCs w:val="3"/>
                <w:color w:val="auto"/>
              </w:rPr>
            </w:pPr>
          </w:p>
        </w:tc>
        <w:tc>
          <w:tcPr>
            <w:tcW w:w="700" w:type="dxa"/>
            <w:vAlign w:val="bottom"/>
            <w:tcBorders>
              <w:bottom w:val="single" w:sz="8" w:color="DFF1FB"/>
            </w:tcBorders>
          </w:tcPr>
          <w:p>
            <w:pPr>
              <w:spacing w:after="0"/>
              <w:rPr>
                <w:sz w:val="3"/>
                <w:szCs w:val="3"/>
                <w:color w:val="auto"/>
              </w:rPr>
            </w:pPr>
          </w:p>
        </w:tc>
        <w:tc>
          <w:tcPr>
            <w:tcW w:w="720" w:type="dxa"/>
            <w:vAlign w:val="bottom"/>
            <w:tcBorders>
              <w:bottom w:val="single" w:sz="8" w:color="DFF1FB"/>
            </w:tcBorders>
          </w:tcPr>
          <w:p>
            <w:pPr>
              <w:spacing w:after="0"/>
              <w:rPr>
                <w:sz w:val="3"/>
                <w:szCs w:val="3"/>
                <w:color w:val="auto"/>
              </w:rPr>
            </w:pPr>
          </w:p>
        </w:tc>
        <w:tc>
          <w:tcPr>
            <w:tcW w:w="80" w:type="dxa"/>
            <w:vAlign w:val="bottom"/>
            <w:tcBorders>
              <w:bottom w:val="single" w:sz="8" w:color="DFF1FB"/>
            </w:tcBorders>
          </w:tcPr>
          <w:p>
            <w:pPr>
              <w:spacing w:after="0"/>
              <w:rPr>
                <w:sz w:val="3"/>
                <w:szCs w:val="3"/>
                <w:color w:val="auto"/>
              </w:rPr>
            </w:pPr>
          </w:p>
        </w:tc>
        <w:tc>
          <w:tcPr>
            <w:tcW w:w="700" w:type="dxa"/>
            <w:vAlign w:val="bottom"/>
            <w:tcBorders>
              <w:bottom w:val="single" w:sz="8" w:color="DFF1FB"/>
            </w:tcBorders>
          </w:tcPr>
          <w:p>
            <w:pPr>
              <w:spacing w:after="0"/>
              <w:rPr>
                <w:sz w:val="3"/>
                <w:szCs w:val="3"/>
                <w:color w:val="auto"/>
              </w:rPr>
            </w:pPr>
          </w:p>
        </w:tc>
        <w:tc>
          <w:tcPr>
            <w:tcW w:w="500" w:type="dxa"/>
            <w:vAlign w:val="bottom"/>
            <w:tcBorders>
              <w:bottom w:val="single" w:sz="8" w:color="DFF1FB"/>
            </w:tcBorders>
          </w:tcPr>
          <w:p>
            <w:pPr>
              <w:spacing w:after="0"/>
              <w:rPr>
                <w:sz w:val="3"/>
                <w:szCs w:val="3"/>
                <w:color w:val="auto"/>
              </w:rPr>
            </w:pPr>
          </w:p>
        </w:tc>
        <w:tc>
          <w:tcPr>
            <w:tcW w:w="680" w:type="dxa"/>
            <w:vAlign w:val="bottom"/>
            <w:tcBorders>
              <w:bottom w:val="single" w:sz="8" w:color="DFF1FB"/>
            </w:tcBorders>
          </w:tcPr>
          <w:p>
            <w:pPr>
              <w:spacing w:after="0"/>
              <w:rPr>
                <w:sz w:val="3"/>
                <w:szCs w:val="3"/>
                <w:color w:val="auto"/>
              </w:rPr>
            </w:pPr>
          </w:p>
        </w:tc>
        <w:tc>
          <w:tcPr>
            <w:tcW w:w="40" w:type="dxa"/>
            <w:vAlign w:val="bottom"/>
            <w:tcBorders>
              <w:bottom w:val="single" w:sz="8" w:color="DFF1FB"/>
            </w:tcBorders>
          </w:tcPr>
          <w:p>
            <w:pPr>
              <w:spacing w:after="0"/>
              <w:rPr>
                <w:sz w:val="3"/>
                <w:szCs w:val="3"/>
                <w:color w:val="auto"/>
              </w:rPr>
            </w:pPr>
          </w:p>
        </w:tc>
        <w:tc>
          <w:tcPr>
            <w:tcW w:w="800" w:type="dxa"/>
            <w:vAlign w:val="bottom"/>
            <w:tcBorders>
              <w:bottom w:val="single" w:sz="8" w:color="DFF1FB"/>
            </w:tcBorders>
          </w:tcPr>
          <w:p>
            <w:pPr>
              <w:spacing w:after="0"/>
              <w:rPr>
                <w:sz w:val="3"/>
                <w:szCs w:val="3"/>
                <w:color w:val="auto"/>
              </w:rPr>
            </w:pPr>
          </w:p>
        </w:tc>
        <w:tc>
          <w:tcPr>
            <w:tcW w:w="680" w:type="dxa"/>
            <w:vAlign w:val="bottom"/>
            <w:tcBorders>
              <w:bottom w:val="single" w:sz="8" w:color="DFF1FB"/>
            </w:tcBorders>
          </w:tcPr>
          <w:p>
            <w:pPr>
              <w:spacing w:after="0"/>
              <w:rPr>
                <w:sz w:val="3"/>
                <w:szCs w:val="3"/>
                <w:color w:val="auto"/>
              </w:rPr>
            </w:pPr>
          </w:p>
        </w:tc>
        <w:tc>
          <w:tcPr>
            <w:tcW w:w="640" w:type="dxa"/>
            <w:vAlign w:val="bottom"/>
            <w:tcBorders>
              <w:bottom w:val="single" w:sz="8" w:color="DFF1FB"/>
            </w:tcBorders>
          </w:tcPr>
          <w:p>
            <w:pPr>
              <w:spacing w:after="0"/>
              <w:rPr>
                <w:sz w:val="3"/>
                <w:szCs w:val="3"/>
                <w:color w:val="auto"/>
              </w:rPr>
            </w:pPr>
          </w:p>
        </w:tc>
        <w:tc>
          <w:tcPr>
            <w:tcW w:w="720" w:type="dxa"/>
            <w:vAlign w:val="bottom"/>
            <w:tcBorders>
              <w:bottom w:val="single" w:sz="8" w:color="DFF1FB"/>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2860" w:type="dxa"/>
            <w:vAlign w:val="bottom"/>
          </w:tcPr>
          <w:p>
            <w:pPr>
              <w:ind w:left="80"/>
              <w:spacing w:after="0"/>
              <w:rPr>
                <w:sz w:val="20"/>
                <w:szCs w:val="20"/>
                <w:color w:val="auto"/>
              </w:rPr>
            </w:pPr>
            <w:r>
              <w:rPr>
                <w:rFonts w:ascii="Arial" w:cs="Arial" w:eastAsia="Arial" w:hAnsi="Arial"/>
                <w:sz w:val="13"/>
                <w:szCs w:val="13"/>
                <w:b w:val="1"/>
                <w:bCs w:val="1"/>
                <w:color w:val="105FAB"/>
              </w:rPr>
              <w:t>Mr. Shebik</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9"/>
              <w:spacing w:after="0"/>
              <w:rPr>
                <w:sz w:val="20"/>
                <w:szCs w:val="20"/>
                <w:color w:val="auto"/>
              </w:rPr>
            </w:pPr>
            <w:r>
              <w:rPr>
                <w:rFonts w:ascii="Arial" w:cs="Arial" w:eastAsia="Arial" w:hAnsi="Arial"/>
                <w:sz w:val="13"/>
                <w:szCs w:val="13"/>
                <w:color w:val="auto"/>
              </w:rPr>
              <w:t>Annual cash</w:t>
            </w:r>
          </w:p>
        </w:tc>
        <w:tc>
          <w:tcPr>
            <w:tcW w:w="700" w:type="dxa"/>
            <w:vAlign w:val="bottom"/>
          </w:tcPr>
          <w:p>
            <w:pPr>
              <w:jc w:val="right"/>
              <w:spacing w:after="0"/>
              <w:rPr>
                <w:sz w:val="20"/>
                <w:szCs w:val="20"/>
                <w:color w:val="auto"/>
              </w:rPr>
            </w:pPr>
            <w:r>
              <w:rPr>
                <w:rFonts w:ascii="Arial" w:cs="Arial" w:eastAsia="Arial" w:hAnsi="Arial"/>
                <w:sz w:val="13"/>
                <w:szCs w:val="13"/>
                <w:color w:val="auto"/>
              </w:rPr>
              <w:t>849,178</w:t>
            </w:r>
          </w:p>
        </w:tc>
        <w:tc>
          <w:tcPr>
            <w:tcW w:w="700" w:type="dxa"/>
            <w:vAlign w:val="bottom"/>
          </w:tcPr>
          <w:p>
            <w:pPr>
              <w:jc w:val="right"/>
              <w:spacing w:after="0"/>
              <w:rPr>
                <w:sz w:val="20"/>
                <w:szCs w:val="20"/>
                <w:color w:val="auto"/>
              </w:rPr>
            </w:pPr>
            <w:r>
              <w:rPr>
                <w:rFonts w:ascii="Arial" w:cs="Arial" w:eastAsia="Arial" w:hAnsi="Arial"/>
                <w:sz w:val="13"/>
                <w:szCs w:val="13"/>
                <w:color w:val="auto"/>
              </w:rPr>
              <w:t>1,698,356</w:t>
            </w:r>
          </w:p>
        </w:tc>
        <w:tc>
          <w:tcPr>
            <w:tcW w:w="720" w:type="dxa"/>
            <w:vAlign w:val="bottom"/>
          </w:tcPr>
          <w:p>
            <w:pPr>
              <w:jc w:val="right"/>
              <w:spacing w:after="0"/>
              <w:rPr>
                <w:sz w:val="20"/>
                <w:szCs w:val="20"/>
                <w:color w:val="auto"/>
              </w:rPr>
            </w:pPr>
            <w:r>
              <w:rPr>
                <w:rFonts w:ascii="Arial" w:cs="Arial" w:eastAsia="Arial" w:hAnsi="Arial"/>
                <w:sz w:val="13"/>
                <w:szCs w:val="13"/>
                <w:color w:val="auto"/>
              </w:rPr>
              <w:t>6,793,424</w:t>
            </w: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8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80" w:type="dxa"/>
            <w:vAlign w:val="bottom"/>
            <w:gridSpan w:val="2"/>
          </w:tcPr>
          <w:p>
            <w:pPr>
              <w:jc w:val="right"/>
              <w:ind w:right="29"/>
              <w:spacing w:after="0"/>
              <w:rPr>
                <w:sz w:val="20"/>
                <w:szCs w:val="20"/>
                <w:color w:val="auto"/>
              </w:rPr>
            </w:pPr>
            <w:r>
              <w:rPr>
                <w:rFonts w:ascii="Arial" w:cs="Arial" w:eastAsia="Arial" w:hAnsi="Arial"/>
                <w:sz w:val="13"/>
                <w:szCs w:val="13"/>
                <w:color w:val="auto"/>
              </w:rPr>
              <w:t>incentive</w:t>
            </w: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2860" w:type="dxa"/>
            <w:vAlign w:val="bottom"/>
          </w:tcPr>
          <w:p>
            <w:pPr>
              <w:spacing w:after="0"/>
              <w:rPr>
                <w:sz w:val="3"/>
                <w:szCs w:val="3"/>
                <w:color w:val="auto"/>
              </w:rPr>
            </w:pPr>
          </w:p>
        </w:tc>
        <w:tc>
          <w:tcPr>
            <w:tcW w:w="720" w:type="dxa"/>
            <w:vAlign w:val="bottom"/>
            <w:tcBorders>
              <w:bottom w:val="single" w:sz="8" w:color="DFF1FB"/>
            </w:tcBorders>
          </w:tcPr>
          <w:p>
            <w:pPr>
              <w:spacing w:after="0"/>
              <w:rPr>
                <w:sz w:val="3"/>
                <w:szCs w:val="3"/>
                <w:color w:val="auto"/>
              </w:rPr>
            </w:pPr>
          </w:p>
        </w:tc>
        <w:tc>
          <w:tcPr>
            <w:tcW w:w="880" w:type="dxa"/>
            <w:vAlign w:val="bottom"/>
            <w:tcBorders>
              <w:bottom w:val="single" w:sz="8" w:color="DFF1FB"/>
            </w:tcBorders>
            <w:gridSpan w:val="2"/>
          </w:tcPr>
          <w:p>
            <w:pPr>
              <w:spacing w:after="0"/>
              <w:rPr>
                <w:sz w:val="3"/>
                <w:szCs w:val="3"/>
                <w:color w:val="auto"/>
              </w:rPr>
            </w:pPr>
          </w:p>
        </w:tc>
        <w:tc>
          <w:tcPr>
            <w:tcW w:w="700" w:type="dxa"/>
            <w:vAlign w:val="bottom"/>
            <w:tcBorders>
              <w:bottom w:val="single" w:sz="8" w:color="DFF1FB"/>
            </w:tcBorders>
          </w:tcPr>
          <w:p>
            <w:pPr>
              <w:spacing w:after="0"/>
              <w:rPr>
                <w:sz w:val="3"/>
                <w:szCs w:val="3"/>
                <w:color w:val="auto"/>
              </w:rPr>
            </w:pPr>
          </w:p>
        </w:tc>
        <w:tc>
          <w:tcPr>
            <w:tcW w:w="700" w:type="dxa"/>
            <w:vAlign w:val="bottom"/>
            <w:tcBorders>
              <w:bottom w:val="single" w:sz="8" w:color="DFF1FB"/>
            </w:tcBorders>
          </w:tcPr>
          <w:p>
            <w:pPr>
              <w:spacing w:after="0"/>
              <w:rPr>
                <w:sz w:val="3"/>
                <w:szCs w:val="3"/>
                <w:color w:val="auto"/>
              </w:rPr>
            </w:pPr>
          </w:p>
        </w:tc>
        <w:tc>
          <w:tcPr>
            <w:tcW w:w="720" w:type="dxa"/>
            <w:vAlign w:val="bottom"/>
            <w:tcBorders>
              <w:bottom w:val="single" w:sz="8" w:color="DFF1FB"/>
            </w:tcBorders>
          </w:tcPr>
          <w:p>
            <w:pPr>
              <w:spacing w:after="0"/>
              <w:rPr>
                <w:sz w:val="3"/>
                <w:szCs w:val="3"/>
                <w:color w:val="auto"/>
              </w:rPr>
            </w:pPr>
          </w:p>
        </w:tc>
        <w:tc>
          <w:tcPr>
            <w:tcW w:w="80" w:type="dxa"/>
            <w:vAlign w:val="bottom"/>
            <w:tcBorders>
              <w:bottom w:val="single" w:sz="8" w:color="DFF1FB"/>
            </w:tcBorders>
          </w:tcPr>
          <w:p>
            <w:pPr>
              <w:spacing w:after="0"/>
              <w:rPr>
                <w:sz w:val="3"/>
                <w:szCs w:val="3"/>
                <w:color w:val="auto"/>
              </w:rPr>
            </w:pPr>
          </w:p>
        </w:tc>
        <w:tc>
          <w:tcPr>
            <w:tcW w:w="700" w:type="dxa"/>
            <w:vAlign w:val="bottom"/>
            <w:tcBorders>
              <w:bottom w:val="single" w:sz="8" w:color="DFF1FB"/>
            </w:tcBorders>
          </w:tcPr>
          <w:p>
            <w:pPr>
              <w:spacing w:after="0"/>
              <w:rPr>
                <w:sz w:val="3"/>
                <w:szCs w:val="3"/>
                <w:color w:val="auto"/>
              </w:rPr>
            </w:pPr>
          </w:p>
        </w:tc>
        <w:tc>
          <w:tcPr>
            <w:tcW w:w="500" w:type="dxa"/>
            <w:vAlign w:val="bottom"/>
            <w:tcBorders>
              <w:bottom w:val="single" w:sz="8" w:color="DFF1FB"/>
            </w:tcBorders>
          </w:tcPr>
          <w:p>
            <w:pPr>
              <w:spacing w:after="0"/>
              <w:rPr>
                <w:sz w:val="3"/>
                <w:szCs w:val="3"/>
                <w:color w:val="auto"/>
              </w:rPr>
            </w:pPr>
          </w:p>
        </w:tc>
        <w:tc>
          <w:tcPr>
            <w:tcW w:w="680" w:type="dxa"/>
            <w:vAlign w:val="bottom"/>
            <w:tcBorders>
              <w:bottom w:val="single" w:sz="8" w:color="DFF1FB"/>
            </w:tcBorders>
          </w:tcPr>
          <w:p>
            <w:pPr>
              <w:spacing w:after="0"/>
              <w:rPr>
                <w:sz w:val="3"/>
                <w:szCs w:val="3"/>
                <w:color w:val="auto"/>
              </w:rPr>
            </w:pPr>
          </w:p>
        </w:tc>
        <w:tc>
          <w:tcPr>
            <w:tcW w:w="40" w:type="dxa"/>
            <w:vAlign w:val="bottom"/>
            <w:tcBorders>
              <w:bottom w:val="single" w:sz="8" w:color="DFF1FB"/>
            </w:tcBorders>
          </w:tcPr>
          <w:p>
            <w:pPr>
              <w:spacing w:after="0"/>
              <w:rPr>
                <w:sz w:val="3"/>
                <w:szCs w:val="3"/>
                <w:color w:val="auto"/>
              </w:rPr>
            </w:pPr>
          </w:p>
        </w:tc>
        <w:tc>
          <w:tcPr>
            <w:tcW w:w="800" w:type="dxa"/>
            <w:vAlign w:val="bottom"/>
            <w:tcBorders>
              <w:bottom w:val="single" w:sz="8" w:color="DFF1FB"/>
            </w:tcBorders>
          </w:tcPr>
          <w:p>
            <w:pPr>
              <w:spacing w:after="0"/>
              <w:rPr>
                <w:sz w:val="3"/>
                <w:szCs w:val="3"/>
                <w:color w:val="auto"/>
              </w:rPr>
            </w:pPr>
          </w:p>
        </w:tc>
        <w:tc>
          <w:tcPr>
            <w:tcW w:w="680" w:type="dxa"/>
            <w:vAlign w:val="bottom"/>
            <w:tcBorders>
              <w:bottom w:val="single" w:sz="8" w:color="DFF1FB"/>
            </w:tcBorders>
          </w:tcPr>
          <w:p>
            <w:pPr>
              <w:spacing w:after="0"/>
              <w:rPr>
                <w:sz w:val="3"/>
                <w:szCs w:val="3"/>
                <w:color w:val="auto"/>
              </w:rPr>
            </w:pPr>
          </w:p>
        </w:tc>
        <w:tc>
          <w:tcPr>
            <w:tcW w:w="640" w:type="dxa"/>
            <w:vAlign w:val="bottom"/>
            <w:tcBorders>
              <w:bottom w:val="single" w:sz="8" w:color="DFF1FB"/>
            </w:tcBorders>
          </w:tcPr>
          <w:p>
            <w:pPr>
              <w:spacing w:after="0"/>
              <w:rPr>
                <w:sz w:val="3"/>
                <w:szCs w:val="3"/>
                <w:color w:val="auto"/>
              </w:rPr>
            </w:pPr>
          </w:p>
        </w:tc>
        <w:tc>
          <w:tcPr>
            <w:tcW w:w="720" w:type="dxa"/>
            <w:vAlign w:val="bottom"/>
            <w:tcBorders>
              <w:bottom w:val="single" w:sz="8" w:color="DFF1FB"/>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28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02/22/2018</w:t>
            </w:r>
          </w:p>
        </w:tc>
        <w:tc>
          <w:tcPr>
            <w:tcW w:w="880" w:type="dxa"/>
            <w:vAlign w:val="bottom"/>
            <w:gridSpan w:val="2"/>
          </w:tcPr>
          <w:p>
            <w:pPr>
              <w:jc w:val="right"/>
              <w:ind w:right="29"/>
              <w:spacing w:after="0"/>
              <w:rPr>
                <w:sz w:val="20"/>
                <w:szCs w:val="20"/>
                <w:color w:val="auto"/>
              </w:rPr>
            </w:pPr>
            <w:r>
              <w:rPr>
                <w:rFonts w:ascii="Arial" w:cs="Arial" w:eastAsia="Arial" w:hAnsi="Arial"/>
                <w:sz w:val="13"/>
                <w:szCs w:val="13"/>
                <w:color w:val="auto"/>
              </w:rPr>
              <w:t>PSAs</w:t>
            </w: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0</w:t>
            </w:r>
          </w:p>
        </w:tc>
        <w:tc>
          <w:tcPr>
            <w:tcW w:w="500" w:type="dxa"/>
            <w:vAlign w:val="bottom"/>
          </w:tcPr>
          <w:p>
            <w:pPr>
              <w:jc w:val="right"/>
              <w:spacing w:after="0"/>
              <w:rPr>
                <w:sz w:val="20"/>
                <w:szCs w:val="20"/>
                <w:color w:val="auto"/>
              </w:rPr>
            </w:pPr>
            <w:r>
              <w:rPr>
                <w:rFonts w:ascii="Arial" w:cs="Arial" w:eastAsia="Arial" w:hAnsi="Arial"/>
                <w:sz w:val="13"/>
                <w:szCs w:val="13"/>
                <w:color w:val="auto"/>
              </w:rPr>
              <w:t>19,235</w:t>
            </w:r>
          </w:p>
        </w:tc>
        <w:tc>
          <w:tcPr>
            <w:tcW w:w="720" w:type="dxa"/>
            <w:vAlign w:val="bottom"/>
            <w:gridSpan w:val="2"/>
          </w:tcPr>
          <w:p>
            <w:pPr>
              <w:jc w:val="right"/>
              <w:ind w:right="40"/>
              <w:spacing w:after="0"/>
              <w:rPr>
                <w:sz w:val="20"/>
                <w:szCs w:val="20"/>
                <w:color w:val="auto"/>
              </w:rPr>
            </w:pPr>
            <w:r>
              <w:rPr>
                <w:rFonts w:ascii="Arial" w:cs="Arial" w:eastAsia="Arial" w:hAnsi="Arial"/>
                <w:sz w:val="13"/>
                <w:szCs w:val="13"/>
                <w:color w:val="auto"/>
              </w:rPr>
              <w:t>38,470</w:t>
            </w:r>
          </w:p>
        </w:tc>
        <w:tc>
          <w:tcPr>
            <w:tcW w:w="8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1,785,008</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2860" w:type="dxa"/>
            <w:vAlign w:val="bottom"/>
          </w:tcPr>
          <w:p>
            <w:pPr>
              <w:spacing w:after="0"/>
              <w:rPr>
                <w:sz w:val="3"/>
                <w:szCs w:val="3"/>
                <w:color w:val="auto"/>
              </w:rPr>
            </w:pPr>
          </w:p>
        </w:tc>
        <w:tc>
          <w:tcPr>
            <w:tcW w:w="720" w:type="dxa"/>
            <w:vAlign w:val="bottom"/>
            <w:tcBorders>
              <w:bottom w:val="single" w:sz="8" w:color="DFF1FB"/>
            </w:tcBorders>
          </w:tcPr>
          <w:p>
            <w:pPr>
              <w:spacing w:after="0"/>
              <w:rPr>
                <w:sz w:val="3"/>
                <w:szCs w:val="3"/>
                <w:color w:val="auto"/>
              </w:rPr>
            </w:pPr>
          </w:p>
        </w:tc>
        <w:tc>
          <w:tcPr>
            <w:tcW w:w="880" w:type="dxa"/>
            <w:vAlign w:val="bottom"/>
            <w:tcBorders>
              <w:bottom w:val="single" w:sz="8" w:color="DFF1FB"/>
            </w:tcBorders>
            <w:gridSpan w:val="2"/>
          </w:tcPr>
          <w:p>
            <w:pPr>
              <w:spacing w:after="0"/>
              <w:rPr>
                <w:sz w:val="3"/>
                <w:szCs w:val="3"/>
                <w:color w:val="auto"/>
              </w:rPr>
            </w:pPr>
          </w:p>
        </w:tc>
        <w:tc>
          <w:tcPr>
            <w:tcW w:w="700" w:type="dxa"/>
            <w:vAlign w:val="bottom"/>
            <w:tcBorders>
              <w:bottom w:val="single" w:sz="8" w:color="DFF1FB"/>
            </w:tcBorders>
          </w:tcPr>
          <w:p>
            <w:pPr>
              <w:spacing w:after="0"/>
              <w:rPr>
                <w:sz w:val="3"/>
                <w:szCs w:val="3"/>
                <w:color w:val="auto"/>
              </w:rPr>
            </w:pPr>
          </w:p>
        </w:tc>
        <w:tc>
          <w:tcPr>
            <w:tcW w:w="700" w:type="dxa"/>
            <w:vAlign w:val="bottom"/>
            <w:tcBorders>
              <w:bottom w:val="single" w:sz="8" w:color="DFF1FB"/>
            </w:tcBorders>
          </w:tcPr>
          <w:p>
            <w:pPr>
              <w:spacing w:after="0"/>
              <w:rPr>
                <w:sz w:val="3"/>
                <w:szCs w:val="3"/>
                <w:color w:val="auto"/>
              </w:rPr>
            </w:pPr>
          </w:p>
        </w:tc>
        <w:tc>
          <w:tcPr>
            <w:tcW w:w="720" w:type="dxa"/>
            <w:vAlign w:val="bottom"/>
            <w:tcBorders>
              <w:bottom w:val="single" w:sz="8" w:color="DFF1FB"/>
            </w:tcBorders>
          </w:tcPr>
          <w:p>
            <w:pPr>
              <w:spacing w:after="0"/>
              <w:rPr>
                <w:sz w:val="3"/>
                <w:szCs w:val="3"/>
                <w:color w:val="auto"/>
              </w:rPr>
            </w:pPr>
          </w:p>
        </w:tc>
        <w:tc>
          <w:tcPr>
            <w:tcW w:w="80" w:type="dxa"/>
            <w:vAlign w:val="bottom"/>
            <w:tcBorders>
              <w:bottom w:val="single" w:sz="8" w:color="DFF1FB"/>
            </w:tcBorders>
          </w:tcPr>
          <w:p>
            <w:pPr>
              <w:spacing w:after="0"/>
              <w:rPr>
                <w:sz w:val="3"/>
                <w:szCs w:val="3"/>
                <w:color w:val="auto"/>
              </w:rPr>
            </w:pPr>
          </w:p>
        </w:tc>
        <w:tc>
          <w:tcPr>
            <w:tcW w:w="700" w:type="dxa"/>
            <w:vAlign w:val="bottom"/>
            <w:tcBorders>
              <w:bottom w:val="single" w:sz="8" w:color="DFF1FB"/>
            </w:tcBorders>
          </w:tcPr>
          <w:p>
            <w:pPr>
              <w:spacing w:after="0"/>
              <w:rPr>
                <w:sz w:val="3"/>
                <w:szCs w:val="3"/>
                <w:color w:val="auto"/>
              </w:rPr>
            </w:pPr>
          </w:p>
        </w:tc>
        <w:tc>
          <w:tcPr>
            <w:tcW w:w="500" w:type="dxa"/>
            <w:vAlign w:val="bottom"/>
            <w:tcBorders>
              <w:bottom w:val="single" w:sz="8" w:color="DFF1FB"/>
            </w:tcBorders>
          </w:tcPr>
          <w:p>
            <w:pPr>
              <w:spacing w:after="0"/>
              <w:rPr>
                <w:sz w:val="3"/>
                <w:szCs w:val="3"/>
                <w:color w:val="auto"/>
              </w:rPr>
            </w:pPr>
          </w:p>
        </w:tc>
        <w:tc>
          <w:tcPr>
            <w:tcW w:w="680" w:type="dxa"/>
            <w:vAlign w:val="bottom"/>
            <w:tcBorders>
              <w:bottom w:val="single" w:sz="8" w:color="DFF1FB"/>
            </w:tcBorders>
          </w:tcPr>
          <w:p>
            <w:pPr>
              <w:spacing w:after="0"/>
              <w:rPr>
                <w:sz w:val="3"/>
                <w:szCs w:val="3"/>
                <w:color w:val="auto"/>
              </w:rPr>
            </w:pPr>
          </w:p>
        </w:tc>
        <w:tc>
          <w:tcPr>
            <w:tcW w:w="40" w:type="dxa"/>
            <w:vAlign w:val="bottom"/>
            <w:tcBorders>
              <w:bottom w:val="single" w:sz="8" w:color="DFF1FB"/>
            </w:tcBorders>
          </w:tcPr>
          <w:p>
            <w:pPr>
              <w:spacing w:after="0"/>
              <w:rPr>
                <w:sz w:val="3"/>
                <w:szCs w:val="3"/>
                <w:color w:val="auto"/>
              </w:rPr>
            </w:pPr>
          </w:p>
        </w:tc>
        <w:tc>
          <w:tcPr>
            <w:tcW w:w="800" w:type="dxa"/>
            <w:vAlign w:val="bottom"/>
            <w:tcBorders>
              <w:bottom w:val="single" w:sz="8" w:color="DFF1FB"/>
            </w:tcBorders>
          </w:tcPr>
          <w:p>
            <w:pPr>
              <w:spacing w:after="0"/>
              <w:rPr>
                <w:sz w:val="3"/>
                <w:szCs w:val="3"/>
                <w:color w:val="auto"/>
              </w:rPr>
            </w:pPr>
          </w:p>
        </w:tc>
        <w:tc>
          <w:tcPr>
            <w:tcW w:w="680" w:type="dxa"/>
            <w:vAlign w:val="bottom"/>
            <w:tcBorders>
              <w:bottom w:val="single" w:sz="8" w:color="DFF1FB"/>
            </w:tcBorders>
          </w:tcPr>
          <w:p>
            <w:pPr>
              <w:spacing w:after="0"/>
              <w:rPr>
                <w:sz w:val="3"/>
                <w:szCs w:val="3"/>
                <w:color w:val="auto"/>
              </w:rPr>
            </w:pPr>
          </w:p>
        </w:tc>
        <w:tc>
          <w:tcPr>
            <w:tcW w:w="640" w:type="dxa"/>
            <w:vAlign w:val="bottom"/>
            <w:tcBorders>
              <w:bottom w:val="single" w:sz="8" w:color="DFF1FB"/>
            </w:tcBorders>
          </w:tcPr>
          <w:p>
            <w:pPr>
              <w:spacing w:after="0"/>
              <w:rPr>
                <w:sz w:val="3"/>
                <w:szCs w:val="3"/>
                <w:color w:val="auto"/>
              </w:rPr>
            </w:pPr>
          </w:p>
        </w:tc>
        <w:tc>
          <w:tcPr>
            <w:tcW w:w="720" w:type="dxa"/>
            <w:vAlign w:val="bottom"/>
            <w:tcBorders>
              <w:bottom w:val="single" w:sz="8" w:color="DFF1FB"/>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28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02/22/2018</w:t>
            </w:r>
          </w:p>
        </w:tc>
        <w:tc>
          <w:tcPr>
            <w:tcW w:w="880" w:type="dxa"/>
            <w:vAlign w:val="bottom"/>
            <w:gridSpan w:val="2"/>
          </w:tcPr>
          <w:p>
            <w:pPr>
              <w:jc w:val="right"/>
              <w:ind w:right="29"/>
              <w:spacing w:after="0"/>
              <w:rPr>
                <w:sz w:val="20"/>
                <w:szCs w:val="20"/>
                <w:color w:val="auto"/>
              </w:rPr>
            </w:pPr>
            <w:r>
              <w:rPr>
                <w:rFonts w:ascii="Arial" w:cs="Arial" w:eastAsia="Arial" w:hAnsi="Arial"/>
                <w:sz w:val="13"/>
                <w:szCs w:val="13"/>
                <w:color w:val="auto"/>
              </w:rPr>
              <w:t>Stock</w:t>
            </w: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69,836</w:t>
            </w:r>
          </w:p>
        </w:tc>
        <w:tc>
          <w:tcPr>
            <w:tcW w:w="680" w:type="dxa"/>
            <w:vAlign w:val="bottom"/>
          </w:tcPr>
          <w:p>
            <w:pPr>
              <w:jc w:val="right"/>
              <w:ind w:right="15"/>
              <w:spacing w:after="0"/>
              <w:rPr>
                <w:sz w:val="20"/>
                <w:szCs w:val="20"/>
                <w:color w:val="auto"/>
              </w:rPr>
            </w:pPr>
            <w:r>
              <w:rPr>
                <w:rFonts w:ascii="Arial" w:cs="Arial" w:eastAsia="Arial" w:hAnsi="Arial"/>
                <w:sz w:val="13"/>
                <w:szCs w:val="13"/>
                <w:color w:val="auto"/>
              </w:rPr>
              <w:t>92.80</w:t>
            </w:r>
          </w:p>
        </w:tc>
        <w:tc>
          <w:tcPr>
            <w:tcW w:w="640" w:type="dxa"/>
            <w:vAlign w:val="bottom"/>
          </w:tcPr>
          <w:p>
            <w:pPr>
              <w:spacing w:after="0"/>
              <w:rPr>
                <w:sz w:val="16"/>
                <w:szCs w:val="16"/>
                <w:color w:val="auto"/>
              </w:rPr>
            </w:pPr>
          </w:p>
        </w:tc>
        <w:tc>
          <w:tcPr>
            <w:tcW w:w="720" w:type="dxa"/>
            <w:vAlign w:val="bottom"/>
          </w:tcPr>
          <w:p>
            <w:pPr>
              <w:jc w:val="right"/>
              <w:ind w:right="13"/>
              <w:spacing w:after="0"/>
              <w:rPr>
                <w:sz w:val="20"/>
                <w:szCs w:val="20"/>
                <w:color w:val="auto"/>
              </w:rPr>
            </w:pPr>
            <w:r>
              <w:rPr>
                <w:rFonts w:ascii="Arial" w:cs="Arial" w:eastAsia="Arial" w:hAnsi="Arial"/>
                <w:sz w:val="13"/>
                <w:szCs w:val="13"/>
                <w:color w:val="auto"/>
              </w:rPr>
              <w:t>1,190,005</w:t>
            </w:r>
          </w:p>
        </w:tc>
        <w:tc>
          <w:tcPr>
            <w:tcW w:w="0" w:type="dxa"/>
            <w:vAlign w:val="bottom"/>
          </w:tcPr>
          <w:p>
            <w:pPr>
              <w:spacing w:after="0"/>
              <w:rPr>
                <w:sz w:val="1"/>
                <w:szCs w:val="1"/>
                <w:color w:val="auto"/>
              </w:rPr>
            </w:pPr>
          </w:p>
        </w:tc>
      </w:tr>
      <w:tr>
        <w:trPr>
          <w:trHeight w:val="243"/>
        </w:trPr>
        <w:tc>
          <w:tcPr>
            <w:tcW w:w="28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80" w:type="dxa"/>
            <w:vAlign w:val="bottom"/>
            <w:gridSpan w:val="2"/>
          </w:tcPr>
          <w:p>
            <w:pPr>
              <w:jc w:val="right"/>
              <w:ind w:right="29"/>
              <w:spacing w:after="0"/>
              <w:rPr>
                <w:sz w:val="20"/>
                <w:szCs w:val="20"/>
                <w:color w:val="auto"/>
              </w:rPr>
            </w:pPr>
            <w:r>
              <w:rPr>
                <w:rFonts w:ascii="Arial" w:cs="Arial" w:eastAsia="Arial" w:hAnsi="Arial"/>
                <w:sz w:val="13"/>
                <w:szCs w:val="13"/>
                <w:color w:val="auto"/>
              </w:rPr>
              <w:t>options</w:t>
            </w: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860" w:type="dxa"/>
            <w:vAlign w:val="bottom"/>
            <w:tcBorders>
              <w:bottom w:val="single" w:sz="8" w:color="105FAB"/>
            </w:tcBorders>
          </w:tcPr>
          <w:p>
            <w:pPr>
              <w:spacing w:after="0"/>
              <w:rPr>
                <w:sz w:val="4"/>
                <w:szCs w:val="4"/>
                <w:color w:val="auto"/>
              </w:rPr>
            </w:pPr>
          </w:p>
        </w:tc>
        <w:tc>
          <w:tcPr>
            <w:tcW w:w="720" w:type="dxa"/>
            <w:vAlign w:val="bottom"/>
            <w:tcBorders>
              <w:bottom w:val="single" w:sz="8" w:color="105FAB"/>
            </w:tcBorders>
          </w:tcPr>
          <w:p>
            <w:pPr>
              <w:spacing w:after="0"/>
              <w:rPr>
                <w:sz w:val="4"/>
                <w:szCs w:val="4"/>
                <w:color w:val="auto"/>
              </w:rPr>
            </w:pPr>
          </w:p>
        </w:tc>
        <w:tc>
          <w:tcPr>
            <w:tcW w:w="660" w:type="dxa"/>
            <w:vAlign w:val="bottom"/>
            <w:tcBorders>
              <w:bottom w:val="single" w:sz="8" w:color="105FAB"/>
            </w:tcBorders>
          </w:tcPr>
          <w:p>
            <w:pPr>
              <w:spacing w:after="0"/>
              <w:rPr>
                <w:sz w:val="4"/>
                <w:szCs w:val="4"/>
                <w:color w:val="auto"/>
              </w:rPr>
            </w:pPr>
          </w:p>
        </w:tc>
        <w:tc>
          <w:tcPr>
            <w:tcW w:w="220" w:type="dxa"/>
            <w:vAlign w:val="bottom"/>
            <w:tcBorders>
              <w:bottom w:val="single" w:sz="8" w:color="105FAB"/>
            </w:tcBorders>
          </w:tcPr>
          <w:p>
            <w:pPr>
              <w:spacing w:after="0"/>
              <w:rPr>
                <w:sz w:val="4"/>
                <w:szCs w:val="4"/>
                <w:color w:val="auto"/>
              </w:rPr>
            </w:pPr>
          </w:p>
        </w:tc>
        <w:tc>
          <w:tcPr>
            <w:tcW w:w="700" w:type="dxa"/>
            <w:vAlign w:val="bottom"/>
            <w:tcBorders>
              <w:bottom w:val="single" w:sz="8" w:color="105FAB"/>
            </w:tcBorders>
          </w:tcPr>
          <w:p>
            <w:pPr>
              <w:spacing w:after="0"/>
              <w:rPr>
                <w:sz w:val="4"/>
                <w:szCs w:val="4"/>
                <w:color w:val="auto"/>
              </w:rPr>
            </w:pPr>
          </w:p>
        </w:tc>
        <w:tc>
          <w:tcPr>
            <w:tcW w:w="700" w:type="dxa"/>
            <w:vAlign w:val="bottom"/>
            <w:tcBorders>
              <w:bottom w:val="single" w:sz="8" w:color="105FAB"/>
            </w:tcBorders>
          </w:tcPr>
          <w:p>
            <w:pPr>
              <w:spacing w:after="0"/>
              <w:rPr>
                <w:sz w:val="4"/>
                <w:szCs w:val="4"/>
                <w:color w:val="auto"/>
              </w:rPr>
            </w:pPr>
          </w:p>
        </w:tc>
        <w:tc>
          <w:tcPr>
            <w:tcW w:w="720" w:type="dxa"/>
            <w:vAlign w:val="bottom"/>
            <w:tcBorders>
              <w:bottom w:val="single" w:sz="8" w:color="105FAB"/>
            </w:tcBorders>
          </w:tcPr>
          <w:p>
            <w:pPr>
              <w:spacing w:after="0"/>
              <w:rPr>
                <w:sz w:val="4"/>
                <w:szCs w:val="4"/>
                <w:color w:val="auto"/>
              </w:rPr>
            </w:pPr>
          </w:p>
        </w:tc>
        <w:tc>
          <w:tcPr>
            <w:tcW w:w="80" w:type="dxa"/>
            <w:vAlign w:val="bottom"/>
            <w:tcBorders>
              <w:bottom w:val="single" w:sz="8" w:color="105FAB"/>
            </w:tcBorders>
          </w:tcPr>
          <w:p>
            <w:pPr>
              <w:spacing w:after="0"/>
              <w:rPr>
                <w:sz w:val="4"/>
                <w:szCs w:val="4"/>
                <w:color w:val="auto"/>
              </w:rPr>
            </w:pPr>
          </w:p>
        </w:tc>
        <w:tc>
          <w:tcPr>
            <w:tcW w:w="700" w:type="dxa"/>
            <w:vAlign w:val="bottom"/>
            <w:tcBorders>
              <w:bottom w:val="single" w:sz="8" w:color="105FAB"/>
            </w:tcBorders>
          </w:tcPr>
          <w:p>
            <w:pPr>
              <w:spacing w:after="0"/>
              <w:rPr>
                <w:sz w:val="4"/>
                <w:szCs w:val="4"/>
                <w:color w:val="auto"/>
              </w:rPr>
            </w:pPr>
          </w:p>
        </w:tc>
        <w:tc>
          <w:tcPr>
            <w:tcW w:w="500" w:type="dxa"/>
            <w:vAlign w:val="bottom"/>
            <w:tcBorders>
              <w:bottom w:val="single" w:sz="8" w:color="105FAB"/>
            </w:tcBorders>
          </w:tcPr>
          <w:p>
            <w:pPr>
              <w:spacing w:after="0"/>
              <w:rPr>
                <w:sz w:val="4"/>
                <w:szCs w:val="4"/>
                <w:color w:val="auto"/>
              </w:rPr>
            </w:pPr>
          </w:p>
        </w:tc>
        <w:tc>
          <w:tcPr>
            <w:tcW w:w="680" w:type="dxa"/>
            <w:vAlign w:val="bottom"/>
            <w:tcBorders>
              <w:bottom w:val="single" w:sz="8" w:color="105FAB"/>
            </w:tcBorders>
          </w:tcPr>
          <w:p>
            <w:pPr>
              <w:spacing w:after="0"/>
              <w:rPr>
                <w:sz w:val="4"/>
                <w:szCs w:val="4"/>
                <w:color w:val="auto"/>
              </w:rPr>
            </w:pPr>
          </w:p>
        </w:tc>
        <w:tc>
          <w:tcPr>
            <w:tcW w:w="40" w:type="dxa"/>
            <w:vAlign w:val="bottom"/>
            <w:tcBorders>
              <w:bottom w:val="single" w:sz="8" w:color="105FAB"/>
            </w:tcBorders>
          </w:tcPr>
          <w:p>
            <w:pPr>
              <w:spacing w:after="0"/>
              <w:rPr>
                <w:sz w:val="4"/>
                <w:szCs w:val="4"/>
                <w:color w:val="auto"/>
              </w:rPr>
            </w:pPr>
          </w:p>
        </w:tc>
        <w:tc>
          <w:tcPr>
            <w:tcW w:w="800" w:type="dxa"/>
            <w:vAlign w:val="bottom"/>
            <w:tcBorders>
              <w:bottom w:val="single" w:sz="8" w:color="105FAB"/>
            </w:tcBorders>
          </w:tcPr>
          <w:p>
            <w:pPr>
              <w:spacing w:after="0"/>
              <w:rPr>
                <w:sz w:val="4"/>
                <w:szCs w:val="4"/>
                <w:color w:val="auto"/>
              </w:rPr>
            </w:pPr>
          </w:p>
        </w:tc>
        <w:tc>
          <w:tcPr>
            <w:tcW w:w="680" w:type="dxa"/>
            <w:vAlign w:val="bottom"/>
            <w:tcBorders>
              <w:bottom w:val="single" w:sz="8" w:color="105FAB"/>
            </w:tcBorders>
          </w:tcPr>
          <w:p>
            <w:pPr>
              <w:spacing w:after="0"/>
              <w:rPr>
                <w:sz w:val="4"/>
                <w:szCs w:val="4"/>
                <w:color w:val="auto"/>
              </w:rPr>
            </w:pPr>
          </w:p>
        </w:tc>
        <w:tc>
          <w:tcPr>
            <w:tcW w:w="640" w:type="dxa"/>
            <w:vAlign w:val="bottom"/>
            <w:tcBorders>
              <w:bottom w:val="single" w:sz="8" w:color="105FAB"/>
            </w:tcBorders>
          </w:tcPr>
          <w:p>
            <w:pPr>
              <w:spacing w:after="0"/>
              <w:rPr>
                <w:sz w:val="4"/>
                <w:szCs w:val="4"/>
                <w:color w:val="auto"/>
              </w:rPr>
            </w:pPr>
          </w:p>
        </w:tc>
        <w:tc>
          <w:tcPr>
            <w:tcW w:w="720" w:type="dxa"/>
            <w:vAlign w:val="bottom"/>
            <w:tcBorders>
              <w:bottom w:val="single" w:sz="8" w:color="105FAB"/>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300" w:right="20" w:hanging="292"/>
        <w:spacing w:after="0" w:line="238" w:lineRule="auto"/>
        <w:tabs>
          <w:tab w:leader="none" w:pos="300" w:val="left"/>
        </w:tabs>
        <w:numPr>
          <w:ilvl w:val="0"/>
          <w:numId w:val="193"/>
        </w:numPr>
        <w:rPr>
          <w:rFonts w:ascii="Arial" w:cs="Arial" w:eastAsia="Arial" w:hAnsi="Arial"/>
          <w:sz w:val="11"/>
          <w:szCs w:val="11"/>
          <w:color w:val="auto"/>
        </w:rPr>
      </w:pPr>
      <w:r>
        <w:rPr>
          <w:rFonts w:ascii="Arial" w:cs="Arial" w:eastAsia="Arial" w:hAnsi="Arial"/>
          <w:sz w:val="13"/>
          <w:szCs w:val="13"/>
          <w:color w:val="auto"/>
        </w:rPr>
        <w:t xml:space="preserve">Awards under the Annual Executive Incentive Plan and the 2013 Equity Incentive Plan. An explanation of the amount of salary and bonus in proportion to total compensation can be found under the </w:t>
      </w:r>
      <w:r>
        <w:rPr>
          <w:rFonts w:ascii="Arial" w:cs="Arial" w:eastAsia="Arial" w:hAnsi="Arial"/>
          <w:sz w:val="13"/>
          <w:szCs w:val="13"/>
          <w:i w:val="1"/>
          <w:iCs w:val="1"/>
          <w:color w:val="auto"/>
        </w:rPr>
        <w:t>Compensation Elements</w:t>
      </w:r>
      <w:r>
        <w:rPr>
          <w:rFonts w:ascii="Arial" w:cs="Arial" w:eastAsia="Arial" w:hAnsi="Arial"/>
          <w:sz w:val="13"/>
          <w:szCs w:val="13"/>
          <w:color w:val="auto"/>
        </w:rPr>
        <w:t xml:space="preserve"> and </w:t>
      </w:r>
      <w:r>
        <w:rPr>
          <w:rFonts w:ascii="Arial" w:cs="Arial" w:eastAsia="Arial" w:hAnsi="Arial"/>
          <w:sz w:val="13"/>
          <w:szCs w:val="13"/>
          <w:i w:val="1"/>
          <w:iCs w:val="1"/>
          <w:color w:val="auto"/>
        </w:rPr>
        <w:t>Compensation Decisions for 2018</w:t>
      </w:r>
      <w:r>
        <w:rPr>
          <w:rFonts w:ascii="Arial" w:cs="Arial" w:eastAsia="Arial" w:hAnsi="Arial"/>
          <w:sz w:val="13"/>
          <w:szCs w:val="13"/>
          <w:color w:val="auto"/>
        </w:rPr>
        <w:t xml:space="preserve"> captions on pages 39-42.</w:t>
      </w:r>
    </w:p>
    <w:p>
      <w:pPr>
        <w:ind w:left="300" w:right="60" w:hanging="292"/>
        <w:spacing w:after="0" w:line="238" w:lineRule="auto"/>
        <w:tabs>
          <w:tab w:leader="none" w:pos="300" w:val="left"/>
        </w:tabs>
        <w:numPr>
          <w:ilvl w:val="0"/>
          <w:numId w:val="193"/>
        </w:numPr>
        <w:rPr>
          <w:rFonts w:ascii="Arial" w:cs="Arial" w:eastAsia="Arial" w:hAnsi="Arial"/>
          <w:sz w:val="11"/>
          <w:szCs w:val="11"/>
          <w:color w:val="auto"/>
        </w:rPr>
      </w:pPr>
      <w:r>
        <w:rPr>
          <w:rFonts w:ascii="Arial" w:cs="Arial" w:eastAsia="Arial" w:hAnsi="Arial"/>
          <w:sz w:val="13"/>
          <w:szCs w:val="13"/>
          <w:color w:val="auto"/>
        </w:rPr>
        <w:t xml:space="preserve">The amounts in these columns consist of the threshold, target, and maximum annual cash incentive awards for the named executives. The threshold amount for each named executive is 50% of target, as the minimum amount payable (subject to individual performance) if threshold performance is achieved. If the threshold is not achieved, the payment to the named executives would be zero. The target amount is based upon achievement of the performance measures listed under the </w:t>
      </w:r>
      <w:r>
        <w:rPr>
          <w:rFonts w:ascii="Arial" w:cs="Arial" w:eastAsia="Arial" w:hAnsi="Arial"/>
          <w:sz w:val="13"/>
          <w:szCs w:val="13"/>
          <w:i w:val="1"/>
          <w:iCs w:val="1"/>
          <w:color w:val="auto"/>
        </w:rPr>
        <w:t>Earned Annual Cash Incentive Awards</w:t>
      </w:r>
      <w:r>
        <w:rPr>
          <w:rFonts w:ascii="Arial" w:cs="Arial" w:eastAsia="Arial" w:hAnsi="Arial"/>
          <w:sz w:val="13"/>
          <w:szCs w:val="13"/>
          <w:color w:val="auto"/>
        </w:rPr>
        <w:t xml:space="preserve"> caption on page 50. The maximum amount is equal to 200% of target plus an additional individual performance factor of 200% of plan funding to recognize extraordinary performance. In 2018, one named executive received positive discretion for a cash incentive award greater than the pool payout percentage as calculated at 173.4%. For a description of the ranges of performance established by the committee for the 2018 annual incentive, see page 51.</w:t>
      </w:r>
    </w:p>
    <w:p>
      <w:pPr>
        <w:ind w:left="300" w:right="300" w:hanging="292"/>
        <w:spacing w:after="0" w:line="238" w:lineRule="auto"/>
        <w:tabs>
          <w:tab w:leader="none" w:pos="300" w:val="left"/>
        </w:tabs>
        <w:numPr>
          <w:ilvl w:val="0"/>
          <w:numId w:val="193"/>
        </w:numPr>
        <w:rPr>
          <w:rFonts w:ascii="Arial" w:cs="Arial" w:eastAsia="Arial" w:hAnsi="Arial"/>
          <w:sz w:val="11"/>
          <w:szCs w:val="11"/>
          <w:color w:val="auto"/>
        </w:rPr>
      </w:pPr>
      <w:r>
        <w:rPr>
          <w:rFonts w:ascii="Arial" w:cs="Arial" w:eastAsia="Arial" w:hAnsi="Arial"/>
          <w:sz w:val="13"/>
          <w:szCs w:val="13"/>
          <w:color w:val="auto"/>
        </w:rPr>
        <w:t xml:space="preserve">The amounts shown in these columns reflect the threshold, target, and maximum PSAs for the named executives. The threshold amount for each named executive is 0% payout. The target and maximum amounts are based upon achievement of the performance measures listed under the </w:t>
      </w:r>
      <w:r>
        <w:rPr>
          <w:rFonts w:ascii="Arial" w:cs="Arial" w:eastAsia="Arial" w:hAnsi="Arial"/>
          <w:sz w:val="13"/>
          <w:szCs w:val="13"/>
          <w:i w:val="1"/>
          <w:iCs w:val="1"/>
          <w:color w:val="auto"/>
        </w:rPr>
        <w:t>Performance Stock Awards</w:t>
      </w:r>
      <w:r>
        <w:rPr>
          <w:rFonts w:ascii="Arial" w:cs="Arial" w:eastAsia="Arial" w:hAnsi="Arial"/>
          <w:sz w:val="13"/>
          <w:szCs w:val="13"/>
          <w:color w:val="auto"/>
        </w:rPr>
        <w:t xml:space="preserve"> caption on page 51.</w:t>
      </w:r>
    </w:p>
    <w:p>
      <w:pPr>
        <w:ind w:left="300" w:right="180" w:hanging="292"/>
        <w:spacing w:after="0" w:line="238" w:lineRule="auto"/>
        <w:tabs>
          <w:tab w:leader="none" w:pos="300" w:val="left"/>
        </w:tabs>
        <w:numPr>
          <w:ilvl w:val="0"/>
          <w:numId w:val="193"/>
        </w:numPr>
        <w:rPr>
          <w:rFonts w:ascii="Arial" w:cs="Arial" w:eastAsia="Arial" w:hAnsi="Arial"/>
          <w:sz w:val="11"/>
          <w:szCs w:val="11"/>
          <w:color w:val="auto"/>
        </w:rPr>
      </w:pPr>
      <w:r>
        <w:rPr>
          <w:rFonts w:ascii="Arial" w:cs="Arial" w:eastAsia="Arial" w:hAnsi="Arial"/>
          <w:sz w:val="13"/>
          <w:szCs w:val="13"/>
          <w:color w:val="auto"/>
        </w:rPr>
        <w:t>The exercise price of each option is equal to the closing sale price on the NYSE on the grant date or, if there was no such sale on the grant date, then on the last previous day on which there was a sale.</w:t>
      </w:r>
    </w:p>
    <w:p>
      <w:pPr>
        <w:ind w:left="300" w:right="100" w:hanging="292"/>
        <w:spacing w:after="0" w:line="258" w:lineRule="auto"/>
        <w:tabs>
          <w:tab w:leader="none" w:pos="300" w:val="left"/>
        </w:tabs>
        <w:numPr>
          <w:ilvl w:val="0"/>
          <w:numId w:val="193"/>
        </w:numPr>
        <w:rPr>
          <w:rFonts w:ascii="Arial" w:cs="Arial" w:eastAsia="Arial" w:hAnsi="Arial"/>
          <w:sz w:val="11"/>
          <w:szCs w:val="11"/>
          <w:color w:val="auto"/>
        </w:rPr>
      </w:pPr>
      <w:r>
        <w:rPr>
          <w:rFonts w:ascii="Arial" w:cs="Arial" w:eastAsia="Arial" w:hAnsi="Arial"/>
          <w:sz w:val="13"/>
          <w:szCs w:val="13"/>
          <w:color w:val="auto"/>
        </w:rPr>
        <w:t xml:space="preserve">The aggregate grant date fair value of the PSAs was $92.80 and for stock option awards was $17.04, computed in accordance with FASB ASC 718 based on the probable satisfaction of the performance conditions. The assumptions used in the valuation are discussed in footnotes 3 and 4 to the </w:t>
      </w:r>
      <w:r>
        <w:rPr>
          <w:rFonts w:ascii="Arial" w:cs="Arial" w:eastAsia="Arial" w:hAnsi="Arial"/>
          <w:sz w:val="13"/>
          <w:szCs w:val="13"/>
          <w:i w:val="1"/>
          <w:iCs w:val="1"/>
          <w:color w:val="auto"/>
        </w:rPr>
        <w:t>Summary Compensation Table</w:t>
      </w:r>
      <w:r>
        <w:rPr>
          <w:rFonts w:ascii="Arial" w:cs="Arial" w:eastAsia="Arial" w:hAnsi="Arial"/>
          <w:sz w:val="13"/>
          <w:szCs w:val="13"/>
          <w:color w:val="auto"/>
        </w:rPr>
        <w:t xml:space="preserve"> on pages 53-54.</w:t>
      </w:r>
    </w:p>
    <w:p>
      <w:pPr>
        <w:spacing w:after="0" w:line="191" w:lineRule="exact"/>
        <w:rPr>
          <w:sz w:val="20"/>
          <w:szCs w:val="20"/>
          <w:color w:val="auto"/>
        </w:rPr>
      </w:pPr>
    </w:p>
    <w:p>
      <w:pPr>
        <w:ind w:left="460" w:hanging="452"/>
        <w:spacing w:after="0"/>
        <w:tabs>
          <w:tab w:leader="none" w:pos="460" w:val="left"/>
        </w:tabs>
        <w:numPr>
          <w:ilvl w:val="0"/>
          <w:numId w:val="194"/>
        </w:numPr>
        <w:rPr>
          <w:rFonts w:ascii="Arial" w:cs="Arial" w:eastAsia="Arial" w:hAnsi="Arial"/>
          <w:sz w:val="13"/>
          <w:szCs w:val="13"/>
          <w:b w:val="1"/>
          <w:bCs w:val="1"/>
          <w:color w:val="105EAB"/>
        </w:rPr>
      </w:pPr>
      <w:r>
        <w:rPr>
          <w:rFonts w:ascii="Arial" w:cs="Arial" w:eastAsia="Arial" w:hAnsi="Arial"/>
          <w:sz w:val="13"/>
          <w:szCs w:val="13"/>
          <w:color w:val="105EAB"/>
        </w:rPr>
        <w:t>www.allstateproxy.com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134620</wp:posOffset>
            </wp:positionV>
            <wp:extent cx="7268210" cy="209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jc w:val="right"/>
        <w:ind w:right="20"/>
        <w:spacing w:after="0"/>
        <w:rPr>
          <w:sz w:val="20"/>
          <w:szCs w:val="20"/>
          <w:color w:val="auto"/>
        </w:rPr>
      </w:pPr>
      <w:r>
        <w:rPr>
          <w:rFonts w:ascii="Arial" w:cs="Arial" w:eastAsia="Arial" w:hAnsi="Arial"/>
          <w:sz w:val="13"/>
          <w:szCs w:val="13"/>
          <w:b w:val="1"/>
          <w:bCs w:val="1"/>
          <w:color w:val="auto"/>
        </w:rPr>
        <w:t xml:space="preserve">Grants of Plan-Based Awards at Fiscal Year-end 2018 </w:t>
      </w:r>
      <w:r>
        <w:rPr>
          <w:rFonts w:ascii="Arial" w:cs="Arial" w:eastAsia="Arial" w:hAnsi="Arial"/>
          <w:sz w:val="13"/>
          <w:szCs w:val="13"/>
          <w:b w:val="1"/>
          <w:bCs w:val="1"/>
          <w:color w:val="105EAB"/>
        </w:rPr>
        <w:t>| Executive Compensation</w:t>
      </w:r>
    </w:p>
    <w:p>
      <w:pPr>
        <w:spacing w:after="0" w:line="201" w:lineRule="exact"/>
        <w:rPr>
          <w:sz w:val="20"/>
          <w:szCs w:val="20"/>
          <w:color w:val="auto"/>
        </w:rPr>
      </w:pPr>
    </w:p>
    <w:p>
      <w:pPr>
        <w:spacing w:after="0"/>
        <w:rPr>
          <w:sz w:val="20"/>
          <w:szCs w:val="20"/>
          <w:color w:val="auto"/>
        </w:rPr>
      </w:pPr>
      <w:r>
        <w:rPr>
          <w:rFonts w:ascii="Arial" w:cs="Arial" w:eastAsia="Arial" w:hAnsi="Arial"/>
          <w:sz w:val="25"/>
          <w:szCs w:val="25"/>
          <w:b w:val="1"/>
          <w:bCs w:val="1"/>
          <w:color w:val="105EAB"/>
        </w:rPr>
        <w:t>Performance Stock Awards (“PSAs”)</w:t>
      </w:r>
    </w:p>
    <w:p>
      <w:pPr>
        <w:spacing w:after="0" w:line="259"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PSAs represent our promise to transfer shares of common stock in the future if certain performance measures are met. For the awards granted in 2018, the actual number of PSAs that vest will vary from 0% to 200% of target PSAs based on Average Performance Net Income ROE (70%) and Earned Book Value (30%) results for a three-year measurement period. For a definition of how those measures are calculated, see pages 67-69. Vested PSAs will be converted into shares of Allstate common stock and dividend equivalents accrued on these shares will be paid in cash. No dividend equivalents will be paid prior to vesting. PSAs will vest following the end of the three-year performance cycle if the performance conditions are met, subject to continued employment (other than in the event of death, disability, retirement, or a qualifying termination following a change in control).</w:t>
      </w:r>
    </w:p>
    <w:p>
      <w:pPr>
        <w:spacing w:after="0" w:line="174" w:lineRule="exact"/>
        <w:rPr>
          <w:sz w:val="20"/>
          <w:szCs w:val="20"/>
          <w:color w:val="auto"/>
        </w:rPr>
      </w:pPr>
    </w:p>
    <w:p>
      <w:pPr>
        <w:spacing w:after="0"/>
        <w:rPr>
          <w:sz w:val="20"/>
          <w:szCs w:val="20"/>
          <w:color w:val="auto"/>
        </w:rPr>
      </w:pPr>
      <w:r>
        <w:rPr>
          <w:rFonts w:ascii="Arial" w:cs="Arial" w:eastAsia="Arial" w:hAnsi="Arial"/>
          <w:sz w:val="25"/>
          <w:szCs w:val="25"/>
          <w:b w:val="1"/>
          <w:bCs w:val="1"/>
          <w:color w:val="105EAB"/>
        </w:rPr>
        <w:t>Stock Options</w:t>
      </w:r>
    </w:p>
    <w:p>
      <w:pPr>
        <w:spacing w:after="0" w:line="259" w:lineRule="exact"/>
        <w:rPr>
          <w:sz w:val="20"/>
          <w:szCs w:val="20"/>
          <w:color w:val="auto"/>
        </w:rPr>
      </w:pPr>
    </w:p>
    <w:p>
      <w:pPr>
        <w:ind w:right="340"/>
        <w:spacing w:after="0" w:line="237" w:lineRule="auto"/>
        <w:rPr>
          <w:sz w:val="20"/>
          <w:szCs w:val="20"/>
          <w:color w:val="auto"/>
        </w:rPr>
      </w:pPr>
      <w:r>
        <w:rPr>
          <w:rFonts w:ascii="Arial" w:cs="Arial" w:eastAsia="Arial" w:hAnsi="Arial"/>
          <w:sz w:val="18"/>
          <w:szCs w:val="18"/>
          <w:color w:val="auto"/>
        </w:rPr>
        <w:t>Stock options represent an opportunity to buy shares of Allstate common stock at a fixed exercise price at a future date. Stock options align the interests of executives with long-term stockholder value since the stock price must appreciate from the grant date for the executives to earn compensation.</w:t>
      </w:r>
    </w:p>
    <w:p>
      <w:pPr>
        <w:spacing w:after="0" w:line="210"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Under our stockholder-approved equity incentive plan, the exercise price cannot be less than the closing price of a share on the grant date. Stock option repricing is not permitted.</w:t>
      </w:r>
    </w:p>
    <w:p>
      <w:pPr>
        <w:spacing w:after="0" w:line="208"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All stock option awards have been made in the form of non-qualified stock options. The options granted to the named executives become exercisable over three years. One-third of the stock options become exercisable on the anniversary of the grant date for each of the three years. All of the options expire ten years from the grant date, unless an earlier date has been approved by the committee in connection with certain change-in-control situations or other special circumstances such as termination, death, or disability.</w:t>
      </w:r>
    </w:p>
    <w:p>
      <w:pPr>
        <w:spacing w:after="0" w:line="174" w:lineRule="exact"/>
        <w:rPr>
          <w:sz w:val="20"/>
          <w:szCs w:val="20"/>
          <w:color w:val="auto"/>
        </w:rPr>
      </w:pPr>
    </w:p>
    <w:p>
      <w:pPr>
        <w:spacing w:after="0"/>
        <w:rPr>
          <w:sz w:val="20"/>
          <w:szCs w:val="20"/>
          <w:color w:val="auto"/>
        </w:rPr>
      </w:pPr>
      <w:r>
        <w:rPr>
          <w:rFonts w:ascii="Arial" w:cs="Arial" w:eastAsia="Arial" w:hAnsi="Arial"/>
          <w:sz w:val="25"/>
          <w:szCs w:val="25"/>
          <w:b w:val="1"/>
          <w:bCs w:val="1"/>
          <w:color w:val="105EAB"/>
        </w:rPr>
        <w:t>Restricted Stock Units</w:t>
      </w:r>
    </w:p>
    <w:p>
      <w:pPr>
        <w:spacing w:after="0" w:line="259"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Each restricted stock unit transfers one fully vested share of stock in the future if and when the restrictions expire (when the unit “vests”). Under the terms of the restricted stock unit award, the executive has only the rights of a general unsecured creditor of Allstate and no rights as a stockholder until delivery of the underlying shares. The restricted stock units granted to Messrs. Dugenske and Shapiro in 2017 and 2016, respectively, will become 100% vested on the day prior to the third anniversary of the grant date, except in certain change-in-control situations or under other special circumstances approved by the committee. The restricted stock units granted to Messrs. Dugenske and Shapiro include the right to receive previously accrued dividend equivalents payable in cash when the underlying restricted stock units vest.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1120" w:type="dxa"/>
            <w:vAlign w:val="bottom"/>
          </w:tcPr>
          <w:p>
            <w:pPr>
              <w:ind w:left="9640"/>
              <w:spacing w:after="0"/>
              <w:rPr>
                <w:sz w:val="20"/>
                <w:szCs w:val="20"/>
                <w:color w:val="auto"/>
              </w:rPr>
            </w:pPr>
            <w:r>
              <w:rPr>
                <w:rFonts w:ascii="Arial" w:cs="Arial" w:eastAsia="Arial" w:hAnsi="Arial"/>
                <w:sz w:val="13"/>
                <w:szCs w:val="13"/>
                <w:color w:val="105EAB"/>
              </w:rPr>
              <w:t>2019 Proxy Statement</w:t>
            </w:r>
          </w:p>
        </w:tc>
        <w:tc>
          <w:tcPr>
            <w:tcW w:w="320" w:type="dxa"/>
            <w:vAlign w:val="bottom"/>
          </w:tcPr>
          <w:p>
            <w:pPr>
              <w:jc w:val="right"/>
              <w:spacing w:after="0"/>
              <w:rPr>
                <w:sz w:val="20"/>
                <w:szCs w:val="20"/>
                <w:color w:val="auto"/>
              </w:rPr>
            </w:pPr>
            <w:r>
              <w:rPr>
                <w:rFonts w:ascii="Arial" w:cs="Arial" w:eastAsia="Arial" w:hAnsi="Arial"/>
                <w:sz w:val="13"/>
                <w:szCs w:val="13"/>
                <w:b w:val="1"/>
                <w:bCs w:val="1"/>
                <w:color w:val="105EAB"/>
              </w:rPr>
              <w:t>57</w:t>
            </w:r>
          </w:p>
        </w:tc>
      </w:tr>
      <w:tr>
        <w:trPr>
          <w:trHeight w:val="213"/>
        </w:trPr>
        <w:tc>
          <w:tcPr>
            <w:tcW w:w="1112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-13970</wp:posOffset>
            </wp:positionV>
            <wp:extent cx="1270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b w:val="1"/>
          <w:bCs w:val="1"/>
          <w:color w:val="105EAB"/>
        </w:rPr>
        <w:t xml:space="preserve">Executive Compensation | </w:t>
      </w:r>
      <w:r>
        <w:rPr>
          <w:rFonts w:ascii="Arial" w:cs="Arial" w:eastAsia="Arial" w:hAnsi="Arial"/>
          <w:sz w:val="13"/>
          <w:szCs w:val="13"/>
          <w:b w:val="1"/>
          <w:bCs w:val="1"/>
          <w:color w:val="000000"/>
        </w:rPr>
        <w:t>Outstanding Equity Awards at Fiscal Year-end 2018</w:t>
      </w:r>
    </w:p>
    <w:p>
      <w:pPr>
        <w:spacing w:after="0" w:line="200" w:lineRule="exact"/>
        <w:rPr>
          <w:sz w:val="20"/>
          <w:szCs w:val="20"/>
          <w:color w:val="auto"/>
        </w:rPr>
      </w:pPr>
    </w:p>
    <w:p>
      <w:pPr>
        <w:spacing w:after="0"/>
        <w:rPr>
          <w:sz w:val="20"/>
          <w:szCs w:val="20"/>
          <w:color w:val="auto"/>
        </w:rPr>
      </w:pPr>
      <w:r>
        <w:rPr>
          <w:rFonts w:ascii="Arial" w:cs="Arial" w:eastAsia="Arial" w:hAnsi="Arial"/>
          <w:sz w:val="31"/>
          <w:szCs w:val="31"/>
          <w:b w:val="1"/>
          <w:bCs w:val="1"/>
          <w:color w:val="959595"/>
        </w:rPr>
        <w:t>Outstanding Equity Awards at Fiscal Year-end 2018</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outstanding equity awards of the named executives as of December 31, 2018.</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2660" w:type="dxa"/>
            <w:vAlign w:val="bottom"/>
            <w:tcBorders>
              <w:bottom w:val="single" w:sz="8" w:color="105FAB"/>
            </w:tcBorders>
          </w:tcPr>
          <w:p>
            <w:pPr>
              <w:spacing w:after="0"/>
              <w:rPr>
                <w:sz w:val="24"/>
                <w:szCs w:val="24"/>
                <w:color w:val="auto"/>
              </w:rPr>
            </w:pPr>
          </w:p>
        </w:tc>
        <w:tc>
          <w:tcPr>
            <w:tcW w:w="80" w:type="dxa"/>
            <w:vAlign w:val="bottom"/>
            <w:tcBorders>
              <w:bottom w:val="single" w:sz="8" w:color="105FAB"/>
            </w:tcBorders>
          </w:tcPr>
          <w:p>
            <w:pPr>
              <w:spacing w:after="0"/>
              <w:rPr>
                <w:sz w:val="24"/>
                <w:szCs w:val="24"/>
                <w:color w:val="auto"/>
              </w:rPr>
            </w:pPr>
          </w:p>
        </w:tc>
        <w:tc>
          <w:tcPr>
            <w:tcW w:w="830" w:type="dxa"/>
            <w:vAlign w:val="bottom"/>
            <w:tcBorders>
              <w:bottom w:val="single" w:sz="8" w:color="105FAB"/>
            </w:tcBorders>
            <w:shd w:val="clear" w:color="auto" w:fill="EFF8FA"/>
          </w:tcPr>
          <w:p>
            <w:pPr>
              <w:spacing w:after="0"/>
              <w:rPr>
                <w:sz w:val="24"/>
                <w:szCs w:val="24"/>
                <w:color w:val="auto"/>
              </w:rPr>
            </w:pPr>
          </w:p>
        </w:tc>
        <w:tc>
          <w:tcPr>
            <w:tcW w:w="2230" w:type="dxa"/>
            <w:vAlign w:val="bottom"/>
            <w:tcBorders>
              <w:bottom w:val="single" w:sz="8" w:color="105FAB"/>
            </w:tcBorders>
            <w:gridSpan w:val="2"/>
            <w:shd w:val="clear" w:color="auto" w:fill="EFF8FA"/>
          </w:tcPr>
          <w:p>
            <w:pPr>
              <w:jc w:val="right"/>
              <w:ind w:right="193"/>
              <w:spacing w:after="0"/>
              <w:rPr>
                <w:sz w:val="20"/>
                <w:szCs w:val="20"/>
                <w:color w:val="auto"/>
              </w:rPr>
            </w:pPr>
            <w:r>
              <w:rPr>
                <w:rFonts w:ascii="Arial" w:cs="Arial" w:eastAsia="Arial" w:hAnsi="Arial"/>
                <w:sz w:val="13"/>
                <w:szCs w:val="13"/>
                <w:b w:val="1"/>
                <w:bCs w:val="1"/>
                <w:color w:val="105EAB"/>
              </w:rPr>
              <w:t>Option Awards</w:t>
            </w:r>
            <w:r>
              <w:rPr>
                <w:rFonts w:ascii="Arial" w:cs="Arial" w:eastAsia="Arial" w:hAnsi="Arial"/>
                <w:sz w:val="22"/>
                <w:szCs w:val="22"/>
                <w:b w:val="1"/>
                <w:bCs w:val="1"/>
                <w:color w:val="105EAB"/>
                <w:vertAlign w:val="superscript"/>
              </w:rPr>
              <w:t>(1)</w:t>
            </w:r>
          </w:p>
        </w:tc>
        <w:tc>
          <w:tcPr>
            <w:tcW w:w="560" w:type="dxa"/>
            <w:vAlign w:val="bottom"/>
            <w:tcBorders>
              <w:bottom w:val="single" w:sz="8" w:color="105FAB"/>
            </w:tcBorders>
            <w:shd w:val="clear" w:color="auto" w:fill="EFF8FA"/>
          </w:tcPr>
          <w:p>
            <w:pPr>
              <w:spacing w:after="0"/>
              <w:rPr>
                <w:sz w:val="24"/>
                <w:szCs w:val="24"/>
                <w:color w:val="auto"/>
              </w:rPr>
            </w:pPr>
          </w:p>
        </w:tc>
        <w:tc>
          <w:tcPr>
            <w:tcW w:w="100" w:type="dxa"/>
            <w:vAlign w:val="bottom"/>
            <w:tcBorders>
              <w:bottom w:val="single" w:sz="8" w:color="105FAB"/>
            </w:tcBorders>
            <w:shd w:val="clear" w:color="auto" w:fill="EFF8FA"/>
          </w:tcPr>
          <w:p>
            <w:pPr>
              <w:spacing w:after="0"/>
              <w:rPr>
                <w:sz w:val="24"/>
                <w:szCs w:val="24"/>
                <w:color w:val="auto"/>
              </w:rPr>
            </w:pPr>
          </w:p>
        </w:tc>
        <w:tc>
          <w:tcPr>
            <w:tcW w:w="780" w:type="dxa"/>
            <w:vAlign w:val="bottom"/>
            <w:tcBorders>
              <w:bottom w:val="single" w:sz="8" w:color="105FAB"/>
            </w:tcBorders>
            <w:shd w:val="clear" w:color="auto" w:fill="EFF8FA"/>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Borders>
              <w:bottom w:val="single" w:sz="8" w:color="105FAB"/>
            </w:tcBorders>
          </w:tcPr>
          <w:p>
            <w:pPr>
              <w:spacing w:after="0"/>
              <w:rPr>
                <w:sz w:val="24"/>
                <w:szCs w:val="24"/>
                <w:color w:val="auto"/>
              </w:rPr>
            </w:pPr>
          </w:p>
        </w:tc>
        <w:tc>
          <w:tcPr>
            <w:tcW w:w="2420" w:type="dxa"/>
            <w:vAlign w:val="bottom"/>
            <w:tcBorders>
              <w:bottom w:val="single" w:sz="8" w:color="105FAB"/>
            </w:tcBorders>
            <w:gridSpan w:val="3"/>
          </w:tcPr>
          <w:p>
            <w:pPr>
              <w:jc w:val="right"/>
              <w:ind w:right="673"/>
              <w:spacing w:after="0"/>
              <w:rPr>
                <w:sz w:val="20"/>
                <w:szCs w:val="20"/>
                <w:color w:val="auto"/>
              </w:rPr>
            </w:pPr>
            <w:r>
              <w:rPr>
                <w:rFonts w:ascii="Arial" w:cs="Arial" w:eastAsia="Arial" w:hAnsi="Arial"/>
                <w:sz w:val="13"/>
                <w:szCs w:val="13"/>
                <w:b w:val="1"/>
                <w:bCs w:val="1"/>
                <w:color w:val="105EAB"/>
              </w:rPr>
              <w:t>Stock Awards</w:t>
            </w:r>
            <w:r>
              <w:rPr>
                <w:rFonts w:ascii="Arial" w:cs="Arial" w:eastAsia="Arial" w:hAnsi="Arial"/>
                <w:sz w:val="22"/>
                <w:szCs w:val="22"/>
                <w:b w:val="1"/>
                <w:bCs w:val="1"/>
                <w:color w:val="105EAB"/>
                <w:vertAlign w:val="superscript"/>
              </w:rPr>
              <w:t>(2)</w:t>
            </w:r>
          </w:p>
        </w:tc>
        <w:tc>
          <w:tcPr>
            <w:tcW w:w="800" w:type="dxa"/>
            <w:vAlign w:val="bottom"/>
            <w:tcBorders>
              <w:bottom w:val="single" w:sz="8" w:color="105FAB"/>
            </w:tcBorders>
          </w:tcPr>
          <w:p>
            <w:pPr>
              <w:spacing w:after="0"/>
              <w:rPr>
                <w:sz w:val="24"/>
                <w:szCs w:val="24"/>
                <w:color w:val="auto"/>
              </w:rPr>
            </w:pPr>
          </w:p>
        </w:tc>
      </w:tr>
      <w:tr>
        <w:trPr>
          <w:trHeight w:val="159"/>
        </w:trPr>
        <w:tc>
          <w:tcPr>
            <w:tcW w:w="2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30" w:type="dxa"/>
            <w:vAlign w:val="bottom"/>
            <w:shd w:val="clear" w:color="auto" w:fill="EFF8FA"/>
          </w:tcPr>
          <w:p>
            <w:pPr>
              <w:spacing w:after="0"/>
              <w:rPr>
                <w:sz w:val="13"/>
                <w:szCs w:val="13"/>
                <w:color w:val="auto"/>
              </w:rPr>
            </w:pPr>
          </w:p>
        </w:tc>
        <w:tc>
          <w:tcPr>
            <w:tcW w:w="1050" w:type="dxa"/>
            <w:vAlign w:val="bottom"/>
            <w:shd w:val="clear" w:color="auto" w:fill="EFF8FA"/>
          </w:tcPr>
          <w:p>
            <w:pPr>
              <w:spacing w:after="0"/>
              <w:rPr>
                <w:sz w:val="13"/>
                <w:szCs w:val="13"/>
                <w:color w:val="auto"/>
              </w:rPr>
            </w:pPr>
          </w:p>
        </w:tc>
        <w:tc>
          <w:tcPr>
            <w:tcW w:w="1180" w:type="dxa"/>
            <w:vAlign w:val="bottom"/>
            <w:shd w:val="clear" w:color="auto" w:fill="EFF8FA"/>
          </w:tcPr>
          <w:p>
            <w:pPr>
              <w:spacing w:after="0"/>
              <w:rPr>
                <w:sz w:val="13"/>
                <w:szCs w:val="13"/>
                <w:color w:val="auto"/>
              </w:rPr>
            </w:pPr>
          </w:p>
        </w:tc>
        <w:tc>
          <w:tcPr>
            <w:tcW w:w="560" w:type="dxa"/>
            <w:vAlign w:val="bottom"/>
            <w:shd w:val="clear" w:color="auto" w:fill="EFF8FA"/>
          </w:tcPr>
          <w:p>
            <w:pPr>
              <w:spacing w:after="0"/>
              <w:rPr>
                <w:sz w:val="13"/>
                <w:szCs w:val="13"/>
                <w:color w:val="auto"/>
              </w:rPr>
            </w:pPr>
          </w:p>
        </w:tc>
        <w:tc>
          <w:tcPr>
            <w:tcW w:w="100" w:type="dxa"/>
            <w:vAlign w:val="bottom"/>
            <w:shd w:val="clear" w:color="auto" w:fill="EFF8FA"/>
          </w:tcPr>
          <w:p>
            <w:pPr>
              <w:spacing w:after="0"/>
              <w:rPr>
                <w:sz w:val="13"/>
                <w:szCs w:val="13"/>
                <w:color w:val="auto"/>
              </w:rPr>
            </w:pPr>
          </w:p>
        </w:tc>
        <w:tc>
          <w:tcPr>
            <w:tcW w:w="780" w:type="dxa"/>
            <w:vAlign w:val="bottom"/>
            <w:shd w:val="clear" w:color="auto" w:fill="EFF8FA"/>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b w:val="1"/>
                <w:bCs w:val="1"/>
                <w:color w:val="105EAB"/>
              </w:rPr>
              <w:t>Equity</w:t>
            </w:r>
          </w:p>
        </w:tc>
      </w:tr>
      <w:tr>
        <w:trPr>
          <w:trHeight w:val="148"/>
        </w:trPr>
        <w:tc>
          <w:tcPr>
            <w:tcW w:w="2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30" w:type="dxa"/>
            <w:vAlign w:val="bottom"/>
            <w:shd w:val="clear" w:color="auto" w:fill="EFF8FA"/>
          </w:tcPr>
          <w:p>
            <w:pPr>
              <w:spacing w:after="0"/>
              <w:rPr>
                <w:sz w:val="12"/>
                <w:szCs w:val="12"/>
                <w:color w:val="auto"/>
              </w:rPr>
            </w:pPr>
          </w:p>
        </w:tc>
        <w:tc>
          <w:tcPr>
            <w:tcW w:w="1050" w:type="dxa"/>
            <w:vAlign w:val="bottom"/>
            <w:shd w:val="clear" w:color="auto" w:fill="EFF8FA"/>
          </w:tcPr>
          <w:p>
            <w:pPr>
              <w:spacing w:after="0"/>
              <w:rPr>
                <w:sz w:val="12"/>
                <w:szCs w:val="12"/>
                <w:color w:val="auto"/>
              </w:rPr>
            </w:pPr>
          </w:p>
        </w:tc>
        <w:tc>
          <w:tcPr>
            <w:tcW w:w="1180" w:type="dxa"/>
            <w:vAlign w:val="bottom"/>
            <w:shd w:val="clear" w:color="auto" w:fill="EFF8FA"/>
          </w:tcPr>
          <w:p>
            <w:pPr>
              <w:spacing w:after="0"/>
              <w:rPr>
                <w:sz w:val="12"/>
                <w:szCs w:val="12"/>
                <w:color w:val="auto"/>
              </w:rPr>
            </w:pPr>
          </w:p>
        </w:tc>
        <w:tc>
          <w:tcPr>
            <w:tcW w:w="560" w:type="dxa"/>
            <w:vAlign w:val="bottom"/>
            <w:shd w:val="clear" w:color="auto" w:fill="EFF8FA"/>
          </w:tcPr>
          <w:p>
            <w:pPr>
              <w:spacing w:after="0"/>
              <w:rPr>
                <w:sz w:val="12"/>
                <w:szCs w:val="12"/>
                <w:color w:val="auto"/>
              </w:rPr>
            </w:pPr>
          </w:p>
        </w:tc>
        <w:tc>
          <w:tcPr>
            <w:tcW w:w="100" w:type="dxa"/>
            <w:vAlign w:val="bottom"/>
            <w:shd w:val="clear" w:color="auto" w:fill="EFF8FA"/>
          </w:tcPr>
          <w:p>
            <w:pPr>
              <w:spacing w:after="0"/>
              <w:rPr>
                <w:sz w:val="12"/>
                <w:szCs w:val="12"/>
                <w:color w:val="auto"/>
              </w:rPr>
            </w:pPr>
          </w:p>
        </w:tc>
        <w:tc>
          <w:tcPr>
            <w:tcW w:w="780" w:type="dxa"/>
            <w:vAlign w:val="bottom"/>
            <w:shd w:val="clear" w:color="auto" w:fill="EFF8FA"/>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3"/>
                <w:szCs w:val="13"/>
                <w:b w:val="1"/>
                <w:bCs w:val="1"/>
                <w:color w:val="105EAB"/>
              </w:rPr>
              <w:t>Incentive</w:t>
            </w:r>
          </w:p>
        </w:tc>
      </w:tr>
      <w:tr>
        <w:trPr>
          <w:trHeight w:val="148"/>
        </w:trPr>
        <w:tc>
          <w:tcPr>
            <w:tcW w:w="2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30" w:type="dxa"/>
            <w:vAlign w:val="bottom"/>
            <w:shd w:val="clear" w:color="auto" w:fill="EFF8FA"/>
          </w:tcPr>
          <w:p>
            <w:pPr>
              <w:spacing w:after="0"/>
              <w:rPr>
                <w:sz w:val="12"/>
                <w:szCs w:val="12"/>
                <w:color w:val="auto"/>
              </w:rPr>
            </w:pPr>
          </w:p>
        </w:tc>
        <w:tc>
          <w:tcPr>
            <w:tcW w:w="1050" w:type="dxa"/>
            <w:vAlign w:val="bottom"/>
            <w:shd w:val="clear" w:color="auto" w:fill="EFF8FA"/>
          </w:tcPr>
          <w:p>
            <w:pPr>
              <w:spacing w:after="0"/>
              <w:rPr>
                <w:sz w:val="12"/>
                <w:szCs w:val="12"/>
                <w:color w:val="auto"/>
              </w:rPr>
            </w:pPr>
          </w:p>
        </w:tc>
        <w:tc>
          <w:tcPr>
            <w:tcW w:w="1180" w:type="dxa"/>
            <w:vAlign w:val="bottom"/>
            <w:shd w:val="clear" w:color="auto" w:fill="EFF8FA"/>
          </w:tcPr>
          <w:p>
            <w:pPr>
              <w:spacing w:after="0"/>
              <w:rPr>
                <w:sz w:val="12"/>
                <w:szCs w:val="12"/>
                <w:color w:val="auto"/>
              </w:rPr>
            </w:pPr>
          </w:p>
        </w:tc>
        <w:tc>
          <w:tcPr>
            <w:tcW w:w="560" w:type="dxa"/>
            <w:vAlign w:val="bottom"/>
            <w:shd w:val="clear" w:color="auto" w:fill="EFF8FA"/>
          </w:tcPr>
          <w:p>
            <w:pPr>
              <w:spacing w:after="0"/>
              <w:rPr>
                <w:sz w:val="12"/>
                <w:szCs w:val="12"/>
                <w:color w:val="auto"/>
              </w:rPr>
            </w:pPr>
          </w:p>
        </w:tc>
        <w:tc>
          <w:tcPr>
            <w:tcW w:w="100" w:type="dxa"/>
            <w:vAlign w:val="bottom"/>
            <w:shd w:val="clear" w:color="auto" w:fill="EFF8FA"/>
          </w:tcPr>
          <w:p>
            <w:pPr>
              <w:spacing w:after="0"/>
              <w:rPr>
                <w:sz w:val="12"/>
                <w:szCs w:val="12"/>
                <w:color w:val="auto"/>
              </w:rPr>
            </w:pPr>
          </w:p>
        </w:tc>
        <w:tc>
          <w:tcPr>
            <w:tcW w:w="780" w:type="dxa"/>
            <w:vAlign w:val="bottom"/>
            <w:shd w:val="clear" w:color="auto" w:fill="EFF8FA"/>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3"/>
                <w:szCs w:val="13"/>
                <w:b w:val="1"/>
                <w:bCs w:val="1"/>
                <w:color w:val="105EAB"/>
              </w:rPr>
              <w:t>Equity</w:t>
            </w:r>
          </w:p>
        </w:tc>
        <w:tc>
          <w:tcPr>
            <w:tcW w:w="800" w:type="dxa"/>
            <w:vAlign w:val="bottom"/>
          </w:tcPr>
          <w:p>
            <w:pPr>
              <w:jc w:val="right"/>
              <w:spacing w:after="0" w:line="149" w:lineRule="exact"/>
              <w:rPr>
                <w:sz w:val="20"/>
                <w:szCs w:val="20"/>
                <w:color w:val="auto"/>
              </w:rPr>
            </w:pPr>
            <w:r>
              <w:rPr>
                <w:rFonts w:ascii="Arial" w:cs="Arial" w:eastAsia="Arial" w:hAnsi="Arial"/>
                <w:sz w:val="13"/>
                <w:szCs w:val="13"/>
                <w:b w:val="1"/>
                <w:bCs w:val="1"/>
                <w:color w:val="105EAB"/>
              </w:rPr>
              <w:t>Plan</w:t>
            </w:r>
          </w:p>
        </w:tc>
      </w:tr>
      <w:tr>
        <w:trPr>
          <w:trHeight w:val="148"/>
        </w:trPr>
        <w:tc>
          <w:tcPr>
            <w:tcW w:w="2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30" w:type="dxa"/>
            <w:vAlign w:val="bottom"/>
            <w:shd w:val="clear" w:color="auto" w:fill="EFF8FA"/>
          </w:tcPr>
          <w:p>
            <w:pPr>
              <w:spacing w:after="0"/>
              <w:rPr>
                <w:sz w:val="12"/>
                <w:szCs w:val="12"/>
                <w:color w:val="auto"/>
              </w:rPr>
            </w:pPr>
          </w:p>
        </w:tc>
        <w:tc>
          <w:tcPr>
            <w:tcW w:w="1050" w:type="dxa"/>
            <w:vAlign w:val="bottom"/>
            <w:shd w:val="clear" w:color="auto" w:fill="EFF8FA"/>
          </w:tcPr>
          <w:p>
            <w:pPr>
              <w:spacing w:after="0"/>
              <w:rPr>
                <w:sz w:val="12"/>
                <w:szCs w:val="12"/>
                <w:color w:val="auto"/>
              </w:rPr>
            </w:pPr>
          </w:p>
        </w:tc>
        <w:tc>
          <w:tcPr>
            <w:tcW w:w="1180" w:type="dxa"/>
            <w:vAlign w:val="bottom"/>
            <w:shd w:val="clear" w:color="auto" w:fill="EFF8FA"/>
          </w:tcPr>
          <w:p>
            <w:pPr>
              <w:spacing w:after="0"/>
              <w:rPr>
                <w:sz w:val="12"/>
                <w:szCs w:val="12"/>
                <w:color w:val="auto"/>
              </w:rPr>
            </w:pPr>
          </w:p>
        </w:tc>
        <w:tc>
          <w:tcPr>
            <w:tcW w:w="560" w:type="dxa"/>
            <w:vAlign w:val="bottom"/>
            <w:shd w:val="clear" w:color="auto" w:fill="EFF8FA"/>
          </w:tcPr>
          <w:p>
            <w:pPr>
              <w:spacing w:after="0"/>
              <w:rPr>
                <w:sz w:val="12"/>
                <w:szCs w:val="12"/>
                <w:color w:val="auto"/>
              </w:rPr>
            </w:pPr>
          </w:p>
        </w:tc>
        <w:tc>
          <w:tcPr>
            <w:tcW w:w="100" w:type="dxa"/>
            <w:vAlign w:val="bottom"/>
            <w:shd w:val="clear" w:color="auto" w:fill="EFF8FA"/>
          </w:tcPr>
          <w:p>
            <w:pPr>
              <w:spacing w:after="0"/>
              <w:rPr>
                <w:sz w:val="12"/>
                <w:szCs w:val="12"/>
                <w:color w:val="auto"/>
              </w:rPr>
            </w:pPr>
          </w:p>
        </w:tc>
        <w:tc>
          <w:tcPr>
            <w:tcW w:w="780" w:type="dxa"/>
            <w:vAlign w:val="bottom"/>
            <w:shd w:val="clear" w:color="auto" w:fill="EFF8FA"/>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3"/>
                <w:szCs w:val="13"/>
                <w:b w:val="1"/>
                <w:bCs w:val="1"/>
                <w:color w:val="105EAB"/>
              </w:rPr>
              <w:t>Incentive</w:t>
            </w:r>
          </w:p>
        </w:tc>
        <w:tc>
          <w:tcPr>
            <w:tcW w:w="800" w:type="dxa"/>
            <w:vAlign w:val="bottom"/>
          </w:tcPr>
          <w:p>
            <w:pPr>
              <w:jc w:val="right"/>
              <w:spacing w:after="0" w:line="149" w:lineRule="exact"/>
              <w:rPr>
                <w:sz w:val="20"/>
                <w:szCs w:val="20"/>
                <w:color w:val="auto"/>
              </w:rPr>
            </w:pPr>
            <w:r>
              <w:rPr>
                <w:rFonts w:ascii="Arial" w:cs="Arial" w:eastAsia="Arial" w:hAnsi="Arial"/>
                <w:sz w:val="13"/>
                <w:szCs w:val="13"/>
                <w:b w:val="1"/>
                <w:bCs w:val="1"/>
                <w:color w:val="105EAB"/>
              </w:rPr>
              <w:t>Awards:</w:t>
            </w:r>
          </w:p>
        </w:tc>
      </w:tr>
      <w:tr>
        <w:trPr>
          <w:trHeight w:val="148"/>
        </w:trPr>
        <w:tc>
          <w:tcPr>
            <w:tcW w:w="2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30" w:type="dxa"/>
            <w:vAlign w:val="bottom"/>
            <w:shd w:val="clear" w:color="auto" w:fill="EFF8FA"/>
          </w:tcPr>
          <w:p>
            <w:pPr>
              <w:spacing w:after="0"/>
              <w:rPr>
                <w:sz w:val="12"/>
                <w:szCs w:val="12"/>
                <w:color w:val="auto"/>
              </w:rPr>
            </w:pPr>
          </w:p>
        </w:tc>
        <w:tc>
          <w:tcPr>
            <w:tcW w:w="1050" w:type="dxa"/>
            <w:vAlign w:val="bottom"/>
            <w:shd w:val="clear" w:color="auto" w:fill="EFF8FA"/>
          </w:tcPr>
          <w:p>
            <w:pPr>
              <w:spacing w:after="0"/>
              <w:rPr>
                <w:sz w:val="12"/>
                <w:szCs w:val="12"/>
                <w:color w:val="auto"/>
              </w:rPr>
            </w:pPr>
          </w:p>
        </w:tc>
        <w:tc>
          <w:tcPr>
            <w:tcW w:w="1180" w:type="dxa"/>
            <w:vAlign w:val="bottom"/>
            <w:shd w:val="clear" w:color="auto" w:fill="EFF8FA"/>
          </w:tcPr>
          <w:p>
            <w:pPr>
              <w:spacing w:after="0"/>
              <w:rPr>
                <w:sz w:val="12"/>
                <w:szCs w:val="12"/>
                <w:color w:val="auto"/>
              </w:rPr>
            </w:pPr>
          </w:p>
        </w:tc>
        <w:tc>
          <w:tcPr>
            <w:tcW w:w="560" w:type="dxa"/>
            <w:vAlign w:val="bottom"/>
            <w:shd w:val="clear" w:color="auto" w:fill="EFF8FA"/>
          </w:tcPr>
          <w:p>
            <w:pPr>
              <w:spacing w:after="0"/>
              <w:rPr>
                <w:sz w:val="12"/>
                <w:szCs w:val="12"/>
                <w:color w:val="auto"/>
              </w:rPr>
            </w:pPr>
          </w:p>
        </w:tc>
        <w:tc>
          <w:tcPr>
            <w:tcW w:w="100" w:type="dxa"/>
            <w:vAlign w:val="bottom"/>
            <w:shd w:val="clear" w:color="auto" w:fill="EFF8FA"/>
          </w:tcPr>
          <w:p>
            <w:pPr>
              <w:spacing w:after="0"/>
              <w:rPr>
                <w:sz w:val="12"/>
                <w:szCs w:val="12"/>
                <w:color w:val="auto"/>
              </w:rPr>
            </w:pPr>
          </w:p>
        </w:tc>
        <w:tc>
          <w:tcPr>
            <w:tcW w:w="780" w:type="dxa"/>
            <w:vAlign w:val="bottom"/>
            <w:shd w:val="clear" w:color="auto" w:fill="EFF8FA"/>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3"/>
                <w:szCs w:val="13"/>
                <w:b w:val="1"/>
                <w:bCs w:val="1"/>
                <w:color w:val="105EAB"/>
              </w:rPr>
              <w:t>Plan</w:t>
            </w:r>
          </w:p>
        </w:tc>
        <w:tc>
          <w:tcPr>
            <w:tcW w:w="800" w:type="dxa"/>
            <w:vAlign w:val="bottom"/>
          </w:tcPr>
          <w:p>
            <w:pPr>
              <w:jc w:val="right"/>
              <w:spacing w:after="0" w:line="149" w:lineRule="exact"/>
              <w:rPr>
                <w:sz w:val="20"/>
                <w:szCs w:val="20"/>
                <w:color w:val="auto"/>
              </w:rPr>
            </w:pPr>
            <w:r>
              <w:rPr>
                <w:rFonts w:ascii="Arial" w:cs="Arial" w:eastAsia="Arial" w:hAnsi="Arial"/>
                <w:sz w:val="13"/>
                <w:szCs w:val="13"/>
                <w:b w:val="1"/>
                <w:bCs w:val="1"/>
                <w:color w:val="105EAB"/>
              </w:rPr>
              <w:t>Market or</w:t>
            </w:r>
          </w:p>
        </w:tc>
      </w:tr>
      <w:tr>
        <w:trPr>
          <w:trHeight w:val="148"/>
        </w:trPr>
        <w:tc>
          <w:tcPr>
            <w:tcW w:w="2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30" w:type="dxa"/>
            <w:vAlign w:val="bottom"/>
            <w:shd w:val="clear" w:color="auto" w:fill="EFF8FA"/>
          </w:tcPr>
          <w:p>
            <w:pPr>
              <w:spacing w:after="0"/>
              <w:rPr>
                <w:sz w:val="12"/>
                <w:szCs w:val="12"/>
                <w:color w:val="auto"/>
              </w:rPr>
            </w:pPr>
          </w:p>
        </w:tc>
        <w:tc>
          <w:tcPr>
            <w:tcW w:w="1050" w:type="dxa"/>
            <w:vAlign w:val="bottom"/>
            <w:shd w:val="clear" w:color="auto" w:fill="EFF8FA"/>
          </w:tcPr>
          <w:p>
            <w:pPr>
              <w:spacing w:after="0"/>
              <w:rPr>
                <w:sz w:val="12"/>
                <w:szCs w:val="12"/>
                <w:color w:val="auto"/>
              </w:rPr>
            </w:pPr>
          </w:p>
        </w:tc>
        <w:tc>
          <w:tcPr>
            <w:tcW w:w="1180" w:type="dxa"/>
            <w:vAlign w:val="bottom"/>
            <w:shd w:val="clear" w:color="auto" w:fill="EFF8FA"/>
          </w:tcPr>
          <w:p>
            <w:pPr>
              <w:spacing w:after="0"/>
              <w:rPr>
                <w:sz w:val="12"/>
                <w:szCs w:val="12"/>
                <w:color w:val="auto"/>
              </w:rPr>
            </w:pPr>
          </w:p>
        </w:tc>
        <w:tc>
          <w:tcPr>
            <w:tcW w:w="560" w:type="dxa"/>
            <w:vAlign w:val="bottom"/>
            <w:shd w:val="clear" w:color="auto" w:fill="EFF8FA"/>
          </w:tcPr>
          <w:p>
            <w:pPr>
              <w:spacing w:after="0"/>
              <w:rPr>
                <w:sz w:val="12"/>
                <w:szCs w:val="12"/>
                <w:color w:val="auto"/>
              </w:rPr>
            </w:pPr>
          </w:p>
        </w:tc>
        <w:tc>
          <w:tcPr>
            <w:tcW w:w="100" w:type="dxa"/>
            <w:vAlign w:val="bottom"/>
            <w:shd w:val="clear" w:color="auto" w:fill="EFF8FA"/>
          </w:tcPr>
          <w:p>
            <w:pPr>
              <w:spacing w:after="0"/>
              <w:rPr>
                <w:sz w:val="12"/>
                <w:szCs w:val="12"/>
                <w:color w:val="auto"/>
              </w:rPr>
            </w:pPr>
          </w:p>
        </w:tc>
        <w:tc>
          <w:tcPr>
            <w:tcW w:w="780" w:type="dxa"/>
            <w:vAlign w:val="bottom"/>
            <w:shd w:val="clear" w:color="auto" w:fill="EFF8FA"/>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3"/>
                <w:szCs w:val="13"/>
                <w:b w:val="1"/>
                <w:bCs w:val="1"/>
                <w:color w:val="105EAB"/>
              </w:rPr>
              <w:t>Awards:</w:t>
            </w:r>
          </w:p>
        </w:tc>
        <w:tc>
          <w:tcPr>
            <w:tcW w:w="800" w:type="dxa"/>
            <w:vAlign w:val="bottom"/>
          </w:tcPr>
          <w:p>
            <w:pPr>
              <w:jc w:val="right"/>
              <w:spacing w:after="0" w:line="149" w:lineRule="exact"/>
              <w:rPr>
                <w:sz w:val="20"/>
                <w:szCs w:val="20"/>
                <w:color w:val="auto"/>
              </w:rPr>
            </w:pPr>
            <w:r>
              <w:rPr>
                <w:rFonts w:ascii="Arial" w:cs="Arial" w:eastAsia="Arial" w:hAnsi="Arial"/>
                <w:sz w:val="13"/>
                <w:szCs w:val="13"/>
                <w:b w:val="1"/>
                <w:bCs w:val="1"/>
                <w:color w:val="105EAB"/>
              </w:rPr>
              <w:t>Payout</w:t>
            </w:r>
          </w:p>
        </w:tc>
      </w:tr>
      <w:tr>
        <w:trPr>
          <w:trHeight w:val="148"/>
        </w:trPr>
        <w:tc>
          <w:tcPr>
            <w:tcW w:w="2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30" w:type="dxa"/>
            <w:vAlign w:val="bottom"/>
            <w:shd w:val="clear" w:color="auto" w:fill="EFF8FA"/>
          </w:tcPr>
          <w:p>
            <w:pPr>
              <w:spacing w:after="0"/>
              <w:rPr>
                <w:sz w:val="12"/>
                <w:szCs w:val="12"/>
                <w:color w:val="auto"/>
              </w:rPr>
            </w:pPr>
          </w:p>
        </w:tc>
        <w:tc>
          <w:tcPr>
            <w:tcW w:w="1050" w:type="dxa"/>
            <w:vAlign w:val="bottom"/>
            <w:shd w:val="clear" w:color="auto" w:fill="EFF8FA"/>
          </w:tcPr>
          <w:p>
            <w:pPr>
              <w:spacing w:after="0"/>
              <w:rPr>
                <w:sz w:val="12"/>
                <w:szCs w:val="12"/>
                <w:color w:val="auto"/>
              </w:rPr>
            </w:pPr>
          </w:p>
        </w:tc>
        <w:tc>
          <w:tcPr>
            <w:tcW w:w="1180" w:type="dxa"/>
            <w:vAlign w:val="bottom"/>
            <w:shd w:val="clear" w:color="auto" w:fill="EFF8FA"/>
          </w:tcPr>
          <w:p>
            <w:pPr>
              <w:spacing w:after="0"/>
              <w:rPr>
                <w:sz w:val="12"/>
                <w:szCs w:val="12"/>
                <w:color w:val="auto"/>
              </w:rPr>
            </w:pPr>
          </w:p>
        </w:tc>
        <w:tc>
          <w:tcPr>
            <w:tcW w:w="560" w:type="dxa"/>
            <w:vAlign w:val="bottom"/>
            <w:shd w:val="clear" w:color="auto" w:fill="EFF8FA"/>
          </w:tcPr>
          <w:p>
            <w:pPr>
              <w:spacing w:after="0"/>
              <w:rPr>
                <w:sz w:val="12"/>
                <w:szCs w:val="12"/>
                <w:color w:val="auto"/>
              </w:rPr>
            </w:pPr>
          </w:p>
        </w:tc>
        <w:tc>
          <w:tcPr>
            <w:tcW w:w="100" w:type="dxa"/>
            <w:vAlign w:val="bottom"/>
            <w:shd w:val="clear" w:color="auto" w:fill="EFF8FA"/>
          </w:tcPr>
          <w:p>
            <w:pPr>
              <w:spacing w:after="0"/>
              <w:rPr>
                <w:sz w:val="12"/>
                <w:szCs w:val="12"/>
                <w:color w:val="auto"/>
              </w:rPr>
            </w:pPr>
          </w:p>
        </w:tc>
        <w:tc>
          <w:tcPr>
            <w:tcW w:w="780" w:type="dxa"/>
            <w:vAlign w:val="bottom"/>
            <w:shd w:val="clear" w:color="auto" w:fill="EFF8FA"/>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3"/>
                <w:szCs w:val="13"/>
                <w:b w:val="1"/>
                <w:bCs w:val="1"/>
                <w:color w:val="105EAB"/>
              </w:rPr>
              <w:t>Number of</w:t>
            </w:r>
          </w:p>
        </w:tc>
        <w:tc>
          <w:tcPr>
            <w:tcW w:w="800" w:type="dxa"/>
            <w:vAlign w:val="bottom"/>
          </w:tcPr>
          <w:p>
            <w:pPr>
              <w:jc w:val="right"/>
              <w:spacing w:after="0" w:line="149" w:lineRule="exact"/>
              <w:rPr>
                <w:sz w:val="20"/>
                <w:szCs w:val="20"/>
                <w:color w:val="auto"/>
              </w:rPr>
            </w:pPr>
            <w:r>
              <w:rPr>
                <w:rFonts w:ascii="Arial" w:cs="Arial" w:eastAsia="Arial" w:hAnsi="Arial"/>
                <w:sz w:val="13"/>
                <w:szCs w:val="13"/>
                <w:b w:val="1"/>
                <w:bCs w:val="1"/>
                <w:color w:val="105EAB"/>
              </w:rPr>
              <w:t>Value of</w:t>
            </w:r>
          </w:p>
        </w:tc>
      </w:tr>
      <w:tr>
        <w:trPr>
          <w:trHeight w:val="148"/>
        </w:trPr>
        <w:tc>
          <w:tcPr>
            <w:tcW w:w="2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30" w:type="dxa"/>
            <w:vAlign w:val="bottom"/>
            <w:shd w:val="clear" w:color="auto" w:fill="EFF8FA"/>
          </w:tcPr>
          <w:p>
            <w:pPr>
              <w:spacing w:after="0"/>
              <w:rPr>
                <w:sz w:val="12"/>
                <w:szCs w:val="12"/>
                <w:color w:val="auto"/>
              </w:rPr>
            </w:pPr>
          </w:p>
        </w:tc>
        <w:tc>
          <w:tcPr>
            <w:tcW w:w="1050" w:type="dxa"/>
            <w:vAlign w:val="bottom"/>
            <w:shd w:val="clear" w:color="auto" w:fill="EFF8FA"/>
          </w:tcPr>
          <w:p>
            <w:pPr>
              <w:spacing w:after="0"/>
              <w:rPr>
                <w:sz w:val="12"/>
                <w:szCs w:val="12"/>
                <w:color w:val="auto"/>
              </w:rPr>
            </w:pPr>
          </w:p>
        </w:tc>
        <w:tc>
          <w:tcPr>
            <w:tcW w:w="1180" w:type="dxa"/>
            <w:vAlign w:val="bottom"/>
            <w:shd w:val="clear" w:color="auto" w:fill="EFF8FA"/>
          </w:tcPr>
          <w:p>
            <w:pPr>
              <w:spacing w:after="0"/>
              <w:rPr>
                <w:sz w:val="12"/>
                <w:szCs w:val="12"/>
                <w:color w:val="auto"/>
              </w:rPr>
            </w:pPr>
          </w:p>
        </w:tc>
        <w:tc>
          <w:tcPr>
            <w:tcW w:w="560" w:type="dxa"/>
            <w:vAlign w:val="bottom"/>
            <w:shd w:val="clear" w:color="auto" w:fill="EFF8FA"/>
          </w:tcPr>
          <w:p>
            <w:pPr>
              <w:spacing w:after="0"/>
              <w:rPr>
                <w:sz w:val="12"/>
                <w:szCs w:val="12"/>
                <w:color w:val="auto"/>
              </w:rPr>
            </w:pPr>
          </w:p>
        </w:tc>
        <w:tc>
          <w:tcPr>
            <w:tcW w:w="100" w:type="dxa"/>
            <w:vAlign w:val="bottom"/>
            <w:shd w:val="clear" w:color="auto" w:fill="EFF8FA"/>
          </w:tcPr>
          <w:p>
            <w:pPr>
              <w:spacing w:after="0"/>
              <w:rPr>
                <w:sz w:val="12"/>
                <w:szCs w:val="12"/>
                <w:color w:val="auto"/>
              </w:rPr>
            </w:pPr>
          </w:p>
        </w:tc>
        <w:tc>
          <w:tcPr>
            <w:tcW w:w="780" w:type="dxa"/>
            <w:vAlign w:val="bottom"/>
            <w:shd w:val="clear" w:color="auto" w:fill="EFF8FA"/>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3"/>
                <w:szCs w:val="13"/>
                <w:b w:val="1"/>
                <w:bCs w:val="1"/>
                <w:color w:val="105EAB"/>
              </w:rPr>
              <w:t>Market</w:t>
            </w:r>
          </w:p>
        </w:tc>
        <w:tc>
          <w:tcPr>
            <w:tcW w:w="800" w:type="dxa"/>
            <w:vAlign w:val="bottom"/>
          </w:tcPr>
          <w:p>
            <w:pPr>
              <w:jc w:val="right"/>
              <w:spacing w:after="0" w:line="149" w:lineRule="exact"/>
              <w:rPr>
                <w:sz w:val="20"/>
                <w:szCs w:val="20"/>
                <w:color w:val="auto"/>
              </w:rPr>
            </w:pPr>
            <w:r>
              <w:rPr>
                <w:rFonts w:ascii="Arial" w:cs="Arial" w:eastAsia="Arial" w:hAnsi="Arial"/>
                <w:sz w:val="13"/>
                <w:szCs w:val="13"/>
                <w:b w:val="1"/>
                <w:bCs w:val="1"/>
                <w:color w:val="105EAB"/>
              </w:rPr>
              <w:t>Unearned</w:t>
            </w:r>
          </w:p>
        </w:tc>
        <w:tc>
          <w:tcPr>
            <w:tcW w:w="800" w:type="dxa"/>
            <w:vAlign w:val="bottom"/>
          </w:tcPr>
          <w:p>
            <w:pPr>
              <w:jc w:val="right"/>
              <w:spacing w:after="0" w:line="149" w:lineRule="exact"/>
              <w:rPr>
                <w:sz w:val="20"/>
                <w:szCs w:val="20"/>
                <w:color w:val="auto"/>
              </w:rPr>
            </w:pPr>
            <w:r>
              <w:rPr>
                <w:rFonts w:ascii="Arial" w:cs="Arial" w:eastAsia="Arial" w:hAnsi="Arial"/>
                <w:sz w:val="13"/>
                <w:szCs w:val="13"/>
                <w:b w:val="1"/>
                <w:bCs w:val="1"/>
                <w:color w:val="105EAB"/>
              </w:rPr>
              <w:t>Unearned</w:t>
            </w:r>
          </w:p>
        </w:tc>
      </w:tr>
      <w:tr>
        <w:trPr>
          <w:trHeight w:val="148"/>
        </w:trPr>
        <w:tc>
          <w:tcPr>
            <w:tcW w:w="2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30" w:type="dxa"/>
            <w:vAlign w:val="bottom"/>
            <w:shd w:val="clear" w:color="auto" w:fill="EFF8FA"/>
          </w:tcPr>
          <w:p>
            <w:pPr>
              <w:spacing w:after="0"/>
              <w:rPr>
                <w:sz w:val="12"/>
                <w:szCs w:val="12"/>
                <w:color w:val="auto"/>
              </w:rPr>
            </w:pPr>
          </w:p>
        </w:tc>
        <w:tc>
          <w:tcPr>
            <w:tcW w:w="1050" w:type="dxa"/>
            <w:vAlign w:val="bottom"/>
            <w:shd w:val="clear" w:color="auto" w:fill="EFF8FA"/>
          </w:tcPr>
          <w:p>
            <w:pPr>
              <w:spacing w:after="0"/>
              <w:rPr>
                <w:sz w:val="12"/>
                <w:szCs w:val="12"/>
                <w:color w:val="auto"/>
              </w:rPr>
            </w:pPr>
          </w:p>
        </w:tc>
        <w:tc>
          <w:tcPr>
            <w:tcW w:w="1180" w:type="dxa"/>
            <w:vAlign w:val="bottom"/>
            <w:shd w:val="clear" w:color="auto" w:fill="EFF8FA"/>
          </w:tcPr>
          <w:p>
            <w:pPr>
              <w:spacing w:after="0"/>
              <w:rPr>
                <w:sz w:val="12"/>
                <w:szCs w:val="12"/>
                <w:color w:val="auto"/>
              </w:rPr>
            </w:pPr>
          </w:p>
        </w:tc>
        <w:tc>
          <w:tcPr>
            <w:tcW w:w="560" w:type="dxa"/>
            <w:vAlign w:val="bottom"/>
            <w:shd w:val="clear" w:color="auto" w:fill="EFF8FA"/>
          </w:tcPr>
          <w:p>
            <w:pPr>
              <w:spacing w:after="0"/>
              <w:rPr>
                <w:sz w:val="12"/>
                <w:szCs w:val="12"/>
                <w:color w:val="auto"/>
              </w:rPr>
            </w:pPr>
          </w:p>
        </w:tc>
        <w:tc>
          <w:tcPr>
            <w:tcW w:w="100" w:type="dxa"/>
            <w:vAlign w:val="bottom"/>
            <w:shd w:val="clear" w:color="auto" w:fill="EFF8FA"/>
          </w:tcPr>
          <w:p>
            <w:pPr>
              <w:spacing w:after="0"/>
              <w:rPr>
                <w:sz w:val="12"/>
                <w:szCs w:val="12"/>
                <w:color w:val="auto"/>
              </w:rPr>
            </w:pPr>
          </w:p>
        </w:tc>
        <w:tc>
          <w:tcPr>
            <w:tcW w:w="780" w:type="dxa"/>
            <w:vAlign w:val="bottom"/>
            <w:shd w:val="clear" w:color="auto" w:fill="EFF8FA"/>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3"/>
                <w:szCs w:val="13"/>
                <w:b w:val="1"/>
                <w:bCs w:val="1"/>
                <w:color w:val="105EAB"/>
              </w:rPr>
              <w:t>Number</w:t>
            </w:r>
          </w:p>
        </w:tc>
        <w:tc>
          <w:tcPr>
            <w:tcW w:w="820" w:type="dxa"/>
            <w:vAlign w:val="bottom"/>
          </w:tcPr>
          <w:p>
            <w:pPr>
              <w:jc w:val="right"/>
              <w:spacing w:after="0" w:line="149" w:lineRule="exact"/>
              <w:rPr>
                <w:sz w:val="20"/>
                <w:szCs w:val="20"/>
                <w:color w:val="auto"/>
              </w:rPr>
            </w:pPr>
            <w:r>
              <w:rPr>
                <w:rFonts w:ascii="Arial" w:cs="Arial" w:eastAsia="Arial" w:hAnsi="Arial"/>
                <w:sz w:val="13"/>
                <w:szCs w:val="13"/>
                <w:b w:val="1"/>
                <w:bCs w:val="1"/>
                <w:color w:val="105EAB"/>
              </w:rPr>
              <w:t>Value of</w:t>
            </w:r>
          </w:p>
        </w:tc>
        <w:tc>
          <w:tcPr>
            <w:tcW w:w="800" w:type="dxa"/>
            <w:vAlign w:val="bottom"/>
          </w:tcPr>
          <w:p>
            <w:pPr>
              <w:jc w:val="right"/>
              <w:spacing w:after="0" w:line="149" w:lineRule="exact"/>
              <w:rPr>
                <w:sz w:val="20"/>
                <w:szCs w:val="20"/>
                <w:color w:val="auto"/>
              </w:rPr>
            </w:pPr>
            <w:r>
              <w:rPr>
                <w:rFonts w:ascii="Arial" w:cs="Arial" w:eastAsia="Arial" w:hAnsi="Arial"/>
                <w:sz w:val="13"/>
                <w:szCs w:val="13"/>
                <w:b w:val="1"/>
                <w:bCs w:val="1"/>
                <w:color w:val="105EAB"/>
              </w:rPr>
              <w:t>Shares,</w:t>
            </w:r>
          </w:p>
        </w:tc>
        <w:tc>
          <w:tcPr>
            <w:tcW w:w="800" w:type="dxa"/>
            <w:vAlign w:val="bottom"/>
          </w:tcPr>
          <w:p>
            <w:pPr>
              <w:jc w:val="right"/>
              <w:spacing w:after="0" w:line="149" w:lineRule="exact"/>
              <w:rPr>
                <w:sz w:val="20"/>
                <w:szCs w:val="20"/>
                <w:color w:val="auto"/>
              </w:rPr>
            </w:pPr>
            <w:r>
              <w:rPr>
                <w:rFonts w:ascii="Arial" w:cs="Arial" w:eastAsia="Arial" w:hAnsi="Arial"/>
                <w:sz w:val="13"/>
                <w:szCs w:val="13"/>
                <w:b w:val="1"/>
                <w:bCs w:val="1"/>
                <w:color w:val="105EAB"/>
              </w:rPr>
              <w:t>Shares,</w:t>
            </w:r>
          </w:p>
        </w:tc>
      </w:tr>
      <w:tr>
        <w:trPr>
          <w:trHeight w:val="148"/>
        </w:trPr>
        <w:tc>
          <w:tcPr>
            <w:tcW w:w="2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30" w:type="dxa"/>
            <w:vAlign w:val="bottom"/>
            <w:shd w:val="clear" w:color="auto" w:fill="EFF8FA"/>
          </w:tcPr>
          <w:p>
            <w:pPr>
              <w:spacing w:after="0"/>
              <w:rPr>
                <w:sz w:val="12"/>
                <w:szCs w:val="12"/>
                <w:color w:val="auto"/>
              </w:rPr>
            </w:pPr>
          </w:p>
        </w:tc>
        <w:tc>
          <w:tcPr>
            <w:tcW w:w="1050" w:type="dxa"/>
            <w:vAlign w:val="bottom"/>
            <w:shd w:val="clear" w:color="auto" w:fill="EFF8FA"/>
          </w:tcPr>
          <w:p>
            <w:pPr>
              <w:jc w:val="right"/>
              <w:ind w:right="33"/>
              <w:spacing w:after="0" w:line="149" w:lineRule="exact"/>
              <w:rPr>
                <w:sz w:val="20"/>
                <w:szCs w:val="20"/>
                <w:color w:val="auto"/>
              </w:rPr>
            </w:pPr>
            <w:r>
              <w:rPr>
                <w:rFonts w:ascii="Arial" w:cs="Arial" w:eastAsia="Arial" w:hAnsi="Arial"/>
                <w:sz w:val="13"/>
                <w:szCs w:val="13"/>
                <w:b w:val="1"/>
                <w:bCs w:val="1"/>
                <w:color w:val="105EAB"/>
              </w:rPr>
              <w:t>Number of</w:t>
            </w:r>
          </w:p>
        </w:tc>
        <w:tc>
          <w:tcPr>
            <w:tcW w:w="1180" w:type="dxa"/>
            <w:vAlign w:val="bottom"/>
            <w:shd w:val="clear" w:color="auto" w:fill="EFF8FA"/>
          </w:tcPr>
          <w:p>
            <w:pPr>
              <w:jc w:val="right"/>
              <w:ind w:right="53"/>
              <w:spacing w:after="0" w:line="149" w:lineRule="exact"/>
              <w:rPr>
                <w:sz w:val="20"/>
                <w:szCs w:val="20"/>
                <w:color w:val="auto"/>
              </w:rPr>
            </w:pPr>
            <w:r>
              <w:rPr>
                <w:rFonts w:ascii="Arial" w:cs="Arial" w:eastAsia="Arial" w:hAnsi="Arial"/>
                <w:sz w:val="13"/>
                <w:szCs w:val="13"/>
                <w:b w:val="1"/>
                <w:bCs w:val="1"/>
                <w:color w:val="105EAB"/>
              </w:rPr>
              <w:t>Number of</w:t>
            </w:r>
          </w:p>
        </w:tc>
        <w:tc>
          <w:tcPr>
            <w:tcW w:w="560" w:type="dxa"/>
            <w:vAlign w:val="bottom"/>
            <w:shd w:val="clear" w:color="auto" w:fill="EFF8FA"/>
          </w:tcPr>
          <w:p>
            <w:pPr>
              <w:spacing w:after="0"/>
              <w:rPr>
                <w:sz w:val="12"/>
                <w:szCs w:val="12"/>
                <w:color w:val="auto"/>
              </w:rPr>
            </w:pPr>
          </w:p>
        </w:tc>
        <w:tc>
          <w:tcPr>
            <w:tcW w:w="100" w:type="dxa"/>
            <w:vAlign w:val="bottom"/>
            <w:shd w:val="clear" w:color="auto" w:fill="EFF8FA"/>
          </w:tcPr>
          <w:p>
            <w:pPr>
              <w:spacing w:after="0"/>
              <w:rPr>
                <w:sz w:val="12"/>
                <w:szCs w:val="12"/>
                <w:color w:val="auto"/>
              </w:rPr>
            </w:pPr>
          </w:p>
        </w:tc>
        <w:tc>
          <w:tcPr>
            <w:tcW w:w="780" w:type="dxa"/>
            <w:vAlign w:val="bottom"/>
            <w:shd w:val="clear" w:color="auto" w:fill="EFF8FA"/>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3"/>
                <w:szCs w:val="13"/>
                <w:b w:val="1"/>
                <w:bCs w:val="1"/>
                <w:color w:val="105EAB"/>
              </w:rPr>
              <w:t>of Shares</w:t>
            </w:r>
          </w:p>
        </w:tc>
        <w:tc>
          <w:tcPr>
            <w:tcW w:w="820" w:type="dxa"/>
            <w:vAlign w:val="bottom"/>
          </w:tcPr>
          <w:p>
            <w:pPr>
              <w:jc w:val="right"/>
              <w:spacing w:after="0" w:line="149" w:lineRule="exact"/>
              <w:rPr>
                <w:sz w:val="20"/>
                <w:szCs w:val="20"/>
                <w:color w:val="auto"/>
              </w:rPr>
            </w:pPr>
            <w:r>
              <w:rPr>
                <w:rFonts w:ascii="Arial" w:cs="Arial" w:eastAsia="Arial" w:hAnsi="Arial"/>
                <w:sz w:val="13"/>
                <w:szCs w:val="13"/>
                <w:b w:val="1"/>
                <w:bCs w:val="1"/>
                <w:color w:val="105EAB"/>
              </w:rPr>
              <w:t>Shares or</w:t>
            </w:r>
          </w:p>
        </w:tc>
        <w:tc>
          <w:tcPr>
            <w:tcW w:w="800" w:type="dxa"/>
            <w:vAlign w:val="bottom"/>
          </w:tcPr>
          <w:p>
            <w:pPr>
              <w:jc w:val="right"/>
              <w:spacing w:after="0" w:line="149" w:lineRule="exact"/>
              <w:rPr>
                <w:sz w:val="20"/>
                <w:szCs w:val="20"/>
                <w:color w:val="auto"/>
              </w:rPr>
            </w:pPr>
            <w:r>
              <w:rPr>
                <w:rFonts w:ascii="Arial" w:cs="Arial" w:eastAsia="Arial" w:hAnsi="Arial"/>
                <w:sz w:val="13"/>
                <w:szCs w:val="13"/>
                <w:b w:val="1"/>
                <w:bCs w:val="1"/>
                <w:color w:val="105EAB"/>
              </w:rPr>
              <w:t>Units, or</w:t>
            </w:r>
          </w:p>
        </w:tc>
        <w:tc>
          <w:tcPr>
            <w:tcW w:w="800" w:type="dxa"/>
            <w:vAlign w:val="bottom"/>
          </w:tcPr>
          <w:p>
            <w:pPr>
              <w:jc w:val="right"/>
              <w:spacing w:after="0" w:line="149" w:lineRule="exact"/>
              <w:rPr>
                <w:sz w:val="20"/>
                <w:szCs w:val="20"/>
                <w:color w:val="auto"/>
              </w:rPr>
            </w:pPr>
            <w:r>
              <w:rPr>
                <w:rFonts w:ascii="Arial" w:cs="Arial" w:eastAsia="Arial" w:hAnsi="Arial"/>
                <w:sz w:val="13"/>
                <w:szCs w:val="13"/>
                <w:b w:val="1"/>
                <w:bCs w:val="1"/>
                <w:color w:val="105EAB"/>
              </w:rPr>
              <w:t>Units,</w:t>
            </w:r>
          </w:p>
        </w:tc>
      </w:tr>
      <w:tr>
        <w:trPr>
          <w:trHeight w:val="148"/>
        </w:trPr>
        <w:tc>
          <w:tcPr>
            <w:tcW w:w="2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30" w:type="dxa"/>
            <w:vAlign w:val="bottom"/>
            <w:shd w:val="clear" w:color="auto" w:fill="EFF8FA"/>
          </w:tcPr>
          <w:p>
            <w:pPr>
              <w:spacing w:after="0"/>
              <w:rPr>
                <w:sz w:val="12"/>
                <w:szCs w:val="12"/>
                <w:color w:val="auto"/>
              </w:rPr>
            </w:pPr>
          </w:p>
        </w:tc>
        <w:tc>
          <w:tcPr>
            <w:tcW w:w="1050" w:type="dxa"/>
            <w:vAlign w:val="bottom"/>
            <w:shd w:val="clear" w:color="auto" w:fill="EFF8FA"/>
          </w:tcPr>
          <w:p>
            <w:pPr>
              <w:jc w:val="right"/>
              <w:ind w:right="33"/>
              <w:spacing w:after="0" w:line="149" w:lineRule="exact"/>
              <w:rPr>
                <w:sz w:val="20"/>
                <w:szCs w:val="20"/>
                <w:color w:val="auto"/>
              </w:rPr>
            </w:pPr>
            <w:r>
              <w:rPr>
                <w:rFonts w:ascii="Arial" w:cs="Arial" w:eastAsia="Arial" w:hAnsi="Arial"/>
                <w:sz w:val="13"/>
                <w:szCs w:val="13"/>
                <w:b w:val="1"/>
                <w:bCs w:val="1"/>
                <w:color w:val="105EAB"/>
              </w:rPr>
              <w:t>Securities</w:t>
            </w:r>
          </w:p>
        </w:tc>
        <w:tc>
          <w:tcPr>
            <w:tcW w:w="1180" w:type="dxa"/>
            <w:vAlign w:val="bottom"/>
            <w:shd w:val="clear" w:color="auto" w:fill="EFF8FA"/>
          </w:tcPr>
          <w:p>
            <w:pPr>
              <w:jc w:val="right"/>
              <w:ind w:right="53"/>
              <w:spacing w:after="0" w:line="149" w:lineRule="exact"/>
              <w:rPr>
                <w:sz w:val="20"/>
                <w:szCs w:val="20"/>
                <w:color w:val="auto"/>
              </w:rPr>
            </w:pPr>
            <w:r>
              <w:rPr>
                <w:rFonts w:ascii="Arial" w:cs="Arial" w:eastAsia="Arial" w:hAnsi="Arial"/>
                <w:sz w:val="13"/>
                <w:szCs w:val="13"/>
                <w:b w:val="1"/>
                <w:bCs w:val="1"/>
                <w:color w:val="105EAB"/>
              </w:rPr>
              <w:t>Securities</w:t>
            </w:r>
          </w:p>
        </w:tc>
        <w:tc>
          <w:tcPr>
            <w:tcW w:w="560" w:type="dxa"/>
            <w:vAlign w:val="bottom"/>
            <w:shd w:val="clear" w:color="auto" w:fill="EFF8FA"/>
          </w:tcPr>
          <w:p>
            <w:pPr>
              <w:spacing w:after="0"/>
              <w:rPr>
                <w:sz w:val="12"/>
                <w:szCs w:val="12"/>
                <w:color w:val="auto"/>
              </w:rPr>
            </w:pPr>
          </w:p>
        </w:tc>
        <w:tc>
          <w:tcPr>
            <w:tcW w:w="100" w:type="dxa"/>
            <w:vAlign w:val="bottom"/>
            <w:shd w:val="clear" w:color="auto" w:fill="EFF8FA"/>
          </w:tcPr>
          <w:p>
            <w:pPr>
              <w:spacing w:after="0"/>
              <w:rPr>
                <w:sz w:val="12"/>
                <w:szCs w:val="12"/>
                <w:color w:val="auto"/>
              </w:rPr>
            </w:pPr>
          </w:p>
        </w:tc>
        <w:tc>
          <w:tcPr>
            <w:tcW w:w="780" w:type="dxa"/>
            <w:vAlign w:val="bottom"/>
            <w:shd w:val="clear" w:color="auto" w:fill="EFF8FA"/>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3"/>
                <w:szCs w:val="13"/>
                <w:b w:val="1"/>
                <w:bCs w:val="1"/>
                <w:color w:val="105EAB"/>
              </w:rPr>
              <w:t>or Units</w:t>
            </w:r>
          </w:p>
        </w:tc>
        <w:tc>
          <w:tcPr>
            <w:tcW w:w="820" w:type="dxa"/>
            <w:vAlign w:val="bottom"/>
          </w:tcPr>
          <w:p>
            <w:pPr>
              <w:jc w:val="right"/>
              <w:spacing w:after="0" w:line="149" w:lineRule="exact"/>
              <w:rPr>
                <w:sz w:val="20"/>
                <w:szCs w:val="20"/>
                <w:color w:val="auto"/>
              </w:rPr>
            </w:pPr>
            <w:r>
              <w:rPr>
                <w:rFonts w:ascii="Arial" w:cs="Arial" w:eastAsia="Arial" w:hAnsi="Arial"/>
                <w:sz w:val="13"/>
                <w:szCs w:val="13"/>
                <w:b w:val="1"/>
                <w:bCs w:val="1"/>
                <w:color w:val="105EAB"/>
              </w:rPr>
              <w:t>Units of</w:t>
            </w:r>
          </w:p>
        </w:tc>
        <w:tc>
          <w:tcPr>
            <w:tcW w:w="800" w:type="dxa"/>
            <w:vAlign w:val="bottom"/>
          </w:tcPr>
          <w:p>
            <w:pPr>
              <w:jc w:val="right"/>
              <w:spacing w:after="0" w:line="149" w:lineRule="exact"/>
              <w:rPr>
                <w:sz w:val="20"/>
                <w:szCs w:val="20"/>
                <w:color w:val="auto"/>
              </w:rPr>
            </w:pPr>
            <w:r>
              <w:rPr>
                <w:rFonts w:ascii="Arial" w:cs="Arial" w:eastAsia="Arial" w:hAnsi="Arial"/>
                <w:sz w:val="13"/>
                <w:szCs w:val="13"/>
                <w:b w:val="1"/>
                <w:bCs w:val="1"/>
                <w:color w:val="105EAB"/>
              </w:rPr>
              <w:t>Other</w:t>
            </w:r>
          </w:p>
        </w:tc>
        <w:tc>
          <w:tcPr>
            <w:tcW w:w="800" w:type="dxa"/>
            <w:vAlign w:val="bottom"/>
          </w:tcPr>
          <w:p>
            <w:pPr>
              <w:jc w:val="right"/>
              <w:spacing w:after="0" w:line="149" w:lineRule="exact"/>
              <w:rPr>
                <w:sz w:val="20"/>
                <w:szCs w:val="20"/>
                <w:color w:val="auto"/>
              </w:rPr>
            </w:pPr>
            <w:r>
              <w:rPr>
                <w:rFonts w:ascii="Arial" w:cs="Arial" w:eastAsia="Arial" w:hAnsi="Arial"/>
                <w:sz w:val="13"/>
                <w:szCs w:val="13"/>
                <w:b w:val="1"/>
                <w:bCs w:val="1"/>
                <w:color w:val="105EAB"/>
              </w:rPr>
              <w:t>or Other</w:t>
            </w:r>
          </w:p>
        </w:tc>
      </w:tr>
      <w:tr>
        <w:trPr>
          <w:trHeight w:val="179"/>
        </w:trPr>
        <w:tc>
          <w:tcPr>
            <w:tcW w:w="2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30" w:type="dxa"/>
            <w:vAlign w:val="bottom"/>
            <w:shd w:val="clear" w:color="auto" w:fill="EFF8FA"/>
          </w:tcPr>
          <w:p>
            <w:pPr>
              <w:spacing w:after="0"/>
              <w:rPr>
                <w:sz w:val="15"/>
                <w:szCs w:val="15"/>
                <w:color w:val="auto"/>
              </w:rPr>
            </w:pPr>
          </w:p>
        </w:tc>
        <w:tc>
          <w:tcPr>
            <w:tcW w:w="1050" w:type="dxa"/>
            <w:vAlign w:val="bottom"/>
            <w:shd w:val="clear" w:color="auto" w:fill="EFF8FA"/>
          </w:tcPr>
          <w:p>
            <w:pPr>
              <w:jc w:val="right"/>
              <w:ind w:right="33"/>
              <w:spacing w:after="0"/>
              <w:rPr>
                <w:sz w:val="20"/>
                <w:szCs w:val="20"/>
                <w:color w:val="auto"/>
              </w:rPr>
            </w:pPr>
            <w:r>
              <w:rPr>
                <w:rFonts w:ascii="Arial" w:cs="Arial" w:eastAsia="Arial" w:hAnsi="Arial"/>
                <w:sz w:val="13"/>
                <w:szCs w:val="13"/>
                <w:b w:val="1"/>
                <w:bCs w:val="1"/>
                <w:color w:val="105EAB"/>
              </w:rPr>
              <w:t>Underlying</w:t>
            </w:r>
          </w:p>
        </w:tc>
        <w:tc>
          <w:tcPr>
            <w:tcW w:w="1180" w:type="dxa"/>
            <w:vAlign w:val="bottom"/>
            <w:shd w:val="clear" w:color="auto" w:fill="EFF8FA"/>
          </w:tcPr>
          <w:p>
            <w:pPr>
              <w:jc w:val="right"/>
              <w:ind w:right="53"/>
              <w:spacing w:after="0"/>
              <w:rPr>
                <w:sz w:val="20"/>
                <w:szCs w:val="20"/>
                <w:color w:val="auto"/>
              </w:rPr>
            </w:pPr>
            <w:r>
              <w:rPr>
                <w:rFonts w:ascii="Arial" w:cs="Arial" w:eastAsia="Arial" w:hAnsi="Arial"/>
                <w:sz w:val="13"/>
                <w:szCs w:val="13"/>
                <w:b w:val="1"/>
                <w:bCs w:val="1"/>
                <w:color w:val="105EAB"/>
              </w:rPr>
              <w:t>Underlying</w:t>
            </w:r>
          </w:p>
        </w:tc>
        <w:tc>
          <w:tcPr>
            <w:tcW w:w="660" w:type="dxa"/>
            <w:vAlign w:val="bottom"/>
            <w:gridSpan w:val="2"/>
            <w:shd w:val="clear" w:color="auto" w:fill="EFF8FA"/>
          </w:tcPr>
          <w:p>
            <w:pPr>
              <w:jc w:val="right"/>
              <w:ind w:right="100"/>
              <w:spacing w:after="0"/>
              <w:rPr>
                <w:sz w:val="20"/>
                <w:szCs w:val="20"/>
                <w:color w:val="auto"/>
              </w:rPr>
            </w:pPr>
            <w:r>
              <w:rPr>
                <w:rFonts w:ascii="Arial" w:cs="Arial" w:eastAsia="Arial" w:hAnsi="Arial"/>
                <w:sz w:val="13"/>
                <w:szCs w:val="13"/>
                <w:b w:val="1"/>
                <w:bCs w:val="1"/>
                <w:color w:val="105EAB"/>
              </w:rPr>
              <w:t>Option</w:t>
            </w:r>
          </w:p>
        </w:tc>
        <w:tc>
          <w:tcPr>
            <w:tcW w:w="780" w:type="dxa"/>
            <w:vAlign w:val="bottom"/>
            <w:shd w:val="clear" w:color="auto" w:fill="EFF8FA"/>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b w:val="1"/>
                <w:bCs w:val="1"/>
                <w:color w:val="105EAB"/>
              </w:rPr>
              <w:t>of Stock</w:t>
            </w:r>
          </w:p>
        </w:tc>
        <w:tc>
          <w:tcPr>
            <w:tcW w:w="820" w:type="dxa"/>
            <w:vAlign w:val="bottom"/>
          </w:tcPr>
          <w:p>
            <w:pPr>
              <w:jc w:val="right"/>
              <w:spacing w:after="0"/>
              <w:rPr>
                <w:sz w:val="20"/>
                <w:szCs w:val="20"/>
                <w:color w:val="auto"/>
              </w:rPr>
            </w:pPr>
            <w:r>
              <w:rPr>
                <w:rFonts w:ascii="Arial" w:cs="Arial" w:eastAsia="Arial" w:hAnsi="Arial"/>
                <w:sz w:val="13"/>
                <w:szCs w:val="13"/>
                <w:b w:val="1"/>
                <w:bCs w:val="1"/>
                <w:color w:val="105EAB"/>
              </w:rPr>
              <w:t>Stock</w:t>
            </w:r>
          </w:p>
        </w:tc>
        <w:tc>
          <w:tcPr>
            <w:tcW w:w="800" w:type="dxa"/>
            <w:vAlign w:val="bottom"/>
          </w:tcPr>
          <w:p>
            <w:pPr>
              <w:jc w:val="right"/>
              <w:spacing w:after="0"/>
              <w:rPr>
                <w:sz w:val="20"/>
                <w:szCs w:val="20"/>
                <w:color w:val="auto"/>
              </w:rPr>
            </w:pPr>
            <w:r>
              <w:rPr>
                <w:rFonts w:ascii="Arial" w:cs="Arial" w:eastAsia="Arial" w:hAnsi="Arial"/>
                <w:sz w:val="13"/>
                <w:szCs w:val="13"/>
                <w:b w:val="1"/>
                <w:bCs w:val="1"/>
                <w:color w:val="105EAB"/>
              </w:rPr>
              <w:t>Rights</w:t>
            </w:r>
          </w:p>
        </w:tc>
        <w:tc>
          <w:tcPr>
            <w:tcW w:w="800" w:type="dxa"/>
            <w:vAlign w:val="bottom"/>
          </w:tcPr>
          <w:p>
            <w:pPr>
              <w:jc w:val="right"/>
              <w:spacing w:after="0"/>
              <w:rPr>
                <w:sz w:val="20"/>
                <w:szCs w:val="20"/>
                <w:color w:val="auto"/>
              </w:rPr>
            </w:pPr>
            <w:r>
              <w:rPr>
                <w:rFonts w:ascii="Arial" w:cs="Arial" w:eastAsia="Arial" w:hAnsi="Arial"/>
                <w:sz w:val="13"/>
                <w:szCs w:val="13"/>
                <w:b w:val="1"/>
                <w:bCs w:val="1"/>
                <w:color w:val="105EAB"/>
              </w:rPr>
              <w:t>Rights that</w:t>
            </w:r>
          </w:p>
        </w:tc>
      </w:tr>
      <w:tr>
        <w:trPr>
          <w:trHeight w:val="148"/>
        </w:trPr>
        <w:tc>
          <w:tcPr>
            <w:tcW w:w="2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30" w:type="dxa"/>
            <w:vAlign w:val="bottom"/>
            <w:shd w:val="clear" w:color="auto" w:fill="EFF8FA"/>
          </w:tcPr>
          <w:p>
            <w:pPr>
              <w:jc w:val="right"/>
              <w:spacing w:after="0" w:line="149" w:lineRule="exact"/>
              <w:rPr>
                <w:sz w:val="20"/>
                <w:szCs w:val="20"/>
                <w:color w:val="auto"/>
              </w:rPr>
            </w:pPr>
            <w:r>
              <w:rPr>
                <w:rFonts w:ascii="Arial" w:cs="Arial" w:eastAsia="Arial" w:hAnsi="Arial"/>
                <w:sz w:val="13"/>
                <w:szCs w:val="13"/>
                <w:b w:val="1"/>
                <w:bCs w:val="1"/>
                <w:color w:val="105EAB"/>
              </w:rPr>
              <w:t>Option</w:t>
            </w:r>
          </w:p>
        </w:tc>
        <w:tc>
          <w:tcPr>
            <w:tcW w:w="1050" w:type="dxa"/>
            <w:vAlign w:val="bottom"/>
            <w:shd w:val="clear" w:color="auto" w:fill="EFF8FA"/>
          </w:tcPr>
          <w:p>
            <w:pPr>
              <w:jc w:val="right"/>
              <w:ind w:right="33"/>
              <w:spacing w:after="0" w:line="149" w:lineRule="exact"/>
              <w:rPr>
                <w:sz w:val="20"/>
                <w:szCs w:val="20"/>
                <w:color w:val="auto"/>
              </w:rPr>
            </w:pPr>
            <w:r>
              <w:rPr>
                <w:rFonts w:ascii="Arial" w:cs="Arial" w:eastAsia="Arial" w:hAnsi="Arial"/>
                <w:sz w:val="13"/>
                <w:szCs w:val="13"/>
                <w:b w:val="1"/>
                <w:bCs w:val="1"/>
                <w:color w:val="105EAB"/>
              </w:rPr>
              <w:t>Unexercised</w:t>
            </w:r>
          </w:p>
        </w:tc>
        <w:tc>
          <w:tcPr>
            <w:tcW w:w="1180" w:type="dxa"/>
            <w:vAlign w:val="bottom"/>
            <w:shd w:val="clear" w:color="auto" w:fill="EFF8FA"/>
          </w:tcPr>
          <w:p>
            <w:pPr>
              <w:jc w:val="right"/>
              <w:ind w:right="53"/>
              <w:spacing w:after="0" w:line="149" w:lineRule="exact"/>
              <w:rPr>
                <w:sz w:val="20"/>
                <w:szCs w:val="20"/>
                <w:color w:val="auto"/>
              </w:rPr>
            </w:pPr>
            <w:r>
              <w:rPr>
                <w:rFonts w:ascii="Arial" w:cs="Arial" w:eastAsia="Arial" w:hAnsi="Arial"/>
                <w:sz w:val="13"/>
                <w:szCs w:val="13"/>
                <w:b w:val="1"/>
                <w:bCs w:val="1"/>
                <w:color w:val="105EAB"/>
              </w:rPr>
              <w:t>Unexercised</w:t>
            </w:r>
          </w:p>
        </w:tc>
        <w:tc>
          <w:tcPr>
            <w:tcW w:w="660" w:type="dxa"/>
            <w:vAlign w:val="bottom"/>
            <w:gridSpan w:val="2"/>
            <w:shd w:val="clear" w:color="auto" w:fill="EFF8FA"/>
          </w:tcPr>
          <w:p>
            <w:pPr>
              <w:jc w:val="right"/>
              <w:ind w:right="100"/>
              <w:spacing w:after="0" w:line="149" w:lineRule="exact"/>
              <w:rPr>
                <w:sz w:val="20"/>
                <w:szCs w:val="20"/>
                <w:color w:val="auto"/>
              </w:rPr>
            </w:pPr>
            <w:r>
              <w:rPr>
                <w:rFonts w:ascii="Arial" w:cs="Arial" w:eastAsia="Arial" w:hAnsi="Arial"/>
                <w:sz w:val="13"/>
                <w:szCs w:val="13"/>
                <w:b w:val="1"/>
                <w:bCs w:val="1"/>
                <w:color w:val="105EAB"/>
              </w:rPr>
              <w:t>Exercise</w:t>
            </w:r>
          </w:p>
        </w:tc>
        <w:tc>
          <w:tcPr>
            <w:tcW w:w="780" w:type="dxa"/>
            <w:vAlign w:val="bottom"/>
            <w:shd w:val="clear" w:color="auto" w:fill="EFF8FA"/>
          </w:tcPr>
          <w:p>
            <w:pPr>
              <w:jc w:val="right"/>
              <w:ind w:right="13"/>
              <w:spacing w:after="0" w:line="149" w:lineRule="exact"/>
              <w:rPr>
                <w:sz w:val="20"/>
                <w:szCs w:val="20"/>
                <w:color w:val="auto"/>
              </w:rPr>
            </w:pPr>
            <w:r>
              <w:rPr>
                <w:rFonts w:ascii="Arial" w:cs="Arial" w:eastAsia="Arial" w:hAnsi="Arial"/>
                <w:sz w:val="13"/>
                <w:szCs w:val="13"/>
                <w:b w:val="1"/>
                <w:bCs w:val="1"/>
                <w:color w:val="105EAB"/>
              </w:rPr>
              <w:t>Option</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3"/>
                <w:szCs w:val="13"/>
                <w:b w:val="1"/>
                <w:bCs w:val="1"/>
                <w:color w:val="105EAB"/>
              </w:rPr>
              <w:t>That Have</w:t>
            </w:r>
          </w:p>
        </w:tc>
        <w:tc>
          <w:tcPr>
            <w:tcW w:w="820" w:type="dxa"/>
            <w:vAlign w:val="bottom"/>
          </w:tcPr>
          <w:p>
            <w:pPr>
              <w:jc w:val="right"/>
              <w:spacing w:after="0" w:line="149" w:lineRule="exact"/>
              <w:rPr>
                <w:sz w:val="20"/>
                <w:szCs w:val="20"/>
                <w:color w:val="auto"/>
              </w:rPr>
            </w:pPr>
            <w:r>
              <w:rPr>
                <w:rFonts w:ascii="Arial" w:cs="Arial" w:eastAsia="Arial" w:hAnsi="Arial"/>
                <w:sz w:val="13"/>
                <w:szCs w:val="13"/>
                <w:b w:val="1"/>
                <w:bCs w:val="1"/>
                <w:color w:val="105EAB"/>
              </w:rPr>
              <w:t>That Have</w:t>
            </w:r>
          </w:p>
        </w:tc>
        <w:tc>
          <w:tcPr>
            <w:tcW w:w="800" w:type="dxa"/>
            <w:vAlign w:val="bottom"/>
          </w:tcPr>
          <w:p>
            <w:pPr>
              <w:jc w:val="right"/>
              <w:spacing w:after="0" w:line="149" w:lineRule="exact"/>
              <w:rPr>
                <w:sz w:val="20"/>
                <w:szCs w:val="20"/>
                <w:color w:val="auto"/>
              </w:rPr>
            </w:pPr>
            <w:r>
              <w:rPr>
                <w:rFonts w:ascii="Arial" w:cs="Arial" w:eastAsia="Arial" w:hAnsi="Arial"/>
                <w:sz w:val="13"/>
                <w:szCs w:val="13"/>
                <w:b w:val="1"/>
                <w:bCs w:val="1"/>
                <w:color w:val="105EAB"/>
              </w:rPr>
              <w:t>that Have</w:t>
            </w:r>
          </w:p>
        </w:tc>
        <w:tc>
          <w:tcPr>
            <w:tcW w:w="800" w:type="dxa"/>
            <w:vAlign w:val="bottom"/>
          </w:tcPr>
          <w:p>
            <w:pPr>
              <w:jc w:val="right"/>
              <w:spacing w:after="0" w:line="149" w:lineRule="exact"/>
              <w:rPr>
                <w:sz w:val="20"/>
                <w:szCs w:val="20"/>
                <w:color w:val="auto"/>
              </w:rPr>
            </w:pPr>
            <w:r>
              <w:rPr>
                <w:rFonts w:ascii="Arial" w:cs="Arial" w:eastAsia="Arial" w:hAnsi="Arial"/>
                <w:sz w:val="13"/>
                <w:szCs w:val="13"/>
                <w:b w:val="1"/>
                <w:bCs w:val="1"/>
                <w:color w:val="105EAB"/>
              </w:rPr>
              <w:t>Have Not</w:t>
            </w:r>
          </w:p>
        </w:tc>
      </w:tr>
      <w:tr>
        <w:trPr>
          <w:trHeight w:val="148"/>
        </w:trPr>
        <w:tc>
          <w:tcPr>
            <w:tcW w:w="2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30" w:type="dxa"/>
            <w:vAlign w:val="bottom"/>
            <w:shd w:val="clear" w:color="auto" w:fill="EFF8FA"/>
          </w:tcPr>
          <w:p>
            <w:pPr>
              <w:jc w:val="right"/>
              <w:spacing w:after="0" w:line="149" w:lineRule="exact"/>
              <w:rPr>
                <w:sz w:val="20"/>
                <w:szCs w:val="20"/>
                <w:color w:val="auto"/>
              </w:rPr>
            </w:pPr>
            <w:r>
              <w:rPr>
                <w:rFonts w:ascii="Arial" w:cs="Arial" w:eastAsia="Arial" w:hAnsi="Arial"/>
                <w:sz w:val="13"/>
                <w:szCs w:val="13"/>
                <w:b w:val="1"/>
                <w:bCs w:val="1"/>
                <w:color w:val="105EAB"/>
              </w:rPr>
              <w:t>Grant</w:t>
            </w:r>
          </w:p>
        </w:tc>
        <w:tc>
          <w:tcPr>
            <w:tcW w:w="1050" w:type="dxa"/>
            <w:vAlign w:val="bottom"/>
            <w:shd w:val="clear" w:color="auto" w:fill="EFF8FA"/>
          </w:tcPr>
          <w:p>
            <w:pPr>
              <w:jc w:val="right"/>
              <w:ind w:right="33"/>
              <w:spacing w:after="0" w:line="149" w:lineRule="exact"/>
              <w:rPr>
                <w:sz w:val="20"/>
                <w:szCs w:val="20"/>
                <w:color w:val="auto"/>
              </w:rPr>
            </w:pPr>
            <w:r>
              <w:rPr>
                <w:rFonts w:ascii="Arial" w:cs="Arial" w:eastAsia="Arial" w:hAnsi="Arial"/>
                <w:sz w:val="13"/>
                <w:szCs w:val="13"/>
                <w:b w:val="1"/>
                <w:bCs w:val="1"/>
                <w:color w:val="105EAB"/>
              </w:rPr>
              <w:t>Options (#)</w:t>
            </w:r>
          </w:p>
        </w:tc>
        <w:tc>
          <w:tcPr>
            <w:tcW w:w="1180" w:type="dxa"/>
            <w:vAlign w:val="bottom"/>
            <w:shd w:val="clear" w:color="auto" w:fill="EFF8FA"/>
          </w:tcPr>
          <w:p>
            <w:pPr>
              <w:jc w:val="right"/>
              <w:ind w:right="53"/>
              <w:spacing w:after="0" w:line="149" w:lineRule="exact"/>
              <w:rPr>
                <w:sz w:val="20"/>
                <w:szCs w:val="20"/>
                <w:color w:val="auto"/>
              </w:rPr>
            </w:pPr>
            <w:r>
              <w:rPr>
                <w:rFonts w:ascii="Arial" w:cs="Arial" w:eastAsia="Arial" w:hAnsi="Arial"/>
                <w:sz w:val="13"/>
                <w:szCs w:val="13"/>
                <w:b w:val="1"/>
                <w:bCs w:val="1"/>
                <w:color w:val="105EAB"/>
              </w:rPr>
              <w:t>Options (#)</w:t>
            </w:r>
          </w:p>
        </w:tc>
        <w:tc>
          <w:tcPr>
            <w:tcW w:w="660" w:type="dxa"/>
            <w:vAlign w:val="bottom"/>
            <w:gridSpan w:val="2"/>
            <w:shd w:val="clear" w:color="auto" w:fill="EFF8FA"/>
          </w:tcPr>
          <w:p>
            <w:pPr>
              <w:jc w:val="right"/>
              <w:ind w:right="100"/>
              <w:spacing w:after="0" w:line="149" w:lineRule="exact"/>
              <w:rPr>
                <w:sz w:val="20"/>
                <w:szCs w:val="20"/>
                <w:color w:val="auto"/>
              </w:rPr>
            </w:pPr>
            <w:r>
              <w:rPr>
                <w:rFonts w:ascii="Arial" w:cs="Arial" w:eastAsia="Arial" w:hAnsi="Arial"/>
                <w:sz w:val="13"/>
                <w:szCs w:val="13"/>
                <w:b w:val="1"/>
                <w:bCs w:val="1"/>
                <w:color w:val="105EAB"/>
              </w:rPr>
              <w:t>Price</w:t>
            </w:r>
          </w:p>
        </w:tc>
        <w:tc>
          <w:tcPr>
            <w:tcW w:w="780" w:type="dxa"/>
            <w:vAlign w:val="bottom"/>
            <w:shd w:val="clear" w:color="auto" w:fill="EFF8FA"/>
          </w:tcPr>
          <w:p>
            <w:pPr>
              <w:jc w:val="right"/>
              <w:ind w:right="13"/>
              <w:spacing w:after="0" w:line="149" w:lineRule="exact"/>
              <w:rPr>
                <w:sz w:val="20"/>
                <w:szCs w:val="20"/>
                <w:color w:val="auto"/>
              </w:rPr>
            </w:pPr>
            <w:r>
              <w:rPr>
                <w:rFonts w:ascii="Arial" w:cs="Arial" w:eastAsia="Arial" w:hAnsi="Arial"/>
                <w:sz w:val="13"/>
                <w:szCs w:val="13"/>
                <w:b w:val="1"/>
                <w:bCs w:val="1"/>
                <w:color w:val="105EAB"/>
              </w:rPr>
              <w:t>Expiration</w:t>
            </w: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3"/>
                <w:szCs w:val="13"/>
                <w:b w:val="1"/>
                <w:bCs w:val="1"/>
                <w:color w:val="105EAB"/>
              </w:rPr>
              <w:t>Stock Award</w:t>
            </w:r>
          </w:p>
        </w:tc>
        <w:tc>
          <w:tcPr>
            <w:tcW w:w="800" w:type="dxa"/>
            <w:vAlign w:val="bottom"/>
          </w:tcPr>
          <w:p>
            <w:pPr>
              <w:jc w:val="right"/>
              <w:spacing w:after="0" w:line="149" w:lineRule="exact"/>
              <w:rPr>
                <w:sz w:val="20"/>
                <w:szCs w:val="20"/>
                <w:color w:val="auto"/>
              </w:rPr>
            </w:pPr>
            <w:r>
              <w:rPr>
                <w:rFonts w:ascii="Arial" w:cs="Arial" w:eastAsia="Arial" w:hAnsi="Arial"/>
                <w:sz w:val="13"/>
                <w:szCs w:val="13"/>
                <w:b w:val="1"/>
                <w:bCs w:val="1"/>
                <w:color w:val="105EAB"/>
              </w:rPr>
              <w:t>Not Vested</w:t>
            </w:r>
          </w:p>
        </w:tc>
        <w:tc>
          <w:tcPr>
            <w:tcW w:w="820" w:type="dxa"/>
            <w:vAlign w:val="bottom"/>
          </w:tcPr>
          <w:p>
            <w:pPr>
              <w:jc w:val="right"/>
              <w:spacing w:after="0" w:line="149" w:lineRule="exact"/>
              <w:rPr>
                <w:sz w:val="20"/>
                <w:szCs w:val="20"/>
                <w:color w:val="auto"/>
              </w:rPr>
            </w:pPr>
            <w:r>
              <w:rPr>
                <w:rFonts w:ascii="Arial" w:cs="Arial" w:eastAsia="Arial" w:hAnsi="Arial"/>
                <w:sz w:val="13"/>
                <w:szCs w:val="13"/>
                <w:b w:val="1"/>
                <w:bCs w:val="1"/>
                <w:color w:val="105EAB"/>
              </w:rPr>
              <w:t>Not Vested</w:t>
            </w:r>
          </w:p>
        </w:tc>
        <w:tc>
          <w:tcPr>
            <w:tcW w:w="800" w:type="dxa"/>
            <w:vAlign w:val="bottom"/>
          </w:tcPr>
          <w:p>
            <w:pPr>
              <w:jc w:val="right"/>
              <w:spacing w:after="0" w:line="149" w:lineRule="exact"/>
              <w:rPr>
                <w:sz w:val="20"/>
                <w:szCs w:val="20"/>
                <w:color w:val="auto"/>
              </w:rPr>
            </w:pPr>
            <w:r>
              <w:rPr>
                <w:rFonts w:ascii="Arial" w:cs="Arial" w:eastAsia="Arial" w:hAnsi="Arial"/>
                <w:sz w:val="13"/>
                <w:szCs w:val="13"/>
                <w:b w:val="1"/>
                <w:bCs w:val="1"/>
                <w:color w:val="105EAB"/>
              </w:rPr>
              <w:t>Not Vested</w:t>
            </w:r>
          </w:p>
        </w:tc>
        <w:tc>
          <w:tcPr>
            <w:tcW w:w="800" w:type="dxa"/>
            <w:vAlign w:val="bottom"/>
          </w:tcPr>
          <w:p>
            <w:pPr>
              <w:jc w:val="right"/>
              <w:spacing w:after="0" w:line="149" w:lineRule="exact"/>
              <w:rPr>
                <w:sz w:val="20"/>
                <w:szCs w:val="20"/>
                <w:color w:val="auto"/>
              </w:rPr>
            </w:pPr>
            <w:r>
              <w:rPr>
                <w:rFonts w:ascii="Arial" w:cs="Arial" w:eastAsia="Arial" w:hAnsi="Arial"/>
                <w:sz w:val="13"/>
                <w:szCs w:val="13"/>
                <w:b w:val="1"/>
                <w:bCs w:val="1"/>
                <w:color w:val="105EAB"/>
              </w:rPr>
              <w:t>Vested</w:t>
            </w:r>
          </w:p>
        </w:tc>
      </w:tr>
      <w:tr>
        <w:trPr>
          <w:trHeight w:val="209"/>
        </w:trPr>
        <w:tc>
          <w:tcPr>
            <w:tcW w:w="2740" w:type="dxa"/>
            <w:vAlign w:val="bottom"/>
            <w:tcBorders>
              <w:bottom w:val="single" w:sz="8" w:color="105FAB"/>
            </w:tcBorders>
            <w:gridSpan w:val="2"/>
          </w:tcPr>
          <w:p>
            <w:pPr>
              <w:ind w:left="40"/>
              <w:spacing w:after="0"/>
              <w:rPr>
                <w:sz w:val="20"/>
                <w:szCs w:val="20"/>
                <w:color w:val="auto"/>
              </w:rPr>
            </w:pPr>
            <w:r>
              <w:rPr>
                <w:rFonts w:ascii="Arial" w:cs="Arial" w:eastAsia="Arial" w:hAnsi="Arial"/>
                <w:sz w:val="13"/>
                <w:szCs w:val="13"/>
                <w:b w:val="1"/>
                <w:bCs w:val="1"/>
                <w:color w:val="105EAB"/>
              </w:rPr>
              <w:t>Name</w:t>
            </w:r>
          </w:p>
        </w:tc>
        <w:tc>
          <w:tcPr>
            <w:tcW w:w="830" w:type="dxa"/>
            <w:vAlign w:val="bottom"/>
            <w:tcBorders>
              <w:bottom w:val="single" w:sz="8" w:color="105FAB"/>
            </w:tcBorders>
            <w:shd w:val="clear" w:color="auto" w:fill="EFF8FA"/>
          </w:tcPr>
          <w:p>
            <w:pPr>
              <w:jc w:val="right"/>
              <w:ind w:right="23"/>
              <w:spacing w:after="0"/>
              <w:rPr>
                <w:sz w:val="20"/>
                <w:szCs w:val="20"/>
                <w:color w:val="auto"/>
              </w:rPr>
            </w:pPr>
            <w:r>
              <w:rPr>
                <w:rFonts w:ascii="Arial" w:cs="Arial" w:eastAsia="Arial" w:hAnsi="Arial"/>
                <w:sz w:val="13"/>
                <w:szCs w:val="13"/>
                <w:b w:val="1"/>
                <w:bCs w:val="1"/>
                <w:color w:val="105EAB"/>
              </w:rPr>
              <w:t>Date</w:t>
            </w:r>
          </w:p>
        </w:tc>
        <w:tc>
          <w:tcPr>
            <w:tcW w:w="1050" w:type="dxa"/>
            <w:vAlign w:val="bottom"/>
            <w:tcBorders>
              <w:bottom w:val="single" w:sz="8" w:color="105FAB"/>
            </w:tcBorders>
            <w:shd w:val="clear" w:color="auto" w:fill="EFF8FA"/>
          </w:tcPr>
          <w:p>
            <w:pPr>
              <w:jc w:val="right"/>
              <w:ind w:right="33"/>
              <w:spacing w:after="0" w:line="202" w:lineRule="exact"/>
              <w:rPr>
                <w:sz w:val="20"/>
                <w:szCs w:val="20"/>
                <w:color w:val="auto"/>
              </w:rPr>
            </w:pPr>
            <w:r>
              <w:rPr>
                <w:rFonts w:ascii="Arial" w:cs="Arial" w:eastAsia="Arial" w:hAnsi="Arial"/>
                <w:sz w:val="13"/>
                <w:szCs w:val="13"/>
                <w:b w:val="1"/>
                <w:bCs w:val="1"/>
                <w:color w:val="105EAB"/>
              </w:rPr>
              <w:t>Exercisable</w:t>
            </w:r>
            <w:r>
              <w:rPr>
                <w:rFonts w:ascii="Arial" w:cs="Arial" w:eastAsia="Arial" w:hAnsi="Arial"/>
                <w:sz w:val="22"/>
                <w:szCs w:val="22"/>
                <w:b w:val="1"/>
                <w:bCs w:val="1"/>
                <w:color w:val="105EAB"/>
                <w:vertAlign w:val="superscript"/>
              </w:rPr>
              <w:t>(3)</w:t>
            </w:r>
          </w:p>
        </w:tc>
        <w:tc>
          <w:tcPr>
            <w:tcW w:w="1180" w:type="dxa"/>
            <w:vAlign w:val="bottom"/>
            <w:tcBorders>
              <w:bottom w:val="single" w:sz="8" w:color="105FAB"/>
            </w:tcBorders>
            <w:shd w:val="clear" w:color="auto" w:fill="EFF8FA"/>
          </w:tcPr>
          <w:p>
            <w:pPr>
              <w:jc w:val="right"/>
              <w:ind w:right="53"/>
              <w:spacing w:after="0" w:line="202" w:lineRule="exact"/>
              <w:rPr>
                <w:sz w:val="20"/>
                <w:szCs w:val="20"/>
                <w:color w:val="auto"/>
              </w:rPr>
            </w:pPr>
            <w:r>
              <w:rPr>
                <w:rFonts w:ascii="Arial" w:cs="Arial" w:eastAsia="Arial" w:hAnsi="Arial"/>
                <w:sz w:val="13"/>
                <w:szCs w:val="13"/>
                <w:b w:val="1"/>
                <w:bCs w:val="1"/>
                <w:color w:val="105EAB"/>
                <w:w w:val="97"/>
              </w:rPr>
              <w:t>Unexercisable</w:t>
            </w:r>
            <w:r>
              <w:rPr>
                <w:rFonts w:ascii="Arial" w:cs="Arial" w:eastAsia="Arial" w:hAnsi="Arial"/>
                <w:sz w:val="22"/>
                <w:szCs w:val="22"/>
                <w:b w:val="1"/>
                <w:bCs w:val="1"/>
                <w:color w:val="105EAB"/>
                <w:w w:val="97"/>
                <w:vertAlign w:val="superscript"/>
              </w:rPr>
              <w:t>(3)</w:t>
            </w:r>
          </w:p>
        </w:tc>
        <w:tc>
          <w:tcPr>
            <w:tcW w:w="660" w:type="dxa"/>
            <w:vAlign w:val="bottom"/>
            <w:tcBorders>
              <w:bottom w:val="single" w:sz="8" w:color="105FAB"/>
            </w:tcBorders>
            <w:gridSpan w:val="2"/>
            <w:shd w:val="clear" w:color="auto" w:fill="EFF8FA"/>
          </w:tcPr>
          <w:p>
            <w:pPr>
              <w:jc w:val="right"/>
              <w:ind w:right="100"/>
              <w:spacing w:after="0"/>
              <w:rPr>
                <w:sz w:val="20"/>
                <w:szCs w:val="20"/>
                <w:color w:val="auto"/>
              </w:rPr>
            </w:pPr>
            <w:r>
              <w:rPr>
                <w:rFonts w:ascii="Arial" w:cs="Arial" w:eastAsia="Arial" w:hAnsi="Arial"/>
                <w:sz w:val="13"/>
                <w:szCs w:val="13"/>
                <w:b w:val="1"/>
                <w:bCs w:val="1"/>
                <w:color w:val="105EAB"/>
              </w:rPr>
              <w:t>($)</w:t>
            </w:r>
          </w:p>
        </w:tc>
        <w:tc>
          <w:tcPr>
            <w:tcW w:w="780" w:type="dxa"/>
            <w:vAlign w:val="bottom"/>
            <w:tcBorders>
              <w:bottom w:val="single" w:sz="8" w:color="105FAB"/>
            </w:tcBorders>
            <w:shd w:val="clear" w:color="auto" w:fill="EFF8FA"/>
          </w:tcPr>
          <w:p>
            <w:pPr>
              <w:jc w:val="right"/>
              <w:ind w:right="13"/>
              <w:spacing w:after="0"/>
              <w:rPr>
                <w:sz w:val="20"/>
                <w:szCs w:val="20"/>
                <w:color w:val="auto"/>
              </w:rPr>
            </w:pPr>
            <w:r>
              <w:rPr>
                <w:rFonts w:ascii="Arial" w:cs="Arial" w:eastAsia="Arial" w:hAnsi="Arial"/>
                <w:sz w:val="13"/>
                <w:szCs w:val="13"/>
                <w:b w:val="1"/>
                <w:bCs w:val="1"/>
                <w:color w:val="105EAB"/>
              </w:rPr>
              <w:t>Date</w:t>
            </w:r>
          </w:p>
        </w:tc>
        <w:tc>
          <w:tcPr>
            <w:tcW w:w="80" w:type="dxa"/>
            <w:vAlign w:val="bottom"/>
            <w:tcBorders>
              <w:bottom w:val="single" w:sz="8" w:color="105FAB"/>
            </w:tcBorders>
          </w:tcPr>
          <w:p>
            <w:pPr>
              <w:spacing w:after="0"/>
              <w:rPr>
                <w:sz w:val="18"/>
                <w:szCs w:val="18"/>
                <w:color w:val="auto"/>
              </w:rPr>
            </w:pPr>
          </w:p>
        </w:tc>
        <w:tc>
          <w:tcPr>
            <w:tcW w:w="880" w:type="dxa"/>
            <w:vAlign w:val="bottom"/>
            <w:tcBorders>
              <w:bottom w:val="single" w:sz="8" w:color="105FAB"/>
            </w:tcBorders>
          </w:tcPr>
          <w:p>
            <w:pPr>
              <w:jc w:val="right"/>
              <w:spacing w:after="0"/>
              <w:rPr>
                <w:sz w:val="20"/>
                <w:szCs w:val="20"/>
                <w:color w:val="auto"/>
              </w:rPr>
            </w:pPr>
            <w:r>
              <w:rPr>
                <w:rFonts w:ascii="Arial" w:cs="Arial" w:eastAsia="Arial" w:hAnsi="Arial"/>
                <w:sz w:val="13"/>
                <w:szCs w:val="13"/>
                <w:b w:val="1"/>
                <w:bCs w:val="1"/>
                <w:color w:val="105EAB"/>
              </w:rPr>
              <w:t>Grant Date</w:t>
            </w:r>
          </w:p>
        </w:tc>
        <w:tc>
          <w:tcPr>
            <w:tcW w:w="800" w:type="dxa"/>
            <w:vAlign w:val="bottom"/>
            <w:tcBorders>
              <w:bottom w:val="single" w:sz="8" w:color="105FAB"/>
            </w:tcBorders>
          </w:tcPr>
          <w:p>
            <w:pPr>
              <w:jc w:val="right"/>
              <w:spacing w:after="0" w:line="202" w:lineRule="exact"/>
              <w:rPr>
                <w:sz w:val="20"/>
                <w:szCs w:val="20"/>
                <w:color w:val="auto"/>
              </w:rPr>
            </w:pPr>
            <w:r>
              <w:rPr>
                <w:rFonts w:ascii="Arial" w:cs="Arial" w:eastAsia="Arial" w:hAnsi="Arial"/>
                <w:sz w:val="13"/>
                <w:szCs w:val="13"/>
                <w:b w:val="1"/>
                <w:bCs w:val="1"/>
                <w:color w:val="105EAB"/>
              </w:rPr>
              <w:t>(#)</w:t>
            </w:r>
            <w:r>
              <w:rPr>
                <w:rFonts w:ascii="Arial" w:cs="Arial" w:eastAsia="Arial" w:hAnsi="Arial"/>
                <w:sz w:val="22"/>
                <w:szCs w:val="22"/>
                <w:b w:val="1"/>
                <w:bCs w:val="1"/>
                <w:color w:val="105EAB"/>
                <w:vertAlign w:val="superscript"/>
              </w:rPr>
              <w:t>(4)</w:t>
            </w:r>
          </w:p>
        </w:tc>
        <w:tc>
          <w:tcPr>
            <w:tcW w:w="820" w:type="dxa"/>
            <w:vAlign w:val="bottom"/>
            <w:tcBorders>
              <w:bottom w:val="single" w:sz="8" w:color="105FAB"/>
            </w:tcBorders>
          </w:tcPr>
          <w:p>
            <w:pPr>
              <w:jc w:val="right"/>
              <w:spacing w:after="0" w:line="202" w:lineRule="exact"/>
              <w:rPr>
                <w:sz w:val="20"/>
                <w:szCs w:val="20"/>
                <w:color w:val="auto"/>
              </w:rPr>
            </w:pPr>
            <w:r>
              <w:rPr>
                <w:rFonts w:ascii="Arial" w:cs="Arial" w:eastAsia="Arial" w:hAnsi="Arial"/>
                <w:sz w:val="13"/>
                <w:szCs w:val="13"/>
                <w:b w:val="1"/>
                <w:bCs w:val="1"/>
                <w:color w:val="105EAB"/>
              </w:rPr>
              <w:t>($)</w:t>
            </w:r>
            <w:r>
              <w:rPr>
                <w:rFonts w:ascii="Arial" w:cs="Arial" w:eastAsia="Arial" w:hAnsi="Arial"/>
                <w:sz w:val="22"/>
                <w:szCs w:val="22"/>
                <w:b w:val="1"/>
                <w:bCs w:val="1"/>
                <w:color w:val="105EAB"/>
                <w:vertAlign w:val="superscript"/>
              </w:rPr>
              <w:t>(5)</w:t>
            </w:r>
          </w:p>
        </w:tc>
        <w:tc>
          <w:tcPr>
            <w:tcW w:w="800" w:type="dxa"/>
            <w:vAlign w:val="bottom"/>
            <w:tcBorders>
              <w:bottom w:val="single" w:sz="8" w:color="105FAB"/>
            </w:tcBorders>
          </w:tcPr>
          <w:p>
            <w:pPr>
              <w:jc w:val="right"/>
              <w:spacing w:after="0" w:line="202" w:lineRule="exact"/>
              <w:rPr>
                <w:sz w:val="20"/>
                <w:szCs w:val="20"/>
                <w:color w:val="auto"/>
              </w:rPr>
            </w:pPr>
            <w:r>
              <w:rPr>
                <w:rFonts w:ascii="Arial" w:cs="Arial" w:eastAsia="Arial" w:hAnsi="Arial"/>
                <w:sz w:val="13"/>
                <w:szCs w:val="13"/>
                <w:b w:val="1"/>
                <w:bCs w:val="1"/>
                <w:color w:val="105EAB"/>
              </w:rPr>
              <w:t>(#)</w:t>
            </w:r>
            <w:r>
              <w:rPr>
                <w:rFonts w:ascii="Arial" w:cs="Arial" w:eastAsia="Arial" w:hAnsi="Arial"/>
                <w:sz w:val="22"/>
                <w:szCs w:val="22"/>
                <w:b w:val="1"/>
                <w:bCs w:val="1"/>
                <w:color w:val="105EAB"/>
                <w:vertAlign w:val="superscript"/>
              </w:rPr>
              <w:t>(6)</w:t>
            </w:r>
          </w:p>
        </w:tc>
        <w:tc>
          <w:tcPr>
            <w:tcW w:w="800" w:type="dxa"/>
            <w:vAlign w:val="bottom"/>
            <w:tcBorders>
              <w:bottom w:val="single" w:sz="8" w:color="105FAB"/>
            </w:tcBorders>
          </w:tcPr>
          <w:p>
            <w:pPr>
              <w:jc w:val="right"/>
              <w:spacing w:after="0" w:line="202" w:lineRule="exact"/>
              <w:rPr>
                <w:sz w:val="20"/>
                <w:szCs w:val="20"/>
                <w:color w:val="auto"/>
              </w:rPr>
            </w:pPr>
            <w:r>
              <w:rPr>
                <w:rFonts w:ascii="Arial" w:cs="Arial" w:eastAsia="Arial" w:hAnsi="Arial"/>
                <w:sz w:val="13"/>
                <w:szCs w:val="13"/>
                <w:b w:val="1"/>
                <w:bCs w:val="1"/>
                <w:color w:val="105EAB"/>
              </w:rPr>
              <w:t>($)</w:t>
            </w:r>
            <w:r>
              <w:rPr>
                <w:rFonts w:ascii="Arial" w:cs="Arial" w:eastAsia="Arial" w:hAnsi="Arial"/>
                <w:sz w:val="22"/>
                <w:szCs w:val="22"/>
                <w:b w:val="1"/>
                <w:bCs w:val="1"/>
                <w:color w:val="105EAB"/>
                <w:vertAlign w:val="superscript"/>
              </w:rPr>
              <w:t>(5)</w:t>
            </w:r>
          </w:p>
        </w:tc>
      </w:tr>
      <w:tr>
        <w:trPr>
          <w:trHeight w:val="209"/>
        </w:trPr>
        <w:tc>
          <w:tcPr>
            <w:tcW w:w="2660" w:type="dxa"/>
            <w:vAlign w:val="bottom"/>
          </w:tcPr>
          <w:p>
            <w:pPr>
              <w:ind w:left="40"/>
              <w:spacing w:after="0"/>
              <w:rPr>
                <w:sz w:val="20"/>
                <w:szCs w:val="20"/>
                <w:color w:val="auto"/>
              </w:rPr>
            </w:pPr>
            <w:r>
              <w:rPr>
                <w:rFonts w:ascii="Arial" w:cs="Arial" w:eastAsia="Arial" w:hAnsi="Arial"/>
                <w:sz w:val="13"/>
                <w:szCs w:val="13"/>
                <w:b w:val="1"/>
                <w:bCs w:val="1"/>
                <w:color w:val="105EAB"/>
              </w:rPr>
              <w:t>Mr. Wilson</w:t>
            </w:r>
          </w:p>
        </w:tc>
        <w:tc>
          <w:tcPr>
            <w:tcW w:w="80" w:type="dxa"/>
            <w:vAlign w:val="bottom"/>
          </w:tcPr>
          <w:p>
            <w:pPr>
              <w:spacing w:after="0"/>
              <w:rPr>
                <w:sz w:val="18"/>
                <w:szCs w:val="18"/>
                <w:color w:val="auto"/>
              </w:rPr>
            </w:pPr>
          </w:p>
        </w:tc>
        <w:tc>
          <w:tcPr>
            <w:tcW w:w="830" w:type="dxa"/>
            <w:vAlign w:val="bottom"/>
            <w:tcBorders>
              <w:bottom w:val="single" w:sz="8" w:color="EFF8FA"/>
            </w:tcBorders>
            <w:shd w:val="clear" w:color="auto" w:fill="EFF8FA"/>
          </w:tcPr>
          <w:p>
            <w:pPr>
              <w:jc w:val="right"/>
              <w:spacing w:after="0"/>
              <w:rPr>
                <w:sz w:val="20"/>
                <w:szCs w:val="20"/>
                <w:color w:val="auto"/>
              </w:rPr>
            </w:pPr>
            <w:r>
              <w:rPr>
                <w:rFonts w:ascii="Arial" w:cs="Arial" w:eastAsia="Arial" w:hAnsi="Arial"/>
                <w:sz w:val="13"/>
                <w:szCs w:val="13"/>
                <w:color w:val="auto"/>
              </w:rPr>
              <w:t>02/22/2011</w:t>
            </w:r>
          </w:p>
        </w:tc>
        <w:tc>
          <w:tcPr>
            <w:tcW w:w="1050" w:type="dxa"/>
            <w:vAlign w:val="bottom"/>
            <w:tcBorders>
              <w:bottom w:val="single" w:sz="8" w:color="EFF8FA"/>
            </w:tcBorders>
            <w:shd w:val="clear" w:color="auto" w:fill="EFF8FA"/>
          </w:tcPr>
          <w:p>
            <w:pPr>
              <w:jc w:val="right"/>
              <w:ind w:right="33"/>
              <w:spacing w:after="0"/>
              <w:rPr>
                <w:sz w:val="20"/>
                <w:szCs w:val="20"/>
                <w:color w:val="auto"/>
              </w:rPr>
            </w:pPr>
            <w:r>
              <w:rPr>
                <w:rFonts w:ascii="Arial" w:cs="Arial" w:eastAsia="Arial" w:hAnsi="Arial"/>
                <w:sz w:val="13"/>
                <w:szCs w:val="13"/>
                <w:color w:val="auto"/>
              </w:rPr>
              <w:t>447,808</w:t>
            </w:r>
          </w:p>
        </w:tc>
        <w:tc>
          <w:tcPr>
            <w:tcW w:w="1180" w:type="dxa"/>
            <w:vAlign w:val="bottom"/>
            <w:tcBorders>
              <w:bottom w:val="single" w:sz="8" w:color="EFF8FA"/>
            </w:tcBorders>
            <w:shd w:val="clear" w:color="auto" w:fill="EFF8FA"/>
          </w:tcPr>
          <w:p>
            <w:pPr>
              <w:jc w:val="right"/>
              <w:ind w:right="53"/>
              <w:spacing w:after="0"/>
              <w:rPr>
                <w:sz w:val="20"/>
                <w:szCs w:val="20"/>
                <w:color w:val="auto"/>
              </w:rPr>
            </w:pPr>
            <w:r>
              <w:rPr>
                <w:rFonts w:ascii="Arial" w:cs="Arial" w:eastAsia="Arial" w:hAnsi="Arial"/>
                <w:sz w:val="13"/>
                <w:szCs w:val="13"/>
                <w:color w:val="auto"/>
              </w:rPr>
              <w:t>0</w:t>
            </w:r>
          </w:p>
        </w:tc>
        <w:tc>
          <w:tcPr>
            <w:tcW w:w="660" w:type="dxa"/>
            <w:vAlign w:val="bottom"/>
            <w:tcBorders>
              <w:bottom w:val="single" w:sz="8" w:color="EFF8FA"/>
            </w:tcBorders>
            <w:gridSpan w:val="2"/>
            <w:shd w:val="clear" w:color="auto" w:fill="EFF8FA"/>
          </w:tcPr>
          <w:p>
            <w:pPr>
              <w:jc w:val="right"/>
              <w:ind w:right="100"/>
              <w:spacing w:after="0"/>
              <w:rPr>
                <w:sz w:val="20"/>
                <w:szCs w:val="20"/>
                <w:color w:val="auto"/>
              </w:rPr>
            </w:pPr>
            <w:r>
              <w:rPr>
                <w:rFonts w:ascii="Arial" w:cs="Arial" w:eastAsia="Arial" w:hAnsi="Arial"/>
                <w:sz w:val="13"/>
                <w:szCs w:val="13"/>
                <w:color w:val="auto"/>
              </w:rPr>
              <w:t>31.74</w:t>
            </w:r>
          </w:p>
        </w:tc>
        <w:tc>
          <w:tcPr>
            <w:tcW w:w="780" w:type="dxa"/>
            <w:vAlign w:val="bottom"/>
            <w:tcBorders>
              <w:bottom w:val="single" w:sz="8" w:color="EFF8FA"/>
            </w:tcBorders>
            <w:shd w:val="clear" w:color="auto" w:fill="EFF8FA"/>
          </w:tcPr>
          <w:p>
            <w:pPr>
              <w:jc w:val="right"/>
              <w:ind w:right="13"/>
              <w:spacing w:after="0"/>
              <w:rPr>
                <w:sz w:val="20"/>
                <w:szCs w:val="20"/>
                <w:color w:val="auto"/>
              </w:rPr>
            </w:pPr>
            <w:r>
              <w:rPr>
                <w:rFonts w:ascii="Arial" w:cs="Arial" w:eastAsia="Arial" w:hAnsi="Arial"/>
                <w:sz w:val="13"/>
                <w:szCs w:val="13"/>
                <w:color w:val="auto"/>
              </w:rPr>
              <w:t>02/22/2021</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0"/>
        </w:trPr>
        <w:tc>
          <w:tcPr>
            <w:tcW w:w="2660" w:type="dxa"/>
            <w:vAlign w:val="bottom"/>
          </w:tcPr>
          <w:p>
            <w:pPr>
              <w:spacing w:after="0" w:line="20" w:lineRule="exact"/>
              <w:rPr>
                <w:sz w:val="1"/>
                <w:szCs w:val="1"/>
                <w:color w:val="auto"/>
              </w:rPr>
            </w:pPr>
          </w:p>
        </w:tc>
        <w:tc>
          <w:tcPr>
            <w:tcW w:w="80" w:type="dxa"/>
            <w:vAlign w:val="bottom"/>
            <w:shd w:val="clear" w:color="auto" w:fill="E9F1FB"/>
          </w:tcPr>
          <w:p>
            <w:pPr>
              <w:spacing w:after="0" w:line="20" w:lineRule="exact"/>
              <w:rPr>
                <w:sz w:val="1"/>
                <w:szCs w:val="1"/>
                <w:color w:val="auto"/>
              </w:rPr>
            </w:pPr>
          </w:p>
        </w:tc>
        <w:tc>
          <w:tcPr>
            <w:tcW w:w="830" w:type="dxa"/>
            <w:vAlign w:val="bottom"/>
            <w:shd w:val="clear" w:color="auto" w:fill="E9F1FB"/>
          </w:tcPr>
          <w:p>
            <w:pPr>
              <w:spacing w:after="0" w:line="20" w:lineRule="exact"/>
              <w:rPr>
                <w:sz w:val="1"/>
                <w:szCs w:val="1"/>
                <w:color w:val="auto"/>
              </w:rPr>
            </w:pPr>
          </w:p>
        </w:tc>
        <w:tc>
          <w:tcPr>
            <w:tcW w:w="1050" w:type="dxa"/>
            <w:vAlign w:val="bottom"/>
            <w:shd w:val="clear" w:color="auto" w:fill="E9F1FB"/>
          </w:tcPr>
          <w:p>
            <w:pPr>
              <w:spacing w:after="0" w:line="20" w:lineRule="exact"/>
              <w:rPr>
                <w:sz w:val="1"/>
                <w:szCs w:val="1"/>
                <w:color w:val="auto"/>
              </w:rPr>
            </w:pPr>
          </w:p>
        </w:tc>
        <w:tc>
          <w:tcPr>
            <w:tcW w:w="1180" w:type="dxa"/>
            <w:vAlign w:val="bottom"/>
            <w:shd w:val="clear" w:color="auto" w:fill="E9F1FB"/>
          </w:tcPr>
          <w:p>
            <w:pPr>
              <w:spacing w:after="0" w:line="20" w:lineRule="exact"/>
              <w:rPr>
                <w:sz w:val="1"/>
                <w:szCs w:val="1"/>
                <w:color w:val="auto"/>
              </w:rPr>
            </w:pPr>
          </w:p>
        </w:tc>
        <w:tc>
          <w:tcPr>
            <w:tcW w:w="560" w:type="dxa"/>
            <w:vAlign w:val="bottom"/>
            <w:shd w:val="clear" w:color="auto" w:fill="E9F1FB"/>
          </w:tcPr>
          <w:p>
            <w:pPr>
              <w:spacing w:after="0" w:line="20" w:lineRule="exact"/>
              <w:rPr>
                <w:sz w:val="1"/>
                <w:szCs w:val="1"/>
                <w:color w:val="auto"/>
              </w:rPr>
            </w:pPr>
          </w:p>
        </w:tc>
        <w:tc>
          <w:tcPr>
            <w:tcW w:w="100" w:type="dxa"/>
            <w:vAlign w:val="bottom"/>
            <w:shd w:val="clear" w:color="auto" w:fill="EFF8FA"/>
          </w:tcPr>
          <w:p>
            <w:pPr>
              <w:spacing w:after="0" w:line="20" w:lineRule="exact"/>
              <w:rPr>
                <w:sz w:val="1"/>
                <w:szCs w:val="1"/>
                <w:color w:val="auto"/>
              </w:rPr>
            </w:pPr>
          </w:p>
        </w:tc>
        <w:tc>
          <w:tcPr>
            <w:tcW w:w="780" w:type="dxa"/>
            <w:vAlign w:val="bottom"/>
            <w:shd w:val="clear" w:color="auto" w:fill="EFF8FA"/>
          </w:tcPr>
          <w:p>
            <w:pPr>
              <w:spacing w:after="0" w:line="20" w:lineRule="exact"/>
              <w:rPr>
                <w:sz w:val="1"/>
                <w:szCs w:val="1"/>
                <w:color w:val="auto"/>
              </w:rPr>
            </w:pPr>
          </w:p>
        </w:tc>
        <w:tc>
          <w:tcPr>
            <w:tcW w:w="80" w:type="dxa"/>
            <w:vAlign w:val="bottom"/>
            <w:shd w:val="clear" w:color="auto" w:fill="DFF1FB"/>
          </w:tcPr>
          <w:p>
            <w:pPr>
              <w:spacing w:after="0" w:line="20" w:lineRule="exact"/>
              <w:rPr>
                <w:sz w:val="1"/>
                <w:szCs w:val="1"/>
                <w:color w:val="auto"/>
              </w:rPr>
            </w:pPr>
          </w:p>
        </w:tc>
        <w:tc>
          <w:tcPr>
            <w:tcW w:w="880" w:type="dxa"/>
            <w:vAlign w:val="bottom"/>
            <w:shd w:val="clear" w:color="auto" w:fill="DFF1FB"/>
          </w:tcPr>
          <w:p>
            <w:pPr>
              <w:spacing w:after="0" w:line="20" w:lineRule="exact"/>
              <w:rPr>
                <w:sz w:val="1"/>
                <w:szCs w:val="1"/>
                <w:color w:val="auto"/>
              </w:rPr>
            </w:pPr>
          </w:p>
        </w:tc>
        <w:tc>
          <w:tcPr>
            <w:tcW w:w="800" w:type="dxa"/>
            <w:vAlign w:val="bottom"/>
            <w:shd w:val="clear" w:color="auto" w:fill="DFF1FB"/>
          </w:tcPr>
          <w:p>
            <w:pPr>
              <w:spacing w:after="0" w:line="20" w:lineRule="exact"/>
              <w:rPr>
                <w:sz w:val="1"/>
                <w:szCs w:val="1"/>
                <w:color w:val="auto"/>
              </w:rPr>
            </w:pPr>
          </w:p>
        </w:tc>
        <w:tc>
          <w:tcPr>
            <w:tcW w:w="820" w:type="dxa"/>
            <w:vAlign w:val="bottom"/>
            <w:shd w:val="clear" w:color="auto" w:fill="DFF1FB"/>
          </w:tcPr>
          <w:p>
            <w:pPr>
              <w:spacing w:after="0" w:line="20" w:lineRule="exact"/>
              <w:rPr>
                <w:sz w:val="1"/>
                <w:szCs w:val="1"/>
                <w:color w:val="auto"/>
              </w:rPr>
            </w:pPr>
          </w:p>
        </w:tc>
        <w:tc>
          <w:tcPr>
            <w:tcW w:w="800" w:type="dxa"/>
            <w:vAlign w:val="bottom"/>
            <w:shd w:val="clear" w:color="auto" w:fill="DFF1FB"/>
          </w:tcPr>
          <w:p>
            <w:pPr>
              <w:spacing w:after="0" w:line="20" w:lineRule="exact"/>
              <w:rPr>
                <w:sz w:val="1"/>
                <w:szCs w:val="1"/>
                <w:color w:val="auto"/>
              </w:rPr>
            </w:pPr>
          </w:p>
        </w:tc>
        <w:tc>
          <w:tcPr>
            <w:tcW w:w="800" w:type="dxa"/>
            <w:vAlign w:val="bottom"/>
            <w:shd w:val="clear" w:color="auto" w:fill="DFF1FB"/>
          </w:tcPr>
          <w:p>
            <w:pPr>
              <w:spacing w:after="0" w:line="20" w:lineRule="exact"/>
              <w:rPr>
                <w:sz w:val="1"/>
                <w:szCs w:val="1"/>
                <w:color w:val="auto"/>
              </w:rPr>
            </w:pPr>
          </w:p>
        </w:tc>
      </w:tr>
      <w:tr>
        <w:trPr>
          <w:trHeight w:val="203"/>
        </w:trPr>
        <w:tc>
          <w:tcPr>
            <w:tcW w:w="2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30" w:type="dxa"/>
            <w:vAlign w:val="bottom"/>
            <w:tcBorders>
              <w:bottom w:val="single" w:sz="8" w:color="EFF8FA"/>
            </w:tcBorders>
            <w:shd w:val="clear" w:color="auto" w:fill="EFF8FA"/>
          </w:tcPr>
          <w:p>
            <w:pPr>
              <w:jc w:val="right"/>
              <w:spacing w:after="0"/>
              <w:rPr>
                <w:sz w:val="20"/>
                <w:szCs w:val="20"/>
                <w:color w:val="auto"/>
              </w:rPr>
            </w:pPr>
            <w:r>
              <w:rPr>
                <w:rFonts w:ascii="Arial" w:cs="Arial" w:eastAsia="Arial" w:hAnsi="Arial"/>
                <w:sz w:val="13"/>
                <w:szCs w:val="13"/>
                <w:color w:val="auto"/>
              </w:rPr>
              <w:t>02/21/2012</w:t>
            </w:r>
          </w:p>
        </w:tc>
        <w:tc>
          <w:tcPr>
            <w:tcW w:w="1050" w:type="dxa"/>
            <w:vAlign w:val="bottom"/>
            <w:tcBorders>
              <w:bottom w:val="single" w:sz="8" w:color="EFF8FA"/>
            </w:tcBorders>
            <w:shd w:val="clear" w:color="auto" w:fill="EFF8FA"/>
          </w:tcPr>
          <w:p>
            <w:pPr>
              <w:jc w:val="right"/>
              <w:ind w:right="33"/>
              <w:spacing w:after="0"/>
              <w:rPr>
                <w:sz w:val="20"/>
                <w:szCs w:val="20"/>
                <w:color w:val="auto"/>
              </w:rPr>
            </w:pPr>
            <w:r>
              <w:rPr>
                <w:rFonts w:ascii="Arial" w:cs="Arial" w:eastAsia="Arial" w:hAnsi="Arial"/>
                <w:sz w:val="13"/>
                <w:szCs w:val="13"/>
                <w:color w:val="auto"/>
              </w:rPr>
              <w:t>444,060</w:t>
            </w:r>
          </w:p>
        </w:tc>
        <w:tc>
          <w:tcPr>
            <w:tcW w:w="1180" w:type="dxa"/>
            <w:vAlign w:val="bottom"/>
            <w:tcBorders>
              <w:bottom w:val="single" w:sz="8" w:color="EFF8FA"/>
            </w:tcBorders>
            <w:shd w:val="clear" w:color="auto" w:fill="EFF8FA"/>
          </w:tcPr>
          <w:p>
            <w:pPr>
              <w:jc w:val="right"/>
              <w:ind w:right="53"/>
              <w:spacing w:after="0"/>
              <w:rPr>
                <w:sz w:val="20"/>
                <w:szCs w:val="20"/>
                <w:color w:val="auto"/>
              </w:rPr>
            </w:pPr>
            <w:r>
              <w:rPr>
                <w:rFonts w:ascii="Arial" w:cs="Arial" w:eastAsia="Arial" w:hAnsi="Arial"/>
                <w:sz w:val="13"/>
                <w:szCs w:val="13"/>
                <w:color w:val="auto"/>
              </w:rPr>
              <w:t>0</w:t>
            </w:r>
          </w:p>
        </w:tc>
        <w:tc>
          <w:tcPr>
            <w:tcW w:w="660" w:type="dxa"/>
            <w:vAlign w:val="bottom"/>
            <w:tcBorders>
              <w:bottom w:val="single" w:sz="8" w:color="EFF8FA"/>
            </w:tcBorders>
            <w:gridSpan w:val="2"/>
            <w:shd w:val="clear" w:color="auto" w:fill="EFF8FA"/>
          </w:tcPr>
          <w:p>
            <w:pPr>
              <w:jc w:val="right"/>
              <w:ind w:right="100"/>
              <w:spacing w:after="0"/>
              <w:rPr>
                <w:sz w:val="20"/>
                <w:szCs w:val="20"/>
                <w:color w:val="auto"/>
              </w:rPr>
            </w:pPr>
            <w:r>
              <w:rPr>
                <w:rFonts w:ascii="Arial" w:cs="Arial" w:eastAsia="Arial" w:hAnsi="Arial"/>
                <w:sz w:val="13"/>
                <w:szCs w:val="13"/>
                <w:color w:val="auto"/>
              </w:rPr>
              <w:t>31.56</w:t>
            </w:r>
          </w:p>
        </w:tc>
        <w:tc>
          <w:tcPr>
            <w:tcW w:w="780" w:type="dxa"/>
            <w:vAlign w:val="bottom"/>
            <w:tcBorders>
              <w:bottom w:val="single" w:sz="8" w:color="EFF8FA"/>
            </w:tcBorders>
            <w:shd w:val="clear" w:color="auto" w:fill="EFF8FA"/>
          </w:tcPr>
          <w:p>
            <w:pPr>
              <w:jc w:val="right"/>
              <w:ind w:right="13"/>
              <w:spacing w:after="0"/>
              <w:rPr>
                <w:sz w:val="20"/>
                <w:szCs w:val="20"/>
                <w:color w:val="auto"/>
              </w:rPr>
            </w:pPr>
            <w:r>
              <w:rPr>
                <w:rFonts w:ascii="Arial" w:cs="Arial" w:eastAsia="Arial" w:hAnsi="Arial"/>
                <w:sz w:val="13"/>
                <w:szCs w:val="13"/>
                <w:color w:val="auto"/>
              </w:rPr>
              <w:t>02/21/2022</w:t>
            </w: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
        </w:trPr>
        <w:tc>
          <w:tcPr>
            <w:tcW w:w="2660" w:type="dxa"/>
            <w:vAlign w:val="bottom"/>
          </w:tcPr>
          <w:p>
            <w:pPr>
              <w:spacing w:after="0" w:line="20" w:lineRule="exact"/>
              <w:rPr>
                <w:sz w:val="1"/>
                <w:szCs w:val="1"/>
                <w:color w:val="auto"/>
              </w:rPr>
            </w:pPr>
          </w:p>
        </w:tc>
        <w:tc>
          <w:tcPr>
            <w:tcW w:w="80" w:type="dxa"/>
            <w:vAlign w:val="bottom"/>
            <w:shd w:val="clear" w:color="auto" w:fill="E9F1FB"/>
          </w:tcPr>
          <w:p>
            <w:pPr>
              <w:spacing w:after="0" w:line="20" w:lineRule="exact"/>
              <w:rPr>
                <w:sz w:val="1"/>
                <w:szCs w:val="1"/>
                <w:color w:val="auto"/>
              </w:rPr>
            </w:pPr>
          </w:p>
        </w:tc>
        <w:tc>
          <w:tcPr>
            <w:tcW w:w="830" w:type="dxa"/>
            <w:vAlign w:val="bottom"/>
            <w:shd w:val="clear" w:color="auto" w:fill="E9F1FB"/>
          </w:tcPr>
          <w:p>
            <w:pPr>
              <w:spacing w:after="0" w:line="20" w:lineRule="exact"/>
              <w:rPr>
                <w:sz w:val="1"/>
                <w:szCs w:val="1"/>
                <w:color w:val="auto"/>
              </w:rPr>
            </w:pPr>
          </w:p>
        </w:tc>
        <w:tc>
          <w:tcPr>
            <w:tcW w:w="1050" w:type="dxa"/>
            <w:vAlign w:val="bottom"/>
            <w:shd w:val="clear" w:color="auto" w:fill="E9F1FB"/>
          </w:tcPr>
          <w:p>
            <w:pPr>
              <w:spacing w:after="0" w:line="20" w:lineRule="exact"/>
              <w:rPr>
                <w:sz w:val="1"/>
                <w:szCs w:val="1"/>
                <w:color w:val="auto"/>
              </w:rPr>
            </w:pPr>
          </w:p>
        </w:tc>
        <w:tc>
          <w:tcPr>
            <w:tcW w:w="1180" w:type="dxa"/>
            <w:vAlign w:val="bottom"/>
            <w:shd w:val="clear" w:color="auto" w:fill="E9F1FB"/>
          </w:tcPr>
          <w:p>
            <w:pPr>
              <w:spacing w:after="0" w:line="20" w:lineRule="exact"/>
              <w:rPr>
                <w:sz w:val="1"/>
                <w:szCs w:val="1"/>
                <w:color w:val="auto"/>
              </w:rPr>
            </w:pPr>
          </w:p>
        </w:tc>
        <w:tc>
          <w:tcPr>
            <w:tcW w:w="560" w:type="dxa"/>
            <w:vAlign w:val="bottom"/>
            <w:shd w:val="clear" w:color="auto" w:fill="E9F1FB"/>
          </w:tcPr>
          <w:p>
            <w:pPr>
              <w:spacing w:after="0" w:line="20" w:lineRule="exact"/>
              <w:rPr>
                <w:sz w:val="1"/>
                <w:szCs w:val="1"/>
                <w:color w:val="auto"/>
              </w:rPr>
            </w:pPr>
          </w:p>
        </w:tc>
        <w:tc>
          <w:tcPr>
            <w:tcW w:w="100" w:type="dxa"/>
            <w:vAlign w:val="bottom"/>
            <w:shd w:val="clear" w:color="auto" w:fill="EFF8FA"/>
          </w:tcPr>
          <w:p>
            <w:pPr>
              <w:spacing w:after="0" w:line="20" w:lineRule="exact"/>
              <w:rPr>
                <w:sz w:val="1"/>
                <w:szCs w:val="1"/>
                <w:color w:val="auto"/>
              </w:rPr>
            </w:pPr>
          </w:p>
        </w:tc>
        <w:tc>
          <w:tcPr>
            <w:tcW w:w="780" w:type="dxa"/>
            <w:vAlign w:val="bottom"/>
            <w:shd w:val="clear" w:color="auto" w:fill="EFF8FA"/>
          </w:tcPr>
          <w:p>
            <w:pPr>
              <w:spacing w:after="0" w:line="20" w:lineRule="exact"/>
              <w:rPr>
                <w:sz w:val="1"/>
                <w:szCs w:val="1"/>
                <w:color w:val="auto"/>
              </w:rPr>
            </w:pPr>
          </w:p>
        </w:tc>
        <w:tc>
          <w:tcPr>
            <w:tcW w:w="80" w:type="dxa"/>
            <w:vAlign w:val="bottom"/>
            <w:shd w:val="clear" w:color="auto" w:fill="DFF1FB"/>
          </w:tcPr>
          <w:p>
            <w:pPr>
              <w:spacing w:after="0" w:line="20" w:lineRule="exact"/>
              <w:rPr>
                <w:sz w:val="1"/>
                <w:szCs w:val="1"/>
                <w:color w:val="auto"/>
              </w:rPr>
            </w:pPr>
          </w:p>
        </w:tc>
        <w:tc>
          <w:tcPr>
            <w:tcW w:w="880" w:type="dxa"/>
            <w:vAlign w:val="bottom"/>
            <w:shd w:val="clear" w:color="auto" w:fill="DFF1FB"/>
          </w:tcPr>
          <w:p>
            <w:pPr>
              <w:spacing w:after="0" w:line="20" w:lineRule="exact"/>
              <w:rPr>
                <w:sz w:val="1"/>
                <w:szCs w:val="1"/>
                <w:color w:val="auto"/>
              </w:rPr>
            </w:pPr>
          </w:p>
        </w:tc>
        <w:tc>
          <w:tcPr>
            <w:tcW w:w="800" w:type="dxa"/>
            <w:vAlign w:val="bottom"/>
            <w:shd w:val="clear" w:color="auto" w:fill="DFF1FB"/>
          </w:tcPr>
          <w:p>
            <w:pPr>
              <w:spacing w:after="0" w:line="20" w:lineRule="exact"/>
              <w:rPr>
                <w:sz w:val="1"/>
                <w:szCs w:val="1"/>
                <w:color w:val="auto"/>
              </w:rPr>
            </w:pPr>
          </w:p>
        </w:tc>
        <w:tc>
          <w:tcPr>
            <w:tcW w:w="820" w:type="dxa"/>
            <w:vAlign w:val="bottom"/>
            <w:shd w:val="clear" w:color="auto" w:fill="DFF1FB"/>
          </w:tcPr>
          <w:p>
            <w:pPr>
              <w:spacing w:after="0" w:line="20" w:lineRule="exact"/>
              <w:rPr>
                <w:sz w:val="1"/>
                <w:szCs w:val="1"/>
                <w:color w:val="auto"/>
              </w:rPr>
            </w:pPr>
          </w:p>
        </w:tc>
        <w:tc>
          <w:tcPr>
            <w:tcW w:w="800" w:type="dxa"/>
            <w:vAlign w:val="bottom"/>
            <w:shd w:val="clear" w:color="auto" w:fill="DFF1FB"/>
          </w:tcPr>
          <w:p>
            <w:pPr>
              <w:spacing w:after="0" w:line="20" w:lineRule="exact"/>
              <w:rPr>
                <w:sz w:val="1"/>
                <w:szCs w:val="1"/>
                <w:color w:val="auto"/>
              </w:rPr>
            </w:pPr>
          </w:p>
        </w:tc>
        <w:tc>
          <w:tcPr>
            <w:tcW w:w="800" w:type="dxa"/>
            <w:vAlign w:val="bottom"/>
            <w:shd w:val="clear" w:color="auto" w:fill="DFF1FB"/>
          </w:tcPr>
          <w:p>
            <w:pPr>
              <w:spacing w:after="0" w:line="20" w:lineRule="exact"/>
              <w:rPr>
                <w:sz w:val="1"/>
                <w:szCs w:val="1"/>
                <w:color w:val="auto"/>
              </w:rPr>
            </w:pPr>
          </w:p>
        </w:tc>
      </w:tr>
      <w:tr>
        <w:trPr>
          <w:trHeight w:val="203"/>
        </w:trPr>
        <w:tc>
          <w:tcPr>
            <w:tcW w:w="2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30" w:type="dxa"/>
            <w:vAlign w:val="bottom"/>
            <w:tcBorders>
              <w:bottom w:val="single" w:sz="8" w:color="EFF8FA"/>
            </w:tcBorders>
            <w:shd w:val="clear" w:color="auto" w:fill="EFF8FA"/>
          </w:tcPr>
          <w:p>
            <w:pPr>
              <w:jc w:val="right"/>
              <w:spacing w:after="0"/>
              <w:rPr>
                <w:sz w:val="20"/>
                <w:szCs w:val="20"/>
                <w:color w:val="auto"/>
              </w:rPr>
            </w:pPr>
            <w:r>
              <w:rPr>
                <w:rFonts w:ascii="Arial" w:cs="Arial" w:eastAsia="Arial" w:hAnsi="Arial"/>
                <w:sz w:val="13"/>
                <w:szCs w:val="13"/>
                <w:color w:val="auto"/>
              </w:rPr>
              <w:t>02/12/2013</w:t>
            </w:r>
          </w:p>
        </w:tc>
        <w:tc>
          <w:tcPr>
            <w:tcW w:w="1050" w:type="dxa"/>
            <w:vAlign w:val="bottom"/>
            <w:tcBorders>
              <w:bottom w:val="single" w:sz="8" w:color="EFF8FA"/>
            </w:tcBorders>
            <w:shd w:val="clear" w:color="auto" w:fill="EFF8FA"/>
          </w:tcPr>
          <w:p>
            <w:pPr>
              <w:jc w:val="right"/>
              <w:ind w:right="33"/>
              <w:spacing w:after="0"/>
              <w:rPr>
                <w:sz w:val="20"/>
                <w:szCs w:val="20"/>
                <w:color w:val="auto"/>
              </w:rPr>
            </w:pPr>
            <w:r>
              <w:rPr>
                <w:rFonts w:ascii="Arial" w:cs="Arial" w:eastAsia="Arial" w:hAnsi="Arial"/>
                <w:sz w:val="13"/>
                <w:szCs w:val="13"/>
                <w:color w:val="auto"/>
              </w:rPr>
              <w:t>363,409</w:t>
            </w:r>
          </w:p>
        </w:tc>
        <w:tc>
          <w:tcPr>
            <w:tcW w:w="1180" w:type="dxa"/>
            <w:vAlign w:val="bottom"/>
            <w:tcBorders>
              <w:bottom w:val="single" w:sz="8" w:color="EFF8FA"/>
            </w:tcBorders>
            <w:shd w:val="clear" w:color="auto" w:fill="EFF8FA"/>
          </w:tcPr>
          <w:p>
            <w:pPr>
              <w:jc w:val="right"/>
              <w:ind w:right="53"/>
              <w:spacing w:after="0"/>
              <w:rPr>
                <w:sz w:val="20"/>
                <w:szCs w:val="20"/>
                <w:color w:val="auto"/>
              </w:rPr>
            </w:pPr>
            <w:r>
              <w:rPr>
                <w:rFonts w:ascii="Arial" w:cs="Arial" w:eastAsia="Arial" w:hAnsi="Arial"/>
                <w:sz w:val="13"/>
                <w:szCs w:val="13"/>
                <w:color w:val="auto"/>
              </w:rPr>
              <w:t>0</w:t>
            </w:r>
          </w:p>
        </w:tc>
        <w:tc>
          <w:tcPr>
            <w:tcW w:w="660" w:type="dxa"/>
            <w:vAlign w:val="bottom"/>
            <w:tcBorders>
              <w:bottom w:val="single" w:sz="8" w:color="EFF8FA"/>
            </w:tcBorders>
            <w:gridSpan w:val="2"/>
            <w:shd w:val="clear" w:color="auto" w:fill="EFF8FA"/>
          </w:tcPr>
          <w:p>
            <w:pPr>
              <w:jc w:val="right"/>
              <w:ind w:right="100"/>
              <w:spacing w:after="0"/>
              <w:rPr>
                <w:sz w:val="20"/>
                <w:szCs w:val="20"/>
                <w:color w:val="auto"/>
              </w:rPr>
            </w:pPr>
            <w:r>
              <w:rPr>
                <w:rFonts w:ascii="Arial" w:cs="Arial" w:eastAsia="Arial" w:hAnsi="Arial"/>
                <w:sz w:val="13"/>
                <w:szCs w:val="13"/>
                <w:color w:val="auto"/>
              </w:rPr>
              <w:t>45.61</w:t>
            </w:r>
          </w:p>
        </w:tc>
        <w:tc>
          <w:tcPr>
            <w:tcW w:w="780" w:type="dxa"/>
            <w:vAlign w:val="bottom"/>
            <w:tcBorders>
              <w:bottom w:val="single" w:sz="8" w:color="EFF8FA"/>
            </w:tcBorders>
            <w:shd w:val="clear" w:color="auto" w:fill="EFF8FA"/>
          </w:tcPr>
          <w:p>
            <w:pPr>
              <w:jc w:val="right"/>
              <w:ind w:right="13"/>
              <w:spacing w:after="0"/>
              <w:rPr>
                <w:sz w:val="20"/>
                <w:szCs w:val="20"/>
                <w:color w:val="auto"/>
              </w:rPr>
            </w:pPr>
            <w:r>
              <w:rPr>
                <w:rFonts w:ascii="Arial" w:cs="Arial" w:eastAsia="Arial" w:hAnsi="Arial"/>
                <w:sz w:val="13"/>
                <w:szCs w:val="13"/>
                <w:color w:val="auto"/>
              </w:rPr>
              <w:t>02/12/2023</w:t>
            </w: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
        </w:trPr>
        <w:tc>
          <w:tcPr>
            <w:tcW w:w="2660" w:type="dxa"/>
            <w:vAlign w:val="bottom"/>
          </w:tcPr>
          <w:p>
            <w:pPr>
              <w:spacing w:after="0" w:line="20" w:lineRule="exact"/>
              <w:rPr>
                <w:sz w:val="1"/>
                <w:szCs w:val="1"/>
                <w:color w:val="auto"/>
              </w:rPr>
            </w:pPr>
          </w:p>
        </w:tc>
        <w:tc>
          <w:tcPr>
            <w:tcW w:w="80" w:type="dxa"/>
            <w:vAlign w:val="bottom"/>
            <w:shd w:val="clear" w:color="auto" w:fill="E9F1FB"/>
          </w:tcPr>
          <w:p>
            <w:pPr>
              <w:spacing w:after="0" w:line="20" w:lineRule="exact"/>
              <w:rPr>
                <w:sz w:val="1"/>
                <w:szCs w:val="1"/>
                <w:color w:val="auto"/>
              </w:rPr>
            </w:pPr>
          </w:p>
        </w:tc>
        <w:tc>
          <w:tcPr>
            <w:tcW w:w="830" w:type="dxa"/>
            <w:vAlign w:val="bottom"/>
            <w:shd w:val="clear" w:color="auto" w:fill="E9F1FB"/>
          </w:tcPr>
          <w:p>
            <w:pPr>
              <w:spacing w:after="0" w:line="20" w:lineRule="exact"/>
              <w:rPr>
                <w:sz w:val="1"/>
                <w:szCs w:val="1"/>
                <w:color w:val="auto"/>
              </w:rPr>
            </w:pPr>
          </w:p>
        </w:tc>
        <w:tc>
          <w:tcPr>
            <w:tcW w:w="1050" w:type="dxa"/>
            <w:vAlign w:val="bottom"/>
            <w:shd w:val="clear" w:color="auto" w:fill="E9F1FB"/>
          </w:tcPr>
          <w:p>
            <w:pPr>
              <w:spacing w:after="0" w:line="20" w:lineRule="exact"/>
              <w:rPr>
                <w:sz w:val="1"/>
                <w:szCs w:val="1"/>
                <w:color w:val="auto"/>
              </w:rPr>
            </w:pPr>
          </w:p>
        </w:tc>
        <w:tc>
          <w:tcPr>
            <w:tcW w:w="1180" w:type="dxa"/>
            <w:vAlign w:val="bottom"/>
            <w:shd w:val="clear" w:color="auto" w:fill="E9F1FB"/>
          </w:tcPr>
          <w:p>
            <w:pPr>
              <w:spacing w:after="0" w:line="20" w:lineRule="exact"/>
              <w:rPr>
                <w:sz w:val="1"/>
                <w:szCs w:val="1"/>
                <w:color w:val="auto"/>
              </w:rPr>
            </w:pPr>
          </w:p>
        </w:tc>
        <w:tc>
          <w:tcPr>
            <w:tcW w:w="560" w:type="dxa"/>
            <w:vAlign w:val="bottom"/>
            <w:shd w:val="clear" w:color="auto" w:fill="E9F1FB"/>
          </w:tcPr>
          <w:p>
            <w:pPr>
              <w:spacing w:after="0" w:line="20" w:lineRule="exact"/>
              <w:rPr>
                <w:sz w:val="1"/>
                <w:szCs w:val="1"/>
                <w:color w:val="auto"/>
              </w:rPr>
            </w:pPr>
          </w:p>
        </w:tc>
        <w:tc>
          <w:tcPr>
            <w:tcW w:w="100" w:type="dxa"/>
            <w:vAlign w:val="bottom"/>
            <w:shd w:val="clear" w:color="auto" w:fill="EFF8FA"/>
          </w:tcPr>
          <w:p>
            <w:pPr>
              <w:spacing w:after="0" w:line="20" w:lineRule="exact"/>
              <w:rPr>
                <w:sz w:val="1"/>
                <w:szCs w:val="1"/>
                <w:color w:val="auto"/>
              </w:rPr>
            </w:pPr>
          </w:p>
        </w:tc>
        <w:tc>
          <w:tcPr>
            <w:tcW w:w="780" w:type="dxa"/>
            <w:vAlign w:val="bottom"/>
            <w:shd w:val="clear" w:color="auto" w:fill="EFF8FA"/>
          </w:tcPr>
          <w:p>
            <w:pPr>
              <w:spacing w:after="0" w:line="20" w:lineRule="exact"/>
              <w:rPr>
                <w:sz w:val="1"/>
                <w:szCs w:val="1"/>
                <w:color w:val="auto"/>
              </w:rPr>
            </w:pPr>
          </w:p>
        </w:tc>
        <w:tc>
          <w:tcPr>
            <w:tcW w:w="80" w:type="dxa"/>
            <w:vAlign w:val="bottom"/>
            <w:shd w:val="clear" w:color="auto" w:fill="DFF1FB"/>
          </w:tcPr>
          <w:p>
            <w:pPr>
              <w:spacing w:after="0" w:line="20" w:lineRule="exact"/>
              <w:rPr>
                <w:sz w:val="1"/>
                <w:szCs w:val="1"/>
                <w:color w:val="auto"/>
              </w:rPr>
            </w:pPr>
          </w:p>
        </w:tc>
        <w:tc>
          <w:tcPr>
            <w:tcW w:w="880" w:type="dxa"/>
            <w:vAlign w:val="bottom"/>
            <w:shd w:val="clear" w:color="auto" w:fill="DFF1FB"/>
          </w:tcPr>
          <w:p>
            <w:pPr>
              <w:spacing w:after="0" w:line="20" w:lineRule="exact"/>
              <w:rPr>
                <w:sz w:val="1"/>
                <w:szCs w:val="1"/>
                <w:color w:val="auto"/>
              </w:rPr>
            </w:pPr>
          </w:p>
        </w:tc>
        <w:tc>
          <w:tcPr>
            <w:tcW w:w="800" w:type="dxa"/>
            <w:vAlign w:val="bottom"/>
            <w:shd w:val="clear" w:color="auto" w:fill="DFF1FB"/>
          </w:tcPr>
          <w:p>
            <w:pPr>
              <w:spacing w:after="0" w:line="20" w:lineRule="exact"/>
              <w:rPr>
                <w:sz w:val="1"/>
                <w:szCs w:val="1"/>
                <w:color w:val="auto"/>
              </w:rPr>
            </w:pPr>
          </w:p>
        </w:tc>
        <w:tc>
          <w:tcPr>
            <w:tcW w:w="820" w:type="dxa"/>
            <w:vAlign w:val="bottom"/>
            <w:shd w:val="clear" w:color="auto" w:fill="DFF1FB"/>
          </w:tcPr>
          <w:p>
            <w:pPr>
              <w:spacing w:after="0" w:line="20" w:lineRule="exact"/>
              <w:rPr>
                <w:sz w:val="1"/>
                <w:szCs w:val="1"/>
                <w:color w:val="auto"/>
              </w:rPr>
            </w:pPr>
          </w:p>
        </w:tc>
        <w:tc>
          <w:tcPr>
            <w:tcW w:w="800" w:type="dxa"/>
            <w:vAlign w:val="bottom"/>
            <w:shd w:val="clear" w:color="auto" w:fill="DFF1FB"/>
          </w:tcPr>
          <w:p>
            <w:pPr>
              <w:spacing w:after="0" w:line="20" w:lineRule="exact"/>
              <w:rPr>
                <w:sz w:val="1"/>
                <w:szCs w:val="1"/>
                <w:color w:val="auto"/>
              </w:rPr>
            </w:pPr>
          </w:p>
        </w:tc>
        <w:tc>
          <w:tcPr>
            <w:tcW w:w="800" w:type="dxa"/>
            <w:vAlign w:val="bottom"/>
            <w:shd w:val="clear" w:color="auto" w:fill="DFF1FB"/>
          </w:tcPr>
          <w:p>
            <w:pPr>
              <w:spacing w:after="0" w:line="20" w:lineRule="exact"/>
              <w:rPr>
                <w:sz w:val="1"/>
                <w:szCs w:val="1"/>
                <w:color w:val="auto"/>
              </w:rPr>
            </w:pPr>
          </w:p>
        </w:tc>
      </w:tr>
      <w:tr>
        <w:trPr>
          <w:trHeight w:val="223"/>
        </w:trPr>
        <w:tc>
          <w:tcPr>
            <w:tcW w:w="2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30" w:type="dxa"/>
            <w:vAlign w:val="bottom"/>
            <w:tcBorders>
              <w:bottom w:val="single" w:sz="8" w:color="EFF8FA"/>
            </w:tcBorders>
            <w:shd w:val="clear" w:color="auto" w:fill="EFF8FA"/>
          </w:tcPr>
          <w:p>
            <w:pPr>
              <w:jc w:val="right"/>
              <w:spacing w:after="0"/>
              <w:rPr>
                <w:sz w:val="20"/>
                <w:szCs w:val="20"/>
                <w:color w:val="auto"/>
              </w:rPr>
            </w:pPr>
            <w:r>
              <w:rPr>
                <w:rFonts w:ascii="Arial" w:cs="Arial" w:eastAsia="Arial" w:hAnsi="Arial"/>
                <w:sz w:val="13"/>
                <w:szCs w:val="13"/>
                <w:color w:val="auto"/>
              </w:rPr>
              <w:t>02/18/2014</w:t>
            </w:r>
          </w:p>
        </w:tc>
        <w:tc>
          <w:tcPr>
            <w:tcW w:w="1050" w:type="dxa"/>
            <w:vAlign w:val="bottom"/>
            <w:tcBorders>
              <w:bottom w:val="single" w:sz="8" w:color="EFF8FA"/>
            </w:tcBorders>
            <w:shd w:val="clear" w:color="auto" w:fill="EFF8FA"/>
          </w:tcPr>
          <w:p>
            <w:pPr>
              <w:jc w:val="right"/>
              <w:ind w:right="33"/>
              <w:spacing w:after="0"/>
              <w:rPr>
                <w:sz w:val="20"/>
                <w:szCs w:val="20"/>
                <w:color w:val="auto"/>
              </w:rPr>
            </w:pPr>
            <w:r>
              <w:rPr>
                <w:rFonts w:ascii="Arial" w:cs="Arial" w:eastAsia="Arial" w:hAnsi="Arial"/>
                <w:sz w:val="13"/>
                <w:szCs w:val="13"/>
                <w:color w:val="auto"/>
              </w:rPr>
              <w:t>309,237</w:t>
            </w:r>
          </w:p>
        </w:tc>
        <w:tc>
          <w:tcPr>
            <w:tcW w:w="1180" w:type="dxa"/>
            <w:vAlign w:val="bottom"/>
            <w:tcBorders>
              <w:bottom w:val="single" w:sz="8" w:color="EFF8FA"/>
            </w:tcBorders>
            <w:shd w:val="clear" w:color="auto" w:fill="EFF8FA"/>
          </w:tcPr>
          <w:p>
            <w:pPr>
              <w:jc w:val="right"/>
              <w:ind w:right="53"/>
              <w:spacing w:after="0"/>
              <w:rPr>
                <w:sz w:val="20"/>
                <w:szCs w:val="20"/>
                <w:color w:val="auto"/>
              </w:rPr>
            </w:pPr>
            <w:r>
              <w:rPr>
                <w:rFonts w:ascii="Arial" w:cs="Arial" w:eastAsia="Arial" w:hAnsi="Arial"/>
                <w:sz w:val="13"/>
                <w:szCs w:val="13"/>
                <w:color w:val="auto"/>
              </w:rPr>
              <w:t>0</w:t>
            </w:r>
          </w:p>
        </w:tc>
        <w:tc>
          <w:tcPr>
            <w:tcW w:w="660" w:type="dxa"/>
            <w:vAlign w:val="bottom"/>
            <w:tcBorders>
              <w:bottom w:val="single" w:sz="8" w:color="EFF8FA"/>
            </w:tcBorders>
            <w:gridSpan w:val="2"/>
            <w:shd w:val="clear" w:color="auto" w:fill="EFF8FA"/>
          </w:tcPr>
          <w:p>
            <w:pPr>
              <w:jc w:val="right"/>
              <w:ind w:right="100"/>
              <w:spacing w:after="0"/>
              <w:rPr>
                <w:sz w:val="20"/>
                <w:szCs w:val="20"/>
                <w:color w:val="auto"/>
              </w:rPr>
            </w:pPr>
            <w:r>
              <w:rPr>
                <w:rFonts w:ascii="Arial" w:cs="Arial" w:eastAsia="Arial" w:hAnsi="Arial"/>
                <w:sz w:val="13"/>
                <w:szCs w:val="13"/>
                <w:color w:val="auto"/>
              </w:rPr>
              <w:t>52.18</w:t>
            </w:r>
          </w:p>
        </w:tc>
        <w:tc>
          <w:tcPr>
            <w:tcW w:w="780" w:type="dxa"/>
            <w:vAlign w:val="bottom"/>
            <w:tcBorders>
              <w:bottom w:val="single" w:sz="8" w:color="EFF8FA"/>
            </w:tcBorders>
            <w:shd w:val="clear" w:color="auto" w:fill="EFF8FA"/>
          </w:tcPr>
          <w:p>
            <w:pPr>
              <w:jc w:val="right"/>
              <w:ind w:right="13"/>
              <w:spacing w:after="0"/>
              <w:rPr>
                <w:sz w:val="20"/>
                <w:szCs w:val="20"/>
                <w:color w:val="auto"/>
              </w:rPr>
            </w:pPr>
            <w:r>
              <w:rPr>
                <w:rFonts w:ascii="Arial" w:cs="Arial" w:eastAsia="Arial" w:hAnsi="Arial"/>
                <w:sz w:val="13"/>
                <w:szCs w:val="13"/>
                <w:color w:val="auto"/>
              </w:rPr>
              <w:t>02/18/2024</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3"/>
        </w:trPr>
        <w:tc>
          <w:tcPr>
            <w:tcW w:w="2660" w:type="dxa"/>
            <w:vAlign w:val="bottom"/>
          </w:tcPr>
          <w:p>
            <w:pPr>
              <w:spacing w:after="0"/>
              <w:rPr>
                <w:sz w:val="19"/>
                <w:szCs w:val="19"/>
                <w:color w:val="auto"/>
              </w:rPr>
            </w:pPr>
          </w:p>
        </w:tc>
        <w:tc>
          <w:tcPr>
            <w:tcW w:w="80" w:type="dxa"/>
            <w:vAlign w:val="bottom"/>
            <w:tcBorders>
              <w:top w:val="single" w:sz="8" w:color="E9F1FB"/>
            </w:tcBorders>
          </w:tcPr>
          <w:p>
            <w:pPr>
              <w:spacing w:after="0"/>
              <w:rPr>
                <w:sz w:val="19"/>
                <w:szCs w:val="19"/>
                <w:color w:val="auto"/>
              </w:rPr>
            </w:pPr>
          </w:p>
        </w:tc>
        <w:tc>
          <w:tcPr>
            <w:tcW w:w="830" w:type="dxa"/>
            <w:vAlign w:val="bottom"/>
            <w:tcBorders>
              <w:top w:val="single" w:sz="8" w:color="E9F1FB"/>
              <w:bottom w:val="single" w:sz="8" w:color="EFF8FA"/>
            </w:tcBorders>
            <w:shd w:val="clear" w:color="auto" w:fill="EFF8FA"/>
          </w:tcPr>
          <w:p>
            <w:pPr>
              <w:jc w:val="right"/>
              <w:spacing w:after="0"/>
              <w:rPr>
                <w:sz w:val="20"/>
                <w:szCs w:val="20"/>
                <w:color w:val="auto"/>
              </w:rPr>
            </w:pPr>
            <w:r>
              <w:rPr>
                <w:rFonts w:ascii="Arial" w:cs="Arial" w:eastAsia="Arial" w:hAnsi="Arial"/>
                <w:sz w:val="13"/>
                <w:szCs w:val="13"/>
                <w:color w:val="auto"/>
              </w:rPr>
              <w:t>02/18/2015</w:t>
            </w:r>
          </w:p>
        </w:tc>
        <w:tc>
          <w:tcPr>
            <w:tcW w:w="1050" w:type="dxa"/>
            <w:vAlign w:val="bottom"/>
            <w:tcBorders>
              <w:top w:val="single" w:sz="8" w:color="E9F1FB"/>
              <w:bottom w:val="single" w:sz="8" w:color="EFF8FA"/>
            </w:tcBorders>
            <w:shd w:val="clear" w:color="auto" w:fill="EFF8FA"/>
          </w:tcPr>
          <w:p>
            <w:pPr>
              <w:jc w:val="right"/>
              <w:ind w:right="33"/>
              <w:spacing w:after="0"/>
              <w:rPr>
                <w:sz w:val="20"/>
                <w:szCs w:val="20"/>
                <w:color w:val="auto"/>
              </w:rPr>
            </w:pPr>
            <w:r>
              <w:rPr>
                <w:rFonts w:ascii="Arial" w:cs="Arial" w:eastAsia="Arial" w:hAnsi="Arial"/>
                <w:sz w:val="13"/>
                <w:szCs w:val="13"/>
                <w:color w:val="auto"/>
              </w:rPr>
              <w:t>294,494</w:t>
            </w:r>
          </w:p>
        </w:tc>
        <w:tc>
          <w:tcPr>
            <w:tcW w:w="1180" w:type="dxa"/>
            <w:vAlign w:val="bottom"/>
            <w:tcBorders>
              <w:top w:val="single" w:sz="8" w:color="E9F1FB"/>
              <w:bottom w:val="single" w:sz="8" w:color="EFF8FA"/>
            </w:tcBorders>
            <w:shd w:val="clear" w:color="auto" w:fill="EFF8FA"/>
          </w:tcPr>
          <w:p>
            <w:pPr>
              <w:jc w:val="right"/>
              <w:ind w:right="53"/>
              <w:spacing w:after="0"/>
              <w:rPr>
                <w:sz w:val="20"/>
                <w:szCs w:val="20"/>
                <w:color w:val="auto"/>
              </w:rPr>
            </w:pPr>
            <w:r>
              <w:rPr>
                <w:rFonts w:ascii="Arial" w:cs="Arial" w:eastAsia="Arial" w:hAnsi="Arial"/>
                <w:sz w:val="13"/>
                <w:szCs w:val="13"/>
                <w:color w:val="auto"/>
              </w:rPr>
              <w:t>0</w:t>
            </w:r>
          </w:p>
        </w:tc>
        <w:tc>
          <w:tcPr>
            <w:tcW w:w="660" w:type="dxa"/>
            <w:vAlign w:val="bottom"/>
            <w:tcBorders>
              <w:top w:val="single" w:sz="8" w:color="E9F1FB"/>
              <w:bottom w:val="single" w:sz="8" w:color="EFF8FA"/>
            </w:tcBorders>
            <w:gridSpan w:val="2"/>
            <w:shd w:val="clear" w:color="auto" w:fill="EFF8FA"/>
          </w:tcPr>
          <w:p>
            <w:pPr>
              <w:jc w:val="right"/>
              <w:ind w:right="100"/>
              <w:spacing w:after="0"/>
              <w:rPr>
                <w:sz w:val="20"/>
                <w:szCs w:val="20"/>
                <w:color w:val="auto"/>
              </w:rPr>
            </w:pPr>
            <w:r>
              <w:rPr>
                <w:rFonts w:ascii="Arial" w:cs="Arial" w:eastAsia="Arial" w:hAnsi="Arial"/>
                <w:sz w:val="13"/>
                <w:szCs w:val="13"/>
                <w:color w:val="auto"/>
              </w:rPr>
              <w:t>70.71</w:t>
            </w:r>
          </w:p>
        </w:tc>
        <w:tc>
          <w:tcPr>
            <w:tcW w:w="780" w:type="dxa"/>
            <w:vAlign w:val="bottom"/>
            <w:tcBorders>
              <w:top w:val="single" w:sz="8" w:color="E9F1FB"/>
              <w:bottom w:val="single" w:sz="8" w:color="EFF8FA"/>
            </w:tcBorders>
            <w:shd w:val="clear" w:color="auto" w:fill="EFF8FA"/>
          </w:tcPr>
          <w:p>
            <w:pPr>
              <w:jc w:val="right"/>
              <w:ind w:right="13"/>
              <w:spacing w:after="0"/>
              <w:rPr>
                <w:sz w:val="20"/>
                <w:szCs w:val="20"/>
                <w:color w:val="auto"/>
              </w:rPr>
            </w:pPr>
            <w:r>
              <w:rPr>
                <w:rFonts w:ascii="Arial" w:cs="Arial" w:eastAsia="Arial" w:hAnsi="Arial"/>
                <w:sz w:val="13"/>
                <w:szCs w:val="13"/>
                <w:color w:val="auto"/>
              </w:rPr>
              <w:t>02/18/2025</w:t>
            </w:r>
          </w:p>
        </w:tc>
        <w:tc>
          <w:tcPr>
            <w:tcW w:w="80" w:type="dxa"/>
            <w:vAlign w:val="bottom"/>
            <w:tcBorders>
              <w:top w:val="single" w:sz="8" w:color="E9F1FB"/>
            </w:tcBorders>
          </w:tcPr>
          <w:p>
            <w:pPr>
              <w:spacing w:after="0"/>
              <w:rPr>
                <w:sz w:val="19"/>
                <w:szCs w:val="19"/>
                <w:color w:val="auto"/>
              </w:rPr>
            </w:pPr>
          </w:p>
        </w:tc>
        <w:tc>
          <w:tcPr>
            <w:tcW w:w="880" w:type="dxa"/>
            <w:vAlign w:val="bottom"/>
            <w:tcBorders>
              <w:top w:val="single" w:sz="8" w:color="E9F1FB"/>
            </w:tcBorders>
          </w:tcPr>
          <w:p>
            <w:pPr>
              <w:spacing w:after="0"/>
              <w:rPr>
                <w:sz w:val="19"/>
                <w:szCs w:val="19"/>
                <w:color w:val="auto"/>
              </w:rPr>
            </w:pPr>
          </w:p>
        </w:tc>
        <w:tc>
          <w:tcPr>
            <w:tcW w:w="800" w:type="dxa"/>
            <w:vAlign w:val="bottom"/>
            <w:tcBorders>
              <w:top w:val="single" w:sz="8" w:color="E9F1FB"/>
            </w:tcBorders>
          </w:tcPr>
          <w:p>
            <w:pPr>
              <w:spacing w:after="0"/>
              <w:rPr>
                <w:sz w:val="19"/>
                <w:szCs w:val="19"/>
                <w:color w:val="auto"/>
              </w:rPr>
            </w:pPr>
          </w:p>
        </w:tc>
        <w:tc>
          <w:tcPr>
            <w:tcW w:w="820" w:type="dxa"/>
            <w:vAlign w:val="bottom"/>
            <w:tcBorders>
              <w:top w:val="single" w:sz="8" w:color="E9F1FB"/>
            </w:tcBorders>
          </w:tcPr>
          <w:p>
            <w:pPr>
              <w:spacing w:after="0"/>
              <w:rPr>
                <w:sz w:val="19"/>
                <w:szCs w:val="19"/>
                <w:color w:val="auto"/>
              </w:rPr>
            </w:pPr>
          </w:p>
        </w:tc>
        <w:tc>
          <w:tcPr>
            <w:tcW w:w="800" w:type="dxa"/>
            <w:vAlign w:val="bottom"/>
            <w:tcBorders>
              <w:top w:val="single" w:sz="8" w:color="E9F1FB"/>
            </w:tcBorders>
          </w:tcPr>
          <w:p>
            <w:pPr>
              <w:spacing w:after="0"/>
              <w:rPr>
                <w:sz w:val="19"/>
                <w:szCs w:val="19"/>
                <w:color w:val="auto"/>
              </w:rPr>
            </w:pPr>
          </w:p>
        </w:tc>
        <w:tc>
          <w:tcPr>
            <w:tcW w:w="800" w:type="dxa"/>
            <w:vAlign w:val="bottom"/>
            <w:tcBorders>
              <w:top w:val="single" w:sz="8" w:color="E9F1FB"/>
            </w:tcBorders>
          </w:tcPr>
          <w:p>
            <w:pPr>
              <w:spacing w:after="0"/>
              <w:rPr>
                <w:sz w:val="19"/>
                <w:szCs w:val="19"/>
                <w:color w:val="auto"/>
              </w:rPr>
            </w:pPr>
          </w:p>
        </w:tc>
      </w:tr>
      <w:tr>
        <w:trPr>
          <w:trHeight w:val="223"/>
        </w:trPr>
        <w:tc>
          <w:tcPr>
            <w:tcW w:w="2660" w:type="dxa"/>
            <w:vAlign w:val="bottom"/>
          </w:tcPr>
          <w:p>
            <w:pPr>
              <w:spacing w:after="0"/>
              <w:rPr>
                <w:sz w:val="19"/>
                <w:szCs w:val="19"/>
                <w:color w:val="auto"/>
              </w:rPr>
            </w:pPr>
          </w:p>
        </w:tc>
        <w:tc>
          <w:tcPr>
            <w:tcW w:w="80" w:type="dxa"/>
            <w:vAlign w:val="bottom"/>
            <w:tcBorders>
              <w:top w:val="single" w:sz="8" w:color="E9F1FB"/>
            </w:tcBorders>
          </w:tcPr>
          <w:p>
            <w:pPr>
              <w:spacing w:after="0"/>
              <w:rPr>
                <w:sz w:val="19"/>
                <w:szCs w:val="19"/>
                <w:color w:val="auto"/>
              </w:rPr>
            </w:pPr>
          </w:p>
        </w:tc>
        <w:tc>
          <w:tcPr>
            <w:tcW w:w="830" w:type="dxa"/>
            <w:vAlign w:val="bottom"/>
            <w:tcBorders>
              <w:top w:val="single" w:sz="8" w:color="E9F1FB"/>
              <w:bottom w:val="single" w:sz="8" w:color="EFF8FA"/>
            </w:tcBorders>
            <w:shd w:val="clear" w:color="auto" w:fill="EFF8FA"/>
          </w:tcPr>
          <w:p>
            <w:pPr>
              <w:jc w:val="right"/>
              <w:spacing w:after="0"/>
              <w:rPr>
                <w:sz w:val="20"/>
                <w:szCs w:val="20"/>
                <w:color w:val="auto"/>
              </w:rPr>
            </w:pPr>
            <w:r>
              <w:rPr>
                <w:rFonts w:ascii="Arial" w:cs="Arial" w:eastAsia="Arial" w:hAnsi="Arial"/>
                <w:sz w:val="13"/>
                <w:szCs w:val="13"/>
                <w:color w:val="auto"/>
              </w:rPr>
              <w:t>02/11/2016</w:t>
            </w:r>
          </w:p>
        </w:tc>
        <w:tc>
          <w:tcPr>
            <w:tcW w:w="1050" w:type="dxa"/>
            <w:vAlign w:val="bottom"/>
            <w:tcBorders>
              <w:top w:val="single" w:sz="8" w:color="E9F1FB"/>
              <w:bottom w:val="single" w:sz="8" w:color="EFF8FA"/>
            </w:tcBorders>
            <w:shd w:val="clear" w:color="auto" w:fill="EFF8FA"/>
          </w:tcPr>
          <w:p>
            <w:pPr>
              <w:jc w:val="right"/>
              <w:ind w:right="33"/>
              <w:spacing w:after="0"/>
              <w:rPr>
                <w:sz w:val="20"/>
                <w:szCs w:val="20"/>
                <w:color w:val="auto"/>
              </w:rPr>
            </w:pPr>
            <w:r>
              <w:rPr>
                <w:rFonts w:ascii="Arial" w:cs="Arial" w:eastAsia="Arial" w:hAnsi="Arial"/>
                <w:sz w:val="13"/>
                <w:szCs w:val="13"/>
                <w:color w:val="auto"/>
              </w:rPr>
              <w:t>196,882</w:t>
            </w:r>
          </w:p>
        </w:tc>
        <w:tc>
          <w:tcPr>
            <w:tcW w:w="1180" w:type="dxa"/>
            <w:vAlign w:val="bottom"/>
            <w:tcBorders>
              <w:top w:val="single" w:sz="8" w:color="E9F1FB"/>
              <w:bottom w:val="single" w:sz="8" w:color="EFF8FA"/>
            </w:tcBorders>
            <w:shd w:val="clear" w:color="auto" w:fill="EFF8FA"/>
          </w:tcPr>
          <w:p>
            <w:pPr>
              <w:jc w:val="right"/>
              <w:ind w:right="53"/>
              <w:spacing w:after="0"/>
              <w:rPr>
                <w:sz w:val="20"/>
                <w:szCs w:val="20"/>
                <w:color w:val="auto"/>
              </w:rPr>
            </w:pPr>
            <w:r>
              <w:rPr>
                <w:rFonts w:ascii="Arial" w:cs="Arial" w:eastAsia="Arial" w:hAnsi="Arial"/>
                <w:sz w:val="13"/>
                <w:szCs w:val="13"/>
                <w:color w:val="auto"/>
              </w:rPr>
              <w:t>98,442</w:t>
            </w:r>
          </w:p>
        </w:tc>
        <w:tc>
          <w:tcPr>
            <w:tcW w:w="560" w:type="dxa"/>
            <w:vAlign w:val="bottom"/>
            <w:tcBorders>
              <w:top w:val="single" w:sz="8" w:color="E9F1FB"/>
              <w:bottom w:val="single" w:sz="8" w:color="EFF8FA"/>
            </w:tcBorders>
            <w:shd w:val="clear" w:color="auto" w:fill="EFF8FA"/>
          </w:tcPr>
          <w:p>
            <w:pPr>
              <w:jc w:val="right"/>
              <w:spacing w:after="0"/>
              <w:rPr>
                <w:sz w:val="20"/>
                <w:szCs w:val="20"/>
                <w:color w:val="auto"/>
              </w:rPr>
            </w:pPr>
            <w:r>
              <w:rPr>
                <w:rFonts w:ascii="Arial" w:cs="Arial" w:eastAsia="Arial" w:hAnsi="Arial"/>
                <w:sz w:val="13"/>
                <w:szCs w:val="13"/>
                <w:color w:val="auto"/>
              </w:rPr>
              <w:t>62.32</w:t>
            </w:r>
          </w:p>
        </w:tc>
        <w:tc>
          <w:tcPr>
            <w:tcW w:w="100" w:type="dxa"/>
            <w:vAlign w:val="bottom"/>
            <w:tcBorders>
              <w:top w:val="single" w:sz="8" w:color="E9F1FB"/>
              <w:bottom w:val="single" w:sz="8" w:color="EFF8FA"/>
            </w:tcBorders>
            <w:shd w:val="clear" w:color="auto" w:fill="EFF8FA"/>
          </w:tcPr>
          <w:p>
            <w:pPr>
              <w:spacing w:after="0"/>
              <w:rPr>
                <w:sz w:val="19"/>
                <w:szCs w:val="19"/>
                <w:color w:val="auto"/>
              </w:rPr>
            </w:pPr>
          </w:p>
        </w:tc>
        <w:tc>
          <w:tcPr>
            <w:tcW w:w="780" w:type="dxa"/>
            <w:vAlign w:val="bottom"/>
            <w:tcBorders>
              <w:top w:val="single" w:sz="8" w:color="E9F1FB"/>
              <w:bottom w:val="single" w:sz="8" w:color="EFF8FA"/>
            </w:tcBorders>
            <w:shd w:val="clear" w:color="auto" w:fill="EFF8FA"/>
          </w:tcPr>
          <w:p>
            <w:pPr>
              <w:jc w:val="right"/>
              <w:ind w:right="13"/>
              <w:spacing w:after="0"/>
              <w:rPr>
                <w:sz w:val="20"/>
                <w:szCs w:val="20"/>
                <w:color w:val="auto"/>
              </w:rPr>
            </w:pPr>
            <w:r>
              <w:rPr>
                <w:rFonts w:ascii="Arial" w:cs="Arial" w:eastAsia="Arial" w:hAnsi="Arial"/>
                <w:sz w:val="13"/>
                <w:szCs w:val="13"/>
                <w:color w:val="auto"/>
              </w:rPr>
              <w:t>02/11/2026</w:t>
            </w:r>
          </w:p>
        </w:tc>
        <w:tc>
          <w:tcPr>
            <w:tcW w:w="80" w:type="dxa"/>
            <w:vAlign w:val="bottom"/>
            <w:tcBorders>
              <w:top w:val="single" w:sz="8" w:color="E9F1FB"/>
            </w:tcBorders>
          </w:tcPr>
          <w:p>
            <w:pPr>
              <w:spacing w:after="0"/>
              <w:rPr>
                <w:sz w:val="19"/>
                <w:szCs w:val="19"/>
                <w:color w:val="auto"/>
              </w:rPr>
            </w:pPr>
          </w:p>
        </w:tc>
        <w:tc>
          <w:tcPr>
            <w:tcW w:w="880" w:type="dxa"/>
            <w:vAlign w:val="bottom"/>
            <w:tcBorders>
              <w:top w:val="single" w:sz="8" w:color="E9F1FB"/>
            </w:tcBorders>
          </w:tcPr>
          <w:p>
            <w:pPr>
              <w:spacing w:after="0"/>
              <w:rPr>
                <w:sz w:val="19"/>
                <w:szCs w:val="19"/>
                <w:color w:val="auto"/>
              </w:rPr>
            </w:pPr>
          </w:p>
        </w:tc>
        <w:tc>
          <w:tcPr>
            <w:tcW w:w="800" w:type="dxa"/>
            <w:vAlign w:val="bottom"/>
            <w:tcBorders>
              <w:top w:val="single" w:sz="8" w:color="E9F1FB"/>
            </w:tcBorders>
          </w:tcPr>
          <w:p>
            <w:pPr>
              <w:spacing w:after="0"/>
              <w:rPr>
                <w:sz w:val="19"/>
                <w:szCs w:val="19"/>
                <w:color w:val="auto"/>
              </w:rPr>
            </w:pPr>
          </w:p>
        </w:tc>
        <w:tc>
          <w:tcPr>
            <w:tcW w:w="820" w:type="dxa"/>
            <w:vAlign w:val="bottom"/>
            <w:tcBorders>
              <w:top w:val="single" w:sz="8" w:color="E9F1FB"/>
            </w:tcBorders>
          </w:tcPr>
          <w:p>
            <w:pPr>
              <w:spacing w:after="0"/>
              <w:rPr>
                <w:sz w:val="19"/>
                <w:szCs w:val="19"/>
                <w:color w:val="auto"/>
              </w:rPr>
            </w:pPr>
          </w:p>
        </w:tc>
        <w:tc>
          <w:tcPr>
            <w:tcW w:w="800" w:type="dxa"/>
            <w:vAlign w:val="bottom"/>
            <w:tcBorders>
              <w:top w:val="single" w:sz="8" w:color="E9F1FB"/>
            </w:tcBorders>
          </w:tcPr>
          <w:p>
            <w:pPr>
              <w:spacing w:after="0"/>
              <w:rPr>
                <w:sz w:val="19"/>
                <w:szCs w:val="19"/>
                <w:color w:val="auto"/>
              </w:rPr>
            </w:pPr>
          </w:p>
        </w:tc>
        <w:tc>
          <w:tcPr>
            <w:tcW w:w="800" w:type="dxa"/>
            <w:vAlign w:val="bottom"/>
            <w:tcBorders>
              <w:top w:val="single" w:sz="8" w:color="E9F1FB"/>
            </w:tcBorders>
          </w:tcPr>
          <w:p>
            <w:pPr>
              <w:spacing w:after="0"/>
              <w:rPr>
                <w:sz w:val="19"/>
                <w:szCs w:val="19"/>
                <w:color w:val="auto"/>
              </w:rPr>
            </w:pPr>
          </w:p>
        </w:tc>
      </w:tr>
      <w:tr>
        <w:trPr>
          <w:trHeight w:val="223"/>
        </w:trPr>
        <w:tc>
          <w:tcPr>
            <w:tcW w:w="2660" w:type="dxa"/>
            <w:vAlign w:val="bottom"/>
          </w:tcPr>
          <w:p>
            <w:pPr>
              <w:spacing w:after="0"/>
              <w:rPr>
                <w:sz w:val="19"/>
                <w:szCs w:val="19"/>
                <w:color w:val="auto"/>
              </w:rPr>
            </w:pPr>
          </w:p>
        </w:tc>
        <w:tc>
          <w:tcPr>
            <w:tcW w:w="80" w:type="dxa"/>
            <w:vAlign w:val="bottom"/>
            <w:tcBorders>
              <w:top w:val="single" w:sz="8" w:color="E9F1FB"/>
            </w:tcBorders>
          </w:tcPr>
          <w:p>
            <w:pPr>
              <w:spacing w:after="0"/>
              <w:rPr>
                <w:sz w:val="19"/>
                <w:szCs w:val="19"/>
                <w:color w:val="auto"/>
              </w:rPr>
            </w:pPr>
          </w:p>
        </w:tc>
        <w:tc>
          <w:tcPr>
            <w:tcW w:w="830" w:type="dxa"/>
            <w:vAlign w:val="bottom"/>
            <w:tcBorders>
              <w:top w:val="single" w:sz="8" w:color="E9F1FB"/>
              <w:bottom w:val="single" w:sz="8" w:color="EFF8FA"/>
            </w:tcBorders>
            <w:shd w:val="clear" w:color="auto" w:fill="EFF8FA"/>
          </w:tcPr>
          <w:p>
            <w:pPr>
              <w:spacing w:after="0"/>
              <w:rPr>
                <w:sz w:val="19"/>
                <w:szCs w:val="19"/>
                <w:color w:val="auto"/>
              </w:rPr>
            </w:pPr>
          </w:p>
        </w:tc>
        <w:tc>
          <w:tcPr>
            <w:tcW w:w="1050" w:type="dxa"/>
            <w:vAlign w:val="bottom"/>
            <w:tcBorders>
              <w:top w:val="single" w:sz="8" w:color="E9F1FB"/>
              <w:bottom w:val="single" w:sz="8" w:color="EFF8FA"/>
            </w:tcBorders>
            <w:shd w:val="clear" w:color="auto" w:fill="EFF8FA"/>
          </w:tcPr>
          <w:p>
            <w:pPr>
              <w:spacing w:after="0"/>
              <w:rPr>
                <w:sz w:val="19"/>
                <w:szCs w:val="19"/>
                <w:color w:val="auto"/>
              </w:rPr>
            </w:pPr>
          </w:p>
        </w:tc>
        <w:tc>
          <w:tcPr>
            <w:tcW w:w="1180" w:type="dxa"/>
            <w:vAlign w:val="bottom"/>
            <w:tcBorders>
              <w:top w:val="single" w:sz="8" w:color="E9F1FB"/>
              <w:bottom w:val="single" w:sz="8" w:color="EFF8FA"/>
            </w:tcBorders>
            <w:shd w:val="clear" w:color="auto" w:fill="EFF8FA"/>
          </w:tcPr>
          <w:p>
            <w:pPr>
              <w:spacing w:after="0"/>
              <w:rPr>
                <w:sz w:val="19"/>
                <w:szCs w:val="19"/>
                <w:color w:val="auto"/>
              </w:rPr>
            </w:pPr>
          </w:p>
        </w:tc>
        <w:tc>
          <w:tcPr>
            <w:tcW w:w="560" w:type="dxa"/>
            <w:vAlign w:val="bottom"/>
            <w:tcBorders>
              <w:top w:val="single" w:sz="8" w:color="E9F1FB"/>
              <w:bottom w:val="single" w:sz="8" w:color="EFF8FA"/>
            </w:tcBorders>
            <w:shd w:val="clear" w:color="auto" w:fill="EFF8FA"/>
          </w:tcPr>
          <w:p>
            <w:pPr>
              <w:spacing w:after="0"/>
              <w:rPr>
                <w:sz w:val="19"/>
                <w:szCs w:val="19"/>
                <w:color w:val="auto"/>
              </w:rPr>
            </w:pPr>
          </w:p>
        </w:tc>
        <w:tc>
          <w:tcPr>
            <w:tcW w:w="100" w:type="dxa"/>
            <w:vAlign w:val="bottom"/>
            <w:tcBorders>
              <w:top w:val="single" w:sz="8" w:color="E9F1FB"/>
              <w:bottom w:val="single" w:sz="8" w:color="EFF8FA"/>
            </w:tcBorders>
            <w:shd w:val="clear" w:color="auto" w:fill="EFF8FA"/>
          </w:tcPr>
          <w:p>
            <w:pPr>
              <w:spacing w:after="0"/>
              <w:rPr>
                <w:sz w:val="19"/>
                <w:szCs w:val="19"/>
                <w:color w:val="auto"/>
              </w:rPr>
            </w:pPr>
          </w:p>
        </w:tc>
        <w:tc>
          <w:tcPr>
            <w:tcW w:w="780" w:type="dxa"/>
            <w:vAlign w:val="bottom"/>
            <w:tcBorders>
              <w:top w:val="single" w:sz="8" w:color="E9F1FB"/>
              <w:bottom w:val="single" w:sz="8" w:color="EFF8FA"/>
            </w:tcBorders>
            <w:shd w:val="clear" w:color="auto" w:fill="EFF8FA"/>
          </w:tcPr>
          <w:p>
            <w:pPr>
              <w:spacing w:after="0"/>
              <w:rPr>
                <w:sz w:val="19"/>
                <w:szCs w:val="19"/>
                <w:color w:val="auto"/>
              </w:rPr>
            </w:pPr>
          </w:p>
        </w:tc>
        <w:tc>
          <w:tcPr>
            <w:tcW w:w="960" w:type="dxa"/>
            <w:vAlign w:val="bottom"/>
            <w:tcBorders>
              <w:top w:val="single" w:sz="8" w:color="E9F1FB"/>
            </w:tcBorders>
            <w:gridSpan w:val="2"/>
          </w:tcPr>
          <w:p>
            <w:pPr>
              <w:jc w:val="right"/>
              <w:spacing w:after="0"/>
              <w:rPr>
                <w:sz w:val="20"/>
                <w:szCs w:val="20"/>
                <w:color w:val="auto"/>
              </w:rPr>
            </w:pPr>
            <w:r>
              <w:rPr>
                <w:rFonts w:ascii="Arial" w:cs="Arial" w:eastAsia="Arial" w:hAnsi="Arial"/>
                <w:sz w:val="13"/>
                <w:szCs w:val="13"/>
                <w:color w:val="auto"/>
              </w:rPr>
              <w:t>02/11/2016</w:t>
            </w:r>
          </w:p>
        </w:tc>
        <w:tc>
          <w:tcPr>
            <w:tcW w:w="800" w:type="dxa"/>
            <w:vAlign w:val="bottom"/>
            <w:tcBorders>
              <w:top w:val="single" w:sz="8" w:color="E9F1FB"/>
            </w:tcBorders>
          </w:tcPr>
          <w:p>
            <w:pPr>
              <w:jc w:val="right"/>
              <w:spacing w:after="0"/>
              <w:rPr>
                <w:sz w:val="20"/>
                <w:szCs w:val="20"/>
                <w:color w:val="auto"/>
              </w:rPr>
            </w:pPr>
            <w:r>
              <w:rPr>
                <w:rFonts w:ascii="Arial" w:cs="Arial" w:eastAsia="Arial" w:hAnsi="Arial"/>
                <w:sz w:val="13"/>
                <w:szCs w:val="13"/>
                <w:color w:val="auto"/>
              </w:rPr>
              <w:t>139,940</w:t>
            </w:r>
          </w:p>
        </w:tc>
        <w:tc>
          <w:tcPr>
            <w:tcW w:w="820" w:type="dxa"/>
            <w:vAlign w:val="bottom"/>
            <w:tcBorders>
              <w:top w:val="single" w:sz="8" w:color="E9F1FB"/>
            </w:tcBorders>
          </w:tcPr>
          <w:p>
            <w:pPr>
              <w:jc w:val="right"/>
              <w:spacing w:after="0"/>
              <w:rPr>
                <w:sz w:val="20"/>
                <w:szCs w:val="20"/>
                <w:color w:val="auto"/>
              </w:rPr>
            </w:pPr>
            <w:r>
              <w:rPr>
                <w:rFonts w:ascii="Arial" w:cs="Arial" w:eastAsia="Arial" w:hAnsi="Arial"/>
                <w:sz w:val="13"/>
                <w:szCs w:val="13"/>
                <w:color w:val="auto"/>
              </w:rPr>
              <w:t>11,563,242</w:t>
            </w:r>
          </w:p>
        </w:tc>
        <w:tc>
          <w:tcPr>
            <w:tcW w:w="800" w:type="dxa"/>
            <w:vAlign w:val="bottom"/>
            <w:tcBorders>
              <w:top w:val="single" w:sz="8" w:color="E9F1FB"/>
            </w:tcBorders>
          </w:tcPr>
          <w:p>
            <w:pPr>
              <w:spacing w:after="0"/>
              <w:rPr>
                <w:sz w:val="19"/>
                <w:szCs w:val="19"/>
                <w:color w:val="auto"/>
              </w:rPr>
            </w:pPr>
          </w:p>
        </w:tc>
        <w:tc>
          <w:tcPr>
            <w:tcW w:w="800" w:type="dxa"/>
            <w:vAlign w:val="bottom"/>
            <w:tcBorders>
              <w:top w:val="single" w:sz="8" w:color="E9F1FB"/>
            </w:tcBorders>
          </w:tcPr>
          <w:p>
            <w:pPr>
              <w:spacing w:after="0"/>
              <w:rPr>
                <w:sz w:val="19"/>
                <w:szCs w:val="19"/>
                <w:color w:val="auto"/>
              </w:rPr>
            </w:pPr>
          </w:p>
        </w:tc>
      </w:tr>
      <w:tr>
        <w:trPr>
          <w:trHeight w:val="223"/>
        </w:trPr>
        <w:tc>
          <w:tcPr>
            <w:tcW w:w="2660" w:type="dxa"/>
            <w:vAlign w:val="bottom"/>
          </w:tcPr>
          <w:p>
            <w:pPr>
              <w:spacing w:after="0"/>
              <w:rPr>
                <w:sz w:val="19"/>
                <w:szCs w:val="19"/>
                <w:color w:val="auto"/>
              </w:rPr>
            </w:pPr>
          </w:p>
        </w:tc>
        <w:tc>
          <w:tcPr>
            <w:tcW w:w="80" w:type="dxa"/>
            <w:vAlign w:val="bottom"/>
            <w:tcBorders>
              <w:top w:val="single" w:sz="8" w:color="E9F1FB"/>
            </w:tcBorders>
          </w:tcPr>
          <w:p>
            <w:pPr>
              <w:spacing w:after="0"/>
              <w:rPr>
                <w:sz w:val="19"/>
                <w:szCs w:val="19"/>
                <w:color w:val="auto"/>
              </w:rPr>
            </w:pPr>
          </w:p>
        </w:tc>
        <w:tc>
          <w:tcPr>
            <w:tcW w:w="830" w:type="dxa"/>
            <w:vAlign w:val="bottom"/>
            <w:tcBorders>
              <w:top w:val="single" w:sz="8" w:color="E9F1FB"/>
              <w:bottom w:val="single" w:sz="8" w:color="EFF8FA"/>
            </w:tcBorders>
            <w:shd w:val="clear" w:color="auto" w:fill="EFF8FA"/>
          </w:tcPr>
          <w:p>
            <w:pPr>
              <w:jc w:val="right"/>
              <w:spacing w:after="0"/>
              <w:rPr>
                <w:sz w:val="20"/>
                <w:szCs w:val="20"/>
                <w:color w:val="auto"/>
              </w:rPr>
            </w:pPr>
            <w:r>
              <w:rPr>
                <w:rFonts w:ascii="Arial" w:cs="Arial" w:eastAsia="Arial" w:hAnsi="Arial"/>
                <w:sz w:val="13"/>
                <w:szCs w:val="13"/>
                <w:color w:val="auto"/>
              </w:rPr>
              <w:t>02/09/2017</w:t>
            </w:r>
          </w:p>
        </w:tc>
        <w:tc>
          <w:tcPr>
            <w:tcW w:w="1050" w:type="dxa"/>
            <w:vAlign w:val="bottom"/>
            <w:tcBorders>
              <w:top w:val="single" w:sz="8" w:color="E9F1FB"/>
              <w:bottom w:val="single" w:sz="8" w:color="EFF8FA"/>
            </w:tcBorders>
            <w:shd w:val="clear" w:color="auto" w:fill="EFF8FA"/>
          </w:tcPr>
          <w:p>
            <w:pPr>
              <w:jc w:val="right"/>
              <w:ind w:right="33"/>
              <w:spacing w:after="0"/>
              <w:rPr>
                <w:sz w:val="20"/>
                <w:szCs w:val="20"/>
                <w:color w:val="auto"/>
              </w:rPr>
            </w:pPr>
            <w:r>
              <w:rPr>
                <w:rFonts w:ascii="Arial" w:cs="Arial" w:eastAsia="Arial" w:hAnsi="Arial"/>
                <w:sz w:val="13"/>
                <w:szCs w:val="13"/>
                <w:color w:val="auto"/>
              </w:rPr>
              <w:t>82,815</w:t>
            </w:r>
          </w:p>
        </w:tc>
        <w:tc>
          <w:tcPr>
            <w:tcW w:w="1180" w:type="dxa"/>
            <w:vAlign w:val="bottom"/>
            <w:tcBorders>
              <w:top w:val="single" w:sz="8" w:color="E9F1FB"/>
              <w:bottom w:val="single" w:sz="8" w:color="EFF8FA"/>
            </w:tcBorders>
            <w:shd w:val="clear" w:color="auto" w:fill="EFF8FA"/>
          </w:tcPr>
          <w:p>
            <w:pPr>
              <w:jc w:val="right"/>
              <w:ind w:right="53"/>
              <w:spacing w:after="0"/>
              <w:rPr>
                <w:sz w:val="20"/>
                <w:szCs w:val="20"/>
                <w:color w:val="auto"/>
              </w:rPr>
            </w:pPr>
            <w:r>
              <w:rPr>
                <w:rFonts w:ascii="Arial" w:cs="Arial" w:eastAsia="Arial" w:hAnsi="Arial"/>
                <w:sz w:val="13"/>
                <w:szCs w:val="13"/>
                <w:color w:val="auto"/>
              </w:rPr>
              <w:t>165,632</w:t>
            </w:r>
          </w:p>
        </w:tc>
        <w:tc>
          <w:tcPr>
            <w:tcW w:w="560" w:type="dxa"/>
            <w:vAlign w:val="bottom"/>
            <w:tcBorders>
              <w:top w:val="single" w:sz="8" w:color="E9F1FB"/>
              <w:bottom w:val="single" w:sz="8" w:color="EFF8FA"/>
            </w:tcBorders>
            <w:shd w:val="clear" w:color="auto" w:fill="EFF8FA"/>
          </w:tcPr>
          <w:p>
            <w:pPr>
              <w:jc w:val="right"/>
              <w:spacing w:after="0"/>
              <w:rPr>
                <w:sz w:val="20"/>
                <w:szCs w:val="20"/>
                <w:color w:val="auto"/>
              </w:rPr>
            </w:pPr>
            <w:r>
              <w:rPr>
                <w:rFonts w:ascii="Arial" w:cs="Arial" w:eastAsia="Arial" w:hAnsi="Arial"/>
                <w:sz w:val="13"/>
                <w:szCs w:val="13"/>
                <w:color w:val="auto"/>
              </w:rPr>
              <w:t>78.35</w:t>
            </w:r>
          </w:p>
        </w:tc>
        <w:tc>
          <w:tcPr>
            <w:tcW w:w="100" w:type="dxa"/>
            <w:vAlign w:val="bottom"/>
            <w:tcBorders>
              <w:top w:val="single" w:sz="8" w:color="E9F1FB"/>
              <w:bottom w:val="single" w:sz="8" w:color="EFF8FA"/>
            </w:tcBorders>
            <w:shd w:val="clear" w:color="auto" w:fill="EFF8FA"/>
          </w:tcPr>
          <w:p>
            <w:pPr>
              <w:spacing w:after="0"/>
              <w:rPr>
                <w:sz w:val="19"/>
                <w:szCs w:val="19"/>
                <w:color w:val="auto"/>
              </w:rPr>
            </w:pPr>
          </w:p>
        </w:tc>
        <w:tc>
          <w:tcPr>
            <w:tcW w:w="780" w:type="dxa"/>
            <w:vAlign w:val="bottom"/>
            <w:tcBorders>
              <w:top w:val="single" w:sz="8" w:color="E9F1FB"/>
              <w:bottom w:val="single" w:sz="8" w:color="EFF8FA"/>
            </w:tcBorders>
            <w:shd w:val="clear" w:color="auto" w:fill="EFF8FA"/>
          </w:tcPr>
          <w:p>
            <w:pPr>
              <w:jc w:val="right"/>
              <w:ind w:right="13"/>
              <w:spacing w:after="0"/>
              <w:rPr>
                <w:sz w:val="20"/>
                <w:szCs w:val="20"/>
                <w:color w:val="auto"/>
              </w:rPr>
            </w:pPr>
            <w:r>
              <w:rPr>
                <w:rFonts w:ascii="Arial" w:cs="Arial" w:eastAsia="Arial" w:hAnsi="Arial"/>
                <w:sz w:val="13"/>
                <w:szCs w:val="13"/>
                <w:color w:val="auto"/>
              </w:rPr>
              <w:t>02/09/2027</w:t>
            </w:r>
          </w:p>
        </w:tc>
        <w:tc>
          <w:tcPr>
            <w:tcW w:w="80" w:type="dxa"/>
            <w:vAlign w:val="bottom"/>
            <w:tcBorders>
              <w:top w:val="single" w:sz="8" w:color="E9F1FB"/>
            </w:tcBorders>
          </w:tcPr>
          <w:p>
            <w:pPr>
              <w:spacing w:after="0"/>
              <w:rPr>
                <w:sz w:val="19"/>
                <w:szCs w:val="19"/>
                <w:color w:val="auto"/>
              </w:rPr>
            </w:pPr>
          </w:p>
        </w:tc>
        <w:tc>
          <w:tcPr>
            <w:tcW w:w="880" w:type="dxa"/>
            <w:vAlign w:val="bottom"/>
            <w:tcBorders>
              <w:top w:val="single" w:sz="8" w:color="E9F1FB"/>
            </w:tcBorders>
          </w:tcPr>
          <w:p>
            <w:pPr>
              <w:spacing w:after="0"/>
              <w:rPr>
                <w:sz w:val="19"/>
                <w:szCs w:val="19"/>
                <w:color w:val="auto"/>
              </w:rPr>
            </w:pPr>
          </w:p>
        </w:tc>
        <w:tc>
          <w:tcPr>
            <w:tcW w:w="800" w:type="dxa"/>
            <w:vAlign w:val="bottom"/>
            <w:tcBorders>
              <w:top w:val="single" w:sz="8" w:color="E9F1FB"/>
            </w:tcBorders>
          </w:tcPr>
          <w:p>
            <w:pPr>
              <w:spacing w:after="0"/>
              <w:rPr>
                <w:sz w:val="19"/>
                <w:szCs w:val="19"/>
                <w:color w:val="auto"/>
              </w:rPr>
            </w:pPr>
          </w:p>
        </w:tc>
        <w:tc>
          <w:tcPr>
            <w:tcW w:w="820" w:type="dxa"/>
            <w:vAlign w:val="bottom"/>
            <w:tcBorders>
              <w:top w:val="single" w:sz="8" w:color="E9F1FB"/>
            </w:tcBorders>
          </w:tcPr>
          <w:p>
            <w:pPr>
              <w:spacing w:after="0"/>
              <w:rPr>
                <w:sz w:val="19"/>
                <w:szCs w:val="19"/>
                <w:color w:val="auto"/>
              </w:rPr>
            </w:pPr>
          </w:p>
        </w:tc>
        <w:tc>
          <w:tcPr>
            <w:tcW w:w="800" w:type="dxa"/>
            <w:vAlign w:val="bottom"/>
            <w:tcBorders>
              <w:top w:val="single" w:sz="8" w:color="E9F1FB"/>
            </w:tcBorders>
          </w:tcPr>
          <w:p>
            <w:pPr>
              <w:spacing w:after="0"/>
              <w:rPr>
                <w:sz w:val="19"/>
                <w:szCs w:val="19"/>
                <w:color w:val="auto"/>
              </w:rPr>
            </w:pPr>
          </w:p>
        </w:tc>
        <w:tc>
          <w:tcPr>
            <w:tcW w:w="800" w:type="dxa"/>
            <w:vAlign w:val="bottom"/>
            <w:tcBorders>
              <w:top w:val="single" w:sz="8" w:color="E9F1FB"/>
            </w:tcBorders>
          </w:tcPr>
          <w:p>
            <w:pPr>
              <w:spacing w:after="0"/>
              <w:rPr>
                <w:sz w:val="19"/>
                <w:szCs w:val="19"/>
                <w:color w:val="auto"/>
              </w:rPr>
            </w:pPr>
          </w:p>
        </w:tc>
      </w:tr>
      <w:tr>
        <w:trPr>
          <w:trHeight w:val="223"/>
        </w:trPr>
        <w:tc>
          <w:tcPr>
            <w:tcW w:w="2660" w:type="dxa"/>
            <w:vAlign w:val="bottom"/>
          </w:tcPr>
          <w:p>
            <w:pPr>
              <w:spacing w:after="0"/>
              <w:rPr>
                <w:sz w:val="19"/>
                <w:szCs w:val="19"/>
                <w:color w:val="auto"/>
              </w:rPr>
            </w:pPr>
          </w:p>
        </w:tc>
        <w:tc>
          <w:tcPr>
            <w:tcW w:w="80" w:type="dxa"/>
            <w:vAlign w:val="bottom"/>
            <w:tcBorders>
              <w:top w:val="single" w:sz="8" w:color="E9F1FB"/>
            </w:tcBorders>
          </w:tcPr>
          <w:p>
            <w:pPr>
              <w:spacing w:after="0"/>
              <w:rPr>
                <w:sz w:val="19"/>
                <w:szCs w:val="19"/>
                <w:color w:val="auto"/>
              </w:rPr>
            </w:pPr>
          </w:p>
        </w:tc>
        <w:tc>
          <w:tcPr>
            <w:tcW w:w="830" w:type="dxa"/>
            <w:vAlign w:val="bottom"/>
            <w:tcBorders>
              <w:top w:val="single" w:sz="8" w:color="E9F1FB"/>
              <w:bottom w:val="single" w:sz="8" w:color="EFF8FA"/>
            </w:tcBorders>
            <w:shd w:val="clear" w:color="auto" w:fill="EFF8FA"/>
          </w:tcPr>
          <w:p>
            <w:pPr>
              <w:spacing w:after="0"/>
              <w:rPr>
                <w:sz w:val="19"/>
                <w:szCs w:val="19"/>
                <w:color w:val="auto"/>
              </w:rPr>
            </w:pPr>
          </w:p>
        </w:tc>
        <w:tc>
          <w:tcPr>
            <w:tcW w:w="1050" w:type="dxa"/>
            <w:vAlign w:val="bottom"/>
            <w:tcBorders>
              <w:top w:val="single" w:sz="8" w:color="E9F1FB"/>
              <w:bottom w:val="single" w:sz="8" w:color="EFF8FA"/>
            </w:tcBorders>
            <w:shd w:val="clear" w:color="auto" w:fill="EFF8FA"/>
          </w:tcPr>
          <w:p>
            <w:pPr>
              <w:spacing w:after="0"/>
              <w:rPr>
                <w:sz w:val="19"/>
                <w:szCs w:val="19"/>
                <w:color w:val="auto"/>
              </w:rPr>
            </w:pPr>
          </w:p>
        </w:tc>
        <w:tc>
          <w:tcPr>
            <w:tcW w:w="1180" w:type="dxa"/>
            <w:vAlign w:val="bottom"/>
            <w:tcBorders>
              <w:top w:val="single" w:sz="8" w:color="E9F1FB"/>
              <w:bottom w:val="single" w:sz="8" w:color="EFF8FA"/>
            </w:tcBorders>
            <w:shd w:val="clear" w:color="auto" w:fill="EFF8FA"/>
          </w:tcPr>
          <w:p>
            <w:pPr>
              <w:spacing w:after="0"/>
              <w:rPr>
                <w:sz w:val="19"/>
                <w:szCs w:val="19"/>
                <w:color w:val="auto"/>
              </w:rPr>
            </w:pPr>
          </w:p>
        </w:tc>
        <w:tc>
          <w:tcPr>
            <w:tcW w:w="560" w:type="dxa"/>
            <w:vAlign w:val="bottom"/>
            <w:tcBorders>
              <w:top w:val="single" w:sz="8" w:color="E9F1FB"/>
              <w:bottom w:val="single" w:sz="8" w:color="EFF8FA"/>
            </w:tcBorders>
            <w:shd w:val="clear" w:color="auto" w:fill="EFF8FA"/>
          </w:tcPr>
          <w:p>
            <w:pPr>
              <w:spacing w:after="0"/>
              <w:rPr>
                <w:sz w:val="19"/>
                <w:szCs w:val="19"/>
                <w:color w:val="auto"/>
              </w:rPr>
            </w:pPr>
          </w:p>
        </w:tc>
        <w:tc>
          <w:tcPr>
            <w:tcW w:w="100" w:type="dxa"/>
            <w:vAlign w:val="bottom"/>
            <w:tcBorders>
              <w:top w:val="single" w:sz="8" w:color="E9F1FB"/>
              <w:bottom w:val="single" w:sz="8" w:color="EFF8FA"/>
            </w:tcBorders>
            <w:shd w:val="clear" w:color="auto" w:fill="EFF8FA"/>
          </w:tcPr>
          <w:p>
            <w:pPr>
              <w:spacing w:after="0"/>
              <w:rPr>
                <w:sz w:val="19"/>
                <w:szCs w:val="19"/>
                <w:color w:val="auto"/>
              </w:rPr>
            </w:pPr>
          </w:p>
        </w:tc>
        <w:tc>
          <w:tcPr>
            <w:tcW w:w="780" w:type="dxa"/>
            <w:vAlign w:val="bottom"/>
            <w:tcBorders>
              <w:top w:val="single" w:sz="8" w:color="E9F1FB"/>
              <w:bottom w:val="single" w:sz="8" w:color="EFF8FA"/>
            </w:tcBorders>
            <w:shd w:val="clear" w:color="auto" w:fill="EFF8FA"/>
          </w:tcPr>
          <w:p>
            <w:pPr>
              <w:spacing w:after="0"/>
              <w:rPr>
                <w:sz w:val="19"/>
                <w:szCs w:val="19"/>
                <w:color w:val="auto"/>
              </w:rPr>
            </w:pPr>
          </w:p>
        </w:tc>
        <w:tc>
          <w:tcPr>
            <w:tcW w:w="960" w:type="dxa"/>
            <w:vAlign w:val="bottom"/>
            <w:tcBorders>
              <w:top w:val="single" w:sz="8" w:color="E9F1FB"/>
            </w:tcBorders>
            <w:gridSpan w:val="2"/>
          </w:tcPr>
          <w:p>
            <w:pPr>
              <w:jc w:val="right"/>
              <w:spacing w:after="0"/>
              <w:rPr>
                <w:sz w:val="20"/>
                <w:szCs w:val="20"/>
                <w:color w:val="auto"/>
              </w:rPr>
            </w:pPr>
            <w:r>
              <w:rPr>
                <w:rFonts w:ascii="Arial" w:cs="Arial" w:eastAsia="Arial" w:hAnsi="Arial"/>
                <w:sz w:val="13"/>
                <w:szCs w:val="13"/>
                <w:color w:val="auto"/>
              </w:rPr>
              <w:t>02/09/2017</w:t>
            </w:r>
          </w:p>
        </w:tc>
        <w:tc>
          <w:tcPr>
            <w:tcW w:w="800" w:type="dxa"/>
            <w:vAlign w:val="bottom"/>
            <w:tcBorders>
              <w:top w:val="single" w:sz="8" w:color="E9F1FB"/>
            </w:tcBorders>
          </w:tcPr>
          <w:p>
            <w:pPr>
              <w:spacing w:after="0"/>
              <w:rPr>
                <w:sz w:val="19"/>
                <w:szCs w:val="19"/>
                <w:color w:val="auto"/>
              </w:rPr>
            </w:pPr>
          </w:p>
        </w:tc>
        <w:tc>
          <w:tcPr>
            <w:tcW w:w="820" w:type="dxa"/>
            <w:vAlign w:val="bottom"/>
            <w:tcBorders>
              <w:top w:val="single" w:sz="8" w:color="E9F1FB"/>
            </w:tcBorders>
          </w:tcPr>
          <w:p>
            <w:pPr>
              <w:spacing w:after="0"/>
              <w:rPr>
                <w:sz w:val="19"/>
                <w:szCs w:val="19"/>
                <w:color w:val="auto"/>
              </w:rPr>
            </w:pPr>
          </w:p>
        </w:tc>
        <w:tc>
          <w:tcPr>
            <w:tcW w:w="800" w:type="dxa"/>
            <w:vAlign w:val="bottom"/>
            <w:tcBorders>
              <w:top w:val="single" w:sz="8" w:color="E9F1FB"/>
            </w:tcBorders>
          </w:tcPr>
          <w:p>
            <w:pPr>
              <w:jc w:val="right"/>
              <w:spacing w:after="0"/>
              <w:rPr>
                <w:sz w:val="20"/>
                <w:szCs w:val="20"/>
                <w:color w:val="auto"/>
              </w:rPr>
            </w:pPr>
            <w:r>
              <w:rPr>
                <w:rFonts w:ascii="Arial" w:cs="Arial" w:eastAsia="Arial" w:hAnsi="Arial"/>
                <w:sz w:val="13"/>
                <w:szCs w:val="13"/>
                <w:color w:val="auto"/>
              </w:rPr>
              <w:t>137,844</w:t>
            </w:r>
          </w:p>
        </w:tc>
        <w:tc>
          <w:tcPr>
            <w:tcW w:w="800" w:type="dxa"/>
            <w:vAlign w:val="bottom"/>
            <w:tcBorders>
              <w:top w:val="single" w:sz="8" w:color="E9F1FB"/>
            </w:tcBorders>
          </w:tcPr>
          <w:p>
            <w:pPr>
              <w:jc w:val="right"/>
              <w:spacing w:after="0"/>
              <w:rPr>
                <w:sz w:val="20"/>
                <w:szCs w:val="20"/>
                <w:color w:val="auto"/>
              </w:rPr>
            </w:pPr>
            <w:r>
              <w:rPr>
                <w:rFonts w:ascii="Arial" w:cs="Arial" w:eastAsia="Arial" w:hAnsi="Arial"/>
                <w:sz w:val="13"/>
                <w:szCs w:val="13"/>
                <w:color w:val="auto"/>
              </w:rPr>
              <w:t>11,390,050</w:t>
            </w:r>
          </w:p>
        </w:tc>
      </w:tr>
      <w:tr>
        <w:trPr>
          <w:trHeight w:val="223"/>
        </w:trPr>
        <w:tc>
          <w:tcPr>
            <w:tcW w:w="2660" w:type="dxa"/>
            <w:vAlign w:val="bottom"/>
          </w:tcPr>
          <w:p>
            <w:pPr>
              <w:spacing w:after="0"/>
              <w:rPr>
                <w:sz w:val="19"/>
                <w:szCs w:val="19"/>
                <w:color w:val="auto"/>
              </w:rPr>
            </w:pPr>
          </w:p>
        </w:tc>
        <w:tc>
          <w:tcPr>
            <w:tcW w:w="80" w:type="dxa"/>
            <w:vAlign w:val="bottom"/>
            <w:tcBorders>
              <w:top w:val="single" w:sz="8" w:color="E9F1FB"/>
            </w:tcBorders>
          </w:tcPr>
          <w:p>
            <w:pPr>
              <w:spacing w:after="0"/>
              <w:rPr>
                <w:sz w:val="19"/>
                <w:szCs w:val="19"/>
                <w:color w:val="auto"/>
              </w:rPr>
            </w:pPr>
          </w:p>
        </w:tc>
        <w:tc>
          <w:tcPr>
            <w:tcW w:w="830" w:type="dxa"/>
            <w:vAlign w:val="bottom"/>
            <w:tcBorders>
              <w:top w:val="single" w:sz="8" w:color="E9F1FB"/>
              <w:bottom w:val="single" w:sz="8" w:color="EFF8FA"/>
            </w:tcBorders>
            <w:shd w:val="clear" w:color="auto" w:fill="EFF8FA"/>
          </w:tcPr>
          <w:p>
            <w:pPr>
              <w:jc w:val="right"/>
              <w:spacing w:after="0"/>
              <w:rPr>
                <w:sz w:val="20"/>
                <w:szCs w:val="20"/>
                <w:color w:val="auto"/>
              </w:rPr>
            </w:pPr>
            <w:r>
              <w:rPr>
                <w:rFonts w:ascii="Arial" w:cs="Arial" w:eastAsia="Arial" w:hAnsi="Arial"/>
                <w:sz w:val="13"/>
                <w:szCs w:val="13"/>
                <w:color w:val="auto"/>
              </w:rPr>
              <w:t>02/22/2018</w:t>
            </w:r>
          </w:p>
        </w:tc>
        <w:tc>
          <w:tcPr>
            <w:tcW w:w="1050" w:type="dxa"/>
            <w:vAlign w:val="bottom"/>
            <w:tcBorders>
              <w:top w:val="single" w:sz="8" w:color="E9F1FB"/>
              <w:bottom w:val="single" w:sz="8" w:color="EFF8FA"/>
            </w:tcBorders>
            <w:shd w:val="clear" w:color="auto" w:fill="EFF8FA"/>
          </w:tcPr>
          <w:p>
            <w:pPr>
              <w:jc w:val="right"/>
              <w:ind w:right="33"/>
              <w:spacing w:after="0"/>
              <w:rPr>
                <w:sz w:val="20"/>
                <w:szCs w:val="20"/>
                <w:color w:val="auto"/>
              </w:rPr>
            </w:pPr>
            <w:r>
              <w:rPr>
                <w:rFonts w:ascii="Arial" w:cs="Arial" w:eastAsia="Arial" w:hAnsi="Arial"/>
                <w:sz w:val="13"/>
                <w:szCs w:val="13"/>
                <w:color w:val="auto"/>
              </w:rPr>
              <w:t>0</w:t>
            </w:r>
          </w:p>
        </w:tc>
        <w:tc>
          <w:tcPr>
            <w:tcW w:w="1180" w:type="dxa"/>
            <w:vAlign w:val="bottom"/>
            <w:tcBorders>
              <w:top w:val="single" w:sz="8" w:color="E9F1FB"/>
              <w:bottom w:val="single" w:sz="8" w:color="EFF8FA"/>
            </w:tcBorders>
            <w:shd w:val="clear" w:color="auto" w:fill="EFF8FA"/>
          </w:tcPr>
          <w:p>
            <w:pPr>
              <w:jc w:val="right"/>
              <w:ind w:right="53"/>
              <w:spacing w:after="0"/>
              <w:rPr>
                <w:sz w:val="20"/>
                <w:szCs w:val="20"/>
                <w:color w:val="auto"/>
              </w:rPr>
            </w:pPr>
            <w:r>
              <w:rPr>
                <w:rFonts w:ascii="Arial" w:cs="Arial" w:eastAsia="Arial" w:hAnsi="Arial"/>
                <w:sz w:val="13"/>
                <w:szCs w:val="13"/>
                <w:color w:val="auto"/>
              </w:rPr>
              <w:t>227,406</w:t>
            </w:r>
          </w:p>
        </w:tc>
        <w:tc>
          <w:tcPr>
            <w:tcW w:w="560" w:type="dxa"/>
            <w:vAlign w:val="bottom"/>
            <w:tcBorders>
              <w:top w:val="single" w:sz="8" w:color="E9F1FB"/>
              <w:bottom w:val="single" w:sz="8" w:color="EFF8FA"/>
            </w:tcBorders>
            <w:shd w:val="clear" w:color="auto" w:fill="EFF8FA"/>
          </w:tcPr>
          <w:p>
            <w:pPr>
              <w:jc w:val="right"/>
              <w:spacing w:after="0"/>
              <w:rPr>
                <w:sz w:val="20"/>
                <w:szCs w:val="20"/>
                <w:color w:val="auto"/>
              </w:rPr>
            </w:pPr>
            <w:r>
              <w:rPr>
                <w:rFonts w:ascii="Arial" w:cs="Arial" w:eastAsia="Arial" w:hAnsi="Arial"/>
                <w:sz w:val="13"/>
                <w:szCs w:val="13"/>
                <w:color w:val="auto"/>
              </w:rPr>
              <w:t>92.80</w:t>
            </w:r>
          </w:p>
        </w:tc>
        <w:tc>
          <w:tcPr>
            <w:tcW w:w="100" w:type="dxa"/>
            <w:vAlign w:val="bottom"/>
            <w:tcBorders>
              <w:top w:val="single" w:sz="8" w:color="E9F1FB"/>
              <w:bottom w:val="single" w:sz="8" w:color="EFF8FA"/>
            </w:tcBorders>
            <w:shd w:val="clear" w:color="auto" w:fill="EFF8FA"/>
          </w:tcPr>
          <w:p>
            <w:pPr>
              <w:spacing w:after="0"/>
              <w:rPr>
                <w:sz w:val="19"/>
                <w:szCs w:val="19"/>
                <w:color w:val="auto"/>
              </w:rPr>
            </w:pPr>
          </w:p>
        </w:tc>
        <w:tc>
          <w:tcPr>
            <w:tcW w:w="780" w:type="dxa"/>
            <w:vAlign w:val="bottom"/>
            <w:tcBorders>
              <w:top w:val="single" w:sz="8" w:color="E9F1FB"/>
              <w:bottom w:val="single" w:sz="8" w:color="EFF8FA"/>
            </w:tcBorders>
            <w:shd w:val="clear" w:color="auto" w:fill="EFF8FA"/>
          </w:tcPr>
          <w:p>
            <w:pPr>
              <w:jc w:val="right"/>
              <w:ind w:right="13"/>
              <w:spacing w:after="0"/>
              <w:rPr>
                <w:sz w:val="20"/>
                <w:szCs w:val="20"/>
                <w:color w:val="auto"/>
              </w:rPr>
            </w:pPr>
            <w:r>
              <w:rPr>
                <w:rFonts w:ascii="Arial" w:cs="Arial" w:eastAsia="Arial" w:hAnsi="Arial"/>
                <w:sz w:val="13"/>
                <w:szCs w:val="13"/>
                <w:color w:val="auto"/>
              </w:rPr>
              <w:t>02/22/2028</w:t>
            </w:r>
          </w:p>
        </w:tc>
        <w:tc>
          <w:tcPr>
            <w:tcW w:w="80" w:type="dxa"/>
            <w:vAlign w:val="bottom"/>
            <w:tcBorders>
              <w:top w:val="single" w:sz="8" w:color="E9F1FB"/>
            </w:tcBorders>
          </w:tcPr>
          <w:p>
            <w:pPr>
              <w:spacing w:after="0"/>
              <w:rPr>
                <w:sz w:val="19"/>
                <w:szCs w:val="19"/>
                <w:color w:val="auto"/>
              </w:rPr>
            </w:pPr>
          </w:p>
        </w:tc>
        <w:tc>
          <w:tcPr>
            <w:tcW w:w="880" w:type="dxa"/>
            <w:vAlign w:val="bottom"/>
            <w:tcBorders>
              <w:top w:val="single" w:sz="8" w:color="E9F1FB"/>
            </w:tcBorders>
          </w:tcPr>
          <w:p>
            <w:pPr>
              <w:spacing w:after="0"/>
              <w:rPr>
                <w:sz w:val="19"/>
                <w:szCs w:val="19"/>
                <w:color w:val="auto"/>
              </w:rPr>
            </w:pPr>
          </w:p>
        </w:tc>
        <w:tc>
          <w:tcPr>
            <w:tcW w:w="800" w:type="dxa"/>
            <w:vAlign w:val="bottom"/>
            <w:tcBorders>
              <w:top w:val="single" w:sz="8" w:color="E9F1FB"/>
            </w:tcBorders>
          </w:tcPr>
          <w:p>
            <w:pPr>
              <w:spacing w:after="0"/>
              <w:rPr>
                <w:sz w:val="19"/>
                <w:szCs w:val="19"/>
                <w:color w:val="auto"/>
              </w:rPr>
            </w:pPr>
          </w:p>
        </w:tc>
        <w:tc>
          <w:tcPr>
            <w:tcW w:w="820" w:type="dxa"/>
            <w:vAlign w:val="bottom"/>
            <w:tcBorders>
              <w:top w:val="single" w:sz="8" w:color="E9F1FB"/>
            </w:tcBorders>
          </w:tcPr>
          <w:p>
            <w:pPr>
              <w:spacing w:after="0"/>
              <w:rPr>
                <w:sz w:val="19"/>
                <w:szCs w:val="19"/>
                <w:color w:val="auto"/>
              </w:rPr>
            </w:pPr>
          </w:p>
        </w:tc>
        <w:tc>
          <w:tcPr>
            <w:tcW w:w="800" w:type="dxa"/>
            <w:vAlign w:val="bottom"/>
            <w:tcBorders>
              <w:top w:val="single" w:sz="8" w:color="E9F1FB"/>
            </w:tcBorders>
          </w:tcPr>
          <w:p>
            <w:pPr>
              <w:spacing w:after="0"/>
              <w:rPr>
                <w:sz w:val="19"/>
                <w:szCs w:val="19"/>
                <w:color w:val="auto"/>
              </w:rPr>
            </w:pPr>
          </w:p>
        </w:tc>
        <w:tc>
          <w:tcPr>
            <w:tcW w:w="800" w:type="dxa"/>
            <w:vAlign w:val="bottom"/>
            <w:tcBorders>
              <w:top w:val="single" w:sz="8" w:color="E9F1FB"/>
            </w:tcBorders>
          </w:tcPr>
          <w:p>
            <w:pPr>
              <w:spacing w:after="0"/>
              <w:rPr>
                <w:sz w:val="19"/>
                <w:szCs w:val="19"/>
                <w:color w:val="auto"/>
              </w:rPr>
            </w:pPr>
          </w:p>
        </w:tc>
      </w:tr>
      <w:tr>
        <w:trPr>
          <w:trHeight w:val="223"/>
        </w:trPr>
        <w:tc>
          <w:tcPr>
            <w:tcW w:w="2660" w:type="dxa"/>
            <w:vAlign w:val="bottom"/>
          </w:tcPr>
          <w:p>
            <w:pPr>
              <w:spacing w:after="0"/>
              <w:rPr>
                <w:sz w:val="19"/>
                <w:szCs w:val="19"/>
                <w:color w:val="auto"/>
              </w:rPr>
            </w:pPr>
          </w:p>
        </w:tc>
        <w:tc>
          <w:tcPr>
            <w:tcW w:w="80" w:type="dxa"/>
            <w:vAlign w:val="bottom"/>
            <w:tcBorders>
              <w:top w:val="single" w:sz="8" w:color="E9F1FB"/>
            </w:tcBorders>
          </w:tcPr>
          <w:p>
            <w:pPr>
              <w:spacing w:after="0"/>
              <w:rPr>
                <w:sz w:val="19"/>
                <w:szCs w:val="19"/>
                <w:color w:val="auto"/>
              </w:rPr>
            </w:pPr>
          </w:p>
        </w:tc>
        <w:tc>
          <w:tcPr>
            <w:tcW w:w="830" w:type="dxa"/>
            <w:vAlign w:val="bottom"/>
            <w:tcBorders>
              <w:top w:val="single" w:sz="8" w:color="E9F1FB"/>
              <w:bottom w:val="single" w:sz="8" w:color="EFF8FA"/>
            </w:tcBorders>
            <w:shd w:val="clear" w:color="auto" w:fill="EFF8FA"/>
          </w:tcPr>
          <w:p>
            <w:pPr>
              <w:spacing w:after="0"/>
              <w:rPr>
                <w:sz w:val="19"/>
                <w:szCs w:val="19"/>
                <w:color w:val="auto"/>
              </w:rPr>
            </w:pPr>
          </w:p>
        </w:tc>
        <w:tc>
          <w:tcPr>
            <w:tcW w:w="1050" w:type="dxa"/>
            <w:vAlign w:val="bottom"/>
            <w:tcBorders>
              <w:top w:val="single" w:sz="8" w:color="E9F1FB"/>
              <w:bottom w:val="single" w:sz="8" w:color="EFF8FA"/>
            </w:tcBorders>
            <w:shd w:val="clear" w:color="auto" w:fill="EFF8FA"/>
          </w:tcPr>
          <w:p>
            <w:pPr>
              <w:spacing w:after="0"/>
              <w:rPr>
                <w:sz w:val="19"/>
                <w:szCs w:val="19"/>
                <w:color w:val="auto"/>
              </w:rPr>
            </w:pPr>
          </w:p>
        </w:tc>
        <w:tc>
          <w:tcPr>
            <w:tcW w:w="1180" w:type="dxa"/>
            <w:vAlign w:val="bottom"/>
            <w:tcBorders>
              <w:top w:val="single" w:sz="8" w:color="E9F1FB"/>
              <w:bottom w:val="single" w:sz="8" w:color="EFF8FA"/>
            </w:tcBorders>
            <w:shd w:val="clear" w:color="auto" w:fill="EFF8FA"/>
          </w:tcPr>
          <w:p>
            <w:pPr>
              <w:spacing w:after="0"/>
              <w:rPr>
                <w:sz w:val="19"/>
                <w:szCs w:val="19"/>
                <w:color w:val="auto"/>
              </w:rPr>
            </w:pPr>
          </w:p>
        </w:tc>
        <w:tc>
          <w:tcPr>
            <w:tcW w:w="560" w:type="dxa"/>
            <w:vAlign w:val="bottom"/>
            <w:tcBorders>
              <w:top w:val="single" w:sz="8" w:color="E9F1FB"/>
              <w:bottom w:val="single" w:sz="8" w:color="EFF8FA"/>
            </w:tcBorders>
            <w:shd w:val="clear" w:color="auto" w:fill="EFF8FA"/>
          </w:tcPr>
          <w:p>
            <w:pPr>
              <w:spacing w:after="0"/>
              <w:rPr>
                <w:sz w:val="19"/>
                <w:szCs w:val="19"/>
                <w:color w:val="auto"/>
              </w:rPr>
            </w:pPr>
          </w:p>
        </w:tc>
        <w:tc>
          <w:tcPr>
            <w:tcW w:w="100" w:type="dxa"/>
            <w:vAlign w:val="bottom"/>
            <w:tcBorders>
              <w:top w:val="single" w:sz="8" w:color="E9F1FB"/>
              <w:bottom w:val="single" w:sz="8" w:color="EFF8FA"/>
            </w:tcBorders>
            <w:shd w:val="clear" w:color="auto" w:fill="EFF8FA"/>
          </w:tcPr>
          <w:p>
            <w:pPr>
              <w:spacing w:after="0"/>
              <w:rPr>
                <w:sz w:val="19"/>
                <w:szCs w:val="19"/>
                <w:color w:val="auto"/>
              </w:rPr>
            </w:pPr>
          </w:p>
        </w:tc>
        <w:tc>
          <w:tcPr>
            <w:tcW w:w="780" w:type="dxa"/>
            <w:vAlign w:val="bottom"/>
            <w:tcBorders>
              <w:top w:val="single" w:sz="8" w:color="E9F1FB"/>
              <w:bottom w:val="single" w:sz="8" w:color="EFF8FA"/>
            </w:tcBorders>
            <w:shd w:val="clear" w:color="auto" w:fill="EFF8FA"/>
          </w:tcPr>
          <w:p>
            <w:pPr>
              <w:spacing w:after="0"/>
              <w:rPr>
                <w:sz w:val="19"/>
                <w:szCs w:val="19"/>
                <w:color w:val="auto"/>
              </w:rPr>
            </w:pPr>
          </w:p>
        </w:tc>
        <w:tc>
          <w:tcPr>
            <w:tcW w:w="960" w:type="dxa"/>
            <w:vAlign w:val="bottom"/>
            <w:tcBorders>
              <w:top w:val="single" w:sz="8" w:color="E9F1FB"/>
            </w:tcBorders>
            <w:gridSpan w:val="2"/>
          </w:tcPr>
          <w:p>
            <w:pPr>
              <w:jc w:val="right"/>
              <w:spacing w:after="0"/>
              <w:rPr>
                <w:sz w:val="20"/>
                <w:szCs w:val="20"/>
                <w:color w:val="auto"/>
              </w:rPr>
            </w:pPr>
            <w:r>
              <w:rPr>
                <w:rFonts w:ascii="Arial" w:cs="Arial" w:eastAsia="Arial" w:hAnsi="Arial"/>
                <w:sz w:val="13"/>
                <w:szCs w:val="13"/>
                <w:color w:val="auto"/>
              </w:rPr>
              <w:t>02/22/2018</w:t>
            </w:r>
          </w:p>
        </w:tc>
        <w:tc>
          <w:tcPr>
            <w:tcW w:w="800" w:type="dxa"/>
            <w:vAlign w:val="bottom"/>
            <w:tcBorders>
              <w:top w:val="single" w:sz="8" w:color="E9F1FB"/>
            </w:tcBorders>
          </w:tcPr>
          <w:p>
            <w:pPr>
              <w:spacing w:after="0"/>
              <w:rPr>
                <w:sz w:val="19"/>
                <w:szCs w:val="19"/>
                <w:color w:val="auto"/>
              </w:rPr>
            </w:pPr>
          </w:p>
        </w:tc>
        <w:tc>
          <w:tcPr>
            <w:tcW w:w="820" w:type="dxa"/>
            <w:vAlign w:val="bottom"/>
            <w:tcBorders>
              <w:top w:val="single" w:sz="8" w:color="E9F1FB"/>
            </w:tcBorders>
          </w:tcPr>
          <w:p>
            <w:pPr>
              <w:spacing w:after="0"/>
              <w:rPr>
                <w:sz w:val="19"/>
                <w:szCs w:val="19"/>
                <w:color w:val="auto"/>
              </w:rPr>
            </w:pPr>
          </w:p>
        </w:tc>
        <w:tc>
          <w:tcPr>
            <w:tcW w:w="800" w:type="dxa"/>
            <w:vAlign w:val="bottom"/>
            <w:tcBorders>
              <w:top w:val="single" w:sz="8" w:color="E9F1FB"/>
            </w:tcBorders>
          </w:tcPr>
          <w:p>
            <w:pPr>
              <w:jc w:val="right"/>
              <w:spacing w:after="0"/>
              <w:rPr>
                <w:sz w:val="20"/>
                <w:szCs w:val="20"/>
                <w:color w:val="auto"/>
              </w:rPr>
            </w:pPr>
            <w:r>
              <w:rPr>
                <w:rFonts w:ascii="Arial" w:cs="Arial" w:eastAsia="Arial" w:hAnsi="Arial"/>
                <w:sz w:val="13"/>
                <w:szCs w:val="13"/>
                <w:color w:val="auto"/>
              </w:rPr>
              <w:t>125,270</w:t>
            </w:r>
          </w:p>
        </w:tc>
        <w:tc>
          <w:tcPr>
            <w:tcW w:w="800" w:type="dxa"/>
            <w:vAlign w:val="bottom"/>
            <w:tcBorders>
              <w:top w:val="single" w:sz="8" w:color="E9F1FB"/>
            </w:tcBorders>
          </w:tcPr>
          <w:p>
            <w:pPr>
              <w:jc w:val="right"/>
              <w:spacing w:after="0"/>
              <w:rPr>
                <w:sz w:val="20"/>
                <w:szCs w:val="20"/>
                <w:color w:val="auto"/>
              </w:rPr>
            </w:pPr>
            <w:r>
              <w:rPr>
                <w:rFonts w:ascii="Arial" w:cs="Arial" w:eastAsia="Arial" w:hAnsi="Arial"/>
                <w:sz w:val="13"/>
                <w:szCs w:val="13"/>
                <w:color w:val="auto"/>
              </w:rPr>
              <w:t>10,351,060</w:t>
            </w:r>
          </w:p>
        </w:tc>
      </w:tr>
      <w:tr>
        <w:trPr>
          <w:trHeight w:val="223"/>
        </w:trPr>
        <w:tc>
          <w:tcPr>
            <w:tcW w:w="2740" w:type="dxa"/>
            <w:vAlign w:val="bottom"/>
            <w:tcBorders>
              <w:top w:val="single" w:sz="8" w:color="E9F1FB"/>
            </w:tcBorders>
            <w:gridSpan w:val="2"/>
          </w:tcPr>
          <w:p>
            <w:pPr>
              <w:ind w:left="40"/>
              <w:spacing w:after="0"/>
              <w:rPr>
                <w:sz w:val="20"/>
                <w:szCs w:val="20"/>
                <w:color w:val="auto"/>
              </w:rPr>
            </w:pPr>
            <w:r>
              <w:rPr>
                <w:rFonts w:ascii="Arial" w:cs="Arial" w:eastAsia="Arial" w:hAnsi="Arial"/>
                <w:sz w:val="13"/>
                <w:szCs w:val="13"/>
                <w:b w:val="1"/>
                <w:bCs w:val="1"/>
                <w:color w:val="105EAB"/>
              </w:rPr>
              <w:t>Mr. Rizzo</w:t>
            </w:r>
          </w:p>
        </w:tc>
        <w:tc>
          <w:tcPr>
            <w:tcW w:w="830" w:type="dxa"/>
            <w:vAlign w:val="bottom"/>
            <w:tcBorders>
              <w:top w:val="single" w:sz="8" w:color="E9F1FB"/>
              <w:bottom w:val="single" w:sz="8" w:color="EFF8FA"/>
            </w:tcBorders>
            <w:shd w:val="clear" w:color="auto" w:fill="EFF8FA"/>
          </w:tcPr>
          <w:p>
            <w:pPr>
              <w:jc w:val="right"/>
              <w:spacing w:after="0"/>
              <w:rPr>
                <w:sz w:val="20"/>
                <w:szCs w:val="20"/>
                <w:color w:val="auto"/>
              </w:rPr>
            </w:pPr>
            <w:r>
              <w:rPr>
                <w:rFonts w:ascii="Arial" w:cs="Arial" w:eastAsia="Arial" w:hAnsi="Arial"/>
                <w:sz w:val="13"/>
                <w:szCs w:val="13"/>
                <w:color w:val="auto"/>
              </w:rPr>
              <w:t>02/22/2011</w:t>
            </w:r>
          </w:p>
        </w:tc>
        <w:tc>
          <w:tcPr>
            <w:tcW w:w="1050" w:type="dxa"/>
            <w:vAlign w:val="bottom"/>
            <w:tcBorders>
              <w:top w:val="single" w:sz="8" w:color="E9F1FB"/>
              <w:bottom w:val="single" w:sz="8" w:color="EFF8FA"/>
            </w:tcBorders>
            <w:shd w:val="clear" w:color="auto" w:fill="EFF8FA"/>
          </w:tcPr>
          <w:p>
            <w:pPr>
              <w:jc w:val="right"/>
              <w:ind w:right="33"/>
              <w:spacing w:after="0"/>
              <w:rPr>
                <w:sz w:val="20"/>
                <w:szCs w:val="20"/>
                <w:color w:val="auto"/>
              </w:rPr>
            </w:pPr>
            <w:r>
              <w:rPr>
                <w:rFonts w:ascii="Arial" w:cs="Arial" w:eastAsia="Arial" w:hAnsi="Arial"/>
                <w:sz w:val="13"/>
                <w:szCs w:val="13"/>
                <w:color w:val="auto"/>
              </w:rPr>
              <w:t>10,804</w:t>
            </w:r>
          </w:p>
        </w:tc>
        <w:tc>
          <w:tcPr>
            <w:tcW w:w="1180" w:type="dxa"/>
            <w:vAlign w:val="bottom"/>
            <w:tcBorders>
              <w:top w:val="single" w:sz="8" w:color="E9F1FB"/>
              <w:bottom w:val="single" w:sz="8" w:color="EFF8FA"/>
            </w:tcBorders>
            <w:shd w:val="clear" w:color="auto" w:fill="EFF8FA"/>
          </w:tcPr>
          <w:p>
            <w:pPr>
              <w:jc w:val="right"/>
              <w:ind w:right="53"/>
              <w:spacing w:after="0"/>
              <w:rPr>
                <w:sz w:val="20"/>
                <w:szCs w:val="20"/>
                <w:color w:val="auto"/>
              </w:rPr>
            </w:pPr>
            <w:r>
              <w:rPr>
                <w:rFonts w:ascii="Arial" w:cs="Arial" w:eastAsia="Arial" w:hAnsi="Arial"/>
                <w:sz w:val="13"/>
                <w:szCs w:val="13"/>
                <w:color w:val="auto"/>
              </w:rPr>
              <w:t>0</w:t>
            </w:r>
          </w:p>
        </w:tc>
        <w:tc>
          <w:tcPr>
            <w:tcW w:w="560" w:type="dxa"/>
            <w:vAlign w:val="bottom"/>
            <w:tcBorders>
              <w:top w:val="single" w:sz="8" w:color="E9F1FB"/>
              <w:bottom w:val="single" w:sz="8" w:color="EFF8FA"/>
            </w:tcBorders>
            <w:shd w:val="clear" w:color="auto" w:fill="EFF8FA"/>
          </w:tcPr>
          <w:p>
            <w:pPr>
              <w:jc w:val="right"/>
              <w:spacing w:after="0"/>
              <w:rPr>
                <w:sz w:val="20"/>
                <w:szCs w:val="20"/>
                <w:color w:val="auto"/>
              </w:rPr>
            </w:pPr>
            <w:r>
              <w:rPr>
                <w:rFonts w:ascii="Arial" w:cs="Arial" w:eastAsia="Arial" w:hAnsi="Arial"/>
                <w:sz w:val="13"/>
                <w:szCs w:val="13"/>
                <w:color w:val="auto"/>
              </w:rPr>
              <w:t>31.74</w:t>
            </w:r>
          </w:p>
        </w:tc>
        <w:tc>
          <w:tcPr>
            <w:tcW w:w="100" w:type="dxa"/>
            <w:vAlign w:val="bottom"/>
            <w:tcBorders>
              <w:top w:val="single" w:sz="8" w:color="E9F1FB"/>
              <w:bottom w:val="single" w:sz="8" w:color="EFF8FA"/>
            </w:tcBorders>
            <w:shd w:val="clear" w:color="auto" w:fill="EFF8FA"/>
          </w:tcPr>
          <w:p>
            <w:pPr>
              <w:spacing w:after="0"/>
              <w:rPr>
                <w:sz w:val="19"/>
                <w:szCs w:val="19"/>
                <w:color w:val="auto"/>
              </w:rPr>
            </w:pPr>
          </w:p>
        </w:tc>
        <w:tc>
          <w:tcPr>
            <w:tcW w:w="780" w:type="dxa"/>
            <w:vAlign w:val="bottom"/>
            <w:tcBorders>
              <w:top w:val="single" w:sz="8" w:color="E9F1FB"/>
              <w:bottom w:val="single" w:sz="8" w:color="EFF8FA"/>
            </w:tcBorders>
            <w:shd w:val="clear" w:color="auto" w:fill="EFF8FA"/>
          </w:tcPr>
          <w:p>
            <w:pPr>
              <w:jc w:val="right"/>
              <w:ind w:right="13"/>
              <w:spacing w:after="0"/>
              <w:rPr>
                <w:sz w:val="20"/>
                <w:szCs w:val="20"/>
                <w:color w:val="auto"/>
              </w:rPr>
            </w:pPr>
            <w:r>
              <w:rPr>
                <w:rFonts w:ascii="Arial" w:cs="Arial" w:eastAsia="Arial" w:hAnsi="Arial"/>
                <w:sz w:val="13"/>
                <w:szCs w:val="13"/>
                <w:color w:val="auto"/>
              </w:rPr>
              <w:t>02/22/2021</w:t>
            </w:r>
          </w:p>
        </w:tc>
        <w:tc>
          <w:tcPr>
            <w:tcW w:w="80" w:type="dxa"/>
            <w:vAlign w:val="bottom"/>
            <w:tcBorders>
              <w:top w:val="single" w:sz="8" w:color="E9F1FB"/>
            </w:tcBorders>
          </w:tcPr>
          <w:p>
            <w:pPr>
              <w:spacing w:after="0"/>
              <w:rPr>
                <w:sz w:val="19"/>
                <w:szCs w:val="19"/>
                <w:color w:val="auto"/>
              </w:rPr>
            </w:pPr>
          </w:p>
        </w:tc>
        <w:tc>
          <w:tcPr>
            <w:tcW w:w="880" w:type="dxa"/>
            <w:vAlign w:val="bottom"/>
            <w:tcBorders>
              <w:top w:val="single" w:sz="8" w:color="E9F1FB"/>
            </w:tcBorders>
          </w:tcPr>
          <w:p>
            <w:pPr>
              <w:spacing w:after="0"/>
              <w:rPr>
                <w:sz w:val="19"/>
                <w:szCs w:val="19"/>
                <w:color w:val="auto"/>
              </w:rPr>
            </w:pPr>
          </w:p>
        </w:tc>
        <w:tc>
          <w:tcPr>
            <w:tcW w:w="800" w:type="dxa"/>
            <w:vAlign w:val="bottom"/>
            <w:tcBorders>
              <w:top w:val="single" w:sz="8" w:color="E9F1FB"/>
            </w:tcBorders>
          </w:tcPr>
          <w:p>
            <w:pPr>
              <w:spacing w:after="0"/>
              <w:rPr>
                <w:sz w:val="19"/>
                <w:szCs w:val="19"/>
                <w:color w:val="auto"/>
              </w:rPr>
            </w:pPr>
          </w:p>
        </w:tc>
        <w:tc>
          <w:tcPr>
            <w:tcW w:w="820" w:type="dxa"/>
            <w:vAlign w:val="bottom"/>
            <w:tcBorders>
              <w:top w:val="single" w:sz="8" w:color="E9F1FB"/>
            </w:tcBorders>
          </w:tcPr>
          <w:p>
            <w:pPr>
              <w:spacing w:after="0"/>
              <w:rPr>
                <w:sz w:val="19"/>
                <w:szCs w:val="19"/>
                <w:color w:val="auto"/>
              </w:rPr>
            </w:pPr>
          </w:p>
        </w:tc>
        <w:tc>
          <w:tcPr>
            <w:tcW w:w="800" w:type="dxa"/>
            <w:vAlign w:val="bottom"/>
            <w:tcBorders>
              <w:top w:val="single" w:sz="8" w:color="E9F1FB"/>
            </w:tcBorders>
          </w:tcPr>
          <w:p>
            <w:pPr>
              <w:spacing w:after="0"/>
              <w:rPr>
                <w:sz w:val="19"/>
                <w:szCs w:val="19"/>
                <w:color w:val="auto"/>
              </w:rPr>
            </w:pPr>
          </w:p>
        </w:tc>
        <w:tc>
          <w:tcPr>
            <w:tcW w:w="800" w:type="dxa"/>
            <w:vAlign w:val="bottom"/>
            <w:tcBorders>
              <w:top w:val="single" w:sz="8" w:color="E9F1FB"/>
            </w:tcBorders>
          </w:tcPr>
          <w:p>
            <w:pPr>
              <w:spacing w:after="0"/>
              <w:rPr>
                <w:sz w:val="19"/>
                <w:szCs w:val="19"/>
                <w:color w:val="auto"/>
              </w:rPr>
            </w:pPr>
          </w:p>
        </w:tc>
      </w:tr>
      <w:tr>
        <w:trPr>
          <w:trHeight w:val="223"/>
        </w:trPr>
        <w:tc>
          <w:tcPr>
            <w:tcW w:w="2660" w:type="dxa"/>
            <w:vAlign w:val="bottom"/>
          </w:tcPr>
          <w:p>
            <w:pPr>
              <w:spacing w:after="0"/>
              <w:rPr>
                <w:sz w:val="19"/>
                <w:szCs w:val="19"/>
                <w:color w:val="auto"/>
              </w:rPr>
            </w:pPr>
          </w:p>
        </w:tc>
        <w:tc>
          <w:tcPr>
            <w:tcW w:w="80" w:type="dxa"/>
            <w:vAlign w:val="bottom"/>
            <w:tcBorders>
              <w:top w:val="single" w:sz="8" w:color="E9F1FB"/>
            </w:tcBorders>
          </w:tcPr>
          <w:p>
            <w:pPr>
              <w:spacing w:after="0"/>
              <w:rPr>
                <w:sz w:val="19"/>
                <w:szCs w:val="19"/>
                <w:color w:val="auto"/>
              </w:rPr>
            </w:pPr>
          </w:p>
        </w:tc>
        <w:tc>
          <w:tcPr>
            <w:tcW w:w="830" w:type="dxa"/>
            <w:vAlign w:val="bottom"/>
            <w:tcBorders>
              <w:top w:val="single" w:sz="8" w:color="E9F1FB"/>
              <w:bottom w:val="single" w:sz="8" w:color="EFF8FA"/>
            </w:tcBorders>
            <w:shd w:val="clear" w:color="auto" w:fill="EFF8FA"/>
          </w:tcPr>
          <w:p>
            <w:pPr>
              <w:jc w:val="right"/>
              <w:spacing w:after="0"/>
              <w:rPr>
                <w:sz w:val="20"/>
                <w:szCs w:val="20"/>
                <w:color w:val="auto"/>
              </w:rPr>
            </w:pPr>
            <w:r>
              <w:rPr>
                <w:rFonts w:ascii="Arial" w:cs="Arial" w:eastAsia="Arial" w:hAnsi="Arial"/>
                <w:sz w:val="13"/>
                <w:szCs w:val="13"/>
                <w:color w:val="auto"/>
              </w:rPr>
              <w:t>02/21/2012</w:t>
            </w:r>
          </w:p>
        </w:tc>
        <w:tc>
          <w:tcPr>
            <w:tcW w:w="1050" w:type="dxa"/>
            <w:vAlign w:val="bottom"/>
            <w:tcBorders>
              <w:top w:val="single" w:sz="8" w:color="E9F1FB"/>
              <w:bottom w:val="single" w:sz="8" w:color="EFF8FA"/>
            </w:tcBorders>
            <w:shd w:val="clear" w:color="auto" w:fill="EFF8FA"/>
          </w:tcPr>
          <w:p>
            <w:pPr>
              <w:jc w:val="right"/>
              <w:ind w:right="33"/>
              <w:spacing w:after="0"/>
              <w:rPr>
                <w:sz w:val="20"/>
                <w:szCs w:val="20"/>
                <w:color w:val="auto"/>
              </w:rPr>
            </w:pPr>
            <w:r>
              <w:rPr>
                <w:rFonts w:ascii="Arial" w:cs="Arial" w:eastAsia="Arial" w:hAnsi="Arial"/>
                <w:sz w:val="13"/>
                <w:szCs w:val="13"/>
                <w:color w:val="auto"/>
              </w:rPr>
              <w:t>12,763</w:t>
            </w:r>
          </w:p>
        </w:tc>
        <w:tc>
          <w:tcPr>
            <w:tcW w:w="1180" w:type="dxa"/>
            <w:vAlign w:val="bottom"/>
            <w:tcBorders>
              <w:top w:val="single" w:sz="8" w:color="E9F1FB"/>
              <w:bottom w:val="single" w:sz="8" w:color="EFF8FA"/>
            </w:tcBorders>
            <w:shd w:val="clear" w:color="auto" w:fill="EFF8FA"/>
          </w:tcPr>
          <w:p>
            <w:pPr>
              <w:jc w:val="right"/>
              <w:ind w:right="53"/>
              <w:spacing w:after="0"/>
              <w:rPr>
                <w:sz w:val="20"/>
                <w:szCs w:val="20"/>
                <w:color w:val="auto"/>
              </w:rPr>
            </w:pPr>
            <w:r>
              <w:rPr>
                <w:rFonts w:ascii="Arial" w:cs="Arial" w:eastAsia="Arial" w:hAnsi="Arial"/>
                <w:sz w:val="13"/>
                <w:szCs w:val="13"/>
                <w:color w:val="auto"/>
              </w:rPr>
              <w:t>0</w:t>
            </w:r>
          </w:p>
        </w:tc>
        <w:tc>
          <w:tcPr>
            <w:tcW w:w="560" w:type="dxa"/>
            <w:vAlign w:val="bottom"/>
            <w:tcBorders>
              <w:top w:val="single" w:sz="8" w:color="E9F1FB"/>
              <w:bottom w:val="single" w:sz="8" w:color="EFF8FA"/>
            </w:tcBorders>
            <w:shd w:val="clear" w:color="auto" w:fill="EFF8FA"/>
          </w:tcPr>
          <w:p>
            <w:pPr>
              <w:jc w:val="right"/>
              <w:spacing w:after="0"/>
              <w:rPr>
                <w:sz w:val="20"/>
                <w:szCs w:val="20"/>
                <w:color w:val="auto"/>
              </w:rPr>
            </w:pPr>
            <w:r>
              <w:rPr>
                <w:rFonts w:ascii="Arial" w:cs="Arial" w:eastAsia="Arial" w:hAnsi="Arial"/>
                <w:sz w:val="13"/>
                <w:szCs w:val="13"/>
                <w:color w:val="auto"/>
              </w:rPr>
              <w:t>31.56</w:t>
            </w:r>
          </w:p>
        </w:tc>
        <w:tc>
          <w:tcPr>
            <w:tcW w:w="100" w:type="dxa"/>
            <w:vAlign w:val="bottom"/>
            <w:tcBorders>
              <w:top w:val="single" w:sz="8" w:color="E9F1FB"/>
              <w:bottom w:val="single" w:sz="8" w:color="EFF8FA"/>
            </w:tcBorders>
            <w:shd w:val="clear" w:color="auto" w:fill="EFF8FA"/>
          </w:tcPr>
          <w:p>
            <w:pPr>
              <w:spacing w:after="0"/>
              <w:rPr>
                <w:sz w:val="19"/>
                <w:szCs w:val="19"/>
                <w:color w:val="auto"/>
              </w:rPr>
            </w:pPr>
          </w:p>
        </w:tc>
        <w:tc>
          <w:tcPr>
            <w:tcW w:w="780" w:type="dxa"/>
            <w:vAlign w:val="bottom"/>
            <w:tcBorders>
              <w:top w:val="single" w:sz="8" w:color="E9F1FB"/>
              <w:bottom w:val="single" w:sz="8" w:color="EFF8FA"/>
            </w:tcBorders>
            <w:shd w:val="clear" w:color="auto" w:fill="EFF8FA"/>
          </w:tcPr>
          <w:p>
            <w:pPr>
              <w:jc w:val="right"/>
              <w:ind w:right="13"/>
              <w:spacing w:after="0"/>
              <w:rPr>
                <w:sz w:val="20"/>
                <w:szCs w:val="20"/>
                <w:color w:val="auto"/>
              </w:rPr>
            </w:pPr>
            <w:r>
              <w:rPr>
                <w:rFonts w:ascii="Arial" w:cs="Arial" w:eastAsia="Arial" w:hAnsi="Arial"/>
                <w:sz w:val="13"/>
                <w:szCs w:val="13"/>
                <w:color w:val="auto"/>
              </w:rPr>
              <w:t>02/21/2022</w:t>
            </w:r>
          </w:p>
        </w:tc>
        <w:tc>
          <w:tcPr>
            <w:tcW w:w="80" w:type="dxa"/>
            <w:vAlign w:val="bottom"/>
            <w:tcBorders>
              <w:top w:val="single" w:sz="8" w:color="E9F1FB"/>
            </w:tcBorders>
          </w:tcPr>
          <w:p>
            <w:pPr>
              <w:spacing w:after="0"/>
              <w:rPr>
                <w:sz w:val="19"/>
                <w:szCs w:val="19"/>
                <w:color w:val="auto"/>
              </w:rPr>
            </w:pPr>
          </w:p>
        </w:tc>
        <w:tc>
          <w:tcPr>
            <w:tcW w:w="880" w:type="dxa"/>
            <w:vAlign w:val="bottom"/>
            <w:tcBorders>
              <w:top w:val="single" w:sz="8" w:color="E9F1FB"/>
            </w:tcBorders>
          </w:tcPr>
          <w:p>
            <w:pPr>
              <w:spacing w:after="0"/>
              <w:rPr>
                <w:sz w:val="19"/>
                <w:szCs w:val="19"/>
                <w:color w:val="auto"/>
              </w:rPr>
            </w:pPr>
          </w:p>
        </w:tc>
        <w:tc>
          <w:tcPr>
            <w:tcW w:w="800" w:type="dxa"/>
            <w:vAlign w:val="bottom"/>
            <w:tcBorders>
              <w:top w:val="single" w:sz="8" w:color="E9F1FB"/>
            </w:tcBorders>
          </w:tcPr>
          <w:p>
            <w:pPr>
              <w:spacing w:after="0"/>
              <w:rPr>
                <w:sz w:val="19"/>
                <w:szCs w:val="19"/>
                <w:color w:val="auto"/>
              </w:rPr>
            </w:pPr>
          </w:p>
        </w:tc>
        <w:tc>
          <w:tcPr>
            <w:tcW w:w="820" w:type="dxa"/>
            <w:vAlign w:val="bottom"/>
            <w:tcBorders>
              <w:top w:val="single" w:sz="8" w:color="E9F1FB"/>
            </w:tcBorders>
          </w:tcPr>
          <w:p>
            <w:pPr>
              <w:spacing w:after="0"/>
              <w:rPr>
                <w:sz w:val="19"/>
                <w:szCs w:val="19"/>
                <w:color w:val="auto"/>
              </w:rPr>
            </w:pPr>
          </w:p>
        </w:tc>
        <w:tc>
          <w:tcPr>
            <w:tcW w:w="800" w:type="dxa"/>
            <w:vAlign w:val="bottom"/>
            <w:tcBorders>
              <w:top w:val="single" w:sz="8" w:color="E9F1FB"/>
            </w:tcBorders>
          </w:tcPr>
          <w:p>
            <w:pPr>
              <w:spacing w:after="0"/>
              <w:rPr>
                <w:sz w:val="19"/>
                <w:szCs w:val="19"/>
                <w:color w:val="auto"/>
              </w:rPr>
            </w:pPr>
          </w:p>
        </w:tc>
        <w:tc>
          <w:tcPr>
            <w:tcW w:w="800" w:type="dxa"/>
            <w:vAlign w:val="bottom"/>
            <w:tcBorders>
              <w:top w:val="single" w:sz="8" w:color="E9F1FB"/>
            </w:tcBorders>
          </w:tcPr>
          <w:p>
            <w:pPr>
              <w:spacing w:after="0"/>
              <w:rPr>
                <w:sz w:val="19"/>
                <w:szCs w:val="19"/>
                <w:color w:val="auto"/>
              </w:rPr>
            </w:pPr>
          </w:p>
        </w:tc>
      </w:tr>
      <w:tr>
        <w:trPr>
          <w:trHeight w:val="223"/>
        </w:trPr>
        <w:tc>
          <w:tcPr>
            <w:tcW w:w="2660" w:type="dxa"/>
            <w:vAlign w:val="bottom"/>
          </w:tcPr>
          <w:p>
            <w:pPr>
              <w:spacing w:after="0"/>
              <w:rPr>
                <w:sz w:val="19"/>
                <w:szCs w:val="19"/>
                <w:color w:val="auto"/>
              </w:rPr>
            </w:pPr>
          </w:p>
        </w:tc>
        <w:tc>
          <w:tcPr>
            <w:tcW w:w="80" w:type="dxa"/>
            <w:vAlign w:val="bottom"/>
            <w:tcBorders>
              <w:top w:val="single" w:sz="8" w:color="E9F1FB"/>
            </w:tcBorders>
          </w:tcPr>
          <w:p>
            <w:pPr>
              <w:spacing w:after="0"/>
              <w:rPr>
                <w:sz w:val="19"/>
                <w:szCs w:val="19"/>
                <w:color w:val="auto"/>
              </w:rPr>
            </w:pPr>
          </w:p>
        </w:tc>
        <w:tc>
          <w:tcPr>
            <w:tcW w:w="830" w:type="dxa"/>
            <w:vAlign w:val="bottom"/>
            <w:tcBorders>
              <w:top w:val="single" w:sz="8" w:color="E9F1FB"/>
              <w:bottom w:val="single" w:sz="8" w:color="EFF8FA"/>
            </w:tcBorders>
            <w:shd w:val="clear" w:color="auto" w:fill="EFF8FA"/>
          </w:tcPr>
          <w:p>
            <w:pPr>
              <w:jc w:val="right"/>
              <w:spacing w:after="0"/>
              <w:rPr>
                <w:sz w:val="20"/>
                <w:szCs w:val="20"/>
                <w:color w:val="auto"/>
              </w:rPr>
            </w:pPr>
            <w:r>
              <w:rPr>
                <w:rFonts w:ascii="Arial" w:cs="Arial" w:eastAsia="Arial" w:hAnsi="Arial"/>
                <w:sz w:val="13"/>
                <w:szCs w:val="13"/>
                <w:color w:val="auto"/>
              </w:rPr>
              <w:t>02/18/2015</w:t>
            </w:r>
          </w:p>
        </w:tc>
        <w:tc>
          <w:tcPr>
            <w:tcW w:w="1050" w:type="dxa"/>
            <w:vAlign w:val="bottom"/>
            <w:tcBorders>
              <w:top w:val="single" w:sz="8" w:color="E9F1FB"/>
              <w:bottom w:val="single" w:sz="8" w:color="EFF8FA"/>
            </w:tcBorders>
            <w:shd w:val="clear" w:color="auto" w:fill="EFF8FA"/>
          </w:tcPr>
          <w:p>
            <w:pPr>
              <w:jc w:val="right"/>
              <w:ind w:right="33"/>
              <w:spacing w:after="0"/>
              <w:rPr>
                <w:sz w:val="20"/>
                <w:szCs w:val="20"/>
                <w:color w:val="auto"/>
              </w:rPr>
            </w:pPr>
            <w:r>
              <w:rPr>
                <w:rFonts w:ascii="Arial" w:cs="Arial" w:eastAsia="Arial" w:hAnsi="Arial"/>
                <w:sz w:val="13"/>
                <w:szCs w:val="13"/>
                <w:color w:val="auto"/>
              </w:rPr>
              <w:t>5,202</w:t>
            </w:r>
          </w:p>
        </w:tc>
        <w:tc>
          <w:tcPr>
            <w:tcW w:w="1180" w:type="dxa"/>
            <w:vAlign w:val="bottom"/>
            <w:tcBorders>
              <w:top w:val="single" w:sz="8" w:color="E9F1FB"/>
              <w:bottom w:val="single" w:sz="8" w:color="EFF8FA"/>
            </w:tcBorders>
            <w:shd w:val="clear" w:color="auto" w:fill="EFF8FA"/>
          </w:tcPr>
          <w:p>
            <w:pPr>
              <w:jc w:val="right"/>
              <w:ind w:right="53"/>
              <w:spacing w:after="0"/>
              <w:rPr>
                <w:sz w:val="20"/>
                <w:szCs w:val="20"/>
                <w:color w:val="auto"/>
              </w:rPr>
            </w:pPr>
            <w:r>
              <w:rPr>
                <w:rFonts w:ascii="Arial" w:cs="Arial" w:eastAsia="Arial" w:hAnsi="Arial"/>
                <w:sz w:val="13"/>
                <w:szCs w:val="13"/>
                <w:color w:val="auto"/>
              </w:rPr>
              <w:t>0</w:t>
            </w:r>
          </w:p>
        </w:tc>
        <w:tc>
          <w:tcPr>
            <w:tcW w:w="560" w:type="dxa"/>
            <w:vAlign w:val="bottom"/>
            <w:tcBorders>
              <w:top w:val="single" w:sz="8" w:color="E9F1FB"/>
              <w:bottom w:val="single" w:sz="8" w:color="EFF8FA"/>
            </w:tcBorders>
            <w:shd w:val="clear" w:color="auto" w:fill="EFF8FA"/>
          </w:tcPr>
          <w:p>
            <w:pPr>
              <w:jc w:val="right"/>
              <w:spacing w:after="0"/>
              <w:rPr>
                <w:sz w:val="20"/>
                <w:szCs w:val="20"/>
                <w:color w:val="auto"/>
              </w:rPr>
            </w:pPr>
            <w:r>
              <w:rPr>
                <w:rFonts w:ascii="Arial" w:cs="Arial" w:eastAsia="Arial" w:hAnsi="Arial"/>
                <w:sz w:val="13"/>
                <w:szCs w:val="13"/>
                <w:color w:val="auto"/>
              </w:rPr>
              <w:t>70.71</w:t>
            </w:r>
          </w:p>
        </w:tc>
        <w:tc>
          <w:tcPr>
            <w:tcW w:w="100" w:type="dxa"/>
            <w:vAlign w:val="bottom"/>
            <w:tcBorders>
              <w:top w:val="single" w:sz="8" w:color="E9F1FB"/>
              <w:bottom w:val="single" w:sz="8" w:color="EFF8FA"/>
            </w:tcBorders>
            <w:shd w:val="clear" w:color="auto" w:fill="EFF8FA"/>
          </w:tcPr>
          <w:p>
            <w:pPr>
              <w:spacing w:after="0"/>
              <w:rPr>
                <w:sz w:val="19"/>
                <w:szCs w:val="19"/>
                <w:color w:val="auto"/>
              </w:rPr>
            </w:pPr>
          </w:p>
        </w:tc>
        <w:tc>
          <w:tcPr>
            <w:tcW w:w="780" w:type="dxa"/>
            <w:vAlign w:val="bottom"/>
            <w:tcBorders>
              <w:top w:val="single" w:sz="8" w:color="E9F1FB"/>
              <w:bottom w:val="single" w:sz="8" w:color="EFF8FA"/>
            </w:tcBorders>
            <w:shd w:val="clear" w:color="auto" w:fill="EFF8FA"/>
          </w:tcPr>
          <w:p>
            <w:pPr>
              <w:jc w:val="right"/>
              <w:ind w:right="13"/>
              <w:spacing w:after="0"/>
              <w:rPr>
                <w:sz w:val="20"/>
                <w:szCs w:val="20"/>
                <w:color w:val="auto"/>
              </w:rPr>
            </w:pPr>
            <w:r>
              <w:rPr>
                <w:rFonts w:ascii="Arial" w:cs="Arial" w:eastAsia="Arial" w:hAnsi="Arial"/>
                <w:sz w:val="13"/>
                <w:szCs w:val="13"/>
                <w:color w:val="auto"/>
              </w:rPr>
              <w:t>02/18/2025</w:t>
            </w:r>
          </w:p>
        </w:tc>
        <w:tc>
          <w:tcPr>
            <w:tcW w:w="80" w:type="dxa"/>
            <w:vAlign w:val="bottom"/>
            <w:tcBorders>
              <w:top w:val="single" w:sz="8" w:color="E9F1FB"/>
            </w:tcBorders>
          </w:tcPr>
          <w:p>
            <w:pPr>
              <w:spacing w:after="0"/>
              <w:rPr>
                <w:sz w:val="19"/>
                <w:szCs w:val="19"/>
                <w:color w:val="auto"/>
              </w:rPr>
            </w:pPr>
          </w:p>
        </w:tc>
        <w:tc>
          <w:tcPr>
            <w:tcW w:w="880" w:type="dxa"/>
            <w:vAlign w:val="bottom"/>
            <w:tcBorders>
              <w:top w:val="single" w:sz="8" w:color="E9F1FB"/>
            </w:tcBorders>
          </w:tcPr>
          <w:p>
            <w:pPr>
              <w:spacing w:after="0"/>
              <w:rPr>
                <w:sz w:val="19"/>
                <w:szCs w:val="19"/>
                <w:color w:val="auto"/>
              </w:rPr>
            </w:pPr>
          </w:p>
        </w:tc>
        <w:tc>
          <w:tcPr>
            <w:tcW w:w="800" w:type="dxa"/>
            <w:vAlign w:val="bottom"/>
            <w:tcBorders>
              <w:top w:val="single" w:sz="8" w:color="E9F1FB"/>
            </w:tcBorders>
          </w:tcPr>
          <w:p>
            <w:pPr>
              <w:spacing w:after="0"/>
              <w:rPr>
                <w:sz w:val="19"/>
                <w:szCs w:val="19"/>
                <w:color w:val="auto"/>
              </w:rPr>
            </w:pPr>
          </w:p>
        </w:tc>
        <w:tc>
          <w:tcPr>
            <w:tcW w:w="820" w:type="dxa"/>
            <w:vAlign w:val="bottom"/>
            <w:tcBorders>
              <w:top w:val="single" w:sz="8" w:color="E9F1FB"/>
            </w:tcBorders>
          </w:tcPr>
          <w:p>
            <w:pPr>
              <w:spacing w:after="0"/>
              <w:rPr>
                <w:sz w:val="19"/>
                <w:szCs w:val="19"/>
                <w:color w:val="auto"/>
              </w:rPr>
            </w:pPr>
          </w:p>
        </w:tc>
        <w:tc>
          <w:tcPr>
            <w:tcW w:w="800" w:type="dxa"/>
            <w:vAlign w:val="bottom"/>
            <w:tcBorders>
              <w:top w:val="single" w:sz="8" w:color="E9F1FB"/>
            </w:tcBorders>
          </w:tcPr>
          <w:p>
            <w:pPr>
              <w:spacing w:after="0"/>
              <w:rPr>
                <w:sz w:val="19"/>
                <w:szCs w:val="19"/>
                <w:color w:val="auto"/>
              </w:rPr>
            </w:pPr>
          </w:p>
        </w:tc>
        <w:tc>
          <w:tcPr>
            <w:tcW w:w="800" w:type="dxa"/>
            <w:vAlign w:val="bottom"/>
            <w:tcBorders>
              <w:top w:val="single" w:sz="8" w:color="E9F1FB"/>
            </w:tcBorders>
          </w:tcPr>
          <w:p>
            <w:pPr>
              <w:spacing w:after="0"/>
              <w:rPr>
                <w:sz w:val="19"/>
                <w:szCs w:val="19"/>
                <w:color w:val="auto"/>
              </w:rPr>
            </w:pPr>
          </w:p>
        </w:tc>
      </w:tr>
      <w:tr>
        <w:trPr>
          <w:trHeight w:val="223"/>
        </w:trPr>
        <w:tc>
          <w:tcPr>
            <w:tcW w:w="2660" w:type="dxa"/>
            <w:vAlign w:val="bottom"/>
          </w:tcPr>
          <w:p>
            <w:pPr>
              <w:spacing w:after="0"/>
              <w:rPr>
                <w:sz w:val="19"/>
                <w:szCs w:val="19"/>
                <w:color w:val="auto"/>
              </w:rPr>
            </w:pPr>
          </w:p>
        </w:tc>
        <w:tc>
          <w:tcPr>
            <w:tcW w:w="80" w:type="dxa"/>
            <w:vAlign w:val="bottom"/>
            <w:tcBorders>
              <w:top w:val="single" w:sz="8" w:color="E9F1FB"/>
            </w:tcBorders>
          </w:tcPr>
          <w:p>
            <w:pPr>
              <w:spacing w:after="0"/>
              <w:rPr>
                <w:sz w:val="19"/>
                <w:szCs w:val="19"/>
                <w:color w:val="auto"/>
              </w:rPr>
            </w:pPr>
          </w:p>
        </w:tc>
        <w:tc>
          <w:tcPr>
            <w:tcW w:w="830" w:type="dxa"/>
            <w:vAlign w:val="bottom"/>
            <w:tcBorders>
              <w:top w:val="single" w:sz="8" w:color="E9F1FB"/>
              <w:bottom w:val="single" w:sz="8" w:color="EFF8FA"/>
            </w:tcBorders>
            <w:shd w:val="clear" w:color="auto" w:fill="EFF8FA"/>
          </w:tcPr>
          <w:p>
            <w:pPr>
              <w:jc w:val="right"/>
              <w:spacing w:after="0"/>
              <w:rPr>
                <w:sz w:val="20"/>
                <w:szCs w:val="20"/>
                <w:color w:val="auto"/>
              </w:rPr>
            </w:pPr>
            <w:r>
              <w:rPr>
                <w:rFonts w:ascii="Arial" w:cs="Arial" w:eastAsia="Arial" w:hAnsi="Arial"/>
                <w:sz w:val="13"/>
                <w:szCs w:val="13"/>
                <w:color w:val="auto"/>
              </w:rPr>
              <w:t>02/11/2016</w:t>
            </w:r>
          </w:p>
        </w:tc>
        <w:tc>
          <w:tcPr>
            <w:tcW w:w="1050" w:type="dxa"/>
            <w:vAlign w:val="bottom"/>
            <w:tcBorders>
              <w:top w:val="single" w:sz="8" w:color="E9F1FB"/>
              <w:bottom w:val="single" w:sz="8" w:color="EFF8FA"/>
            </w:tcBorders>
            <w:shd w:val="clear" w:color="auto" w:fill="EFF8FA"/>
          </w:tcPr>
          <w:p>
            <w:pPr>
              <w:jc w:val="right"/>
              <w:ind w:right="33"/>
              <w:spacing w:after="0"/>
              <w:rPr>
                <w:sz w:val="20"/>
                <w:szCs w:val="20"/>
                <w:color w:val="auto"/>
              </w:rPr>
            </w:pPr>
            <w:r>
              <w:rPr>
                <w:rFonts w:ascii="Arial" w:cs="Arial" w:eastAsia="Arial" w:hAnsi="Arial"/>
                <w:sz w:val="13"/>
                <w:szCs w:val="13"/>
                <w:color w:val="auto"/>
              </w:rPr>
              <w:t>6,591</w:t>
            </w:r>
          </w:p>
        </w:tc>
        <w:tc>
          <w:tcPr>
            <w:tcW w:w="1180" w:type="dxa"/>
            <w:vAlign w:val="bottom"/>
            <w:tcBorders>
              <w:top w:val="single" w:sz="8" w:color="E9F1FB"/>
              <w:bottom w:val="single" w:sz="8" w:color="EFF8FA"/>
            </w:tcBorders>
            <w:shd w:val="clear" w:color="auto" w:fill="EFF8FA"/>
          </w:tcPr>
          <w:p>
            <w:pPr>
              <w:jc w:val="right"/>
              <w:ind w:right="53"/>
              <w:spacing w:after="0"/>
              <w:rPr>
                <w:sz w:val="20"/>
                <w:szCs w:val="20"/>
                <w:color w:val="auto"/>
              </w:rPr>
            </w:pPr>
            <w:r>
              <w:rPr>
                <w:rFonts w:ascii="Arial" w:cs="Arial" w:eastAsia="Arial" w:hAnsi="Arial"/>
                <w:sz w:val="13"/>
                <w:szCs w:val="13"/>
                <w:color w:val="auto"/>
              </w:rPr>
              <w:t>3,296</w:t>
            </w:r>
          </w:p>
        </w:tc>
        <w:tc>
          <w:tcPr>
            <w:tcW w:w="560" w:type="dxa"/>
            <w:vAlign w:val="bottom"/>
            <w:tcBorders>
              <w:top w:val="single" w:sz="8" w:color="E9F1FB"/>
              <w:bottom w:val="single" w:sz="8" w:color="EFF8FA"/>
            </w:tcBorders>
            <w:shd w:val="clear" w:color="auto" w:fill="EFF8FA"/>
          </w:tcPr>
          <w:p>
            <w:pPr>
              <w:jc w:val="right"/>
              <w:spacing w:after="0"/>
              <w:rPr>
                <w:sz w:val="20"/>
                <w:szCs w:val="20"/>
                <w:color w:val="auto"/>
              </w:rPr>
            </w:pPr>
            <w:r>
              <w:rPr>
                <w:rFonts w:ascii="Arial" w:cs="Arial" w:eastAsia="Arial" w:hAnsi="Arial"/>
                <w:sz w:val="13"/>
                <w:szCs w:val="13"/>
                <w:color w:val="auto"/>
              </w:rPr>
              <w:t>62.32</w:t>
            </w:r>
          </w:p>
        </w:tc>
        <w:tc>
          <w:tcPr>
            <w:tcW w:w="100" w:type="dxa"/>
            <w:vAlign w:val="bottom"/>
            <w:tcBorders>
              <w:top w:val="single" w:sz="8" w:color="E9F1FB"/>
              <w:bottom w:val="single" w:sz="8" w:color="EFF8FA"/>
            </w:tcBorders>
            <w:shd w:val="clear" w:color="auto" w:fill="EFF8FA"/>
          </w:tcPr>
          <w:p>
            <w:pPr>
              <w:spacing w:after="0"/>
              <w:rPr>
                <w:sz w:val="19"/>
                <w:szCs w:val="19"/>
                <w:color w:val="auto"/>
              </w:rPr>
            </w:pPr>
          </w:p>
        </w:tc>
        <w:tc>
          <w:tcPr>
            <w:tcW w:w="780" w:type="dxa"/>
            <w:vAlign w:val="bottom"/>
            <w:tcBorders>
              <w:top w:val="single" w:sz="8" w:color="E9F1FB"/>
              <w:bottom w:val="single" w:sz="8" w:color="EFF8FA"/>
            </w:tcBorders>
            <w:shd w:val="clear" w:color="auto" w:fill="EFF8FA"/>
          </w:tcPr>
          <w:p>
            <w:pPr>
              <w:jc w:val="right"/>
              <w:ind w:right="13"/>
              <w:spacing w:after="0"/>
              <w:rPr>
                <w:sz w:val="20"/>
                <w:szCs w:val="20"/>
                <w:color w:val="auto"/>
              </w:rPr>
            </w:pPr>
            <w:r>
              <w:rPr>
                <w:rFonts w:ascii="Arial" w:cs="Arial" w:eastAsia="Arial" w:hAnsi="Arial"/>
                <w:sz w:val="13"/>
                <w:szCs w:val="13"/>
                <w:color w:val="auto"/>
              </w:rPr>
              <w:t>02/11/2026</w:t>
            </w:r>
          </w:p>
        </w:tc>
        <w:tc>
          <w:tcPr>
            <w:tcW w:w="80" w:type="dxa"/>
            <w:vAlign w:val="bottom"/>
            <w:tcBorders>
              <w:top w:val="single" w:sz="8" w:color="E9F1FB"/>
            </w:tcBorders>
          </w:tcPr>
          <w:p>
            <w:pPr>
              <w:spacing w:after="0"/>
              <w:rPr>
                <w:sz w:val="19"/>
                <w:szCs w:val="19"/>
                <w:color w:val="auto"/>
              </w:rPr>
            </w:pPr>
          </w:p>
        </w:tc>
        <w:tc>
          <w:tcPr>
            <w:tcW w:w="880" w:type="dxa"/>
            <w:vAlign w:val="bottom"/>
            <w:tcBorders>
              <w:top w:val="single" w:sz="8" w:color="E9F1FB"/>
            </w:tcBorders>
          </w:tcPr>
          <w:p>
            <w:pPr>
              <w:spacing w:after="0"/>
              <w:rPr>
                <w:sz w:val="19"/>
                <w:szCs w:val="19"/>
                <w:color w:val="auto"/>
              </w:rPr>
            </w:pPr>
          </w:p>
        </w:tc>
        <w:tc>
          <w:tcPr>
            <w:tcW w:w="800" w:type="dxa"/>
            <w:vAlign w:val="bottom"/>
            <w:tcBorders>
              <w:top w:val="single" w:sz="8" w:color="E9F1FB"/>
            </w:tcBorders>
          </w:tcPr>
          <w:p>
            <w:pPr>
              <w:spacing w:after="0"/>
              <w:rPr>
                <w:sz w:val="19"/>
                <w:szCs w:val="19"/>
                <w:color w:val="auto"/>
              </w:rPr>
            </w:pPr>
          </w:p>
        </w:tc>
        <w:tc>
          <w:tcPr>
            <w:tcW w:w="820" w:type="dxa"/>
            <w:vAlign w:val="bottom"/>
            <w:tcBorders>
              <w:top w:val="single" w:sz="8" w:color="E9F1FB"/>
            </w:tcBorders>
          </w:tcPr>
          <w:p>
            <w:pPr>
              <w:spacing w:after="0"/>
              <w:rPr>
                <w:sz w:val="19"/>
                <w:szCs w:val="19"/>
                <w:color w:val="auto"/>
              </w:rPr>
            </w:pPr>
          </w:p>
        </w:tc>
        <w:tc>
          <w:tcPr>
            <w:tcW w:w="800" w:type="dxa"/>
            <w:vAlign w:val="bottom"/>
            <w:tcBorders>
              <w:top w:val="single" w:sz="8" w:color="E9F1FB"/>
            </w:tcBorders>
          </w:tcPr>
          <w:p>
            <w:pPr>
              <w:spacing w:after="0"/>
              <w:rPr>
                <w:sz w:val="19"/>
                <w:szCs w:val="19"/>
                <w:color w:val="auto"/>
              </w:rPr>
            </w:pPr>
          </w:p>
        </w:tc>
        <w:tc>
          <w:tcPr>
            <w:tcW w:w="800" w:type="dxa"/>
            <w:vAlign w:val="bottom"/>
            <w:tcBorders>
              <w:top w:val="single" w:sz="8" w:color="E9F1FB"/>
            </w:tcBorders>
          </w:tcPr>
          <w:p>
            <w:pPr>
              <w:spacing w:after="0"/>
              <w:rPr>
                <w:sz w:val="19"/>
                <w:szCs w:val="19"/>
                <w:color w:val="auto"/>
              </w:rPr>
            </w:pPr>
          </w:p>
        </w:tc>
      </w:tr>
      <w:tr>
        <w:trPr>
          <w:trHeight w:val="223"/>
        </w:trPr>
        <w:tc>
          <w:tcPr>
            <w:tcW w:w="2660" w:type="dxa"/>
            <w:vAlign w:val="bottom"/>
          </w:tcPr>
          <w:p>
            <w:pPr>
              <w:spacing w:after="0"/>
              <w:rPr>
                <w:sz w:val="19"/>
                <w:szCs w:val="19"/>
                <w:color w:val="auto"/>
              </w:rPr>
            </w:pPr>
          </w:p>
        </w:tc>
        <w:tc>
          <w:tcPr>
            <w:tcW w:w="80" w:type="dxa"/>
            <w:vAlign w:val="bottom"/>
            <w:tcBorders>
              <w:top w:val="single" w:sz="8" w:color="E9F1FB"/>
            </w:tcBorders>
          </w:tcPr>
          <w:p>
            <w:pPr>
              <w:spacing w:after="0"/>
              <w:rPr>
                <w:sz w:val="19"/>
                <w:szCs w:val="19"/>
                <w:color w:val="auto"/>
              </w:rPr>
            </w:pPr>
          </w:p>
        </w:tc>
        <w:tc>
          <w:tcPr>
            <w:tcW w:w="830" w:type="dxa"/>
            <w:vAlign w:val="bottom"/>
            <w:tcBorders>
              <w:top w:val="single" w:sz="8" w:color="E9F1FB"/>
              <w:bottom w:val="single" w:sz="8" w:color="EFF8FA"/>
            </w:tcBorders>
            <w:shd w:val="clear" w:color="auto" w:fill="EFF8FA"/>
          </w:tcPr>
          <w:p>
            <w:pPr>
              <w:spacing w:after="0"/>
              <w:rPr>
                <w:sz w:val="19"/>
                <w:szCs w:val="19"/>
                <w:color w:val="auto"/>
              </w:rPr>
            </w:pPr>
          </w:p>
        </w:tc>
        <w:tc>
          <w:tcPr>
            <w:tcW w:w="1050" w:type="dxa"/>
            <w:vAlign w:val="bottom"/>
            <w:tcBorders>
              <w:top w:val="single" w:sz="8" w:color="E9F1FB"/>
              <w:bottom w:val="single" w:sz="8" w:color="EFF8FA"/>
            </w:tcBorders>
            <w:shd w:val="clear" w:color="auto" w:fill="EFF8FA"/>
          </w:tcPr>
          <w:p>
            <w:pPr>
              <w:spacing w:after="0"/>
              <w:rPr>
                <w:sz w:val="19"/>
                <w:szCs w:val="19"/>
                <w:color w:val="auto"/>
              </w:rPr>
            </w:pPr>
          </w:p>
        </w:tc>
        <w:tc>
          <w:tcPr>
            <w:tcW w:w="1180" w:type="dxa"/>
            <w:vAlign w:val="bottom"/>
            <w:tcBorders>
              <w:top w:val="single" w:sz="8" w:color="E9F1FB"/>
              <w:bottom w:val="single" w:sz="8" w:color="EFF8FA"/>
            </w:tcBorders>
            <w:shd w:val="clear" w:color="auto" w:fill="EFF8FA"/>
          </w:tcPr>
          <w:p>
            <w:pPr>
              <w:spacing w:after="0"/>
              <w:rPr>
                <w:sz w:val="19"/>
                <w:szCs w:val="19"/>
                <w:color w:val="auto"/>
              </w:rPr>
            </w:pPr>
          </w:p>
        </w:tc>
        <w:tc>
          <w:tcPr>
            <w:tcW w:w="560" w:type="dxa"/>
            <w:vAlign w:val="bottom"/>
            <w:tcBorders>
              <w:top w:val="single" w:sz="8" w:color="E9F1FB"/>
              <w:bottom w:val="single" w:sz="8" w:color="EFF8FA"/>
            </w:tcBorders>
            <w:shd w:val="clear" w:color="auto" w:fill="EFF8FA"/>
          </w:tcPr>
          <w:p>
            <w:pPr>
              <w:spacing w:after="0"/>
              <w:rPr>
                <w:sz w:val="19"/>
                <w:szCs w:val="19"/>
                <w:color w:val="auto"/>
              </w:rPr>
            </w:pPr>
          </w:p>
        </w:tc>
        <w:tc>
          <w:tcPr>
            <w:tcW w:w="100" w:type="dxa"/>
            <w:vAlign w:val="bottom"/>
            <w:tcBorders>
              <w:top w:val="single" w:sz="8" w:color="E9F1FB"/>
              <w:bottom w:val="single" w:sz="8" w:color="EFF8FA"/>
            </w:tcBorders>
            <w:shd w:val="clear" w:color="auto" w:fill="EFF8FA"/>
          </w:tcPr>
          <w:p>
            <w:pPr>
              <w:spacing w:after="0"/>
              <w:rPr>
                <w:sz w:val="19"/>
                <w:szCs w:val="19"/>
                <w:color w:val="auto"/>
              </w:rPr>
            </w:pPr>
          </w:p>
        </w:tc>
        <w:tc>
          <w:tcPr>
            <w:tcW w:w="780" w:type="dxa"/>
            <w:vAlign w:val="bottom"/>
            <w:tcBorders>
              <w:top w:val="single" w:sz="8" w:color="E9F1FB"/>
              <w:bottom w:val="single" w:sz="8" w:color="EFF8FA"/>
            </w:tcBorders>
            <w:shd w:val="clear" w:color="auto" w:fill="EFF8FA"/>
          </w:tcPr>
          <w:p>
            <w:pPr>
              <w:spacing w:after="0"/>
              <w:rPr>
                <w:sz w:val="19"/>
                <w:szCs w:val="19"/>
                <w:color w:val="auto"/>
              </w:rPr>
            </w:pPr>
          </w:p>
        </w:tc>
        <w:tc>
          <w:tcPr>
            <w:tcW w:w="960" w:type="dxa"/>
            <w:vAlign w:val="bottom"/>
            <w:tcBorders>
              <w:top w:val="single" w:sz="8" w:color="E9F1FB"/>
            </w:tcBorders>
            <w:gridSpan w:val="2"/>
          </w:tcPr>
          <w:p>
            <w:pPr>
              <w:jc w:val="right"/>
              <w:spacing w:after="0"/>
              <w:rPr>
                <w:sz w:val="20"/>
                <w:szCs w:val="20"/>
                <w:color w:val="auto"/>
              </w:rPr>
            </w:pPr>
            <w:r>
              <w:rPr>
                <w:rFonts w:ascii="Arial" w:cs="Arial" w:eastAsia="Arial" w:hAnsi="Arial"/>
                <w:sz w:val="13"/>
                <w:szCs w:val="13"/>
                <w:color w:val="auto"/>
              </w:rPr>
              <w:t>02/11/2016</w:t>
            </w:r>
          </w:p>
        </w:tc>
        <w:tc>
          <w:tcPr>
            <w:tcW w:w="800" w:type="dxa"/>
            <w:vAlign w:val="bottom"/>
            <w:tcBorders>
              <w:top w:val="single" w:sz="8" w:color="E9F1FB"/>
            </w:tcBorders>
          </w:tcPr>
          <w:p>
            <w:pPr>
              <w:jc w:val="right"/>
              <w:spacing w:after="0"/>
              <w:rPr>
                <w:sz w:val="20"/>
                <w:szCs w:val="20"/>
                <w:color w:val="auto"/>
              </w:rPr>
            </w:pPr>
            <w:r>
              <w:rPr>
                <w:rFonts w:ascii="Arial" w:cs="Arial" w:eastAsia="Arial" w:hAnsi="Arial"/>
                <w:sz w:val="13"/>
                <w:szCs w:val="13"/>
                <w:color w:val="auto"/>
              </w:rPr>
              <w:t>4,685</w:t>
            </w:r>
          </w:p>
        </w:tc>
        <w:tc>
          <w:tcPr>
            <w:tcW w:w="820" w:type="dxa"/>
            <w:vAlign w:val="bottom"/>
            <w:tcBorders>
              <w:top w:val="single" w:sz="8" w:color="E9F1FB"/>
            </w:tcBorders>
          </w:tcPr>
          <w:p>
            <w:pPr>
              <w:jc w:val="right"/>
              <w:spacing w:after="0"/>
              <w:rPr>
                <w:sz w:val="20"/>
                <w:szCs w:val="20"/>
                <w:color w:val="auto"/>
              </w:rPr>
            </w:pPr>
            <w:r>
              <w:rPr>
                <w:rFonts w:ascii="Arial" w:cs="Arial" w:eastAsia="Arial" w:hAnsi="Arial"/>
                <w:sz w:val="13"/>
                <w:szCs w:val="13"/>
                <w:color w:val="auto"/>
              </w:rPr>
              <w:t>387,122</w:t>
            </w:r>
          </w:p>
        </w:tc>
        <w:tc>
          <w:tcPr>
            <w:tcW w:w="800" w:type="dxa"/>
            <w:vAlign w:val="bottom"/>
            <w:tcBorders>
              <w:top w:val="single" w:sz="8" w:color="E9F1FB"/>
            </w:tcBorders>
          </w:tcPr>
          <w:p>
            <w:pPr>
              <w:spacing w:after="0"/>
              <w:rPr>
                <w:sz w:val="19"/>
                <w:szCs w:val="19"/>
                <w:color w:val="auto"/>
              </w:rPr>
            </w:pPr>
          </w:p>
        </w:tc>
        <w:tc>
          <w:tcPr>
            <w:tcW w:w="800" w:type="dxa"/>
            <w:vAlign w:val="bottom"/>
            <w:tcBorders>
              <w:top w:val="single" w:sz="8" w:color="E9F1FB"/>
            </w:tcBorders>
          </w:tcPr>
          <w:p>
            <w:pPr>
              <w:spacing w:after="0"/>
              <w:rPr>
                <w:sz w:val="19"/>
                <w:szCs w:val="19"/>
                <w:color w:val="auto"/>
              </w:rPr>
            </w:pPr>
          </w:p>
        </w:tc>
      </w:tr>
      <w:tr>
        <w:trPr>
          <w:trHeight w:val="223"/>
        </w:trPr>
        <w:tc>
          <w:tcPr>
            <w:tcW w:w="2660" w:type="dxa"/>
            <w:vAlign w:val="bottom"/>
          </w:tcPr>
          <w:p>
            <w:pPr>
              <w:spacing w:after="0"/>
              <w:rPr>
                <w:sz w:val="19"/>
                <w:szCs w:val="19"/>
                <w:color w:val="auto"/>
              </w:rPr>
            </w:pPr>
          </w:p>
        </w:tc>
        <w:tc>
          <w:tcPr>
            <w:tcW w:w="80" w:type="dxa"/>
            <w:vAlign w:val="bottom"/>
            <w:tcBorders>
              <w:top w:val="single" w:sz="8" w:color="E9F1FB"/>
            </w:tcBorders>
          </w:tcPr>
          <w:p>
            <w:pPr>
              <w:spacing w:after="0"/>
              <w:rPr>
                <w:sz w:val="19"/>
                <w:szCs w:val="19"/>
                <w:color w:val="auto"/>
              </w:rPr>
            </w:pPr>
          </w:p>
        </w:tc>
        <w:tc>
          <w:tcPr>
            <w:tcW w:w="830" w:type="dxa"/>
            <w:vAlign w:val="bottom"/>
            <w:tcBorders>
              <w:top w:val="single" w:sz="8" w:color="E9F1FB"/>
              <w:bottom w:val="single" w:sz="8" w:color="EFF8FA"/>
            </w:tcBorders>
            <w:shd w:val="clear" w:color="auto" w:fill="EFF8FA"/>
          </w:tcPr>
          <w:p>
            <w:pPr>
              <w:jc w:val="right"/>
              <w:spacing w:after="0"/>
              <w:rPr>
                <w:sz w:val="20"/>
                <w:szCs w:val="20"/>
                <w:color w:val="auto"/>
              </w:rPr>
            </w:pPr>
            <w:r>
              <w:rPr>
                <w:rFonts w:ascii="Arial" w:cs="Arial" w:eastAsia="Arial" w:hAnsi="Arial"/>
                <w:sz w:val="13"/>
                <w:szCs w:val="13"/>
                <w:color w:val="auto"/>
              </w:rPr>
              <w:t>02/09/2017</w:t>
            </w:r>
          </w:p>
        </w:tc>
        <w:tc>
          <w:tcPr>
            <w:tcW w:w="1050" w:type="dxa"/>
            <w:vAlign w:val="bottom"/>
            <w:tcBorders>
              <w:top w:val="single" w:sz="8" w:color="E9F1FB"/>
              <w:bottom w:val="single" w:sz="8" w:color="EFF8FA"/>
            </w:tcBorders>
            <w:shd w:val="clear" w:color="auto" w:fill="EFF8FA"/>
          </w:tcPr>
          <w:p>
            <w:pPr>
              <w:jc w:val="right"/>
              <w:ind w:right="33"/>
              <w:spacing w:after="0"/>
              <w:rPr>
                <w:sz w:val="20"/>
                <w:szCs w:val="20"/>
                <w:color w:val="auto"/>
              </w:rPr>
            </w:pPr>
            <w:r>
              <w:rPr>
                <w:rFonts w:ascii="Arial" w:cs="Arial" w:eastAsia="Arial" w:hAnsi="Arial"/>
                <w:sz w:val="13"/>
                <w:szCs w:val="13"/>
                <w:color w:val="auto"/>
              </w:rPr>
              <w:t>3,519</w:t>
            </w:r>
          </w:p>
        </w:tc>
        <w:tc>
          <w:tcPr>
            <w:tcW w:w="1180" w:type="dxa"/>
            <w:vAlign w:val="bottom"/>
            <w:tcBorders>
              <w:top w:val="single" w:sz="8" w:color="E9F1FB"/>
              <w:bottom w:val="single" w:sz="8" w:color="EFF8FA"/>
            </w:tcBorders>
            <w:shd w:val="clear" w:color="auto" w:fill="EFF8FA"/>
          </w:tcPr>
          <w:p>
            <w:pPr>
              <w:jc w:val="right"/>
              <w:ind w:right="53"/>
              <w:spacing w:after="0"/>
              <w:rPr>
                <w:sz w:val="20"/>
                <w:szCs w:val="20"/>
                <w:color w:val="auto"/>
              </w:rPr>
            </w:pPr>
            <w:r>
              <w:rPr>
                <w:rFonts w:ascii="Arial" w:cs="Arial" w:eastAsia="Arial" w:hAnsi="Arial"/>
                <w:sz w:val="13"/>
                <w:szCs w:val="13"/>
                <w:color w:val="auto"/>
              </w:rPr>
              <w:t>7,040</w:t>
            </w:r>
          </w:p>
        </w:tc>
        <w:tc>
          <w:tcPr>
            <w:tcW w:w="560" w:type="dxa"/>
            <w:vAlign w:val="bottom"/>
            <w:tcBorders>
              <w:top w:val="single" w:sz="8" w:color="E9F1FB"/>
              <w:bottom w:val="single" w:sz="8" w:color="EFF8FA"/>
            </w:tcBorders>
            <w:shd w:val="clear" w:color="auto" w:fill="EFF8FA"/>
          </w:tcPr>
          <w:p>
            <w:pPr>
              <w:jc w:val="right"/>
              <w:spacing w:after="0"/>
              <w:rPr>
                <w:sz w:val="20"/>
                <w:szCs w:val="20"/>
                <w:color w:val="auto"/>
              </w:rPr>
            </w:pPr>
            <w:r>
              <w:rPr>
                <w:rFonts w:ascii="Arial" w:cs="Arial" w:eastAsia="Arial" w:hAnsi="Arial"/>
                <w:sz w:val="13"/>
                <w:szCs w:val="13"/>
                <w:color w:val="auto"/>
              </w:rPr>
              <w:t>78.35</w:t>
            </w:r>
          </w:p>
        </w:tc>
        <w:tc>
          <w:tcPr>
            <w:tcW w:w="100" w:type="dxa"/>
            <w:vAlign w:val="bottom"/>
            <w:tcBorders>
              <w:top w:val="single" w:sz="8" w:color="E9F1FB"/>
              <w:bottom w:val="single" w:sz="8" w:color="EFF8FA"/>
            </w:tcBorders>
            <w:shd w:val="clear" w:color="auto" w:fill="EFF8FA"/>
          </w:tcPr>
          <w:p>
            <w:pPr>
              <w:spacing w:after="0"/>
              <w:rPr>
                <w:sz w:val="19"/>
                <w:szCs w:val="19"/>
                <w:color w:val="auto"/>
              </w:rPr>
            </w:pPr>
          </w:p>
        </w:tc>
        <w:tc>
          <w:tcPr>
            <w:tcW w:w="780" w:type="dxa"/>
            <w:vAlign w:val="bottom"/>
            <w:tcBorders>
              <w:top w:val="single" w:sz="8" w:color="E9F1FB"/>
              <w:bottom w:val="single" w:sz="8" w:color="EFF8FA"/>
            </w:tcBorders>
            <w:shd w:val="clear" w:color="auto" w:fill="EFF8FA"/>
          </w:tcPr>
          <w:p>
            <w:pPr>
              <w:jc w:val="right"/>
              <w:ind w:right="13"/>
              <w:spacing w:after="0"/>
              <w:rPr>
                <w:sz w:val="20"/>
                <w:szCs w:val="20"/>
                <w:color w:val="auto"/>
              </w:rPr>
            </w:pPr>
            <w:r>
              <w:rPr>
                <w:rFonts w:ascii="Arial" w:cs="Arial" w:eastAsia="Arial" w:hAnsi="Arial"/>
                <w:sz w:val="13"/>
                <w:szCs w:val="13"/>
                <w:color w:val="auto"/>
              </w:rPr>
              <w:t>02/09/2027</w:t>
            </w:r>
          </w:p>
        </w:tc>
        <w:tc>
          <w:tcPr>
            <w:tcW w:w="80" w:type="dxa"/>
            <w:vAlign w:val="bottom"/>
            <w:tcBorders>
              <w:top w:val="single" w:sz="8" w:color="E9F1FB"/>
            </w:tcBorders>
          </w:tcPr>
          <w:p>
            <w:pPr>
              <w:spacing w:after="0"/>
              <w:rPr>
                <w:sz w:val="19"/>
                <w:szCs w:val="19"/>
                <w:color w:val="auto"/>
              </w:rPr>
            </w:pPr>
          </w:p>
        </w:tc>
        <w:tc>
          <w:tcPr>
            <w:tcW w:w="880" w:type="dxa"/>
            <w:vAlign w:val="bottom"/>
            <w:tcBorders>
              <w:top w:val="single" w:sz="8" w:color="E9F1FB"/>
            </w:tcBorders>
          </w:tcPr>
          <w:p>
            <w:pPr>
              <w:spacing w:after="0"/>
              <w:rPr>
                <w:sz w:val="19"/>
                <w:szCs w:val="19"/>
                <w:color w:val="auto"/>
              </w:rPr>
            </w:pPr>
          </w:p>
        </w:tc>
        <w:tc>
          <w:tcPr>
            <w:tcW w:w="800" w:type="dxa"/>
            <w:vAlign w:val="bottom"/>
            <w:tcBorders>
              <w:top w:val="single" w:sz="8" w:color="E9F1FB"/>
            </w:tcBorders>
          </w:tcPr>
          <w:p>
            <w:pPr>
              <w:spacing w:after="0"/>
              <w:rPr>
                <w:sz w:val="19"/>
                <w:szCs w:val="19"/>
                <w:color w:val="auto"/>
              </w:rPr>
            </w:pPr>
          </w:p>
        </w:tc>
        <w:tc>
          <w:tcPr>
            <w:tcW w:w="820" w:type="dxa"/>
            <w:vAlign w:val="bottom"/>
            <w:tcBorders>
              <w:top w:val="single" w:sz="8" w:color="E9F1FB"/>
            </w:tcBorders>
          </w:tcPr>
          <w:p>
            <w:pPr>
              <w:spacing w:after="0"/>
              <w:rPr>
                <w:sz w:val="19"/>
                <w:szCs w:val="19"/>
                <w:color w:val="auto"/>
              </w:rPr>
            </w:pPr>
          </w:p>
        </w:tc>
        <w:tc>
          <w:tcPr>
            <w:tcW w:w="800" w:type="dxa"/>
            <w:vAlign w:val="bottom"/>
            <w:tcBorders>
              <w:top w:val="single" w:sz="8" w:color="E9F1FB"/>
            </w:tcBorders>
          </w:tcPr>
          <w:p>
            <w:pPr>
              <w:spacing w:after="0"/>
              <w:rPr>
                <w:sz w:val="19"/>
                <w:szCs w:val="19"/>
                <w:color w:val="auto"/>
              </w:rPr>
            </w:pPr>
          </w:p>
        </w:tc>
        <w:tc>
          <w:tcPr>
            <w:tcW w:w="800" w:type="dxa"/>
            <w:vAlign w:val="bottom"/>
            <w:tcBorders>
              <w:top w:val="single" w:sz="8" w:color="E9F1FB"/>
            </w:tcBorders>
          </w:tcPr>
          <w:p>
            <w:pPr>
              <w:spacing w:after="0"/>
              <w:rPr>
                <w:sz w:val="19"/>
                <w:szCs w:val="19"/>
                <w:color w:val="auto"/>
              </w:rPr>
            </w:pPr>
          </w:p>
        </w:tc>
      </w:tr>
      <w:tr>
        <w:trPr>
          <w:trHeight w:val="223"/>
        </w:trPr>
        <w:tc>
          <w:tcPr>
            <w:tcW w:w="2660" w:type="dxa"/>
            <w:vAlign w:val="bottom"/>
          </w:tcPr>
          <w:p>
            <w:pPr>
              <w:spacing w:after="0"/>
              <w:rPr>
                <w:sz w:val="19"/>
                <w:szCs w:val="19"/>
                <w:color w:val="auto"/>
              </w:rPr>
            </w:pPr>
          </w:p>
        </w:tc>
        <w:tc>
          <w:tcPr>
            <w:tcW w:w="80" w:type="dxa"/>
            <w:vAlign w:val="bottom"/>
            <w:tcBorders>
              <w:top w:val="single" w:sz="8" w:color="E9F1FB"/>
            </w:tcBorders>
          </w:tcPr>
          <w:p>
            <w:pPr>
              <w:spacing w:after="0"/>
              <w:rPr>
                <w:sz w:val="19"/>
                <w:szCs w:val="19"/>
                <w:color w:val="auto"/>
              </w:rPr>
            </w:pPr>
          </w:p>
        </w:tc>
        <w:tc>
          <w:tcPr>
            <w:tcW w:w="830" w:type="dxa"/>
            <w:vAlign w:val="bottom"/>
            <w:tcBorders>
              <w:top w:val="single" w:sz="8" w:color="E9F1FB"/>
              <w:bottom w:val="single" w:sz="8" w:color="EFF8FA"/>
            </w:tcBorders>
            <w:shd w:val="clear" w:color="auto" w:fill="EFF8FA"/>
          </w:tcPr>
          <w:p>
            <w:pPr>
              <w:spacing w:after="0"/>
              <w:rPr>
                <w:sz w:val="19"/>
                <w:szCs w:val="19"/>
                <w:color w:val="auto"/>
              </w:rPr>
            </w:pPr>
          </w:p>
        </w:tc>
        <w:tc>
          <w:tcPr>
            <w:tcW w:w="1050" w:type="dxa"/>
            <w:vAlign w:val="bottom"/>
            <w:tcBorders>
              <w:top w:val="single" w:sz="8" w:color="E9F1FB"/>
              <w:bottom w:val="single" w:sz="8" w:color="EFF8FA"/>
            </w:tcBorders>
            <w:shd w:val="clear" w:color="auto" w:fill="EFF8FA"/>
          </w:tcPr>
          <w:p>
            <w:pPr>
              <w:spacing w:after="0"/>
              <w:rPr>
                <w:sz w:val="19"/>
                <w:szCs w:val="19"/>
                <w:color w:val="auto"/>
              </w:rPr>
            </w:pPr>
          </w:p>
        </w:tc>
        <w:tc>
          <w:tcPr>
            <w:tcW w:w="1180" w:type="dxa"/>
            <w:vAlign w:val="bottom"/>
            <w:tcBorders>
              <w:top w:val="single" w:sz="8" w:color="E9F1FB"/>
              <w:bottom w:val="single" w:sz="8" w:color="EFF8FA"/>
            </w:tcBorders>
            <w:shd w:val="clear" w:color="auto" w:fill="EFF8FA"/>
          </w:tcPr>
          <w:p>
            <w:pPr>
              <w:spacing w:after="0"/>
              <w:rPr>
                <w:sz w:val="19"/>
                <w:szCs w:val="19"/>
                <w:color w:val="auto"/>
              </w:rPr>
            </w:pPr>
          </w:p>
        </w:tc>
        <w:tc>
          <w:tcPr>
            <w:tcW w:w="560" w:type="dxa"/>
            <w:vAlign w:val="bottom"/>
            <w:tcBorders>
              <w:top w:val="single" w:sz="8" w:color="E9F1FB"/>
              <w:bottom w:val="single" w:sz="8" w:color="EFF8FA"/>
            </w:tcBorders>
            <w:shd w:val="clear" w:color="auto" w:fill="EFF8FA"/>
          </w:tcPr>
          <w:p>
            <w:pPr>
              <w:spacing w:after="0"/>
              <w:rPr>
                <w:sz w:val="19"/>
                <w:szCs w:val="19"/>
                <w:color w:val="auto"/>
              </w:rPr>
            </w:pPr>
          </w:p>
        </w:tc>
        <w:tc>
          <w:tcPr>
            <w:tcW w:w="100" w:type="dxa"/>
            <w:vAlign w:val="bottom"/>
            <w:tcBorders>
              <w:top w:val="single" w:sz="8" w:color="E9F1FB"/>
              <w:bottom w:val="single" w:sz="8" w:color="EFF8FA"/>
            </w:tcBorders>
            <w:shd w:val="clear" w:color="auto" w:fill="EFF8FA"/>
          </w:tcPr>
          <w:p>
            <w:pPr>
              <w:spacing w:after="0"/>
              <w:rPr>
                <w:sz w:val="19"/>
                <w:szCs w:val="19"/>
                <w:color w:val="auto"/>
              </w:rPr>
            </w:pPr>
          </w:p>
        </w:tc>
        <w:tc>
          <w:tcPr>
            <w:tcW w:w="780" w:type="dxa"/>
            <w:vAlign w:val="bottom"/>
            <w:tcBorders>
              <w:top w:val="single" w:sz="8" w:color="E9F1FB"/>
              <w:bottom w:val="single" w:sz="8" w:color="EFF8FA"/>
            </w:tcBorders>
            <w:shd w:val="clear" w:color="auto" w:fill="EFF8FA"/>
          </w:tcPr>
          <w:p>
            <w:pPr>
              <w:spacing w:after="0"/>
              <w:rPr>
                <w:sz w:val="19"/>
                <w:szCs w:val="19"/>
                <w:color w:val="auto"/>
              </w:rPr>
            </w:pPr>
          </w:p>
        </w:tc>
        <w:tc>
          <w:tcPr>
            <w:tcW w:w="960" w:type="dxa"/>
            <w:vAlign w:val="bottom"/>
            <w:tcBorders>
              <w:top w:val="single" w:sz="8" w:color="E9F1FB"/>
            </w:tcBorders>
            <w:gridSpan w:val="2"/>
          </w:tcPr>
          <w:p>
            <w:pPr>
              <w:jc w:val="right"/>
              <w:spacing w:after="0"/>
              <w:rPr>
                <w:sz w:val="20"/>
                <w:szCs w:val="20"/>
                <w:color w:val="auto"/>
              </w:rPr>
            </w:pPr>
            <w:r>
              <w:rPr>
                <w:rFonts w:ascii="Arial" w:cs="Arial" w:eastAsia="Arial" w:hAnsi="Arial"/>
                <w:sz w:val="13"/>
                <w:szCs w:val="13"/>
                <w:color w:val="auto"/>
              </w:rPr>
              <w:t>02/09/2017</w:t>
            </w:r>
          </w:p>
        </w:tc>
        <w:tc>
          <w:tcPr>
            <w:tcW w:w="800" w:type="dxa"/>
            <w:vAlign w:val="bottom"/>
            <w:tcBorders>
              <w:top w:val="single" w:sz="8" w:color="E9F1FB"/>
            </w:tcBorders>
          </w:tcPr>
          <w:p>
            <w:pPr>
              <w:spacing w:after="0"/>
              <w:rPr>
                <w:sz w:val="19"/>
                <w:szCs w:val="19"/>
                <w:color w:val="auto"/>
              </w:rPr>
            </w:pPr>
          </w:p>
        </w:tc>
        <w:tc>
          <w:tcPr>
            <w:tcW w:w="820" w:type="dxa"/>
            <w:vAlign w:val="bottom"/>
            <w:tcBorders>
              <w:top w:val="single" w:sz="8" w:color="E9F1FB"/>
            </w:tcBorders>
          </w:tcPr>
          <w:p>
            <w:pPr>
              <w:spacing w:after="0"/>
              <w:rPr>
                <w:sz w:val="19"/>
                <w:szCs w:val="19"/>
                <w:color w:val="auto"/>
              </w:rPr>
            </w:pPr>
          </w:p>
        </w:tc>
        <w:tc>
          <w:tcPr>
            <w:tcW w:w="800" w:type="dxa"/>
            <w:vAlign w:val="bottom"/>
            <w:tcBorders>
              <w:top w:val="single" w:sz="8" w:color="E9F1FB"/>
            </w:tcBorders>
          </w:tcPr>
          <w:p>
            <w:pPr>
              <w:jc w:val="right"/>
              <w:spacing w:after="0"/>
              <w:rPr>
                <w:sz w:val="20"/>
                <w:szCs w:val="20"/>
                <w:color w:val="auto"/>
              </w:rPr>
            </w:pPr>
            <w:r>
              <w:rPr>
                <w:rFonts w:ascii="Arial" w:cs="Arial" w:eastAsia="Arial" w:hAnsi="Arial"/>
                <w:sz w:val="13"/>
                <w:szCs w:val="13"/>
                <w:color w:val="auto"/>
              </w:rPr>
              <w:t>5,858</w:t>
            </w:r>
          </w:p>
        </w:tc>
        <w:tc>
          <w:tcPr>
            <w:tcW w:w="800" w:type="dxa"/>
            <w:vAlign w:val="bottom"/>
            <w:tcBorders>
              <w:top w:val="single" w:sz="8" w:color="E9F1FB"/>
            </w:tcBorders>
          </w:tcPr>
          <w:p>
            <w:pPr>
              <w:jc w:val="right"/>
              <w:spacing w:after="0"/>
              <w:rPr>
                <w:sz w:val="20"/>
                <w:szCs w:val="20"/>
                <w:color w:val="auto"/>
              </w:rPr>
            </w:pPr>
            <w:r>
              <w:rPr>
                <w:rFonts w:ascii="Arial" w:cs="Arial" w:eastAsia="Arial" w:hAnsi="Arial"/>
                <w:sz w:val="13"/>
                <w:szCs w:val="13"/>
                <w:color w:val="auto"/>
              </w:rPr>
              <w:t>484,047</w:t>
            </w:r>
          </w:p>
        </w:tc>
      </w:tr>
      <w:tr>
        <w:trPr>
          <w:trHeight w:val="223"/>
        </w:trPr>
        <w:tc>
          <w:tcPr>
            <w:tcW w:w="2660" w:type="dxa"/>
            <w:vAlign w:val="bottom"/>
          </w:tcPr>
          <w:p>
            <w:pPr>
              <w:spacing w:after="0"/>
              <w:rPr>
                <w:sz w:val="19"/>
                <w:szCs w:val="19"/>
                <w:color w:val="auto"/>
              </w:rPr>
            </w:pPr>
          </w:p>
        </w:tc>
        <w:tc>
          <w:tcPr>
            <w:tcW w:w="80" w:type="dxa"/>
            <w:vAlign w:val="bottom"/>
            <w:tcBorders>
              <w:top w:val="single" w:sz="8" w:color="E9F1FB"/>
            </w:tcBorders>
          </w:tcPr>
          <w:p>
            <w:pPr>
              <w:spacing w:after="0"/>
              <w:rPr>
                <w:sz w:val="19"/>
                <w:szCs w:val="19"/>
                <w:color w:val="auto"/>
              </w:rPr>
            </w:pPr>
          </w:p>
        </w:tc>
        <w:tc>
          <w:tcPr>
            <w:tcW w:w="830" w:type="dxa"/>
            <w:vAlign w:val="bottom"/>
            <w:tcBorders>
              <w:top w:val="single" w:sz="8" w:color="E9F1FB"/>
              <w:bottom w:val="single" w:sz="8" w:color="EFF8FA"/>
            </w:tcBorders>
            <w:shd w:val="clear" w:color="auto" w:fill="EFF8FA"/>
          </w:tcPr>
          <w:p>
            <w:pPr>
              <w:jc w:val="right"/>
              <w:spacing w:after="0"/>
              <w:rPr>
                <w:sz w:val="20"/>
                <w:szCs w:val="20"/>
                <w:color w:val="auto"/>
              </w:rPr>
            </w:pPr>
            <w:r>
              <w:rPr>
                <w:rFonts w:ascii="Arial" w:cs="Arial" w:eastAsia="Arial" w:hAnsi="Arial"/>
                <w:sz w:val="13"/>
                <w:szCs w:val="13"/>
                <w:color w:val="auto"/>
              </w:rPr>
              <w:t>02/22/2018</w:t>
            </w:r>
          </w:p>
        </w:tc>
        <w:tc>
          <w:tcPr>
            <w:tcW w:w="1050" w:type="dxa"/>
            <w:vAlign w:val="bottom"/>
            <w:tcBorders>
              <w:top w:val="single" w:sz="8" w:color="E9F1FB"/>
              <w:bottom w:val="single" w:sz="8" w:color="EFF8FA"/>
            </w:tcBorders>
            <w:shd w:val="clear" w:color="auto" w:fill="EFF8FA"/>
          </w:tcPr>
          <w:p>
            <w:pPr>
              <w:jc w:val="right"/>
              <w:ind w:right="33"/>
              <w:spacing w:after="0"/>
              <w:rPr>
                <w:sz w:val="20"/>
                <w:szCs w:val="20"/>
                <w:color w:val="auto"/>
              </w:rPr>
            </w:pPr>
            <w:r>
              <w:rPr>
                <w:rFonts w:ascii="Arial" w:cs="Arial" w:eastAsia="Arial" w:hAnsi="Arial"/>
                <w:sz w:val="13"/>
                <w:szCs w:val="13"/>
                <w:color w:val="auto"/>
              </w:rPr>
              <w:t>0</w:t>
            </w:r>
          </w:p>
        </w:tc>
        <w:tc>
          <w:tcPr>
            <w:tcW w:w="1180" w:type="dxa"/>
            <w:vAlign w:val="bottom"/>
            <w:tcBorders>
              <w:top w:val="single" w:sz="8" w:color="E9F1FB"/>
              <w:bottom w:val="single" w:sz="8" w:color="EFF8FA"/>
            </w:tcBorders>
            <w:shd w:val="clear" w:color="auto" w:fill="EFF8FA"/>
          </w:tcPr>
          <w:p>
            <w:pPr>
              <w:jc w:val="right"/>
              <w:ind w:right="53"/>
              <w:spacing w:after="0"/>
              <w:rPr>
                <w:sz w:val="20"/>
                <w:szCs w:val="20"/>
                <w:color w:val="auto"/>
              </w:rPr>
            </w:pPr>
            <w:r>
              <w:rPr>
                <w:rFonts w:ascii="Arial" w:cs="Arial" w:eastAsia="Arial" w:hAnsi="Arial"/>
                <w:sz w:val="13"/>
                <w:szCs w:val="13"/>
                <w:color w:val="auto"/>
              </w:rPr>
              <w:t>49,296</w:t>
            </w:r>
          </w:p>
        </w:tc>
        <w:tc>
          <w:tcPr>
            <w:tcW w:w="560" w:type="dxa"/>
            <w:vAlign w:val="bottom"/>
            <w:tcBorders>
              <w:top w:val="single" w:sz="8" w:color="E9F1FB"/>
              <w:bottom w:val="single" w:sz="8" w:color="EFF8FA"/>
            </w:tcBorders>
            <w:shd w:val="clear" w:color="auto" w:fill="EFF8FA"/>
          </w:tcPr>
          <w:p>
            <w:pPr>
              <w:jc w:val="right"/>
              <w:spacing w:after="0"/>
              <w:rPr>
                <w:sz w:val="20"/>
                <w:szCs w:val="20"/>
                <w:color w:val="auto"/>
              </w:rPr>
            </w:pPr>
            <w:r>
              <w:rPr>
                <w:rFonts w:ascii="Arial" w:cs="Arial" w:eastAsia="Arial" w:hAnsi="Arial"/>
                <w:sz w:val="13"/>
                <w:szCs w:val="13"/>
                <w:color w:val="auto"/>
              </w:rPr>
              <w:t>92.80</w:t>
            </w:r>
          </w:p>
        </w:tc>
        <w:tc>
          <w:tcPr>
            <w:tcW w:w="100" w:type="dxa"/>
            <w:vAlign w:val="bottom"/>
            <w:tcBorders>
              <w:top w:val="single" w:sz="8" w:color="E9F1FB"/>
              <w:bottom w:val="single" w:sz="8" w:color="EFF8FA"/>
            </w:tcBorders>
            <w:shd w:val="clear" w:color="auto" w:fill="EFF8FA"/>
          </w:tcPr>
          <w:p>
            <w:pPr>
              <w:spacing w:after="0"/>
              <w:rPr>
                <w:sz w:val="19"/>
                <w:szCs w:val="19"/>
                <w:color w:val="auto"/>
              </w:rPr>
            </w:pPr>
          </w:p>
        </w:tc>
        <w:tc>
          <w:tcPr>
            <w:tcW w:w="780" w:type="dxa"/>
            <w:vAlign w:val="bottom"/>
            <w:tcBorders>
              <w:top w:val="single" w:sz="8" w:color="E9F1FB"/>
              <w:bottom w:val="single" w:sz="8" w:color="EFF8FA"/>
            </w:tcBorders>
            <w:shd w:val="clear" w:color="auto" w:fill="EFF8FA"/>
          </w:tcPr>
          <w:p>
            <w:pPr>
              <w:jc w:val="right"/>
              <w:ind w:right="13"/>
              <w:spacing w:after="0"/>
              <w:rPr>
                <w:sz w:val="20"/>
                <w:szCs w:val="20"/>
                <w:color w:val="auto"/>
              </w:rPr>
            </w:pPr>
            <w:r>
              <w:rPr>
                <w:rFonts w:ascii="Arial" w:cs="Arial" w:eastAsia="Arial" w:hAnsi="Arial"/>
                <w:sz w:val="13"/>
                <w:szCs w:val="13"/>
                <w:color w:val="auto"/>
              </w:rPr>
              <w:t>02/22/2028</w:t>
            </w:r>
          </w:p>
        </w:tc>
        <w:tc>
          <w:tcPr>
            <w:tcW w:w="80" w:type="dxa"/>
            <w:vAlign w:val="bottom"/>
            <w:tcBorders>
              <w:top w:val="single" w:sz="8" w:color="E9F1FB"/>
            </w:tcBorders>
          </w:tcPr>
          <w:p>
            <w:pPr>
              <w:spacing w:after="0"/>
              <w:rPr>
                <w:sz w:val="19"/>
                <w:szCs w:val="19"/>
                <w:color w:val="auto"/>
              </w:rPr>
            </w:pPr>
          </w:p>
        </w:tc>
        <w:tc>
          <w:tcPr>
            <w:tcW w:w="880" w:type="dxa"/>
            <w:vAlign w:val="bottom"/>
            <w:tcBorders>
              <w:top w:val="single" w:sz="8" w:color="E9F1FB"/>
            </w:tcBorders>
          </w:tcPr>
          <w:p>
            <w:pPr>
              <w:spacing w:after="0"/>
              <w:rPr>
                <w:sz w:val="19"/>
                <w:szCs w:val="19"/>
                <w:color w:val="auto"/>
              </w:rPr>
            </w:pPr>
          </w:p>
        </w:tc>
        <w:tc>
          <w:tcPr>
            <w:tcW w:w="800" w:type="dxa"/>
            <w:vAlign w:val="bottom"/>
            <w:tcBorders>
              <w:top w:val="single" w:sz="8" w:color="E9F1FB"/>
            </w:tcBorders>
          </w:tcPr>
          <w:p>
            <w:pPr>
              <w:spacing w:after="0"/>
              <w:rPr>
                <w:sz w:val="19"/>
                <w:szCs w:val="19"/>
                <w:color w:val="auto"/>
              </w:rPr>
            </w:pPr>
          </w:p>
        </w:tc>
        <w:tc>
          <w:tcPr>
            <w:tcW w:w="820" w:type="dxa"/>
            <w:vAlign w:val="bottom"/>
            <w:tcBorders>
              <w:top w:val="single" w:sz="8" w:color="E9F1FB"/>
            </w:tcBorders>
          </w:tcPr>
          <w:p>
            <w:pPr>
              <w:spacing w:after="0"/>
              <w:rPr>
                <w:sz w:val="19"/>
                <w:szCs w:val="19"/>
                <w:color w:val="auto"/>
              </w:rPr>
            </w:pPr>
          </w:p>
        </w:tc>
        <w:tc>
          <w:tcPr>
            <w:tcW w:w="800" w:type="dxa"/>
            <w:vAlign w:val="bottom"/>
            <w:tcBorders>
              <w:top w:val="single" w:sz="8" w:color="E9F1FB"/>
            </w:tcBorders>
          </w:tcPr>
          <w:p>
            <w:pPr>
              <w:spacing w:after="0"/>
              <w:rPr>
                <w:sz w:val="19"/>
                <w:szCs w:val="19"/>
                <w:color w:val="auto"/>
              </w:rPr>
            </w:pPr>
          </w:p>
        </w:tc>
        <w:tc>
          <w:tcPr>
            <w:tcW w:w="800" w:type="dxa"/>
            <w:vAlign w:val="bottom"/>
            <w:tcBorders>
              <w:top w:val="single" w:sz="8" w:color="E9F1FB"/>
            </w:tcBorders>
          </w:tcPr>
          <w:p>
            <w:pPr>
              <w:spacing w:after="0"/>
              <w:rPr>
                <w:sz w:val="19"/>
                <w:szCs w:val="19"/>
                <w:color w:val="auto"/>
              </w:rPr>
            </w:pPr>
          </w:p>
        </w:tc>
      </w:tr>
      <w:tr>
        <w:trPr>
          <w:trHeight w:val="223"/>
        </w:trPr>
        <w:tc>
          <w:tcPr>
            <w:tcW w:w="2660" w:type="dxa"/>
            <w:vAlign w:val="bottom"/>
          </w:tcPr>
          <w:p>
            <w:pPr>
              <w:spacing w:after="0"/>
              <w:rPr>
                <w:sz w:val="19"/>
                <w:szCs w:val="19"/>
                <w:color w:val="auto"/>
              </w:rPr>
            </w:pPr>
          </w:p>
        </w:tc>
        <w:tc>
          <w:tcPr>
            <w:tcW w:w="80" w:type="dxa"/>
            <w:vAlign w:val="bottom"/>
            <w:tcBorders>
              <w:top w:val="single" w:sz="8" w:color="E9F1FB"/>
            </w:tcBorders>
          </w:tcPr>
          <w:p>
            <w:pPr>
              <w:spacing w:after="0"/>
              <w:rPr>
                <w:sz w:val="19"/>
                <w:szCs w:val="19"/>
                <w:color w:val="auto"/>
              </w:rPr>
            </w:pPr>
          </w:p>
        </w:tc>
        <w:tc>
          <w:tcPr>
            <w:tcW w:w="830" w:type="dxa"/>
            <w:vAlign w:val="bottom"/>
            <w:tcBorders>
              <w:top w:val="single" w:sz="8" w:color="E9F1FB"/>
              <w:bottom w:val="single" w:sz="8" w:color="EFF8FA"/>
            </w:tcBorders>
            <w:shd w:val="clear" w:color="auto" w:fill="EFF8FA"/>
          </w:tcPr>
          <w:p>
            <w:pPr>
              <w:spacing w:after="0"/>
              <w:rPr>
                <w:sz w:val="19"/>
                <w:szCs w:val="19"/>
                <w:color w:val="auto"/>
              </w:rPr>
            </w:pPr>
          </w:p>
        </w:tc>
        <w:tc>
          <w:tcPr>
            <w:tcW w:w="1050" w:type="dxa"/>
            <w:vAlign w:val="bottom"/>
            <w:tcBorders>
              <w:top w:val="single" w:sz="8" w:color="E9F1FB"/>
              <w:bottom w:val="single" w:sz="8" w:color="EFF8FA"/>
            </w:tcBorders>
            <w:shd w:val="clear" w:color="auto" w:fill="EFF8FA"/>
          </w:tcPr>
          <w:p>
            <w:pPr>
              <w:spacing w:after="0"/>
              <w:rPr>
                <w:sz w:val="19"/>
                <w:szCs w:val="19"/>
                <w:color w:val="auto"/>
              </w:rPr>
            </w:pPr>
          </w:p>
        </w:tc>
        <w:tc>
          <w:tcPr>
            <w:tcW w:w="1180" w:type="dxa"/>
            <w:vAlign w:val="bottom"/>
            <w:tcBorders>
              <w:top w:val="single" w:sz="8" w:color="E9F1FB"/>
              <w:bottom w:val="single" w:sz="8" w:color="EFF8FA"/>
            </w:tcBorders>
            <w:shd w:val="clear" w:color="auto" w:fill="EFF8FA"/>
          </w:tcPr>
          <w:p>
            <w:pPr>
              <w:spacing w:after="0"/>
              <w:rPr>
                <w:sz w:val="19"/>
                <w:szCs w:val="19"/>
                <w:color w:val="auto"/>
              </w:rPr>
            </w:pPr>
          </w:p>
        </w:tc>
        <w:tc>
          <w:tcPr>
            <w:tcW w:w="560" w:type="dxa"/>
            <w:vAlign w:val="bottom"/>
            <w:tcBorders>
              <w:top w:val="single" w:sz="8" w:color="E9F1FB"/>
              <w:bottom w:val="single" w:sz="8" w:color="EFF8FA"/>
            </w:tcBorders>
            <w:shd w:val="clear" w:color="auto" w:fill="EFF8FA"/>
          </w:tcPr>
          <w:p>
            <w:pPr>
              <w:spacing w:after="0"/>
              <w:rPr>
                <w:sz w:val="19"/>
                <w:szCs w:val="19"/>
                <w:color w:val="auto"/>
              </w:rPr>
            </w:pPr>
          </w:p>
        </w:tc>
        <w:tc>
          <w:tcPr>
            <w:tcW w:w="100" w:type="dxa"/>
            <w:vAlign w:val="bottom"/>
            <w:tcBorders>
              <w:top w:val="single" w:sz="8" w:color="E9F1FB"/>
              <w:bottom w:val="single" w:sz="8" w:color="EFF8FA"/>
            </w:tcBorders>
            <w:shd w:val="clear" w:color="auto" w:fill="EFF8FA"/>
          </w:tcPr>
          <w:p>
            <w:pPr>
              <w:spacing w:after="0"/>
              <w:rPr>
                <w:sz w:val="19"/>
                <w:szCs w:val="19"/>
                <w:color w:val="auto"/>
              </w:rPr>
            </w:pPr>
          </w:p>
        </w:tc>
        <w:tc>
          <w:tcPr>
            <w:tcW w:w="780" w:type="dxa"/>
            <w:vAlign w:val="bottom"/>
            <w:tcBorders>
              <w:top w:val="single" w:sz="8" w:color="E9F1FB"/>
              <w:bottom w:val="single" w:sz="8" w:color="EFF8FA"/>
            </w:tcBorders>
            <w:shd w:val="clear" w:color="auto" w:fill="EFF8FA"/>
          </w:tcPr>
          <w:p>
            <w:pPr>
              <w:spacing w:after="0"/>
              <w:rPr>
                <w:sz w:val="19"/>
                <w:szCs w:val="19"/>
                <w:color w:val="auto"/>
              </w:rPr>
            </w:pPr>
          </w:p>
        </w:tc>
        <w:tc>
          <w:tcPr>
            <w:tcW w:w="960" w:type="dxa"/>
            <w:vAlign w:val="bottom"/>
            <w:tcBorders>
              <w:top w:val="single" w:sz="8" w:color="E9F1FB"/>
            </w:tcBorders>
            <w:gridSpan w:val="2"/>
          </w:tcPr>
          <w:p>
            <w:pPr>
              <w:jc w:val="right"/>
              <w:spacing w:after="0"/>
              <w:rPr>
                <w:sz w:val="20"/>
                <w:szCs w:val="20"/>
                <w:color w:val="auto"/>
              </w:rPr>
            </w:pPr>
            <w:r>
              <w:rPr>
                <w:rFonts w:ascii="Arial" w:cs="Arial" w:eastAsia="Arial" w:hAnsi="Arial"/>
                <w:sz w:val="13"/>
                <w:szCs w:val="13"/>
                <w:color w:val="auto"/>
              </w:rPr>
              <w:t>02/22/2018</w:t>
            </w:r>
          </w:p>
        </w:tc>
        <w:tc>
          <w:tcPr>
            <w:tcW w:w="800" w:type="dxa"/>
            <w:vAlign w:val="bottom"/>
            <w:tcBorders>
              <w:top w:val="single" w:sz="8" w:color="E9F1FB"/>
            </w:tcBorders>
          </w:tcPr>
          <w:p>
            <w:pPr>
              <w:spacing w:after="0"/>
              <w:rPr>
                <w:sz w:val="19"/>
                <w:szCs w:val="19"/>
                <w:color w:val="auto"/>
              </w:rPr>
            </w:pPr>
          </w:p>
        </w:tc>
        <w:tc>
          <w:tcPr>
            <w:tcW w:w="820" w:type="dxa"/>
            <w:vAlign w:val="bottom"/>
            <w:tcBorders>
              <w:top w:val="single" w:sz="8" w:color="E9F1FB"/>
            </w:tcBorders>
          </w:tcPr>
          <w:p>
            <w:pPr>
              <w:spacing w:after="0"/>
              <w:rPr>
                <w:sz w:val="19"/>
                <w:szCs w:val="19"/>
                <w:color w:val="auto"/>
              </w:rPr>
            </w:pPr>
          </w:p>
        </w:tc>
        <w:tc>
          <w:tcPr>
            <w:tcW w:w="800" w:type="dxa"/>
            <w:vAlign w:val="bottom"/>
            <w:tcBorders>
              <w:top w:val="single" w:sz="8" w:color="E9F1FB"/>
            </w:tcBorders>
          </w:tcPr>
          <w:p>
            <w:pPr>
              <w:jc w:val="right"/>
              <w:spacing w:after="0"/>
              <w:rPr>
                <w:sz w:val="20"/>
                <w:szCs w:val="20"/>
                <w:color w:val="auto"/>
              </w:rPr>
            </w:pPr>
            <w:r>
              <w:rPr>
                <w:rFonts w:ascii="Arial" w:cs="Arial" w:eastAsia="Arial" w:hAnsi="Arial"/>
                <w:sz w:val="13"/>
                <w:szCs w:val="13"/>
                <w:color w:val="auto"/>
              </w:rPr>
              <w:t>27,156</w:t>
            </w:r>
          </w:p>
        </w:tc>
        <w:tc>
          <w:tcPr>
            <w:tcW w:w="800" w:type="dxa"/>
            <w:vAlign w:val="bottom"/>
            <w:tcBorders>
              <w:top w:val="single" w:sz="8" w:color="E9F1FB"/>
            </w:tcBorders>
          </w:tcPr>
          <w:p>
            <w:pPr>
              <w:jc w:val="right"/>
              <w:spacing w:after="0"/>
              <w:rPr>
                <w:sz w:val="20"/>
                <w:szCs w:val="20"/>
                <w:color w:val="auto"/>
              </w:rPr>
            </w:pPr>
            <w:r>
              <w:rPr>
                <w:rFonts w:ascii="Arial" w:cs="Arial" w:eastAsia="Arial" w:hAnsi="Arial"/>
                <w:sz w:val="13"/>
                <w:szCs w:val="13"/>
                <w:color w:val="auto"/>
              </w:rPr>
              <w:t>2,243,900</w:t>
            </w:r>
          </w:p>
        </w:tc>
      </w:tr>
      <w:tr>
        <w:trPr>
          <w:trHeight w:val="223"/>
        </w:trPr>
        <w:tc>
          <w:tcPr>
            <w:tcW w:w="2740" w:type="dxa"/>
            <w:vAlign w:val="bottom"/>
            <w:tcBorders>
              <w:top w:val="single" w:sz="8" w:color="E9F1FB"/>
            </w:tcBorders>
            <w:gridSpan w:val="2"/>
          </w:tcPr>
          <w:p>
            <w:pPr>
              <w:ind w:left="40"/>
              <w:spacing w:after="0"/>
              <w:rPr>
                <w:sz w:val="20"/>
                <w:szCs w:val="20"/>
                <w:color w:val="auto"/>
              </w:rPr>
            </w:pPr>
            <w:r>
              <w:rPr>
                <w:rFonts w:ascii="Arial" w:cs="Arial" w:eastAsia="Arial" w:hAnsi="Arial"/>
                <w:sz w:val="13"/>
                <w:szCs w:val="13"/>
                <w:b w:val="1"/>
                <w:bCs w:val="1"/>
                <w:color w:val="105EAB"/>
              </w:rPr>
              <w:t>Mr. Dugenske</w:t>
            </w:r>
          </w:p>
        </w:tc>
        <w:tc>
          <w:tcPr>
            <w:tcW w:w="830" w:type="dxa"/>
            <w:vAlign w:val="bottom"/>
            <w:tcBorders>
              <w:top w:val="single" w:sz="8" w:color="E9F1FB"/>
              <w:bottom w:val="single" w:sz="8" w:color="EFF8FA"/>
            </w:tcBorders>
            <w:shd w:val="clear" w:color="auto" w:fill="EFF8FA"/>
          </w:tcPr>
          <w:p>
            <w:pPr>
              <w:jc w:val="right"/>
              <w:spacing w:after="0"/>
              <w:rPr>
                <w:sz w:val="20"/>
                <w:szCs w:val="20"/>
                <w:color w:val="auto"/>
              </w:rPr>
            </w:pPr>
            <w:r>
              <w:rPr>
                <w:rFonts w:ascii="Arial" w:cs="Arial" w:eastAsia="Arial" w:hAnsi="Arial"/>
                <w:sz w:val="13"/>
                <w:szCs w:val="13"/>
                <w:color w:val="auto"/>
              </w:rPr>
              <w:t>03/03/2017</w:t>
            </w:r>
          </w:p>
        </w:tc>
        <w:tc>
          <w:tcPr>
            <w:tcW w:w="1050" w:type="dxa"/>
            <w:vAlign w:val="bottom"/>
            <w:tcBorders>
              <w:top w:val="single" w:sz="8" w:color="E9F1FB"/>
              <w:bottom w:val="single" w:sz="8" w:color="EFF8FA"/>
            </w:tcBorders>
            <w:shd w:val="clear" w:color="auto" w:fill="EFF8FA"/>
          </w:tcPr>
          <w:p>
            <w:pPr>
              <w:jc w:val="right"/>
              <w:ind w:right="33"/>
              <w:spacing w:after="0"/>
              <w:rPr>
                <w:sz w:val="20"/>
                <w:szCs w:val="20"/>
                <w:color w:val="auto"/>
              </w:rPr>
            </w:pPr>
            <w:r>
              <w:rPr>
                <w:rFonts w:ascii="Arial" w:cs="Arial" w:eastAsia="Arial" w:hAnsi="Arial"/>
                <w:sz w:val="13"/>
                <w:szCs w:val="13"/>
                <w:color w:val="auto"/>
              </w:rPr>
              <w:t>19,180</w:t>
            </w:r>
          </w:p>
        </w:tc>
        <w:tc>
          <w:tcPr>
            <w:tcW w:w="1180" w:type="dxa"/>
            <w:vAlign w:val="bottom"/>
            <w:tcBorders>
              <w:top w:val="single" w:sz="8" w:color="E9F1FB"/>
              <w:bottom w:val="single" w:sz="8" w:color="EFF8FA"/>
            </w:tcBorders>
            <w:shd w:val="clear" w:color="auto" w:fill="EFF8FA"/>
          </w:tcPr>
          <w:p>
            <w:pPr>
              <w:jc w:val="right"/>
              <w:ind w:right="53"/>
              <w:spacing w:after="0"/>
              <w:rPr>
                <w:sz w:val="20"/>
                <w:szCs w:val="20"/>
                <w:color w:val="auto"/>
              </w:rPr>
            </w:pPr>
            <w:r>
              <w:rPr>
                <w:rFonts w:ascii="Arial" w:cs="Arial" w:eastAsia="Arial" w:hAnsi="Arial"/>
                <w:sz w:val="13"/>
                <w:szCs w:val="13"/>
                <w:color w:val="auto"/>
              </w:rPr>
              <w:t>38,360</w:t>
            </w:r>
          </w:p>
        </w:tc>
        <w:tc>
          <w:tcPr>
            <w:tcW w:w="560" w:type="dxa"/>
            <w:vAlign w:val="bottom"/>
            <w:tcBorders>
              <w:top w:val="single" w:sz="8" w:color="E9F1FB"/>
              <w:bottom w:val="single" w:sz="8" w:color="EFF8FA"/>
            </w:tcBorders>
            <w:shd w:val="clear" w:color="auto" w:fill="EFF8FA"/>
          </w:tcPr>
          <w:p>
            <w:pPr>
              <w:jc w:val="right"/>
              <w:spacing w:after="0"/>
              <w:rPr>
                <w:sz w:val="20"/>
                <w:szCs w:val="20"/>
                <w:color w:val="auto"/>
              </w:rPr>
            </w:pPr>
            <w:r>
              <w:rPr>
                <w:rFonts w:ascii="Arial" w:cs="Arial" w:eastAsia="Arial" w:hAnsi="Arial"/>
                <w:sz w:val="13"/>
                <w:szCs w:val="13"/>
                <w:color w:val="auto"/>
              </w:rPr>
              <w:t>81.86</w:t>
            </w:r>
          </w:p>
        </w:tc>
        <w:tc>
          <w:tcPr>
            <w:tcW w:w="100" w:type="dxa"/>
            <w:vAlign w:val="bottom"/>
            <w:tcBorders>
              <w:top w:val="single" w:sz="8" w:color="E9F1FB"/>
              <w:bottom w:val="single" w:sz="8" w:color="EFF8FA"/>
            </w:tcBorders>
            <w:shd w:val="clear" w:color="auto" w:fill="EFF8FA"/>
          </w:tcPr>
          <w:p>
            <w:pPr>
              <w:spacing w:after="0"/>
              <w:rPr>
                <w:sz w:val="19"/>
                <w:szCs w:val="19"/>
                <w:color w:val="auto"/>
              </w:rPr>
            </w:pPr>
          </w:p>
        </w:tc>
        <w:tc>
          <w:tcPr>
            <w:tcW w:w="780" w:type="dxa"/>
            <w:vAlign w:val="bottom"/>
            <w:tcBorders>
              <w:top w:val="single" w:sz="8" w:color="E9F1FB"/>
              <w:bottom w:val="single" w:sz="8" w:color="EFF8FA"/>
            </w:tcBorders>
            <w:shd w:val="clear" w:color="auto" w:fill="EFF8FA"/>
          </w:tcPr>
          <w:p>
            <w:pPr>
              <w:jc w:val="right"/>
              <w:ind w:right="13"/>
              <w:spacing w:after="0"/>
              <w:rPr>
                <w:sz w:val="20"/>
                <w:szCs w:val="20"/>
                <w:color w:val="auto"/>
              </w:rPr>
            </w:pPr>
            <w:r>
              <w:rPr>
                <w:rFonts w:ascii="Arial" w:cs="Arial" w:eastAsia="Arial" w:hAnsi="Arial"/>
                <w:sz w:val="13"/>
                <w:szCs w:val="13"/>
                <w:color w:val="auto"/>
              </w:rPr>
              <w:t>03/03/2027</w:t>
            </w:r>
          </w:p>
        </w:tc>
        <w:tc>
          <w:tcPr>
            <w:tcW w:w="80" w:type="dxa"/>
            <w:vAlign w:val="bottom"/>
            <w:tcBorders>
              <w:top w:val="single" w:sz="8" w:color="E9F1FB"/>
            </w:tcBorders>
          </w:tcPr>
          <w:p>
            <w:pPr>
              <w:spacing w:after="0"/>
              <w:rPr>
                <w:sz w:val="19"/>
                <w:szCs w:val="19"/>
                <w:color w:val="auto"/>
              </w:rPr>
            </w:pPr>
          </w:p>
        </w:tc>
        <w:tc>
          <w:tcPr>
            <w:tcW w:w="880" w:type="dxa"/>
            <w:vAlign w:val="bottom"/>
            <w:tcBorders>
              <w:top w:val="single" w:sz="8" w:color="E9F1FB"/>
            </w:tcBorders>
          </w:tcPr>
          <w:p>
            <w:pPr>
              <w:spacing w:after="0"/>
              <w:rPr>
                <w:sz w:val="19"/>
                <w:szCs w:val="19"/>
                <w:color w:val="auto"/>
              </w:rPr>
            </w:pPr>
          </w:p>
        </w:tc>
        <w:tc>
          <w:tcPr>
            <w:tcW w:w="800" w:type="dxa"/>
            <w:vAlign w:val="bottom"/>
            <w:tcBorders>
              <w:top w:val="single" w:sz="8" w:color="E9F1FB"/>
            </w:tcBorders>
          </w:tcPr>
          <w:p>
            <w:pPr>
              <w:spacing w:after="0"/>
              <w:rPr>
                <w:sz w:val="19"/>
                <w:szCs w:val="19"/>
                <w:color w:val="auto"/>
              </w:rPr>
            </w:pPr>
          </w:p>
        </w:tc>
        <w:tc>
          <w:tcPr>
            <w:tcW w:w="820" w:type="dxa"/>
            <w:vAlign w:val="bottom"/>
            <w:tcBorders>
              <w:top w:val="single" w:sz="8" w:color="E9F1FB"/>
            </w:tcBorders>
          </w:tcPr>
          <w:p>
            <w:pPr>
              <w:spacing w:after="0"/>
              <w:rPr>
                <w:sz w:val="19"/>
                <w:szCs w:val="19"/>
                <w:color w:val="auto"/>
              </w:rPr>
            </w:pPr>
          </w:p>
        </w:tc>
        <w:tc>
          <w:tcPr>
            <w:tcW w:w="800" w:type="dxa"/>
            <w:vAlign w:val="bottom"/>
            <w:tcBorders>
              <w:top w:val="single" w:sz="8" w:color="E9F1FB"/>
            </w:tcBorders>
          </w:tcPr>
          <w:p>
            <w:pPr>
              <w:spacing w:after="0"/>
              <w:rPr>
                <w:sz w:val="19"/>
                <w:szCs w:val="19"/>
                <w:color w:val="auto"/>
              </w:rPr>
            </w:pPr>
          </w:p>
        </w:tc>
        <w:tc>
          <w:tcPr>
            <w:tcW w:w="800" w:type="dxa"/>
            <w:vAlign w:val="bottom"/>
            <w:tcBorders>
              <w:top w:val="single" w:sz="8" w:color="E9F1FB"/>
            </w:tcBorders>
          </w:tcPr>
          <w:p>
            <w:pPr>
              <w:spacing w:after="0"/>
              <w:rPr>
                <w:sz w:val="19"/>
                <w:szCs w:val="19"/>
                <w:color w:val="auto"/>
              </w:rPr>
            </w:pPr>
          </w:p>
        </w:tc>
      </w:tr>
      <w:tr>
        <w:trPr>
          <w:trHeight w:val="223"/>
        </w:trPr>
        <w:tc>
          <w:tcPr>
            <w:tcW w:w="2660" w:type="dxa"/>
            <w:vAlign w:val="bottom"/>
          </w:tcPr>
          <w:p>
            <w:pPr>
              <w:spacing w:after="0"/>
              <w:rPr>
                <w:sz w:val="19"/>
                <w:szCs w:val="19"/>
                <w:color w:val="auto"/>
              </w:rPr>
            </w:pPr>
          </w:p>
        </w:tc>
        <w:tc>
          <w:tcPr>
            <w:tcW w:w="80" w:type="dxa"/>
            <w:vAlign w:val="bottom"/>
            <w:tcBorders>
              <w:top w:val="single" w:sz="8" w:color="E9F1FB"/>
            </w:tcBorders>
          </w:tcPr>
          <w:p>
            <w:pPr>
              <w:spacing w:after="0"/>
              <w:rPr>
                <w:sz w:val="19"/>
                <w:szCs w:val="19"/>
                <w:color w:val="auto"/>
              </w:rPr>
            </w:pPr>
          </w:p>
        </w:tc>
        <w:tc>
          <w:tcPr>
            <w:tcW w:w="830" w:type="dxa"/>
            <w:vAlign w:val="bottom"/>
            <w:tcBorders>
              <w:top w:val="single" w:sz="8" w:color="E9F1FB"/>
              <w:bottom w:val="single" w:sz="8" w:color="EFF8FA"/>
            </w:tcBorders>
            <w:shd w:val="clear" w:color="auto" w:fill="EFF8FA"/>
          </w:tcPr>
          <w:p>
            <w:pPr>
              <w:spacing w:after="0"/>
              <w:rPr>
                <w:sz w:val="19"/>
                <w:szCs w:val="19"/>
                <w:color w:val="auto"/>
              </w:rPr>
            </w:pPr>
          </w:p>
        </w:tc>
        <w:tc>
          <w:tcPr>
            <w:tcW w:w="1050" w:type="dxa"/>
            <w:vAlign w:val="bottom"/>
            <w:tcBorders>
              <w:top w:val="single" w:sz="8" w:color="E9F1FB"/>
              <w:bottom w:val="single" w:sz="8" w:color="EFF8FA"/>
            </w:tcBorders>
            <w:shd w:val="clear" w:color="auto" w:fill="EFF8FA"/>
          </w:tcPr>
          <w:p>
            <w:pPr>
              <w:spacing w:after="0"/>
              <w:rPr>
                <w:sz w:val="19"/>
                <w:szCs w:val="19"/>
                <w:color w:val="auto"/>
              </w:rPr>
            </w:pPr>
          </w:p>
        </w:tc>
        <w:tc>
          <w:tcPr>
            <w:tcW w:w="1180" w:type="dxa"/>
            <w:vAlign w:val="bottom"/>
            <w:tcBorders>
              <w:top w:val="single" w:sz="8" w:color="E9F1FB"/>
              <w:bottom w:val="single" w:sz="8" w:color="EFF8FA"/>
            </w:tcBorders>
            <w:shd w:val="clear" w:color="auto" w:fill="EFF8FA"/>
          </w:tcPr>
          <w:p>
            <w:pPr>
              <w:spacing w:after="0"/>
              <w:rPr>
                <w:sz w:val="19"/>
                <w:szCs w:val="19"/>
                <w:color w:val="auto"/>
              </w:rPr>
            </w:pPr>
          </w:p>
        </w:tc>
        <w:tc>
          <w:tcPr>
            <w:tcW w:w="560" w:type="dxa"/>
            <w:vAlign w:val="bottom"/>
            <w:tcBorders>
              <w:top w:val="single" w:sz="8" w:color="E9F1FB"/>
              <w:bottom w:val="single" w:sz="8" w:color="EFF8FA"/>
            </w:tcBorders>
            <w:shd w:val="clear" w:color="auto" w:fill="EFF8FA"/>
          </w:tcPr>
          <w:p>
            <w:pPr>
              <w:spacing w:after="0"/>
              <w:rPr>
                <w:sz w:val="19"/>
                <w:szCs w:val="19"/>
                <w:color w:val="auto"/>
              </w:rPr>
            </w:pPr>
          </w:p>
        </w:tc>
        <w:tc>
          <w:tcPr>
            <w:tcW w:w="100" w:type="dxa"/>
            <w:vAlign w:val="bottom"/>
            <w:tcBorders>
              <w:top w:val="single" w:sz="8" w:color="E9F1FB"/>
              <w:bottom w:val="single" w:sz="8" w:color="EFF8FA"/>
            </w:tcBorders>
            <w:shd w:val="clear" w:color="auto" w:fill="EFF8FA"/>
          </w:tcPr>
          <w:p>
            <w:pPr>
              <w:spacing w:after="0"/>
              <w:rPr>
                <w:sz w:val="19"/>
                <w:szCs w:val="19"/>
                <w:color w:val="auto"/>
              </w:rPr>
            </w:pPr>
          </w:p>
        </w:tc>
        <w:tc>
          <w:tcPr>
            <w:tcW w:w="780" w:type="dxa"/>
            <w:vAlign w:val="bottom"/>
            <w:tcBorders>
              <w:top w:val="single" w:sz="8" w:color="E9F1FB"/>
              <w:bottom w:val="single" w:sz="8" w:color="EFF8FA"/>
            </w:tcBorders>
            <w:shd w:val="clear" w:color="auto" w:fill="EFF8FA"/>
          </w:tcPr>
          <w:p>
            <w:pPr>
              <w:spacing w:after="0"/>
              <w:rPr>
                <w:sz w:val="19"/>
                <w:szCs w:val="19"/>
                <w:color w:val="auto"/>
              </w:rPr>
            </w:pPr>
          </w:p>
        </w:tc>
        <w:tc>
          <w:tcPr>
            <w:tcW w:w="960" w:type="dxa"/>
            <w:vAlign w:val="bottom"/>
            <w:tcBorders>
              <w:top w:val="single" w:sz="8" w:color="E9F1FB"/>
            </w:tcBorders>
            <w:gridSpan w:val="2"/>
          </w:tcPr>
          <w:p>
            <w:pPr>
              <w:jc w:val="right"/>
              <w:spacing w:after="0"/>
              <w:rPr>
                <w:sz w:val="20"/>
                <w:szCs w:val="20"/>
                <w:color w:val="auto"/>
              </w:rPr>
            </w:pPr>
            <w:r>
              <w:rPr>
                <w:rFonts w:ascii="Arial" w:cs="Arial" w:eastAsia="Arial" w:hAnsi="Arial"/>
                <w:sz w:val="13"/>
                <w:szCs w:val="13"/>
                <w:color w:val="auto"/>
              </w:rPr>
              <w:t>03/03/2017</w:t>
            </w:r>
          </w:p>
        </w:tc>
        <w:tc>
          <w:tcPr>
            <w:tcW w:w="800" w:type="dxa"/>
            <w:vAlign w:val="bottom"/>
            <w:tcBorders>
              <w:top w:val="single" w:sz="8" w:color="E9F1FB"/>
            </w:tcBorders>
          </w:tcPr>
          <w:p>
            <w:pPr>
              <w:spacing w:after="0"/>
              <w:rPr>
                <w:sz w:val="19"/>
                <w:szCs w:val="19"/>
                <w:color w:val="auto"/>
              </w:rPr>
            </w:pPr>
          </w:p>
        </w:tc>
        <w:tc>
          <w:tcPr>
            <w:tcW w:w="820" w:type="dxa"/>
            <w:vAlign w:val="bottom"/>
            <w:tcBorders>
              <w:top w:val="single" w:sz="8" w:color="E9F1FB"/>
            </w:tcBorders>
          </w:tcPr>
          <w:p>
            <w:pPr>
              <w:spacing w:after="0"/>
              <w:rPr>
                <w:sz w:val="19"/>
                <w:szCs w:val="19"/>
                <w:color w:val="auto"/>
              </w:rPr>
            </w:pPr>
          </w:p>
        </w:tc>
        <w:tc>
          <w:tcPr>
            <w:tcW w:w="800" w:type="dxa"/>
            <w:vAlign w:val="bottom"/>
            <w:tcBorders>
              <w:top w:val="single" w:sz="8" w:color="E9F1FB"/>
            </w:tcBorders>
          </w:tcPr>
          <w:p>
            <w:pPr>
              <w:jc w:val="right"/>
              <w:spacing w:after="0"/>
              <w:rPr>
                <w:sz w:val="20"/>
                <w:szCs w:val="20"/>
                <w:color w:val="auto"/>
              </w:rPr>
            </w:pPr>
            <w:r>
              <w:rPr>
                <w:rFonts w:ascii="Arial" w:cs="Arial" w:eastAsia="Arial" w:hAnsi="Arial"/>
                <w:sz w:val="13"/>
                <w:szCs w:val="13"/>
                <w:color w:val="auto"/>
              </w:rPr>
              <w:t>31,884</w:t>
            </w:r>
          </w:p>
        </w:tc>
        <w:tc>
          <w:tcPr>
            <w:tcW w:w="800" w:type="dxa"/>
            <w:vAlign w:val="bottom"/>
            <w:tcBorders>
              <w:top w:val="single" w:sz="8" w:color="E9F1FB"/>
            </w:tcBorders>
          </w:tcPr>
          <w:p>
            <w:pPr>
              <w:jc w:val="right"/>
              <w:spacing w:after="0"/>
              <w:rPr>
                <w:sz w:val="20"/>
                <w:szCs w:val="20"/>
                <w:color w:val="auto"/>
              </w:rPr>
            </w:pPr>
            <w:r>
              <w:rPr>
                <w:rFonts w:ascii="Arial" w:cs="Arial" w:eastAsia="Arial" w:hAnsi="Arial"/>
                <w:sz w:val="13"/>
                <w:szCs w:val="13"/>
                <w:color w:val="auto"/>
              </w:rPr>
              <w:t>2,634,575</w:t>
            </w:r>
          </w:p>
        </w:tc>
      </w:tr>
      <w:tr>
        <w:trPr>
          <w:trHeight w:val="223"/>
        </w:trPr>
        <w:tc>
          <w:tcPr>
            <w:tcW w:w="2660" w:type="dxa"/>
            <w:vAlign w:val="bottom"/>
          </w:tcPr>
          <w:p>
            <w:pPr>
              <w:spacing w:after="0"/>
              <w:rPr>
                <w:sz w:val="19"/>
                <w:szCs w:val="19"/>
                <w:color w:val="auto"/>
              </w:rPr>
            </w:pPr>
          </w:p>
        </w:tc>
        <w:tc>
          <w:tcPr>
            <w:tcW w:w="80" w:type="dxa"/>
            <w:vAlign w:val="bottom"/>
            <w:tcBorders>
              <w:top w:val="single" w:sz="8" w:color="E9F1FB"/>
            </w:tcBorders>
          </w:tcPr>
          <w:p>
            <w:pPr>
              <w:spacing w:after="0"/>
              <w:rPr>
                <w:sz w:val="19"/>
                <w:szCs w:val="19"/>
                <w:color w:val="auto"/>
              </w:rPr>
            </w:pPr>
          </w:p>
        </w:tc>
        <w:tc>
          <w:tcPr>
            <w:tcW w:w="830" w:type="dxa"/>
            <w:vAlign w:val="bottom"/>
            <w:tcBorders>
              <w:top w:val="single" w:sz="8" w:color="E9F1FB"/>
              <w:bottom w:val="single" w:sz="8" w:color="EFF8FA"/>
            </w:tcBorders>
            <w:shd w:val="clear" w:color="auto" w:fill="EFF8FA"/>
          </w:tcPr>
          <w:p>
            <w:pPr>
              <w:spacing w:after="0"/>
              <w:rPr>
                <w:sz w:val="19"/>
                <w:szCs w:val="19"/>
                <w:color w:val="auto"/>
              </w:rPr>
            </w:pPr>
          </w:p>
        </w:tc>
        <w:tc>
          <w:tcPr>
            <w:tcW w:w="1050" w:type="dxa"/>
            <w:vAlign w:val="bottom"/>
            <w:tcBorders>
              <w:top w:val="single" w:sz="8" w:color="E9F1FB"/>
              <w:bottom w:val="single" w:sz="8" w:color="EFF8FA"/>
            </w:tcBorders>
            <w:shd w:val="clear" w:color="auto" w:fill="EFF8FA"/>
          </w:tcPr>
          <w:p>
            <w:pPr>
              <w:spacing w:after="0"/>
              <w:rPr>
                <w:sz w:val="19"/>
                <w:szCs w:val="19"/>
                <w:color w:val="auto"/>
              </w:rPr>
            </w:pPr>
          </w:p>
        </w:tc>
        <w:tc>
          <w:tcPr>
            <w:tcW w:w="1180" w:type="dxa"/>
            <w:vAlign w:val="bottom"/>
            <w:tcBorders>
              <w:top w:val="single" w:sz="8" w:color="E9F1FB"/>
              <w:bottom w:val="single" w:sz="8" w:color="EFF8FA"/>
            </w:tcBorders>
            <w:shd w:val="clear" w:color="auto" w:fill="EFF8FA"/>
          </w:tcPr>
          <w:p>
            <w:pPr>
              <w:spacing w:after="0"/>
              <w:rPr>
                <w:sz w:val="19"/>
                <w:szCs w:val="19"/>
                <w:color w:val="auto"/>
              </w:rPr>
            </w:pPr>
          </w:p>
        </w:tc>
        <w:tc>
          <w:tcPr>
            <w:tcW w:w="560" w:type="dxa"/>
            <w:vAlign w:val="bottom"/>
            <w:tcBorders>
              <w:top w:val="single" w:sz="8" w:color="E9F1FB"/>
              <w:bottom w:val="single" w:sz="8" w:color="EFF8FA"/>
            </w:tcBorders>
            <w:shd w:val="clear" w:color="auto" w:fill="EFF8FA"/>
          </w:tcPr>
          <w:p>
            <w:pPr>
              <w:spacing w:after="0"/>
              <w:rPr>
                <w:sz w:val="19"/>
                <w:szCs w:val="19"/>
                <w:color w:val="auto"/>
              </w:rPr>
            </w:pPr>
          </w:p>
        </w:tc>
        <w:tc>
          <w:tcPr>
            <w:tcW w:w="100" w:type="dxa"/>
            <w:vAlign w:val="bottom"/>
            <w:tcBorders>
              <w:top w:val="single" w:sz="8" w:color="E9F1FB"/>
              <w:bottom w:val="single" w:sz="8" w:color="EFF8FA"/>
            </w:tcBorders>
            <w:shd w:val="clear" w:color="auto" w:fill="EFF8FA"/>
          </w:tcPr>
          <w:p>
            <w:pPr>
              <w:spacing w:after="0"/>
              <w:rPr>
                <w:sz w:val="19"/>
                <w:szCs w:val="19"/>
                <w:color w:val="auto"/>
              </w:rPr>
            </w:pPr>
          </w:p>
        </w:tc>
        <w:tc>
          <w:tcPr>
            <w:tcW w:w="780" w:type="dxa"/>
            <w:vAlign w:val="bottom"/>
            <w:tcBorders>
              <w:top w:val="single" w:sz="8" w:color="E9F1FB"/>
              <w:bottom w:val="single" w:sz="8" w:color="EFF8FA"/>
            </w:tcBorders>
            <w:shd w:val="clear" w:color="auto" w:fill="EFF8FA"/>
          </w:tcPr>
          <w:p>
            <w:pPr>
              <w:spacing w:after="0"/>
              <w:rPr>
                <w:sz w:val="19"/>
                <w:szCs w:val="19"/>
                <w:color w:val="auto"/>
              </w:rPr>
            </w:pPr>
          </w:p>
        </w:tc>
        <w:tc>
          <w:tcPr>
            <w:tcW w:w="960" w:type="dxa"/>
            <w:vAlign w:val="bottom"/>
            <w:tcBorders>
              <w:top w:val="single" w:sz="8" w:color="E9F1FB"/>
            </w:tcBorders>
            <w:gridSpan w:val="2"/>
          </w:tcPr>
          <w:p>
            <w:pPr>
              <w:jc w:val="right"/>
              <w:spacing w:after="0"/>
              <w:rPr>
                <w:sz w:val="20"/>
                <w:szCs w:val="20"/>
                <w:color w:val="auto"/>
              </w:rPr>
            </w:pPr>
            <w:r>
              <w:rPr>
                <w:rFonts w:ascii="Arial" w:cs="Arial" w:eastAsia="Arial" w:hAnsi="Arial"/>
                <w:sz w:val="13"/>
                <w:szCs w:val="13"/>
                <w:color w:val="auto"/>
              </w:rPr>
              <w:t>04/05/2017</w:t>
            </w:r>
          </w:p>
        </w:tc>
        <w:tc>
          <w:tcPr>
            <w:tcW w:w="800" w:type="dxa"/>
            <w:vAlign w:val="bottom"/>
            <w:tcBorders>
              <w:top w:val="single" w:sz="8" w:color="E9F1FB"/>
            </w:tcBorders>
          </w:tcPr>
          <w:p>
            <w:pPr>
              <w:jc w:val="right"/>
              <w:spacing w:after="0"/>
              <w:rPr>
                <w:sz w:val="20"/>
                <w:szCs w:val="20"/>
                <w:color w:val="auto"/>
              </w:rPr>
            </w:pPr>
            <w:r>
              <w:rPr>
                <w:rFonts w:ascii="Arial" w:cs="Arial" w:eastAsia="Arial" w:hAnsi="Arial"/>
                <w:sz w:val="13"/>
                <w:szCs w:val="13"/>
                <w:color w:val="auto"/>
              </w:rPr>
              <w:t>49,128</w:t>
            </w:r>
          </w:p>
        </w:tc>
        <w:tc>
          <w:tcPr>
            <w:tcW w:w="820" w:type="dxa"/>
            <w:vAlign w:val="bottom"/>
            <w:tcBorders>
              <w:top w:val="single" w:sz="8" w:color="E9F1FB"/>
            </w:tcBorders>
          </w:tcPr>
          <w:p>
            <w:pPr>
              <w:jc w:val="right"/>
              <w:spacing w:after="0"/>
              <w:rPr>
                <w:sz w:val="20"/>
                <w:szCs w:val="20"/>
                <w:color w:val="auto"/>
              </w:rPr>
            </w:pPr>
            <w:r>
              <w:rPr>
                <w:rFonts w:ascii="Arial" w:cs="Arial" w:eastAsia="Arial" w:hAnsi="Arial"/>
                <w:sz w:val="13"/>
                <w:szCs w:val="13"/>
                <w:color w:val="auto"/>
              </w:rPr>
              <w:t>4,059,447</w:t>
            </w:r>
          </w:p>
        </w:tc>
        <w:tc>
          <w:tcPr>
            <w:tcW w:w="800" w:type="dxa"/>
            <w:vAlign w:val="bottom"/>
            <w:tcBorders>
              <w:top w:val="single" w:sz="8" w:color="E9F1FB"/>
            </w:tcBorders>
          </w:tcPr>
          <w:p>
            <w:pPr>
              <w:spacing w:after="0"/>
              <w:rPr>
                <w:sz w:val="19"/>
                <w:szCs w:val="19"/>
                <w:color w:val="auto"/>
              </w:rPr>
            </w:pPr>
          </w:p>
        </w:tc>
        <w:tc>
          <w:tcPr>
            <w:tcW w:w="800" w:type="dxa"/>
            <w:vAlign w:val="bottom"/>
            <w:tcBorders>
              <w:top w:val="single" w:sz="8" w:color="E9F1FB"/>
            </w:tcBorders>
          </w:tcPr>
          <w:p>
            <w:pPr>
              <w:spacing w:after="0"/>
              <w:rPr>
                <w:sz w:val="19"/>
                <w:szCs w:val="19"/>
                <w:color w:val="auto"/>
              </w:rPr>
            </w:pPr>
          </w:p>
        </w:tc>
      </w:tr>
      <w:tr>
        <w:trPr>
          <w:trHeight w:val="223"/>
        </w:trPr>
        <w:tc>
          <w:tcPr>
            <w:tcW w:w="2660" w:type="dxa"/>
            <w:vAlign w:val="bottom"/>
          </w:tcPr>
          <w:p>
            <w:pPr>
              <w:spacing w:after="0"/>
              <w:rPr>
                <w:sz w:val="19"/>
                <w:szCs w:val="19"/>
                <w:color w:val="auto"/>
              </w:rPr>
            </w:pPr>
          </w:p>
        </w:tc>
        <w:tc>
          <w:tcPr>
            <w:tcW w:w="80" w:type="dxa"/>
            <w:vAlign w:val="bottom"/>
            <w:tcBorders>
              <w:top w:val="single" w:sz="8" w:color="E9F1FB"/>
            </w:tcBorders>
          </w:tcPr>
          <w:p>
            <w:pPr>
              <w:spacing w:after="0"/>
              <w:rPr>
                <w:sz w:val="19"/>
                <w:szCs w:val="19"/>
                <w:color w:val="auto"/>
              </w:rPr>
            </w:pPr>
          </w:p>
        </w:tc>
        <w:tc>
          <w:tcPr>
            <w:tcW w:w="830" w:type="dxa"/>
            <w:vAlign w:val="bottom"/>
            <w:tcBorders>
              <w:top w:val="single" w:sz="8" w:color="E9F1FB"/>
              <w:bottom w:val="single" w:sz="8" w:color="EFF8FA"/>
            </w:tcBorders>
            <w:shd w:val="clear" w:color="auto" w:fill="EFF8FA"/>
          </w:tcPr>
          <w:p>
            <w:pPr>
              <w:jc w:val="right"/>
              <w:spacing w:after="0"/>
              <w:rPr>
                <w:sz w:val="20"/>
                <w:szCs w:val="20"/>
                <w:color w:val="auto"/>
              </w:rPr>
            </w:pPr>
            <w:r>
              <w:rPr>
                <w:rFonts w:ascii="Arial" w:cs="Arial" w:eastAsia="Arial" w:hAnsi="Arial"/>
                <w:sz w:val="13"/>
                <w:szCs w:val="13"/>
                <w:color w:val="auto"/>
              </w:rPr>
              <w:t>02/22/2018</w:t>
            </w:r>
          </w:p>
        </w:tc>
        <w:tc>
          <w:tcPr>
            <w:tcW w:w="1050" w:type="dxa"/>
            <w:vAlign w:val="bottom"/>
            <w:tcBorders>
              <w:top w:val="single" w:sz="8" w:color="E9F1FB"/>
              <w:bottom w:val="single" w:sz="8" w:color="EFF8FA"/>
            </w:tcBorders>
            <w:shd w:val="clear" w:color="auto" w:fill="EFF8FA"/>
          </w:tcPr>
          <w:p>
            <w:pPr>
              <w:jc w:val="right"/>
              <w:ind w:right="33"/>
              <w:spacing w:after="0"/>
              <w:rPr>
                <w:sz w:val="20"/>
                <w:szCs w:val="20"/>
                <w:color w:val="auto"/>
              </w:rPr>
            </w:pPr>
            <w:r>
              <w:rPr>
                <w:rFonts w:ascii="Arial" w:cs="Arial" w:eastAsia="Arial" w:hAnsi="Arial"/>
                <w:sz w:val="13"/>
                <w:szCs w:val="13"/>
                <w:color w:val="auto"/>
              </w:rPr>
              <w:t>0</w:t>
            </w:r>
          </w:p>
        </w:tc>
        <w:tc>
          <w:tcPr>
            <w:tcW w:w="1180" w:type="dxa"/>
            <w:vAlign w:val="bottom"/>
            <w:tcBorders>
              <w:top w:val="single" w:sz="8" w:color="E9F1FB"/>
              <w:bottom w:val="single" w:sz="8" w:color="EFF8FA"/>
            </w:tcBorders>
            <w:shd w:val="clear" w:color="auto" w:fill="EFF8FA"/>
          </w:tcPr>
          <w:p>
            <w:pPr>
              <w:jc w:val="right"/>
              <w:ind w:right="53"/>
              <w:spacing w:after="0"/>
              <w:rPr>
                <w:sz w:val="20"/>
                <w:szCs w:val="20"/>
                <w:color w:val="auto"/>
              </w:rPr>
            </w:pPr>
            <w:r>
              <w:rPr>
                <w:rFonts w:ascii="Arial" w:cs="Arial" w:eastAsia="Arial" w:hAnsi="Arial"/>
                <w:sz w:val="13"/>
                <w:szCs w:val="13"/>
                <w:color w:val="auto"/>
              </w:rPr>
              <w:t>53,991</w:t>
            </w:r>
          </w:p>
        </w:tc>
        <w:tc>
          <w:tcPr>
            <w:tcW w:w="560" w:type="dxa"/>
            <w:vAlign w:val="bottom"/>
            <w:tcBorders>
              <w:top w:val="single" w:sz="8" w:color="E9F1FB"/>
              <w:bottom w:val="single" w:sz="8" w:color="EFF8FA"/>
            </w:tcBorders>
            <w:shd w:val="clear" w:color="auto" w:fill="EFF8FA"/>
          </w:tcPr>
          <w:p>
            <w:pPr>
              <w:jc w:val="right"/>
              <w:spacing w:after="0"/>
              <w:rPr>
                <w:sz w:val="20"/>
                <w:szCs w:val="20"/>
                <w:color w:val="auto"/>
              </w:rPr>
            </w:pPr>
            <w:r>
              <w:rPr>
                <w:rFonts w:ascii="Arial" w:cs="Arial" w:eastAsia="Arial" w:hAnsi="Arial"/>
                <w:sz w:val="13"/>
                <w:szCs w:val="13"/>
                <w:color w:val="auto"/>
              </w:rPr>
              <w:t>92.80</w:t>
            </w:r>
          </w:p>
        </w:tc>
        <w:tc>
          <w:tcPr>
            <w:tcW w:w="100" w:type="dxa"/>
            <w:vAlign w:val="bottom"/>
            <w:tcBorders>
              <w:top w:val="single" w:sz="8" w:color="E9F1FB"/>
              <w:bottom w:val="single" w:sz="8" w:color="EFF8FA"/>
            </w:tcBorders>
            <w:shd w:val="clear" w:color="auto" w:fill="EFF8FA"/>
          </w:tcPr>
          <w:p>
            <w:pPr>
              <w:spacing w:after="0"/>
              <w:rPr>
                <w:sz w:val="19"/>
                <w:szCs w:val="19"/>
                <w:color w:val="auto"/>
              </w:rPr>
            </w:pPr>
          </w:p>
        </w:tc>
        <w:tc>
          <w:tcPr>
            <w:tcW w:w="780" w:type="dxa"/>
            <w:vAlign w:val="bottom"/>
            <w:tcBorders>
              <w:top w:val="single" w:sz="8" w:color="E9F1FB"/>
              <w:bottom w:val="single" w:sz="8" w:color="EFF8FA"/>
            </w:tcBorders>
            <w:shd w:val="clear" w:color="auto" w:fill="EFF8FA"/>
          </w:tcPr>
          <w:p>
            <w:pPr>
              <w:jc w:val="right"/>
              <w:ind w:right="13"/>
              <w:spacing w:after="0"/>
              <w:rPr>
                <w:sz w:val="20"/>
                <w:szCs w:val="20"/>
                <w:color w:val="auto"/>
              </w:rPr>
            </w:pPr>
            <w:r>
              <w:rPr>
                <w:rFonts w:ascii="Arial" w:cs="Arial" w:eastAsia="Arial" w:hAnsi="Arial"/>
                <w:sz w:val="13"/>
                <w:szCs w:val="13"/>
                <w:color w:val="auto"/>
              </w:rPr>
              <w:t>02/22/2028</w:t>
            </w:r>
          </w:p>
        </w:tc>
        <w:tc>
          <w:tcPr>
            <w:tcW w:w="80" w:type="dxa"/>
            <w:vAlign w:val="bottom"/>
            <w:tcBorders>
              <w:top w:val="single" w:sz="8" w:color="E9F1FB"/>
            </w:tcBorders>
          </w:tcPr>
          <w:p>
            <w:pPr>
              <w:spacing w:after="0"/>
              <w:rPr>
                <w:sz w:val="19"/>
                <w:szCs w:val="19"/>
                <w:color w:val="auto"/>
              </w:rPr>
            </w:pPr>
          </w:p>
        </w:tc>
        <w:tc>
          <w:tcPr>
            <w:tcW w:w="880" w:type="dxa"/>
            <w:vAlign w:val="bottom"/>
            <w:tcBorders>
              <w:top w:val="single" w:sz="8" w:color="E9F1FB"/>
            </w:tcBorders>
          </w:tcPr>
          <w:p>
            <w:pPr>
              <w:spacing w:after="0"/>
              <w:rPr>
                <w:sz w:val="19"/>
                <w:szCs w:val="19"/>
                <w:color w:val="auto"/>
              </w:rPr>
            </w:pPr>
          </w:p>
        </w:tc>
        <w:tc>
          <w:tcPr>
            <w:tcW w:w="800" w:type="dxa"/>
            <w:vAlign w:val="bottom"/>
            <w:tcBorders>
              <w:top w:val="single" w:sz="8" w:color="E9F1FB"/>
            </w:tcBorders>
          </w:tcPr>
          <w:p>
            <w:pPr>
              <w:spacing w:after="0"/>
              <w:rPr>
                <w:sz w:val="19"/>
                <w:szCs w:val="19"/>
                <w:color w:val="auto"/>
              </w:rPr>
            </w:pPr>
          </w:p>
        </w:tc>
        <w:tc>
          <w:tcPr>
            <w:tcW w:w="820" w:type="dxa"/>
            <w:vAlign w:val="bottom"/>
            <w:tcBorders>
              <w:top w:val="single" w:sz="8" w:color="E9F1FB"/>
            </w:tcBorders>
          </w:tcPr>
          <w:p>
            <w:pPr>
              <w:spacing w:after="0"/>
              <w:rPr>
                <w:sz w:val="19"/>
                <w:szCs w:val="19"/>
                <w:color w:val="auto"/>
              </w:rPr>
            </w:pPr>
          </w:p>
        </w:tc>
        <w:tc>
          <w:tcPr>
            <w:tcW w:w="800" w:type="dxa"/>
            <w:vAlign w:val="bottom"/>
            <w:tcBorders>
              <w:top w:val="single" w:sz="8" w:color="E9F1FB"/>
            </w:tcBorders>
          </w:tcPr>
          <w:p>
            <w:pPr>
              <w:spacing w:after="0"/>
              <w:rPr>
                <w:sz w:val="19"/>
                <w:szCs w:val="19"/>
                <w:color w:val="auto"/>
              </w:rPr>
            </w:pPr>
          </w:p>
        </w:tc>
        <w:tc>
          <w:tcPr>
            <w:tcW w:w="800" w:type="dxa"/>
            <w:vAlign w:val="bottom"/>
            <w:tcBorders>
              <w:top w:val="single" w:sz="8" w:color="E9F1FB"/>
            </w:tcBorders>
          </w:tcPr>
          <w:p>
            <w:pPr>
              <w:spacing w:after="0"/>
              <w:rPr>
                <w:sz w:val="19"/>
                <w:szCs w:val="19"/>
                <w:color w:val="auto"/>
              </w:rPr>
            </w:pPr>
          </w:p>
        </w:tc>
      </w:tr>
      <w:tr>
        <w:trPr>
          <w:trHeight w:val="223"/>
        </w:trPr>
        <w:tc>
          <w:tcPr>
            <w:tcW w:w="2660" w:type="dxa"/>
            <w:vAlign w:val="bottom"/>
          </w:tcPr>
          <w:p>
            <w:pPr>
              <w:spacing w:after="0"/>
              <w:rPr>
                <w:sz w:val="19"/>
                <w:szCs w:val="19"/>
                <w:color w:val="auto"/>
              </w:rPr>
            </w:pPr>
          </w:p>
        </w:tc>
        <w:tc>
          <w:tcPr>
            <w:tcW w:w="80" w:type="dxa"/>
            <w:vAlign w:val="bottom"/>
            <w:tcBorders>
              <w:top w:val="single" w:sz="8" w:color="E9F1FB"/>
            </w:tcBorders>
          </w:tcPr>
          <w:p>
            <w:pPr>
              <w:spacing w:after="0"/>
              <w:rPr>
                <w:sz w:val="19"/>
                <w:szCs w:val="19"/>
                <w:color w:val="auto"/>
              </w:rPr>
            </w:pPr>
          </w:p>
        </w:tc>
        <w:tc>
          <w:tcPr>
            <w:tcW w:w="830" w:type="dxa"/>
            <w:vAlign w:val="bottom"/>
            <w:tcBorders>
              <w:top w:val="single" w:sz="8" w:color="E9F1FB"/>
              <w:bottom w:val="single" w:sz="8" w:color="EFF8FA"/>
            </w:tcBorders>
            <w:shd w:val="clear" w:color="auto" w:fill="EFF8FA"/>
          </w:tcPr>
          <w:p>
            <w:pPr>
              <w:spacing w:after="0"/>
              <w:rPr>
                <w:sz w:val="19"/>
                <w:szCs w:val="19"/>
                <w:color w:val="auto"/>
              </w:rPr>
            </w:pPr>
          </w:p>
        </w:tc>
        <w:tc>
          <w:tcPr>
            <w:tcW w:w="1050" w:type="dxa"/>
            <w:vAlign w:val="bottom"/>
            <w:tcBorders>
              <w:top w:val="single" w:sz="8" w:color="E9F1FB"/>
              <w:bottom w:val="single" w:sz="8" w:color="EFF8FA"/>
            </w:tcBorders>
            <w:shd w:val="clear" w:color="auto" w:fill="EFF8FA"/>
          </w:tcPr>
          <w:p>
            <w:pPr>
              <w:spacing w:after="0"/>
              <w:rPr>
                <w:sz w:val="19"/>
                <w:szCs w:val="19"/>
                <w:color w:val="auto"/>
              </w:rPr>
            </w:pPr>
          </w:p>
        </w:tc>
        <w:tc>
          <w:tcPr>
            <w:tcW w:w="1180" w:type="dxa"/>
            <w:vAlign w:val="bottom"/>
            <w:tcBorders>
              <w:top w:val="single" w:sz="8" w:color="E9F1FB"/>
              <w:bottom w:val="single" w:sz="8" w:color="EFF8FA"/>
            </w:tcBorders>
            <w:shd w:val="clear" w:color="auto" w:fill="EFF8FA"/>
          </w:tcPr>
          <w:p>
            <w:pPr>
              <w:spacing w:after="0"/>
              <w:rPr>
                <w:sz w:val="19"/>
                <w:szCs w:val="19"/>
                <w:color w:val="auto"/>
              </w:rPr>
            </w:pPr>
          </w:p>
        </w:tc>
        <w:tc>
          <w:tcPr>
            <w:tcW w:w="560" w:type="dxa"/>
            <w:vAlign w:val="bottom"/>
            <w:tcBorders>
              <w:top w:val="single" w:sz="8" w:color="E9F1FB"/>
              <w:bottom w:val="single" w:sz="8" w:color="EFF8FA"/>
            </w:tcBorders>
            <w:shd w:val="clear" w:color="auto" w:fill="EFF8FA"/>
          </w:tcPr>
          <w:p>
            <w:pPr>
              <w:spacing w:after="0"/>
              <w:rPr>
                <w:sz w:val="19"/>
                <w:szCs w:val="19"/>
                <w:color w:val="auto"/>
              </w:rPr>
            </w:pPr>
          </w:p>
        </w:tc>
        <w:tc>
          <w:tcPr>
            <w:tcW w:w="100" w:type="dxa"/>
            <w:vAlign w:val="bottom"/>
            <w:tcBorders>
              <w:top w:val="single" w:sz="8" w:color="E9F1FB"/>
              <w:bottom w:val="single" w:sz="8" w:color="EFF8FA"/>
            </w:tcBorders>
            <w:shd w:val="clear" w:color="auto" w:fill="EFF8FA"/>
          </w:tcPr>
          <w:p>
            <w:pPr>
              <w:spacing w:after="0"/>
              <w:rPr>
                <w:sz w:val="19"/>
                <w:szCs w:val="19"/>
                <w:color w:val="auto"/>
              </w:rPr>
            </w:pPr>
          </w:p>
        </w:tc>
        <w:tc>
          <w:tcPr>
            <w:tcW w:w="780" w:type="dxa"/>
            <w:vAlign w:val="bottom"/>
            <w:tcBorders>
              <w:top w:val="single" w:sz="8" w:color="E9F1FB"/>
              <w:bottom w:val="single" w:sz="8" w:color="EFF8FA"/>
            </w:tcBorders>
            <w:shd w:val="clear" w:color="auto" w:fill="EFF8FA"/>
          </w:tcPr>
          <w:p>
            <w:pPr>
              <w:spacing w:after="0"/>
              <w:rPr>
                <w:sz w:val="19"/>
                <w:szCs w:val="19"/>
                <w:color w:val="auto"/>
              </w:rPr>
            </w:pPr>
          </w:p>
        </w:tc>
        <w:tc>
          <w:tcPr>
            <w:tcW w:w="960" w:type="dxa"/>
            <w:vAlign w:val="bottom"/>
            <w:tcBorders>
              <w:top w:val="single" w:sz="8" w:color="E9F1FB"/>
            </w:tcBorders>
            <w:gridSpan w:val="2"/>
          </w:tcPr>
          <w:p>
            <w:pPr>
              <w:jc w:val="right"/>
              <w:spacing w:after="0"/>
              <w:rPr>
                <w:sz w:val="20"/>
                <w:szCs w:val="20"/>
                <w:color w:val="auto"/>
              </w:rPr>
            </w:pPr>
            <w:r>
              <w:rPr>
                <w:rFonts w:ascii="Arial" w:cs="Arial" w:eastAsia="Arial" w:hAnsi="Arial"/>
                <w:sz w:val="13"/>
                <w:szCs w:val="13"/>
                <w:color w:val="auto"/>
              </w:rPr>
              <w:t>02/22/2018</w:t>
            </w:r>
          </w:p>
        </w:tc>
        <w:tc>
          <w:tcPr>
            <w:tcW w:w="800" w:type="dxa"/>
            <w:vAlign w:val="bottom"/>
            <w:tcBorders>
              <w:top w:val="single" w:sz="8" w:color="E9F1FB"/>
            </w:tcBorders>
          </w:tcPr>
          <w:p>
            <w:pPr>
              <w:spacing w:after="0"/>
              <w:rPr>
                <w:sz w:val="19"/>
                <w:szCs w:val="19"/>
                <w:color w:val="auto"/>
              </w:rPr>
            </w:pPr>
          </w:p>
        </w:tc>
        <w:tc>
          <w:tcPr>
            <w:tcW w:w="820" w:type="dxa"/>
            <w:vAlign w:val="bottom"/>
            <w:tcBorders>
              <w:top w:val="single" w:sz="8" w:color="E9F1FB"/>
            </w:tcBorders>
          </w:tcPr>
          <w:p>
            <w:pPr>
              <w:spacing w:after="0"/>
              <w:rPr>
                <w:sz w:val="19"/>
                <w:szCs w:val="19"/>
                <w:color w:val="auto"/>
              </w:rPr>
            </w:pPr>
          </w:p>
        </w:tc>
        <w:tc>
          <w:tcPr>
            <w:tcW w:w="800" w:type="dxa"/>
            <w:vAlign w:val="bottom"/>
            <w:tcBorders>
              <w:top w:val="single" w:sz="8" w:color="E9F1FB"/>
            </w:tcBorders>
          </w:tcPr>
          <w:p>
            <w:pPr>
              <w:jc w:val="right"/>
              <w:spacing w:after="0"/>
              <w:rPr>
                <w:sz w:val="20"/>
                <w:szCs w:val="20"/>
                <w:color w:val="auto"/>
              </w:rPr>
            </w:pPr>
            <w:r>
              <w:rPr>
                <w:rFonts w:ascii="Arial" w:cs="Arial" w:eastAsia="Arial" w:hAnsi="Arial"/>
                <w:sz w:val="13"/>
                <w:szCs w:val="13"/>
                <w:color w:val="auto"/>
              </w:rPr>
              <w:t>29,742</w:t>
            </w:r>
          </w:p>
        </w:tc>
        <w:tc>
          <w:tcPr>
            <w:tcW w:w="800" w:type="dxa"/>
            <w:vAlign w:val="bottom"/>
            <w:tcBorders>
              <w:top w:val="single" w:sz="8" w:color="E9F1FB"/>
            </w:tcBorders>
          </w:tcPr>
          <w:p>
            <w:pPr>
              <w:jc w:val="right"/>
              <w:spacing w:after="0"/>
              <w:rPr>
                <w:sz w:val="20"/>
                <w:szCs w:val="20"/>
                <w:color w:val="auto"/>
              </w:rPr>
            </w:pPr>
            <w:r>
              <w:rPr>
                <w:rFonts w:ascii="Arial" w:cs="Arial" w:eastAsia="Arial" w:hAnsi="Arial"/>
                <w:sz w:val="13"/>
                <w:szCs w:val="13"/>
                <w:color w:val="auto"/>
              </w:rPr>
              <w:t>2,457,581</w:t>
            </w:r>
          </w:p>
        </w:tc>
      </w:tr>
      <w:tr>
        <w:trPr>
          <w:trHeight w:val="223"/>
        </w:trPr>
        <w:tc>
          <w:tcPr>
            <w:tcW w:w="2740" w:type="dxa"/>
            <w:vAlign w:val="bottom"/>
            <w:tcBorders>
              <w:top w:val="single" w:sz="8" w:color="E9F1FB"/>
            </w:tcBorders>
            <w:gridSpan w:val="2"/>
          </w:tcPr>
          <w:p>
            <w:pPr>
              <w:ind w:left="40"/>
              <w:spacing w:after="0"/>
              <w:rPr>
                <w:sz w:val="20"/>
                <w:szCs w:val="20"/>
                <w:color w:val="auto"/>
              </w:rPr>
            </w:pPr>
            <w:r>
              <w:rPr>
                <w:rFonts w:ascii="Arial" w:cs="Arial" w:eastAsia="Arial" w:hAnsi="Arial"/>
                <w:sz w:val="13"/>
                <w:szCs w:val="13"/>
                <w:b w:val="1"/>
                <w:bCs w:val="1"/>
                <w:color w:val="105EAB"/>
              </w:rPr>
              <w:t>Mr. Shapiro</w:t>
            </w:r>
          </w:p>
        </w:tc>
        <w:tc>
          <w:tcPr>
            <w:tcW w:w="830" w:type="dxa"/>
            <w:vAlign w:val="bottom"/>
            <w:tcBorders>
              <w:top w:val="single" w:sz="8" w:color="E9F1FB"/>
              <w:bottom w:val="single" w:sz="8" w:color="EFF8FA"/>
            </w:tcBorders>
            <w:shd w:val="clear" w:color="auto" w:fill="EFF8FA"/>
          </w:tcPr>
          <w:p>
            <w:pPr>
              <w:jc w:val="right"/>
              <w:spacing w:after="0"/>
              <w:rPr>
                <w:sz w:val="20"/>
                <w:szCs w:val="20"/>
                <w:color w:val="auto"/>
              </w:rPr>
            </w:pPr>
            <w:r>
              <w:rPr>
                <w:rFonts w:ascii="Arial" w:cs="Arial" w:eastAsia="Arial" w:hAnsi="Arial"/>
                <w:sz w:val="13"/>
                <w:szCs w:val="13"/>
                <w:color w:val="auto"/>
              </w:rPr>
              <w:t>04/05/2016</w:t>
            </w:r>
          </w:p>
        </w:tc>
        <w:tc>
          <w:tcPr>
            <w:tcW w:w="1050" w:type="dxa"/>
            <w:vAlign w:val="bottom"/>
            <w:tcBorders>
              <w:top w:val="single" w:sz="8" w:color="E9F1FB"/>
              <w:bottom w:val="single" w:sz="8" w:color="EFF8FA"/>
            </w:tcBorders>
            <w:shd w:val="clear" w:color="auto" w:fill="EFF8FA"/>
          </w:tcPr>
          <w:p>
            <w:pPr>
              <w:jc w:val="right"/>
              <w:ind w:right="33"/>
              <w:spacing w:after="0"/>
              <w:rPr>
                <w:sz w:val="20"/>
                <w:szCs w:val="20"/>
                <w:color w:val="auto"/>
              </w:rPr>
            </w:pPr>
            <w:r>
              <w:rPr>
                <w:rFonts w:ascii="Arial" w:cs="Arial" w:eastAsia="Arial" w:hAnsi="Arial"/>
                <w:sz w:val="13"/>
                <w:szCs w:val="13"/>
                <w:color w:val="auto"/>
              </w:rPr>
              <w:t>0</w:t>
            </w:r>
          </w:p>
        </w:tc>
        <w:tc>
          <w:tcPr>
            <w:tcW w:w="1180" w:type="dxa"/>
            <w:vAlign w:val="bottom"/>
            <w:tcBorders>
              <w:top w:val="single" w:sz="8" w:color="E9F1FB"/>
              <w:bottom w:val="single" w:sz="8" w:color="EFF8FA"/>
            </w:tcBorders>
            <w:shd w:val="clear" w:color="auto" w:fill="EFF8FA"/>
          </w:tcPr>
          <w:p>
            <w:pPr>
              <w:jc w:val="right"/>
              <w:ind w:right="53"/>
              <w:spacing w:after="0"/>
              <w:rPr>
                <w:sz w:val="20"/>
                <w:szCs w:val="20"/>
                <w:color w:val="auto"/>
              </w:rPr>
            </w:pPr>
            <w:r>
              <w:rPr>
                <w:rFonts w:ascii="Arial" w:cs="Arial" w:eastAsia="Arial" w:hAnsi="Arial"/>
                <w:sz w:val="13"/>
                <w:szCs w:val="13"/>
                <w:color w:val="auto"/>
              </w:rPr>
              <w:t>12,269</w:t>
            </w:r>
          </w:p>
        </w:tc>
        <w:tc>
          <w:tcPr>
            <w:tcW w:w="560" w:type="dxa"/>
            <w:vAlign w:val="bottom"/>
            <w:tcBorders>
              <w:top w:val="single" w:sz="8" w:color="E9F1FB"/>
              <w:bottom w:val="single" w:sz="8" w:color="EFF8FA"/>
            </w:tcBorders>
            <w:shd w:val="clear" w:color="auto" w:fill="EFF8FA"/>
          </w:tcPr>
          <w:p>
            <w:pPr>
              <w:jc w:val="right"/>
              <w:spacing w:after="0"/>
              <w:rPr>
                <w:sz w:val="20"/>
                <w:szCs w:val="20"/>
                <w:color w:val="auto"/>
              </w:rPr>
            </w:pPr>
            <w:r>
              <w:rPr>
                <w:rFonts w:ascii="Arial" w:cs="Arial" w:eastAsia="Arial" w:hAnsi="Arial"/>
                <w:sz w:val="13"/>
                <w:szCs w:val="13"/>
                <w:color w:val="auto"/>
              </w:rPr>
              <w:t>66.70</w:t>
            </w:r>
          </w:p>
        </w:tc>
        <w:tc>
          <w:tcPr>
            <w:tcW w:w="100" w:type="dxa"/>
            <w:vAlign w:val="bottom"/>
            <w:tcBorders>
              <w:top w:val="single" w:sz="8" w:color="E9F1FB"/>
              <w:bottom w:val="single" w:sz="8" w:color="EFF8FA"/>
            </w:tcBorders>
            <w:shd w:val="clear" w:color="auto" w:fill="EFF8FA"/>
          </w:tcPr>
          <w:p>
            <w:pPr>
              <w:spacing w:after="0"/>
              <w:rPr>
                <w:sz w:val="19"/>
                <w:szCs w:val="19"/>
                <w:color w:val="auto"/>
              </w:rPr>
            </w:pPr>
          </w:p>
        </w:tc>
        <w:tc>
          <w:tcPr>
            <w:tcW w:w="780" w:type="dxa"/>
            <w:vAlign w:val="bottom"/>
            <w:tcBorders>
              <w:top w:val="single" w:sz="8" w:color="E9F1FB"/>
              <w:bottom w:val="single" w:sz="8" w:color="EFF8FA"/>
            </w:tcBorders>
            <w:shd w:val="clear" w:color="auto" w:fill="EFF8FA"/>
          </w:tcPr>
          <w:p>
            <w:pPr>
              <w:jc w:val="right"/>
              <w:ind w:right="13"/>
              <w:spacing w:after="0"/>
              <w:rPr>
                <w:sz w:val="20"/>
                <w:szCs w:val="20"/>
                <w:color w:val="auto"/>
              </w:rPr>
            </w:pPr>
            <w:r>
              <w:rPr>
                <w:rFonts w:ascii="Arial" w:cs="Arial" w:eastAsia="Arial" w:hAnsi="Arial"/>
                <w:sz w:val="13"/>
                <w:szCs w:val="13"/>
                <w:color w:val="auto"/>
              </w:rPr>
              <w:t>04/05/2026</w:t>
            </w:r>
          </w:p>
        </w:tc>
        <w:tc>
          <w:tcPr>
            <w:tcW w:w="80" w:type="dxa"/>
            <w:vAlign w:val="bottom"/>
            <w:tcBorders>
              <w:top w:val="single" w:sz="8" w:color="E9F1FB"/>
            </w:tcBorders>
          </w:tcPr>
          <w:p>
            <w:pPr>
              <w:spacing w:after="0"/>
              <w:rPr>
                <w:sz w:val="19"/>
                <w:szCs w:val="19"/>
                <w:color w:val="auto"/>
              </w:rPr>
            </w:pPr>
          </w:p>
        </w:tc>
        <w:tc>
          <w:tcPr>
            <w:tcW w:w="880" w:type="dxa"/>
            <w:vAlign w:val="bottom"/>
            <w:tcBorders>
              <w:top w:val="single" w:sz="8" w:color="E9F1FB"/>
            </w:tcBorders>
          </w:tcPr>
          <w:p>
            <w:pPr>
              <w:spacing w:after="0"/>
              <w:rPr>
                <w:sz w:val="19"/>
                <w:szCs w:val="19"/>
                <w:color w:val="auto"/>
              </w:rPr>
            </w:pPr>
          </w:p>
        </w:tc>
        <w:tc>
          <w:tcPr>
            <w:tcW w:w="800" w:type="dxa"/>
            <w:vAlign w:val="bottom"/>
            <w:tcBorders>
              <w:top w:val="single" w:sz="8" w:color="E9F1FB"/>
            </w:tcBorders>
          </w:tcPr>
          <w:p>
            <w:pPr>
              <w:spacing w:after="0"/>
              <w:rPr>
                <w:sz w:val="19"/>
                <w:szCs w:val="19"/>
                <w:color w:val="auto"/>
              </w:rPr>
            </w:pPr>
          </w:p>
        </w:tc>
        <w:tc>
          <w:tcPr>
            <w:tcW w:w="820" w:type="dxa"/>
            <w:vAlign w:val="bottom"/>
            <w:tcBorders>
              <w:top w:val="single" w:sz="8" w:color="E9F1FB"/>
            </w:tcBorders>
          </w:tcPr>
          <w:p>
            <w:pPr>
              <w:spacing w:after="0"/>
              <w:rPr>
                <w:sz w:val="19"/>
                <w:szCs w:val="19"/>
                <w:color w:val="auto"/>
              </w:rPr>
            </w:pPr>
          </w:p>
        </w:tc>
        <w:tc>
          <w:tcPr>
            <w:tcW w:w="800" w:type="dxa"/>
            <w:vAlign w:val="bottom"/>
            <w:tcBorders>
              <w:top w:val="single" w:sz="8" w:color="E9F1FB"/>
            </w:tcBorders>
          </w:tcPr>
          <w:p>
            <w:pPr>
              <w:spacing w:after="0"/>
              <w:rPr>
                <w:sz w:val="19"/>
                <w:szCs w:val="19"/>
                <w:color w:val="auto"/>
              </w:rPr>
            </w:pPr>
          </w:p>
        </w:tc>
        <w:tc>
          <w:tcPr>
            <w:tcW w:w="800" w:type="dxa"/>
            <w:vAlign w:val="bottom"/>
            <w:tcBorders>
              <w:top w:val="single" w:sz="8" w:color="E9F1FB"/>
            </w:tcBorders>
          </w:tcPr>
          <w:p>
            <w:pPr>
              <w:spacing w:after="0"/>
              <w:rPr>
                <w:sz w:val="19"/>
                <w:szCs w:val="19"/>
                <w:color w:val="auto"/>
              </w:rPr>
            </w:pPr>
          </w:p>
        </w:tc>
      </w:tr>
      <w:tr>
        <w:trPr>
          <w:trHeight w:val="223"/>
        </w:trPr>
        <w:tc>
          <w:tcPr>
            <w:tcW w:w="2660" w:type="dxa"/>
            <w:vAlign w:val="bottom"/>
          </w:tcPr>
          <w:p>
            <w:pPr>
              <w:spacing w:after="0"/>
              <w:rPr>
                <w:sz w:val="19"/>
                <w:szCs w:val="19"/>
                <w:color w:val="auto"/>
              </w:rPr>
            </w:pPr>
          </w:p>
        </w:tc>
        <w:tc>
          <w:tcPr>
            <w:tcW w:w="80" w:type="dxa"/>
            <w:vAlign w:val="bottom"/>
            <w:tcBorders>
              <w:top w:val="single" w:sz="8" w:color="E9F1FB"/>
            </w:tcBorders>
          </w:tcPr>
          <w:p>
            <w:pPr>
              <w:spacing w:after="0"/>
              <w:rPr>
                <w:sz w:val="19"/>
                <w:szCs w:val="19"/>
                <w:color w:val="auto"/>
              </w:rPr>
            </w:pPr>
          </w:p>
        </w:tc>
        <w:tc>
          <w:tcPr>
            <w:tcW w:w="830" w:type="dxa"/>
            <w:vAlign w:val="bottom"/>
            <w:tcBorders>
              <w:top w:val="single" w:sz="8" w:color="E9F1FB"/>
              <w:bottom w:val="single" w:sz="8" w:color="EFF8FA"/>
            </w:tcBorders>
            <w:shd w:val="clear" w:color="auto" w:fill="EFF8FA"/>
          </w:tcPr>
          <w:p>
            <w:pPr>
              <w:spacing w:after="0"/>
              <w:rPr>
                <w:sz w:val="19"/>
                <w:szCs w:val="19"/>
                <w:color w:val="auto"/>
              </w:rPr>
            </w:pPr>
          </w:p>
        </w:tc>
        <w:tc>
          <w:tcPr>
            <w:tcW w:w="1050" w:type="dxa"/>
            <w:vAlign w:val="bottom"/>
            <w:tcBorders>
              <w:top w:val="single" w:sz="8" w:color="E9F1FB"/>
              <w:bottom w:val="single" w:sz="8" w:color="EFF8FA"/>
            </w:tcBorders>
            <w:shd w:val="clear" w:color="auto" w:fill="EFF8FA"/>
          </w:tcPr>
          <w:p>
            <w:pPr>
              <w:spacing w:after="0"/>
              <w:rPr>
                <w:sz w:val="19"/>
                <w:szCs w:val="19"/>
                <w:color w:val="auto"/>
              </w:rPr>
            </w:pPr>
          </w:p>
        </w:tc>
        <w:tc>
          <w:tcPr>
            <w:tcW w:w="1180" w:type="dxa"/>
            <w:vAlign w:val="bottom"/>
            <w:tcBorders>
              <w:top w:val="single" w:sz="8" w:color="E9F1FB"/>
              <w:bottom w:val="single" w:sz="8" w:color="EFF8FA"/>
            </w:tcBorders>
            <w:shd w:val="clear" w:color="auto" w:fill="EFF8FA"/>
          </w:tcPr>
          <w:p>
            <w:pPr>
              <w:spacing w:after="0"/>
              <w:rPr>
                <w:sz w:val="19"/>
                <w:szCs w:val="19"/>
                <w:color w:val="auto"/>
              </w:rPr>
            </w:pPr>
          </w:p>
        </w:tc>
        <w:tc>
          <w:tcPr>
            <w:tcW w:w="560" w:type="dxa"/>
            <w:vAlign w:val="bottom"/>
            <w:tcBorders>
              <w:top w:val="single" w:sz="8" w:color="E9F1FB"/>
              <w:bottom w:val="single" w:sz="8" w:color="EFF8FA"/>
            </w:tcBorders>
            <w:shd w:val="clear" w:color="auto" w:fill="EFF8FA"/>
          </w:tcPr>
          <w:p>
            <w:pPr>
              <w:spacing w:after="0"/>
              <w:rPr>
                <w:sz w:val="19"/>
                <w:szCs w:val="19"/>
                <w:color w:val="auto"/>
              </w:rPr>
            </w:pPr>
          </w:p>
        </w:tc>
        <w:tc>
          <w:tcPr>
            <w:tcW w:w="100" w:type="dxa"/>
            <w:vAlign w:val="bottom"/>
            <w:tcBorders>
              <w:top w:val="single" w:sz="8" w:color="E9F1FB"/>
              <w:bottom w:val="single" w:sz="8" w:color="EFF8FA"/>
            </w:tcBorders>
            <w:shd w:val="clear" w:color="auto" w:fill="EFF8FA"/>
          </w:tcPr>
          <w:p>
            <w:pPr>
              <w:spacing w:after="0"/>
              <w:rPr>
                <w:sz w:val="19"/>
                <w:szCs w:val="19"/>
                <w:color w:val="auto"/>
              </w:rPr>
            </w:pPr>
          </w:p>
        </w:tc>
        <w:tc>
          <w:tcPr>
            <w:tcW w:w="780" w:type="dxa"/>
            <w:vAlign w:val="bottom"/>
            <w:tcBorders>
              <w:top w:val="single" w:sz="8" w:color="E9F1FB"/>
              <w:bottom w:val="single" w:sz="8" w:color="EFF8FA"/>
            </w:tcBorders>
            <w:shd w:val="clear" w:color="auto" w:fill="EFF8FA"/>
          </w:tcPr>
          <w:p>
            <w:pPr>
              <w:spacing w:after="0"/>
              <w:rPr>
                <w:sz w:val="19"/>
                <w:szCs w:val="19"/>
                <w:color w:val="auto"/>
              </w:rPr>
            </w:pPr>
          </w:p>
        </w:tc>
        <w:tc>
          <w:tcPr>
            <w:tcW w:w="960" w:type="dxa"/>
            <w:vAlign w:val="bottom"/>
            <w:tcBorders>
              <w:top w:val="single" w:sz="8" w:color="E9F1FB"/>
            </w:tcBorders>
            <w:gridSpan w:val="2"/>
          </w:tcPr>
          <w:p>
            <w:pPr>
              <w:jc w:val="right"/>
              <w:spacing w:after="0"/>
              <w:rPr>
                <w:sz w:val="20"/>
                <w:szCs w:val="20"/>
                <w:color w:val="auto"/>
              </w:rPr>
            </w:pPr>
            <w:r>
              <w:rPr>
                <w:rFonts w:ascii="Arial" w:cs="Arial" w:eastAsia="Arial" w:hAnsi="Arial"/>
                <w:sz w:val="13"/>
                <w:szCs w:val="13"/>
                <w:color w:val="auto"/>
              </w:rPr>
              <w:t>04/05/2016</w:t>
            </w:r>
          </w:p>
        </w:tc>
        <w:tc>
          <w:tcPr>
            <w:tcW w:w="800" w:type="dxa"/>
            <w:vAlign w:val="bottom"/>
            <w:tcBorders>
              <w:top w:val="single" w:sz="8" w:color="E9F1FB"/>
            </w:tcBorders>
          </w:tcPr>
          <w:p>
            <w:pPr>
              <w:jc w:val="right"/>
              <w:spacing w:after="0"/>
              <w:rPr>
                <w:sz w:val="20"/>
                <w:szCs w:val="20"/>
                <w:color w:val="auto"/>
              </w:rPr>
            </w:pPr>
            <w:r>
              <w:rPr>
                <w:rFonts w:ascii="Arial" w:cs="Arial" w:eastAsia="Arial" w:hAnsi="Arial"/>
                <w:sz w:val="13"/>
                <w:szCs w:val="13"/>
                <w:color w:val="auto"/>
              </w:rPr>
              <w:t>9,176</w:t>
            </w:r>
          </w:p>
        </w:tc>
        <w:tc>
          <w:tcPr>
            <w:tcW w:w="820" w:type="dxa"/>
            <w:vAlign w:val="bottom"/>
            <w:tcBorders>
              <w:top w:val="single" w:sz="8" w:color="E9F1FB"/>
            </w:tcBorders>
          </w:tcPr>
          <w:p>
            <w:pPr>
              <w:jc w:val="right"/>
              <w:spacing w:after="0"/>
              <w:rPr>
                <w:sz w:val="20"/>
                <w:szCs w:val="20"/>
                <w:color w:val="auto"/>
              </w:rPr>
            </w:pPr>
            <w:r>
              <w:rPr>
                <w:rFonts w:ascii="Arial" w:cs="Arial" w:eastAsia="Arial" w:hAnsi="Arial"/>
                <w:sz w:val="13"/>
                <w:szCs w:val="13"/>
                <w:color w:val="auto"/>
              </w:rPr>
              <w:t>758,213</w:t>
            </w:r>
          </w:p>
        </w:tc>
        <w:tc>
          <w:tcPr>
            <w:tcW w:w="800" w:type="dxa"/>
            <w:vAlign w:val="bottom"/>
            <w:tcBorders>
              <w:top w:val="single" w:sz="8" w:color="E9F1FB"/>
            </w:tcBorders>
          </w:tcPr>
          <w:p>
            <w:pPr>
              <w:spacing w:after="0"/>
              <w:rPr>
                <w:sz w:val="19"/>
                <w:szCs w:val="19"/>
                <w:color w:val="auto"/>
              </w:rPr>
            </w:pPr>
          </w:p>
        </w:tc>
        <w:tc>
          <w:tcPr>
            <w:tcW w:w="800" w:type="dxa"/>
            <w:vAlign w:val="bottom"/>
            <w:tcBorders>
              <w:top w:val="single" w:sz="8" w:color="E9F1FB"/>
            </w:tcBorders>
          </w:tcPr>
          <w:p>
            <w:pPr>
              <w:spacing w:after="0"/>
              <w:rPr>
                <w:sz w:val="19"/>
                <w:szCs w:val="19"/>
                <w:color w:val="auto"/>
              </w:rPr>
            </w:pPr>
          </w:p>
        </w:tc>
      </w:tr>
      <w:tr>
        <w:trPr>
          <w:trHeight w:val="223"/>
        </w:trPr>
        <w:tc>
          <w:tcPr>
            <w:tcW w:w="2660" w:type="dxa"/>
            <w:vAlign w:val="bottom"/>
          </w:tcPr>
          <w:p>
            <w:pPr>
              <w:spacing w:after="0"/>
              <w:rPr>
                <w:sz w:val="19"/>
                <w:szCs w:val="19"/>
                <w:color w:val="auto"/>
              </w:rPr>
            </w:pPr>
          </w:p>
        </w:tc>
        <w:tc>
          <w:tcPr>
            <w:tcW w:w="80" w:type="dxa"/>
            <w:vAlign w:val="bottom"/>
            <w:tcBorders>
              <w:top w:val="single" w:sz="8" w:color="E9F1FB"/>
            </w:tcBorders>
          </w:tcPr>
          <w:p>
            <w:pPr>
              <w:spacing w:after="0"/>
              <w:rPr>
                <w:sz w:val="19"/>
                <w:szCs w:val="19"/>
                <w:color w:val="auto"/>
              </w:rPr>
            </w:pPr>
          </w:p>
        </w:tc>
        <w:tc>
          <w:tcPr>
            <w:tcW w:w="830" w:type="dxa"/>
            <w:vAlign w:val="bottom"/>
            <w:tcBorders>
              <w:top w:val="single" w:sz="8" w:color="E9F1FB"/>
              <w:bottom w:val="single" w:sz="8" w:color="EFF8FA"/>
            </w:tcBorders>
            <w:shd w:val="clear" w:color="auto" w:fill="EFF8FA"/>
          </w:tcPr>
          <w:p>
            <w:pPr>
              <w:jc w:val="right"/>
              <w:spacing w:after="0"/>
              <w:rPr>
                <w:sz w:val="20"/>
                <w:szCs w:val="20"/>
                <w:color w:val="auto"/>
              </w:rPr>
            </w:pPr>
            <w:r>
              <w:rPr>
                <w:rFonts w:ascii="Arial" w:cs="Arial" w:eastAsia="Arial" w:hAnsi="Arial"/>
                <w:sz w:val="13"/>
                <w:szCs w:val="13"/>
                <w:color w:val="auto"/>
              </w:rPr>
              <w:t>02/09/2017</w:t>
            </w:r>
          </w:p>
        </w:tc>
        <w:tc>
          <w:tcPr>
            <w:tcW w:w="1050" w:type="dxa"/>
            <w:vAlign w:val="bottom"/>
            <w:tcBorders>
              <w:top w:val="single" w:sz="8" w:color="E9F1FB"/>
              <w:bottom w:val="single" w:sz="8" w:color="EFF8FA"/>
            </w:tcBorders>
            <w:shd w:val="clear" w:color="auto" w:fill="EFF8FA"/>
          </w:tcPr>
          <w:p>
            <w:pPr>
              <w:jc w:val="right"/>
              <w:ind w:right="33"/>
              <w:spacing w:after="0"/>
              <w:rPr>
                <w:sz w:val="20"/>
                <w:szCs w:val="20"/>
                <w:color w:val="auto"/>
              </w:rPr>
            </w:pPr>
            <w:r>
              <w:rPr>
                <w:rFonts w:ascii="Arial" w:cs="Arial" w:eastAsia="Arial" w:hAnsi="Arial"/>
                <w:sz w:val="13"/>
                <w:szCs w:val="13"/>
                <w:color w:val="auto"/>
              </w:rPr>
              <w:t>0</w:t>
            </w:r>
          </w:p>
        </w:tc>
        <w:tc>
          <w:tcPr>
            <w:tcW w:w="1180" w:type="dxa"/>
            <w:vAlign w:val="bottom"/>
            <w:tcBorders>
              <w:top w:val="single" w:sz="8" w:color="E9F1FB"/>
              <w:bottom w:val="single" w:sz="8" w:color="EFF8FA"/>
            </w:tcBorders>
            <w:shd w:val="clear" w:color="auto" w:fill="EFF8FA"/>
          </w:tcPr>
          <w:p>
            <w:pPr>
              <w:jc w:val="right"/>
              <w:ind w:right="53"/>
              <w:spacing w:after="0"/>
              <w:rPr>
                <w:sz w:val="20"/>
                <w:szCs w:val="20"/>
                <w:color w:val="auto"/>
              </w:rPr>
            </w:pPr>
            <w:r>
              <w:rPr>
                <w:rFonts w:ascii="Arial" w:cs="Arial" w:eastAsia="Arial" w:hAnsi="Arial"/>
                <w:sz w:val="13"/>
                <w:szCs w:val="13"/>
                <w:color w:val="auto"/>
              </w:rPr>
              <w:t>28,756</w:t>
            </w:r>
          </w:p>
        </w:tc>
        <w:tc>
          <w:tcPr>
            <w:tcW w:w="560" w:type="dxa"/>
            <w:vAlign w:val="bottom"/>
            <w:tcBorders>
              <w:top w:val="single" w:sz="8" w:color="E9F1FB"/>
              <w:bottom w:val="single" w:sz="8" w:color="EFF8FA"/>
            </w:tcBorders>
            <w:shd w:val="clear" w:color="auto" w:fill="EFF8FA"/>
          </w:tcPr>
          <w:p>
            <w:pPr>
              <w:jc w:val="right"/>
              <w:spacing w:after="0"/>
              <w:rPr>
                <w:sz w:val="20"/>
                <w:szCs w:val="20"/>
                <w:color w:val="auto"/>
              </w:rPr>
            </w:pPr>
            <w:r>
              <w:rPr>
                <w:rFonts w:ascii="Arial" w:cs="Arial" w:eastAsia="Arial" w:hAnsi="Arial"/>
                <w:sz w:val="13"/>
                <w:szCs w:val="13"/>
                <w:color w:val="auto"/>
              </w:rPr>
              <w:t>78.35</w:t>
            </w:r>
          </w:p>
        </w:tc>
        <w:tc>
          <w:tcPr>
            <w:tcW w:w="100" w:type="dxa"/>
            <w:vAlign w:val="bottom"/>
            <w:tcBorders>
              <w:top w:val="single" w:sz="8" w:color="E9F1FB"/>
              <w:bottom w:val="single" w:sz="8" w:color="EFF8FA"/>
            </w:tcBorders>
            <w:shd w:val="clear" w:color="auto" w:fill="EFF8FA"/>
          </w:tcPr>
          <w:p>
            <w:pPr>
              <w:spacing w:after="0"/>
              <w:rPr>
                <w:sz w:val="19"/>
                <w:szCs w:val="19"/>
                <w:color w:val="auto"/>
              </w:rPr>
            </w:pPr>
          </w:p>
        </w:tc>
        <w:tc>
          <w:tcPr>
            <w:tcW w:w="780" w:type="dxa"/>
            <w:vAlign w:val="bottom"/>
            <w:tcBorders>
              <w:top w:val="single" w:sz="8" w:color="E9F1FB"/>
              <w:bottom w:val="single" w:sz="8" w:color="EFF8FA"/>
            </w:tcBorders>
            <w:shd w:val="clear" w:color="auto" w:fill="EFF8FA"/>
          </w:tcPr>
          <w:p>
            <w:pPr>
              <w:jc w:val="right"/>
              <w:ind w:right="13"/>
              <w:spacing w:after="0"/>
              <w:rPr>
                <w:sz w:val="20"/>
                <w:szCs w:val="20"/>
                <w:color w:val="auto"/>
              </w:rPr>
            </w:pPr>
            <w:r>
              <w:rPr>
                <w:rFonts w:ascii="Arial" w:cs="Arial" w:eastAsia="Arial" w:hAnsi="Arial"/>
                <w:sz w:val="13"/>
                <w:szCs w:val="13"/>
                <w:color w:val="auto"/>
              </w:rPr>
              <w:t>02/09/2027</w:t>
            </w:r>
          </w:p>
        </w:tc>
        <w:tc>
          <w:tcPr>
            <w:tcW w:w="80" w:type="dxa"/>
            <w:vAlign w:val="bottom"/>
            <w:tcBorders>
              <w:top w:val="single" w:sz="8" w:color="E9F1FB"/>
            </w:tcBorders>
          </w:tcPr>
          <w:p>
            <w:pPr>
              <w:spacing w:after="0"/>
              <w:rPr>
                <w:sz w:val="19"/>
                <w:szCs w:val="19"/>
                <w:color w:val="auto"/>
              </w:rPr>
            </w:pPr>
          </w:p>
        </w:tc>
        <w:tc>
          <w:tcPr>
            <w:tcW w:w="880" w:type="dxa"/>
            <w:vAlign w:val="bottom"/>
            <w:tcBorders>
              <w:top w:val="single" w:sz="8" w:color="E9F1FB"/>
            </w:tcBorders>
          </w:tcPr>
          <w:p>
            <w:pPr>
              <w:spacing w:after="0"/>
              <w:rPr>
                <w:sz w:val="19"/>
                <w:szCs w:val="19"/>
                <w:color w:val="auto"/>
              </w:rPr>
            </w:pPr>
          </w:p>
        </w:tc>
        <w:tc>
          <w:tcPr>
            <w:tcW w:w="800" w:type="dxa"/>
            <w:vAlign w:val="bottom"/>
            <w:tcBorders>
              <w:top w:val="single" w:sz="8" w:color="E9F1FB"/>
            </w:tcBorders>
          </w:tcPr>
          <w:p>
            <w:pPr>
              <w:spacing w:after="0"/>
              <w:rPr>
                <w:sz w:val="19"/>
                <w:szCs w:val="19"/>
                <w:color w:val="auto"/>
              </w:rPr>
            </w:pPr>
          </w:p>
        </w:tc>
        <w:tc>
          <w:tcPr>
            <w:tcW w:w="820" w:type="dxa"/>
            <w:vAlign w:val="bottom"/>
            <w:tcBorders>
              <w:top w:val="single" w:sz="8" w:color="E9F1FB"/>
            </w:tcBorders>
          </w:tcPr>
          <w:p>
            <w:pPr>
              <w:spacing w:after="0"/>
              <w:rPr>
                <w:sz w:val="19"/>
                <w:szCs w:val="19"/>
                <w:color w:val="auto"/>
              </w:rPr>
            </w:pPr>
          </w:p>
        </w:tc>
        <w:tc>
          <w:tcPr>
            <w:tcW w:w="800" w:type="dxa"/>
            <w:vAlign w:val="bottom"/>
            <w:tcBorders>
              <w:top w:val="single" w:sz="8" w:color="E9F1FB"/>
            </w:tcBorders>
          </w:tcPr>
          <w:p>
            <w:pPr>
              <w:spacing w:after="0"/>
              <w:rPr>
                <w:sz w:val="19"/>
                <w:szCs w:val="19"/>
                <w:color w:val="auto"/>
              </w:rPr>
            </w:pPr>
          </w:p>
        </w:tc>
        <w:tc>
          <w:tcPr>
            <w:tcW w:w="800" w:type="dxa"/>
            <w:vAlign w:val="bottom"/>
            <w:tcBorders>
              <w:top w:val="single" w:sz="8" w:color="E9F1FB"/>
            </w:tcBorders>
          </w:tcPr>
          <w:p>
            <w:pPr>
              <w:spacing w:after="0"/>
              <w:rPr>
                <w:sz w:val="19"/>
                <w:szCs w:val="19"/>
                <w:color w:val="auto"/>
              </w:rPr>
            </w:pPr>
          </w:p>
        </w:tc>
      </w:tr>
      <w:tr>
        <w:trPr>
          <w:trHeight w:val="223"/>
        </w:trPr>
        <w:tc>
          <w:tcPr>
            <w:tcW w:w="2660" w:type="dxa"/>
            <w:vAlign w:val="bottom"/>
          </w:tcPr>
          <w:p>
            <w:pPr>
              <w:spacing w:after="0"/>
              <w:rPr>
                <w:sz w:val="19"/>
                <w:szCs w:val="19"/>
                <w:color w:val="auto"/>
              </w:rPr>
            </w:pPr>
          </w:p>
        </w:tc>
        <w:tc>
          <w:tcPr>
            <w:tcW w:w="80" w:type="dxa"/>
            <w:vAlign w:val="bottom"/>
            <w:tcBorders>
              <w:top w:val="single" w:sz="8" w:color="E9F1FB"/>
            </w:tcBorders>
          </w:tcPr>
          <w:p>
            <w:pPr>
              <w:spacing w:after="0"/>
              <w:rPr>
                <w:sz w:val="19"/>
                <w:szCs w:val="19"/>
                <w:color w:val="auto"/>
              </w:rPr>
            </w:pPr>
          </w:p>
        </w:tc>
        <w:tc>
          <w:tcPr>
            <w:tcW w:w="830" w:type="dxa"/>
            <w:vAlign w:val="bottom"/>
            <w:tcBorders>
              <w:top w:val="single" w:sz="8" w:color="E9F1FB"/>
              <w:bottom w:val="single" w:sz="8" w:color="EFF8FA"/>
            </w:tcBorders>
            <w:shd w:val="clear" w:color="auto" w:fill="EFF8FA"/>
          </w:tcPr>
          <w:p>
            <w:pPr>
              <w:spacing w:after="0"/>
              <w:rPr>
                <w:sz w:val="19"/>
                <w:szCs w:val="19"/>
                <w:color w:val="auto"/>
              </w:rPr>
            </w:pPr>
          </w:p>
        </w:tc>
        <w:tc>
          <w:tcPr>
            <w:tcW w:w="1050" w:type="dxa"/>
            <w:vAlign w:val="bottom"/>
            <w:tcBorders>
              <w:top w:val="single" w:sz="8" w:color="E9F1FB"/>
              <w:bottom w:val="single" w:sz="8" w:color="EFF8FA"/>
            </w:tcBorders>
            <w:shd w:val="clear" w:color="auto" w:fill="EFF8FA"/>
          </w:tcPr>
          <w:p>
            <w:pPr>
              <w:spacing w:after="0"/>
              <w:rPr>
                <w:sz w:val="19"/>
                <w:szCs w:val="19"/>
                <w:color w:val="auto"/>
              </w:rPr>
            </w:pPr>
          </w:p>
        </w:tc>
        <w:tc>
          <w:tcPr>
            <w:tcW w:w="1180" w:type="dxa"/>
            <w:vAlign w:val="bottom"/>
            <w:tcBorders>
              <w:top w:val="single" w:sz="8" w:color="E9F1FB"/>
              <w:bottom w:val="single" w:sz="8" w:color="EFF8FA"/>
            </w:tcBorders>
            <w:shd w:val="clear" w:color="auto" w:fill="EFF8FA"/>
          </w:tcPr>
          <w:p>
            <w:pPr>
              <w:spacing w:after="0"/>
              <w:rPr>
                <w:sz w:val="19"/>
                <w:szCs w:val="19"/>
                <w:color w:val="auto"/>
              </w:rPr>
            </w:pPr>
          </w:p>
        </w:tc>
        <w:tc>
          <w:tcPr>
            <w:tcW w:w="560" w:type="dxa"/>
            <w:vAlign w:val="bottom"/>
            <w:tcBorders>
              <w:top w:val="single" w:sz="8" w:color="E9F1FB"/>
              <w:bottom w:val="single" w:sz="8" w:color="EFF8FA"/>
            </w:tcBorders>
            <w:shd w:val="clear" w:color="auto" w:fill="EFF8FA"/>
          </w:tcPr>
          <w:p>
            <w:pPr>
              <w:spacing w:after="0"/>
              <w:rPr>
                <w:sz w:val="19"/>
                <w:szCs w:val="19"/>
                <w:color w:val="auto"/>
              </w:rPr>
            </w:pPr>
          </w:p>
        </w:tc>
        <w:tc>
          <w:tcPr>
            <w:tcW w:w="100" w:type="dxa"/>
            <w:vAlign w:val="bottom"/>
            <w:tcBorders>
              <w:top w:val="single" w:sz="8" w:color="E9F1FB"/>
              <w:bottom w:val="single" w:sz="8" w:color="EFF8FA"/>
            </w:tcBorders>
            <w:shd w:val="clear" w:color="auto" w:fill="EFF8FA"/>
          </w:tcPr>
          <w:p>
            <w:pPr>
              <w:spacing w:after="0"/>
              <w:rPr>
                <w:sz w:val="19"/>
                <w:szCs w:val="19"/>
                <w:color w:val="auto"/>
              </w:rPr>
            </w:pPr>
          </w:p>
        </w:tc>
        <w:tc>
          <w:tcPr>
            <w:tcW w:w="780" w:type="dxa"/>
            <w:vAlign w:val="bottom"/>
            <w:tcBorders>
              <w:top w:val="single" w:sz="8" w:color="E9F1FB"/>
              <w:bottom w:val="single" w:sz="8" w:color="EFF8FA"/>
            </w:tcBorders>
            <w:shd w:val="clear" w:color="auto" w:fill="EFF8FA"/>
          </w:tcPr>
          <w:p>
            <w:pPr>
              <w:spacing w:after="0"/>
              <w:rPr>
                <w:sz w:val="19"/>
                <w:szCs w:val="19"/>
                <w:color w:val="auto"/>
              </w:rPr>
            </w:pPr>
          </w:p>
        </w:tc>
        <w:tc>
          <w:tcPr>
            <w:tcW w:w="960" w:type="dxa"/>
            <w:vAlign w:val="bottom"/>
            <w:tcBorders>
              <w:top w:val="single" w:sz="8" w:color="E9F1FB"/>
            </w:tcBorders>
            <w:gridSpan w:val="2"/>
          </w:tcPr>
          <w:p>
            <w:pPr>
              <w:jc w:val="right"/>
              <w:spacing w:after="0"/>
              <w:rPr>
                <w:sz w:val="20"/>
                <w:szCs w:val="20"/>
                <w:color w:val="auto"/>
              </w:rPr>
            </w:pPr>
            <w:r>
              <w:rPr>
                <w:rFonts w:ascii="Arial" w:cs="Arial" w:eastAsia="Arial" w:hAnsi="Arial"/>
                <w:sz w:val="13"/>
                <w:szCs w:val="13"/>
                <w:color w:val="auto"/>
              </w:rPr>
              <w:t>02/09/2017</w:t>
            </w:r>
          </w:p>
        </w:tc>
        <w:tc>
          <w:tcPr>
            <w:tcW w:w="800" w:type="dxa"/>
            <w:vAlign w:val="bottom"/>
            <w:tcBorders>
              <w:top w:val="single" w:sz="8" w:color="E9F1FB"/>
            </w:tcBorders>
          </w:tcPr>
          <w:p>
            <w:pPr>
              <w:spacing w:after="0"/>
              <w:rPr>
                <w:sz w:val="19"/>
                <w:szCs w:val="19"/>
                <w:color w:val="auto"/>
              </w:rPr>
            </w:pPr>
          </w:p>
        </w:tc>
        <w:tc>
          <w:tcPr>
            <w:tcW w:w="820" w:type="dxa"/>
            <w:vAlign w:val="bottom"/>
            <w:tcBorders>
              <w:top w:val="single" w:sz="8" w:color="E9F1FB"/>
            </w:tcBorders>
          </w:tcPr>
          <w:p>
            <w:pPr>
              <w:spacing w:after="0"/>
              <w:rPr>
                <w:sz w:val="19"/>
                <w:szCs w:val="19"/>
                <w:color w:val="auto"/>
              </w:rPr>
            </w:pPr>
          </w:p>
        </w:tc>
        <w:tc>
          <w:tcPr>
            <w:tcW w:w="800" w:type="dxa"/>
            <w:vAlign w:val="bottom"/>
            <w:tcBorders>
              <w:top w:val="single" w:sz="8" w:color="E9F1FB"/>
            </w:tcBorders>
          </w:tcPr>
          <w:p>
            <w:pPr>
              <w:jc w:val="right"/>
              <w:spacing w:after="0"/>
              <w:rPr>
                <w:sz w:val="20"/>
                <w:szCs w:val="20"/>
                <w:color w:val="auto"/>
              </w:rPr>
            </w:pPr>
            <w:r>
              <w:rPr>
                <w:rFonts w:ascii="Arial" w:cs="Arial" w:eastAsia="Arial" w:hAnsi="Arial"/>
                <w:sz w:val="13"/>
                <w:szCs w:val="13"/>
                <w:color w:val="auto"/>
              </w:rPr>
              <w:t>23,932</w:t>
            </w:r>
          </w:p>
        </w:tc>
        <w:tc>
          <w:tcPr>
            <w:tcW w:w="800" w:type="dxa"/>
            <w:vAlign w:val="bottom"/>
            <w:tcBorders>
              <w:top w:val="single" w:sz="8" w:color="E9F1FB"/>
            </w:tcBorders>
          </w:tcPr>
          <w:p>
            <w:pPr>
              <w:jc w:val="right"/>
              <w:spacing w:after="0"/>
              <w:rPr>
                <w:sz w:val="20"/>
                <w:szCs w:val="20"/>
                <w:color w:val="auto"/>
              </w:rPr>
            </w:pPr>
            <w:r>
              <w:rPr>
                <w:rFonts w:ascii="Arial" w:cs="Arial" w:eastAsia="Arial" w:hAnsi="Arial"/>
                <w:sz w:val="13"/>
                <w:szCs w:val="13"/>
                <w:color w:val="auto"/>
              </w:rPr>
              <w:t>1,977,501</w:t>
            </w:r>
          </w:p>
        </w:tc>
      </w:tr>
      <w:tr>
        <w:trPr>
          <w:trHeight w:val="223"/>
        </w:trPr>
        <w:tc>
          <w:tcPr>
            <w:tcW w:w="2660" w:type="dxa"/>
            <w:vAlign w:val="bottom"/>
          </w:tcPr>
          <w:p>
            <w:pPr>
              <w:spacing w:after="0"/>
              <w:rPr>
                <w:sz w:val="19"/>
                <w:szCs w:val="19"/>
                <w:color w:val="auto"/>
              </w:rPr>
            </w:pPr>
          </w:p>
        </w:tc>
        <w:tc>
          <w:tcPr>
            <w:tcW w:w="80" w:type="dxa"/>
            <w:vAlign w:val="bottom"/>
            <w:tcBorders>
              <w:top w:val="single" w:sz="8" w:color="E9F1FB"/>
            </w:tcBorders>
          </w:tcPr>
          <w:p>
            <w:pPr>
              <w:spacing w:after="0"/>
              <w:rPr>
                <w:sz w:val="19"/>
                <w:szCs w:val="19"/>
                <w:color w:val="auto"/>
              </w:rPr>
            </w:pPr>
          </w:p>
        </w:tc>
        <w:tc>
          <w:tcPr>
            <w:tcW w:w="830" w:type="dxa"/>
            <w:vAlign w:val="bottom"/>
            <w:tcBorders>
              <w:top w:val="single" w:sz="8" w:color="E9F1FB"/>
              <w:bottom w:val="single" w:sz="8" w:color="EFF8FA"/>
            </w:tcBorders>
            <w:shd w:val="clear" w:color="auto" w:fill="EFF8FA"/>
          </w:tcPr>
          <w:p>
            <w:pPr>
              <w:jc w:val="right"/>
              <w:spacing w:after="0"/>
              <w:rPr>
                <w:sz w:val="20"/>
                <w:szCs w:val="20"/>
                <w:color w:val="auto"/>
              </w:rPr>
            </w:pPr>
            <w:r>
              <w:rPr>
                <w:rFonts w:ascii="Arial" w:cs="Arial" w:eastAsia="Arial" w:hAnsi="Arial"/>
                <w:sz w:val="13"/>
                <w:szCs w:val="13"/>
                <w:color w:val="auto"/>
              </w:rPr>
              <w:t>02/22/2018</w:t>
            </w:r>
          </w:p>
        </w:tc>
        <w:tc>
          <w:tcPr>
            <w:tcW w:w="1050" w:type="dxa"/>
            <w:vAlign w:val="bottom"/>
            <w:tcBorders>
              <w:top w:val="single" w:sz="8" w:color="E9F1FB"/>
              <w:bottom w:val="single" w:sz="8" w:color="EFF8FA"/>
            </w:tcBorders>
            <w:shd w:val="clear" w:color="auto" w:fill="EFF8FA"/>
          </w:tcPr>
          <w:p>
            <w:pPr>
              <w:jc w:val="right"/>
              <w:ind w:right="33"/>
              <w:spacing w:after="0"/>
              <w:rPr>
                <w:sz w:val="20"/>
                <w:szCs w:val="20"/>
                <w:color w:val="auto"/>
              </w:rPr>
            </w:pPr>
            <w:r>
              <w:rPr>
                <w:rFonts w:ascii="Arial" w:cs="Arial" w:eastAsia="Arial" w:hAnsi="Arial"/>
                <w:sz w:val="13"/>
                <w:szCs w:val="13"/>
                <w:color w:val="auto"/>
              </w:rPr>
              <w:t>0</w:t>
            </w:r>
          </w:p>
        </w:tc>
        <w:tc>
          <w:tcPr>
            <w:tcW w:w="1180" w:type="dxa"/>
            <w:vAlign w:val="bottom"/>
            <w:tcBorders>
              <w:top w:val="single" w:sz="8" w:color="E9F1FB"/>
              <w:bottom w:val="single" w:sz="8" w:color="EFF8FA"/>
            </w:tcBorders>
            <w:shd w:val="clear" w:color="auto" w:fill="EFF8FA"/>
          </w:tcPr>
          <w:p>
            <w:pPr>
              <w:jc w:val="right"/>
              <w:ind w:right="53"/>
              <w:spacing w:after="0"/>
              <w:rPr>
                <w:sz w:val="20"/>
                <w:szCs w:val="20"/>
                <w:color w:val="auto"/>
              </w:rPr>
            </w:pPr>
            <w:r>
              <w:rPr>
                <w:rFonts w:ascii="Arial" w:cs="Arial" w:eastAsia="Arial" w:hAnsi="Arial"/>
                <w:sz w:val="13"/>
                <w:szCs w:val="13"/>
                <w:color w:val="auto"/>
              </w:rPr>
              <w:t>57,218</w:t>
            </w:r>
          </w:p>
        </w:tc>
        <w:tc>
          <w:tcPr>
            <w:tcW w:w="560" w:type="dxa"/>
            <w:vAlign w:val="bottom"/>
            <w:tcBorders>
              <w:top w:val="single" w:sz="8" w:color="E9F1FB"/>
              <w:bottom w:val="single" w:sz="8" w:color="EFF8FA"/>
            </w:tcBorders>
            <w:shd w:val="clear" w:color="auto" w:fill="EFF8FA"/>
          </w:tcPr>
          <w:p>
            <w:pPr>
              <w:jc w:val="right"/>
              <w:spacing w:after="0"/>
              <w:rPr>
                <w:sz w:val="20"/>
                <w:szCs w:val="20"/>
                <w:color w:val="auto"/>
              </w:rPr>
            </w:pPr>
            <w:r>
              <w:rPr>
                <w:rFonts w:ascii="Arial" w:cs="Arial" w:eastAsia="Arial" w:hAnsi="Arial"/>
                <w:sz w:val="13"/>
                <w:szCs w:val="13"/>
                <w:color w:val="auto"/>
              </w:rPr>
              <w:t>92.80</w:t>
            </w:r>
          </w:p>
        </w:tc>
        <w:tc>
          <w:tcPr>
            <w:tcW w:w="100" w:type="dxa"/>
            <w:vAlign w:val="bottom"/>
            <w:tcBorders>
              <w:top w:val="single" w:sz="8" w:color="E9F1FB"/>
              <w:bottom w:val="single" w:sz="8" w:color="EFF8FA"/>
            </w:tcBorders>
            <w:shd w:val="clear" w:color="auto" w:fill="EFF8FA"/>
          </w:tcPr>
          <w:p>
            <w:pPr>
              <w:spacing w:after="0"/>
              <w:rPr>
                <w:sz w:val="19"/>
                <w:szCs w:val="19"/>
                <w:color w:val="auto"/>
              </w:rPr>
            </w:pPr>
          </w:p>
        </w:tc>
        <w:tc>
          <w:tcPr>
            <w:tcW w:w="780" w:type="dxa"/>
            <w:vAlign w:val="bottom"/>
            <w:tcBorders>
              <w:top w:val="single" w:sz="8" w:color="E9F1FB"/>
              <w:bottom w:val="single" w:sz="8" w:color="EFF8FA"/>
            </w:tcBorders>
            <w:shd w:val="clear" w:color="auto" w:fill="EFF8FA"/>
          </w:tcPr>
          <w:p>
            <w:pPr>
              <w:jc w:val="right"/>
              <w:ind w:right="13"/>
              <w:spacing w:after="0"/>
              <w:rPr>
                <w:sz w:val="20"/>
                <w:szCs w:val="20"/>
                <w:color w:val="auto"/>
              </w:rPr>
            </w:pPr>
            <w:r>
              <w:rPr>
                <w:rFonts w:ascii="Arial" w:cs="Arial" w:eastAsia="Arial" w:hAnsi="Arial"/>
                <w:sz w:val="13"/>
                <w:szCs w:val="13"/>
                <w:color w:val="auto"/>
              </w:rPr>
              <w:t>02/22/2028</w:t>
            </w:r>
          </w:p>
        </w:tc>
        <w:tc>
          <w:tcPr>
            <w:tcW w:w="80" w:type="dxa"/>
            <w:vAlign w:val="bottom"/>
            <w:tcBorders>
              <w:top w:val="single" w:sz="8" w:color="E9F1FB"/>
            </w:tcBorders>
          </w:tcPr>
          <w:p>
            <w:pPr>
              <w:spacing w:after="0"/>
              <w:rPr>
                <w:sz w:val="19"/>
                <w:szCs w:val="19"/>
                <w:color w:val="auto"/>
              </w:rPr>
            </w:pPr>
          </w:p>
        </w:tc>
        <w:tc>
          <w:tcPr>
            <w:tcW w:w="880" w:type="dxa"/>
            <w:vAlign w:val="bottom"/>
            <w:tcBorders>
              <w:top w:val="single" w:sz="8" w:color="E9F1FB"/>
            </w:tcBorders>
          </w:tcPr>
          <w:p>
            <w:pPr>
              <w:spacing w:after="0"/>
              <w:rPr>
                <w:sz w:val="19"/>
                <w:szCs w:val="19"/>
                <w:color w:val="auto"/>
              </w:rPr>
            </w:pPr>
          </w:p>
        </w:tc>
        <w:tc>
          <w:tcPr>
            <w:tcW w:w="800" w:type="dxa"/>
            <w:vAlign w:val="bottom"/>
            <w:tcBorders>
              <w:top w:val="single" w:sz="8" w:color="E9F1FB"/>
            </w:tcBorders>
          </w:tcPr>
          <w:p>
            <w:pPr>
              <w:spacing w:after="0"/>
              <w:rPr>
                <w:sz w:val="19"/>
                <w:szCs w:val="19"/>
                <w:color w:val="auto"/>
              </w:rPr>
            </w:pPr>
          </w:p>
        </w:tc>
        <w:tc>
          <w:tcPr>
            <w:tcW w:w="820" w:type="dxa"/>
            <w:vAlign w:val="bottom"/>
            <w:tcBorders>
              <w:top w:val="single" w:sz="8" w:color="E9F1FB"/>
            </w:tcBorders>
          </w:tcPr>
          <w:p>
            <w:pPr>
              <w:spacing w:after="0"/>
              <w:rPr>
                <w:sz w:val="19"/>
                <w:szCs w:val="19"/>
                <w:color w:val="auto"/>
              </w:rPr>
            </w:pPr>
          </w:p>
        </w:tc>
        <w:tc>
          <w:tcPr>
            <w:tcW w:w="800" w:type="dxa"/>
            <w:vAlign w:val="bottom"/>
            <w:tcBorders>
              <w:top w:val="single" w:sz="8" w:color="E9F1FB"/>
            </w:tcBorders>
          </w:tcPr>
          <w:p>
            <w:pPr>
              <w:spacing w:after="0"/>
              <w:rPr>
                <w:sz w:val="19"/>
                <w:szCs w:val="19"/>
                <w:color w:val="auto"/>
              </w:rPr>
            </w:pPr>
          </w:p>
        </w:tc>
        <w:tc>
          <w:tcPr>
            <w:tcW w:w="800" w:type="dxa"/>
            <w:vAlign w:val="bottom"/>
            <w:tcBorders>
              <w:top w:val="single" w:sz="8" w:color="E9F1FB"/>
            </w:tcBorders>
          </w:tcPr>
          <w:p>
            <w:pPr>
              <w:spacing w:after="0"/>
              <w:rPr>
                <w:sz w:val="19"/>
                <w:szCs w:val="19"/>
                <w:color w:val="auto"/>
              </w:rPr>
            </w:pPr>
          </w:p>
        </w:tc>
      </w:tr>
      <w:tr>
        <w:trPr>
          <w:trHeight w:val="223"/>
        </w:trPr>
        <w:tc>
          <w:tcPr>
            <w:tcW w:w="2660" w:type="dxa"/>
            <w:vAlign w:val="bottom"/>
          </w:tcPr>
          <w:p>
            <w:pPr>
              <w:spacing w:after="0"/>
              <w:rPr>
                <w:sz w:val="19"/>
                <w:szCs w:val="19"/>
                <w:color w:val="auto"/>
              </w:rPr>
            </w:pPr>
          </w:p>
        </w:tc>
        <w:tc>
          <w:tcPr>
            <w:tcW w:w="80" w:type="dxa"/>
            <w:vAlign w:val="bottom"/>
            <w:tcBorders>
              <w:top w:val="single" w:sz="8" w:color="E9F1FB"/>
            </w:tcBorders>
          </w:tcPr>
          <w:p>
            <w:pPr>
              <w:spacing w:after="0"/>
              <w:rPr>
                <w:sz w:val="19"/>
                <w:szCs w:val="19"/>
                <w:color w:val="auto"/>
              </w:rPr>
            </w:pPr>
          </w:p>
        </w:tc>
        <w:tc>
          <w:tcPr>
            <w:tcW w:w="830" w:type="dxa"/>
            <w:vAlign w:val="bottom"/>
            <w:tcBorders>
              <w:top w:val="single" w:sz="8" w:color="E9F1FB"/>
              <w:bottom w:val="single" w:sz="8" w:color="EFF8FA"/>
            </w:tcBorders>
            <w:shd w:val="clear" w:color="auto" w:fill="EFF8FA"/>
          </w:tcPr>
          <w:p>
            <w:pPr>
              <w:spacing w:after="0"/>
              <w:rPr>
                <w:sz w:val="19"/>
                <w:szCs w:val="19"/>
                <w:color w:val="auto"/>
              </w:rPr>
            </w:pPr>
          </w:p>
        </w:tc>
        <w:tc>
          <w:tcPr>
            <w:tcW w:w="1050" w:type="dxa"/>
            <w:vAlign w:val="bottom"/>
            <w:tcBorders>
              <w:top w:val="single" w:sz="8" w:color="E9F1FB"/>
              <w:bottom w:val="single" w:sz="8" w:color="EFF8FA"/>
            </w:tcBorders>
            <w:shd w:val="clear" w:color="auto" w:fill="EFF8FA"/>
          </w:tcPr>
          <w:p>
            <w:pPr>
              <w:spacing w:after="0"/>
              <w:rPr>
                <w:sz w:val="19"/>
                <w:szCs w:val="19"/>
                <w:color w:val="auto"/>
              </w:rPr>
            </w:pPr>
          </w:p>
        </w:tc>
        <w:tc>
          <w:tcPr>
            <w:tcW w:w="1180" w:type="dxa"/>
            <w:vAlign w:val="bottom"/>
            <w:tcBorders>
              <w:top w:val="single" w:sz="8" w:color="E9F1FB"/>
              <w:bottom w:val="single" w:sz="8" w:color="EFF8FA"/>
            </w:tcBorders>
            <w:shd w:val="clear" w:color="auto" w:fill="EFF8FA"/>
          </w:tcPr>
          <w:p>
            <w:pPr>
              <w:spacing w:after="0"/>
              <w:rPr>
                <w:sz w:val="19"/>
                <w:szCs w:val="19"/>
                <w:color w:val="auto"/>
              </w:rPr>
            </w:pPr>
          </w:p>
        </w:tc>
        <w:tc>
          <w:tcPr>
            <w:tcW w:w="560" w:type="dxa"/>
            <w:vAlign w:val="bottom"/>
            <w:tcBorders>
              <w:top w:val="single" w:sz="8" w:color="E9F1FB"/>
              <w:bottom w:val="single" w:sz="8" w:color="EFF8FA"/>
            </w:tcBorders>
            <w:shd w:val="clear" w:color="auto" w:fill="EFF8FA"/>
          </w:tcPr>
          <w:p>
            <w:pPr>
              <w:spacing w:after="0"/>
              <w:rPr>
                <w:sz w:val="19"/>
                <w:szCs w:val="19"/>
                <w:color w:val="auto"/>
              </w:rPr>
            </w:pPr>
          </w:p>
        </w:tc>
        <w:tc>
          <w:tcPr>
            <w:tcW w:w="100" w:type="dxa"/>
            <w:vAlign w:val="bottom"/>
            <w:tcBorders>
              <w:top w:val="single" w:sz="8" w:color="E9F1FB"/>
              <w:bottom w:val="single" w:sz="8" w:color="EFF8FA"/>
            </w:tcBorders>
            <w:shd w:val="clear" w:color="auto" w:fill="EFF8FA"/>
          </w:tcPr>
          <w:p>
            <w:pPr>
              <w:spacing w:after="0"/>
              <w:rPr>
                <w:sz w:val="19"/>
                <w:szCs w:val="19"/>
                <w:color w:val="auto"/>
              </w:rPr>
            </w:pPr>
          </w:p>
        </w:tc>
        <w:tc>
          <w:tcPr>
            <w:tcW w:w="780" w:type="dxa"/>
            <w:vAlign w:val="bottom"/>
            <w:tcBorders>
              <w:top w:val="single" w:sz="8" w:color="E9F1FB"/>
              <w:bottom w:val="single" w:sz="8" w:color="EFF8FA"/>
            </w:tcBorders>
            <w:shd w:val="clear" w:color="auto" w:fill="EFF8FA"/>
          </w:tcPr>
          <w:p>
            <w:pPr>
              <w:spacing w:after="0"/>
              <w:rPr>
                <w:sz w:val="19"/>
                <w:szCs w:val="19"/>
                <w:color w:val="auto"/>
              </w:rPr>
            </w:pPr>
          </w:p>
        </w:tc>
        <w:tc>
          <w:tcPr>
            <w:tcW w:w="960" w:type="dxa"/>
            <w:vAlign w:val="bottom"/>
            <w:tcBorders>
              <w:top w:val="single" w:sz="8" w:color="E9F1FB"/>
            </w:tcBorders>
            <w:gridSpan w:val="2"/>
          </w:tcPr>
          <w:p>
            <w:pPr>
              <w:jc w:val="right"/>
              <w:spacing w:after="0"/>
              <w:rPr>
                <w:sz w:val="20"/>
                <w:szCs w:val="20"/>
                <w:color w:val="auto"/>
              </w:rPr>
            </w:pPr>
            <w:r>
              <w:rPr>
                <w:rFonts w:ascii="Arial" w:cs="Arial" w:eastAsia="Arial" w:hAnsi="Arial"/>
                <w:sz w:val="13"/>
                <w:szCs w:val="13"/>
                <w:color w:val="auto"/>
              </w:rPr>
              <w:t>02/22/2018</w:t>
            </w:r>
          </w:p>
        </w:tc>
        <w:tc>
          <w:tcPr>
            <w:tcW w:w="800" w:type="dxa"/>
            <w:vAlign w:val="bottom"/>
            <w:tcBorders>
              <w:top w:val="single" w:sz="8" w:color="E9F1FB"/>
            </w:tcBorders>
          </w:tcPr>
          <w:p>
            <w:pPr>
              <w:spacing w:after="0"/>
              <w:rPr>
                <w:sz w:val="19"/>
                <w:szCs w:val="19"/>
                <w:color w:val="auto"/>
              </w:rPr>
            </w:pPr>
          </w:p>
        </w:tc>
        <w:tc>
          <w:tcPr>
            <w:tcW w:w="820" w:type="dxa"/>
            <w:vAlign w:val="bottom"/>
            <w:tcBorders>
              <w:top w:val="single" w:sz="8" w:color="E9F1FB"/>
            </w:tcBorders>
          </w:tcPr>
          <w:p>
            <w:pPr>
              <w:spacing w:after="0"/>
              <w:rPr>
                <w:sz w:val="19"/>
                <w:szCs w:val="19"/>
                <w:color w:val="auto"/>
              </w:rPr>
            </w:pPr>
          </w:p>
        </w:tc>
        <w:tc>
          <w:tcPr>
            <w:tcW w:w="800" w:type="dxa"/>
            <w:vAlign w:val="bottom"/>
            <w:tcBorders>
              <w:top w:val="single" w:sz="8" w:color="E9F1FB"/>
            </w:tcBorders>
          </w:tcPr>
          <w:p>
            <w:pPr>
              <w:jc w:val="right"/>
              <w:spacing w:after="0"/>
              <w:rPr>
                <w:sz w:val="20"/>
                <w:szCs w:val="20"/>
                <w:color w:val="auto"/>
              </w:rPr>
            </w:pPr>
            <w:r>
              <w:rPr>
                <w:rFonts w:ascii="Arial" w:cs="Arial" w:eastAsia="Arial" w:hAnsi="Arial"/>
                <w:sz w:val="13"/>
                <w:szCs w:val="13"/>
                <w:color w:val="auto"/>
              </w:rPr>
              <w:t>31,520</w:t>
            </w:r>
          </w:p>
        </w:tc>
        <w:tc>
          <w:tcPr>
            <w:tcW w:w="800" w:type="dxa"/>
            <w:vAlign w:val="bottom"/>
            <w:tcBorders>
              <w:top w:val="single" w:sz="8" w:color="E9F1FB"/>
            </w:tcBorders>
          </w:tcPr>
          <w:p>
            <w:pPr>
              <w:jc w:val="right"/>
              <w:spacing w:after="0"/>
              <w:rPr>
                <w:sz w:val="20"/>
                <w:szCs w:val="20"/>
                <w:color w:val="auto"/>
              </w:rPr>
            </w:pPr>
            <w:r>
              <w:rPr>
                <w:rFonts w:ascii="Arial" w:cs="Arial" w:eastAsia="Arial" w:hAnsi="Arial"/>
                <w:sz w:val="13"/>
                <w:szCs w:val="13"/>
                <w:color w:val="auto"/>
              </w:rPr>
              <w:t>2,604,498</w:t>
            </w:r>
          </w:p>
        </w:tc>
      </w:tr>
      <w:tr>
        <w:trPr>
          <w:trHeight w:val="223"/>
        </w:trPr>
        <w:tc>
          <w:tcPr>
            <w:tcW w:w="2740" w:type="dxa"/>
            <w:vAlign w:val="bottom"/>
            <w:tcBorders>
              <w:top w:val="single" w:sz="8" w:color="E9F1FB"/>
            </w:tcBorders>
            <w:gridSpan w:val="2"/>
          </w:tcPr>
          <w:p>
            <w:pPr>
              <w:ind w:left="40"/>
              <w:spacing w:after="0"/>
              <w:rPr>
                <w:sz w:val="20"/>
                <w:szCs w:val="20"/>
                <w:color w:val="auto"/>
              </w:rPr>
            </w:pPr>
            <w:r>
              <w:rPr>
                <w:rFonts w:ascii="Arial" w:cs="Arial" w:eastAsia="Arial" w:hAnsi="Arial"/>
                <w:sz w:val="13"/>
                <w:szCs w:val="13"/>
                <w:b w:val="1"/>
                <w:bCs w:val="1"/>
                <w:color w:val="105EAB"/>
              </w:rPr>
              <w:t>Mr. Shebik</w:t>
            </w:r>
          </w:p>
        </w:tc>
        <w:tc>
          <w:tcPr>
            <w:tcW w:w="830" w:type="dxa"/>
            <w:vAlign w:val="bottom"/>
            <w:tcBorders>
              <w:top w:val="single" w:sz="8" w:color="E9F1FB"/>
              <w:bottom w:val="single" w:sz="8" w:color="EFF8FA"/>
            </w:tcBorders>
            <w:shd w:val="clear" w:color="auto" w:fill="EFF8FA"/>
          </w:tcPr>
          <w:p>
            <w:pPr>
              <w:jc w:val="right"/>
              <w:spacing w:after="0"/>
              <w:rPr>
                <w:sz w:val="20"/>
                <w:szCs w:val="20"/>
                <w:color w:val="auto"/>
              </w:rPr>
            </w:pPr>
            <w:r>
              <w:rPr>
                <w:rFonts w:ascii="Arial" w:cs="Arial" w:eastAsia="Arial" w:hAnsi="Arial"/>
                <w:sz w:val="13"/>
                <w:szCs w:val="13"/>
                <w:color w:val="auto"/>
              </w:rPr>
              <w:t>02/21/2012</w:t>
            </w:r>
          </w:p>
        </w:tc>
        <w:tc>
          <w:tcPr>
            <w:tcW w:w="1050" w:type="dxa"/>
            <w:vAlign w:val="bottom"/>
            <w:tcBorders>
              <w:top w:val="single" w:sz="8" w:color="E9F1FB"/>
              <w:bottom w:val="single" w:sz="8" w:color="EFF8FA"/>
            </w:tcBorders>
            <w:shd w:val="clear" w:color="auto" w:fill="EFF8FA"/>
          </w:tcPr>
          <w:p>
            <w:pPr>
              <w:jc w:val="right"/>
              <w:ind w:right="33"/>
              <w:spacing w:after="0"/>
              <w:rPr>
                <w:sz w:val="20"/>
                <w:szCs w:val="20"/>
                <w:color w:val="auto"/>
              </w:rPr>
            </w:pPr>
            <w:r>
              <w:rPr>
                <w:rFonts w:ascii="Arial" w:cs="Arial" w:eastAsia="Arial" w:hAnsi="Arial"/>
                <w:sz w:val="13"/>
                <w:szCs w:val="13"/>
                <w:color w:val="auto"/>
              </w:rPr>
              <w:t>26,446</w:t>
            </w:r>
          </w:p>
        </w:tc>
        <w:tc>
          <w:tcPr>
            <w:tcW w:w="1180" w:type="dxa"/>
            <w:vAlign w:val="bottom"/>
            <w:tcBorders>
              <w:top w:val="single" w:sz="8" w:color="E9F1FB"/>
              <w:bottom w:val="single" w:sz="8" w:color="EFF8FA"/>
            </w:tcBorders>
            <w:shd w:val="clear" w:color="auto" w:fill="EFF8FA"/>
          </w:tcPr>
          <w:p>
            <w:pPr>
              <w:jc w:val="right"/>
              <w:ind w:right="53"/>
              <w:spacing w:after="0"/>
              <w:rPr>
                <w:sz w:val="20"/>
                <w:szCs w:val="20"/>
                <w:color w:val="auto"/>
              </w:rPr>
            </w:pPr>
            <w:r>
              <w:rPr>
                <w:rFonts w:ascii="Arial" w:cs="Arial" w:eastAsia="Arial" w:hAnsi="Arial"/>
                <w:sz w:val="13"/>
                <w:szCs w:val="13"/>
                <w:color w:val="auto"/>
              </w:rPr>
              <w:t>0</w:t>
            </w:r>
          </w:p>
        </w:tc>
        <w:tc>
          <w:tcPr>
            <w:tcW w:w="560" w:type="dxa"/>
            <w:vAlign w:val="bottom"/>
            <w:tcBorders>
              <w:top w:val="single" w:sz="8" w:color="E9F1FB"/>
              <w:bottom w:val="single" w:sz="8" w:color="EFF8FA"/>
            </w:tcBorders>
            <w:shd w:val="clear" w:color="auto" w:fill="EFF8FA"/>
          </w:tcPr>
          <w:p>
            <w:pPr>
              <w:jc w:val="right"/>
              <w:spacing w:after="0"/>
              <w:rPr>
                <w:sz w:val="20"/>
                <w:szCs w:val="20"/>
                <w:color w:val="auto"/>
              </w:rPr>
            </w:pPr>
            <w:r>
              <w:rPr>
                <w:rFonts w:ascii="Arial" w:cs="Arial" w:eastAsia="Arial" w:hAnsi="Arial"/>
                <w:sz w:val="13"/>
                <w:szCs w:val="13"/>
                <w:color w:val="auto"/>
              </w:rPr>
              <w:t>31.56</w:t>
            </w:r>
          </w:p>
        </w:tc>
        <w:tc>
          <w:tcPr>
            <w:tcW w:w="100" w:type="dxa"/>
            <w:vAlign w:val="bottom"/>
            <w:tcBorders>
              <w:top w:val="single" w:sz="8" w:color="E9F1FB"/>
              <w:bottom w:val="single" w:sz="8" w:color="EFF8FA"/>
            </w:tcBorders>
            <w:shd w:val="clear" w:color="auto" w:fill="EFF8FA"/>
          </w:tcPr>
          <w:p>
            <w:pPr>
              <w:spacing w:after="0"/>
              <w:rPr>
                <w:sz w:val="19"/>
                <w:szCs w:val="19"/>
                <w:color w:val="auto"/>
              </w:rPr>
            </w:pPr>
          </w:p>
        </w:tc>
        <w:tc>
          <w:tcPr>
            <w:tcW w:w="780" w:type="dxa"/>
            <w:vAlign w:val="bottom"/>
            <w:tcBorders>
              <w:top w:val="single" w:sz="8" w:color="E9F1FB"/>
              <w:bottom w:val="single" w:sz="8" w:color="EFF8FA"/>
            </w:tcBorders>
            <w:shd w:val="clear" w:color="auto" w:fill="EFF8FA"/>
          </w:tcPr>
          <w:p>
            <w:pPr>
              <w:jc w:val="right"/>
              <w:ind w:right="13"/>
              <w:spacing w:after="0"/>
              <w:rPr>
                <w:sz w:val="20"/>
                <w:szCs w:val="20"/>
                <w:color w:val="auto"/>
              </w:rPr>
            </w:pPr>
            <w:r>
              <w:rPr>
                <w:rFonts w:ascii="Arial" w:cs="Arial" w:eastAsia="Arial" w:hAnsi="Arial"/>
                <w:sz w:val="13"/>
                <w:szCs w:val="13"/>
                <w:color w:val="auto"/>
              </w:rPr>
              <w:t>02/21/2022</w:t>
            </w:r>
          </w:p>
        </w:tc>
        <w:tc>
          <w:tcPr>
            <w:tcW w:w="80" w:type="dxa"/>
            <w:vAlign w:val="bottom"/>
            <w:tcBorders>
              <w:top w:val="single" w:sz="8" w:color="E9F1FB"/>
            </w:tcBorders>
          </w:tcPr>
          <w:p>
            <w:pPr>
              <w:spacing w:after="0"/>
              <w:rPr>
                <w:sz w:val="19"/>
                <w:szCs w:val="19"/>
                <w:color w:val="auto"/>
              </w:rPr>
            </w:pPr>
          </w:p>
        </w:tc>
        <w:tc>
          <w:tcPr>
            <w:tcW w:w="880" w:type="dxa"/>
            <w:vAlign w:val="bottom"/>
            <w:tcBorders>
              <w:top w:val="single" w:sz="8" w:color="E9F1FB"/>
            </w:tcBorders>
          </w:tcPr>
          <w:p>
            <w:pPr>
              <w:spacing w:after="0"/>
              <w:rPr>
                <w:sz w:val="19"/>
                <w:szCs w:val="19"/>
                <w:color w:val="auto"/>
              </w:rPr>
            </w:pPr>
          </w:p>
        </w:tc>
        <w:tc>
          <w:tcPr>
            <w:tcW w:w="800" w:type="dxa"/>
            <w:vAlign w:val="bottom"/>
            <w:tcBorders>
              <w:top w:val="single" w:sz="8" w:color="E9F1FB"/>
            </w:tcBorders>
          </w:tcPr>
          <w:p>
            <w:pPr>
              <w:spacing w:after="0"/>
              <w:rPr>
                <w:sz w:val="19"/>
                <w:szCs w:val="19"/>
                <w:color w:val="auto"/>
              </w:rPr>
            </w:pPr>
          </w:p>
        </w:tc>
        <w:tc>
          <w:tcPr>
            <w:tcW w:w="820" w:type="dxa"/>
            <w:vAlign w:val="bottom"/>
            <w:tcBorders>
              <w:top w:val="single" w:sz="8" w:color="E9F1FB"/>
            </w:tcBorders>
          </w:tcPr>
          <w:p>
            <w:pPr>
              <w:spacing w:after="0"/>
              <w:rPr>
                <w:sz w:val="19"/>
                <w:szCs w:val="19"/>
                <w:color w:val="auto"/>
              </w:rPr>
            </w:pPr>
          </w:p>
        </w:tc>
        <w:tc>
          <w:tcPr>
            <w:tcW w:w="800" w:type="dxa"/>
            <w:vAlign w:val="bottom"/>
            <w:tcBorders>
              <w:top w:val="single" w:sz="8" w:color="E9F1FB"/>
            </w:tcBorders>
          </w:tcPr>
          <w:p>
            <w:pPr>
              <w:spacing w:after="0"/>
              <w:rPr>
                <w:sz w:val="19"/>
                <w:szCs w:val="19"/>
                <w:color w:val="auto"/>
              </w:rPr>
            </w:pPr>
          </w:p>
        </w:tc>
        <w:tc>
          <w:tcPr>
            <w:tcW w:w="800" w:type="dxa"/>
            <w:vAlign w:val="bottom"/>
            <w:tcBorders>
              <w:top w:val="single" w:sz="8" w:color="E9F1FB"/>
            </w:tcBorders>
          </w:tcPr>
          <w:p>
            <w:pPr>
              <w:spacing w:after="0"/>
              <w:rPr>
                <w:sz w:val="19"/>
                <w:szCs w:val="19"/>
                <w:color w:val="auto"/>
              </w:rPr>
            </w:pPr>
          </w:p>
        </w:tc>
      </w:tr>
      <w:tr>
        <w:trPr>
          <w:trHeight w:val="223"/>
        </w:trPr>
        <w:tc>
          <w:tcPr>
            <w:tcW w:w="2660" w:type="dxa"/>
            <w:vAlign w:val="bottom"/>
          </w:tcPr>
          <w:p>
            <w:pPr>
              <w:spacing w:after="0"/>
              <w:rPr>
                <w:sz w:val="19"/>
                <w:szCs w:val="19"/>
                <w:color w:val="auto"/>
              </w:rPr>
            </w:pPr>
          </w:p>
        </w:tc>
        <w:tc>
          <w:tcPr>
            <w:tcW w:w="80" w:type="dxa"/>
            <w:vAlign w:val="bottom"/>
            <w:tcBorders>
              <w:top w:val="single" w:sz="8" w:color="E9F1FB"/>
            </w:tcBorders>
          </w:tcPr>
          <w:p>
            <w:pPr>
              <w:spacing w:after="0"/>
              <w:rPr>
                <w:sz w:val="19"/>
                <w:szCs w:val="19"/>
                <w:color w:val="auto"/>
              </w:rPr>
            </w:pPr>
          </w:p>
        </w:tc>
        <w:tc>
          <w:tcPr>
            <w:tcW w:w="830" w:type="dxa"/>
            <w:vAlign w:val="bottom"/>
            <w:tcBorders>
              <w:top w:val="single" w:sz="8" w:color="E9F1FB"/>
              <w:bottom w:val="single" w:sz="8" w:color="EFF8FA"/>
            </w:tcBorders>
            <w:shd w:val="clear" w:color="auto" w:fill="EFF8FA"/>
          </w:tcPr>
          <w:p>
            <w:pPr>
              <w:jc w:val="right"/>
              <w:spacing w:after="0"/>
              <w:rPr>
                <w:sz w:val="20"/>
                <w:szCs w:val="20"/>
                <w:color w:val="auto"/>
              </w:rPr>
            </w:pPr>
            <w:r>
              <w:rPr>
                <w:rFonts w:ascii="Arial" w:cs="Arial" w:eastAsia="Arial" w:hAnsi="Arial"/>
                <w:sz w:val="13"/>
                <w:szCs w:val="13"/>
                <w:color w:val="auto"/>
              </w:rPr>
              <w:t>03/06/2012</w:t>
            </w:r>
          </w:p>
        </w:tc>
        <w:tc>
          <w:tcPr>
            <w:tcW w:w="1050" w:type="dxa"/>
            <w:vAlign w:val="bottom"/>
            <w:tcBorders>
              <w:top w:val="single" w:sz="8" w:color="E9F1FB"/>
              <w:bottom w:val="single" w:sz="8" w:color="EFF8FA"/>
            </w:tcBorders>
            <w:shd w:val="clear" w:color="auto" w:fill="EFF8FA"/>
          </w:tcPr>
          <w:p>
            <w:pPr>
              <w:jc w:val="right"/>
              <w:ind w:right="33"/>
              <w:spacing w:after="0"/>
              <w:rPr>
                <w:sz w:val="20"/>
                <w:szCs w:val="20"/>
                <w:color w:val="auto"/>
              </w:rPr>
            </w:pPr>
            <w:r>
              <w:rPr>
                <w:rFonts w:ascii="Arial" w:cs="Arial" w:eastAsia="Arial" w:hAnsi="Arial"/>
                <w:sz w:val="13"/>
                <w:szCs w:val="13"/>
                <w:color w:val="auto"/>
              </w:rPr>
              <w:t>35,014</w:t>
            </w:r>
          </w:p>
        </w:tc>
        <w:tc>
          <w:tcPr>
            <w:tcW w:w="1180" w:type="dxa"/>
            <w:vAlign w:val="bottom"/>
            <w:tcBorders>
              <w:top w:val="single" w:sz="8" w:color="E9F1FB"/>
              <w:bottom w:val="single" w:sz="8" w:color="EFF8FA"/>
            </w:tcBorders>
            <w:shd w:val="clear" w:color="auto" w:fill="EFF8FA"/>
          </w:tcPr>
          <w:p>
            <w:pPr>
              <w:jc w:val="right"/>
              <w:ind w:right="53"/>
              <w:spacing w:after="0"/>
              <w:rPr>
                <w:sz w:val="20"/>
                <w:szCs w:val="20"/>
                <w:color w:val="auto"/>
              </w:rPr>
            </w:pPr>
            <w:r>
              <w:rPr>
                <w:rFonts w:ascii="Arial" w:cs="Arial" w:eastAsia="Arial" w:hAnsi="Arial"/>
                <w:sz w:val="13"/>
                <w:szCs w:val="13"/>
                <w:color w:val="auto"/>
              </w:rPr>
              <w:t>0</w:t>
            </w:r>
          </w:p>
        </w:tc>
        <w:tc>
          <w:tcPr>
            <w:tcW w:w="560" w:type="dxa"/>
            <w:vAlign w:val="bottom"/>
            <w:tcBorders>
              <w:top w:val="single" w:sz="8" w:color="E9F1FB"/>
              <w:bottom w:val="single" w:sz="8" w:color="EFF8FA"/>
            </w:tcBorders>
            <w:shd w:val="clear" w:color="auto" w:fill="EFF8FA"/>
          </w:tcPr>
          <w:p>
            <w:pPr>
              <w:jc w:val="right"/>
              <w:spacing w:after="0"/>
              <w:rPr>
                <w:sz w:val="20"/>
                <w:szCs w:val="20"/>
                <w:color w:val="auto"/>
              </w:rPr>
            </w:pPr>
            <w:r>
              <w:rPr>
                <w:rFonts w:ascii="Arial" w:cs="Arial" w:eastAsia="Arial" w:hAnsi="Arial"/>
                <w:sz w:val="13"/>
                <w:szCs w:val="13"/>
                <w:color w:val="auto"/>
              </w:rPr>
              <w:t>31.00</w:t>
            </w:r>
          </w:p>
        </w:tc>
        <w:tc>
          <w:tcPr>
            <w:tcW w:w="100" w:type="dxa"/>
            <w:vAlign w:val="bottom"/>
            <w:tcBorders>
              <w:top w:val="single" w:sz="8" w:color="E9F1FB"/>
              <w:bottom w:val="single" w:sz="8" w:color="EFF8FA"/>
            </w:tcBorders>
            <w:shd w:val="clear" w:color="auto" w:fill="EFF8FA"/>
          </w:tcPr>
          <w:p>
            <w:pPr>
              <w:spacing w:after="0"/>
              <w:rPr>
                <w:sz w:val="19"/>
                <w:szCs w:val="19"/>
                <w:color w:val="auto"/>
              </w:rPr>
            </w:pPr>
          </w:p>
        </w:tc>
        <w:tc>
          <w:tcPr>
            <w:tcW w:w="780" w:type="dxa"/>
            <w:vAlign w:val="bottom"/>
            <w:tcBorders>
              <w:top w:val="single" w:sz="8" w:color="E9F1FB"/>
              <w:bottom w:val="single" w:sz="8" w:color="EFF8FA"/>
            </w:tcBorders>
            <w:shd w:val="clear" w:color="auto" w:fill="EFF8FA"/>
          </w:tcPr>
          <w:p>
            <w:pPr>
              <w:jc w:val="right"/>
              <w:ind w:right="13"/>
              <w:spacing w:after="0"/>
              <w:rPr>
                <w:sz w:val="20"/>
                <w:szCs w:val="20"/>
                <w:color w:val="auto"/>
              </w:rPr>
            </w:pPr>
            <w:r>
              <w:rPr>
                <w:rFonts w:ascii="Arial" w:cs="Arial" w:eastAsia="Arial" w:hAnsi="Arial"/>
                <w:sz w:val="13"/>
                <w:szCs w:val="13"/>
                <w:color w:val="auto"/>
              </w:rPr>
              <w:t>03/06/2022</w:t>
            </w:r>
          </w:p>
        </w:tc>
        <w:tc>
          <w:tcPr>
            <w:tcW w:w="80" w:type="dxa"/>
            <w:vAlign w:val="bottom"/>
            <w:tcBorders>
              <w:top w:val="single" w:sz="8" w:color="E9F1FB"/>
            </w:tcBorders>
          </w:tcPr>
          <w:p>
            <w:pPr>
              <w:spacing w:after="0"/>
              <w:rPr>
                <w:sz w:val="19"/>
                <w:szCs w:val="19"/>
                <w:color w:val="auto"/>
              </w:rPr>
            </w:pPr>
          </w:p>
        </w:tc>
        <w:tc>
          <w:tcPr>
            <w:tcW w:w="880" w:type="dxa"/>
            <w:vAlign w:val="bottom"/>
            <w:tcBorders>
              <w:top w:val="single" w:sz="8" w:color="E9F1FB"/>
            </w:tcBorders>
          </w:tcPr>
          <w:p>
            <w:pPr>
              <w:spacing w:after="0"/>
              <w:rPr>
                <w:sz w:val="19"/>
                <w:szCs w:val="19"/>
                <w:color w:val="auto"/>
              </w:rPr>
            </w:pPr>
          </w:p>
        </w:tc>
        <w:tc>
          <w:tcPr>
            <w:tcW w:w="800" w:type="dxa"/>
            <w:vAlign w:val="bottom"/>
            <w:tcBorders>
              <w:top w:val="single" w:sz="8" w:color="E9F1FB"/>
            </w:tcBorders>
          </w:tcPr>
          <w:p>
            <w:pPr>
              <w:spacing w:after="0"/>
              <w:rPr>
                <w:sz w:val="19"/>
                <w:szCs w:val="19"/>
                <w:color w:val="auto"/>
              </w:rPr>
            </w:pPr>
          </w:p>
        </w:tc>
        <w:tc>
          <w:tcPr>
            <w:tcW w:w="820" w:type="dxa"/>
            <w:vAlign w:val="bottom"/>
            <w:tcBorders>
              <w:top w:val="single" w:sz="8" w:color="E9F1FB"/>
            </w:tcBorders>
          </w:tcPr>
          <w:p>
            <w:pPr>
              <w:spacing w:after="0"/>
              <w:rPr>
                <w:sz w:val="19"/>
                <w:szCs w:val="19"/>
                <w:color w:val="auto"/>
              </w:rPr>
            </w:pPr>
          </w:p>
        </w:tc>
        <w:tc>
          <w:tcPr>
            <w:tcW w:w="800" w:type="dxa"/>
            <w:vAlign w:val="bottom"/>
            <w:tcBorders>
              <w:top w:val="single" w:sz="8" w:color="E9F1FB"/>
            </w:tcBorders>
          </w:tcPr>
          <w:p>
            <w:pPr>
              <w:spacing w:after="0"/>
              <w:rPr>
                <w:sz w:val="19"/>
                <w:szCs w:val="19"/>
                <w:color w:val="auto"/>
              </w:rPr>
            </w:pPr>
          </w:p>
        </w:tc>
        <w:tc>
          <w:tcPr>
            <w:tcW w:w="800" w:type="dxa"/>
            <w:vAlign w:val="bottom"/>
            <w:tcBorders>
              <w:top w:val="single" w:sz="8" w:color="E9F1FB"/>
            </w:tcBorders>
          </w:tcPr>
          <w:p>
            <w:pPr>
              <w:spacing w:after="0"/>
              <w:rPr>
                <w:sz w:val="19"/>
                <w:szCs w:val="19"/>
                <w:color w:val="auto"/>
              </w:rPr>
            </w:pPr>
          </w:p>
        </w:tc>
      </w:tr>
      <w:tr>
        <w:trPr>
          <w:trHeight w:val="223"/>
        </w:trPr>
        <w:tc>
          <w:tcPr>
            <w:tcW w:w="2660" w:type="dxa"/>
            <w:vAlign w:val="bottom"/>
          </w:tcPr>
          <w:p>
            <w:pPr>
              <w:spacing w:after="0"/>
              <w:rPr>
                <w:sz w:val="19"/>
                <w:szCs w:val="19"/>
                <w:color w:val="auto"/>
              </w:rPr>
            </w:pPr>
          </w:p>
        </w:tc>
        <w:tc>
          <w:tcPr>
            <w:tcW w:w="80" w:type="dxa"/>
            <w:vAlign w:val="bottom"/>
            <w:tcBorders>
              <w:top w:val="single" w:sz="8" w:color="E9F1FB"/>
            </w:tcBorders>
          </w:tcPr>
          <w:p>
            <w:pPr>
              <w:spacing w:after="0"/>
              <w:rPr>
                <w:sz w:val="19"/>
                <w:szCs w:val="19"/>
                <w:color w:val="auto"/>
              </w:rPr>
            </w:pPr>
          </w:p>
        </w:tc>
        <w:tc>
          <w:tcPr>
            <w:tcW w:w="830" w:type="dxa"/>
            <w:vAlign w:val="bottom"/>
            <w:tcBorders>
              <w:top w:val="single" w:sz="8" w:color="E9F1FB"/>
              <w:bottom w:val="single" w:sz="8" w:color="EFF8FA"/>
            </w:tcBorders>
            <w:shd w:val="clear" w:color="auto" w:fill="EFF8FA"/>
          </w:tcPr>
          <w:p>
            <w:pPr>
              <w:jc w:val="right"/>
              <w:spacing w:after="0"/>
              <w:rPr>
                <w:sz w:val="20"/>
                <w:szCs w:val="20"/>
                <w:color w:val="auto"/>
              </w:rPr>
            </w:pPr>
            <w:r>
              <w:rPr>
                <w:rFonts w:ascii="Arial" w:cs="Arial" w:eastAsia="Arial" w:hAnsi="Arial"/>
                <w:sz w:val="13"/>
                <w:szCs w:val="13"/>
                <w:color w:val="auto"/>
              </w:rPr>
              <w:t>02/12/2013</w:t>
            </w:r>
          </w:p>
        </w:tc>
        <w:tc>
          <w:tcPr>
            <w:tcW w:w="1050" w:type="dxa"/>
            <w:vAlign w:val="bottom"/>
            <w:tcBorders>
              <w:top w:val="single" w:sz="8" w:color="E9F1FB"/>
              <w:bottom w:val="single" w:sz="8" w:color="EFF8FA"/>
            </w:tcBorders>
            <w:shd w:val="clear" w:color="auto" w:fill="EFF8FA"/>
          </w:tcPr>
          <w:p>
            <w:pPr>
              <w:jc w:val="right"/>
              <w:ind w:right="33"/>
              <w:spacing w:after="0"/>
              <w:rPr>
                <w:sz w:val="20"/>
                <w:szCs w:val="20"/>
                <w:color w:val="auto"/>
              </w:rPr>
            </w:pPr>
            <w:r>
              <w:rPr>
                <w:rFonts w:ascii="Arial" w:cs="Arial" w:eastAsia="Arial" w:hAnsi="Arial"/>
                <w:sz w:val="13"/>
                <w:szCs w:val="13"/>
                <w:color w:val="auto"/>
              </w:rPr>
              <w:t>75,188</w:t>
            </w:r>
          </w:p>
        </w:tc>
        <w:tc>
          <w:tcPr>
            <w:tcW w:w="1180" w:type="dxa"/>
            <w:vAlign w:val="bottom"/>
            <w:tcBorders>
              <w:top w:val="single" w:sz="8" w:color="E9F1FB"/>
              <w:bottom w:val="single" w:sz="8" w:color="EFF8FA"/>
            </w:tcBorders>
            <w:shd w:val="clear" w:color="auto" w:fill="EFF8FA"/>
          </w:tcPr>
          <w:p>
            <w:pPr>
              <w:jc w:val="right"/>
              <w:ind w:right="53"/>
              <w:spacing w:after="0"/>
              <w:rPr>
                <w:sz w:val="20"/>
                <w:szCs w:val="20"/>
                <w:color w:val="auto"/>
              </w:rPr>
            </w:pPr>
            <w:r>
              <w:rPr>
                <w:rFonts w:ascii="Arial" w:cs="Arial" w:eastAsia="Arial" w:hAnsi="Arial"/>
                <w:sz w:val="13"/>
                <w:szCs w:val="13"/>
                <w:color w:val="auto"/>
              </w:rPr>
              <w:t>0</w:t>
            </w:r>
          </w:p>
        </w:tc>
        <w:tc>
          <w:tcPr>
            <w:tcW w:w="560" w:type="dxa"/>
            <w:vAlign w:val="bottom"/>
            <w:tcBorders>
              <w:top w:val="single" w:sz="8" w:color="E9F1FB"/>
              <w:bottom w:val="single" w:sz="8" w:color="EFF8FA"/>
            </w:tcBorders>
            <w:shd w:val="clear" w:color="auto" w:fill="EFF8FA"/>
          </w:tcPr>
          <w:p>
            <w:pPr>
              <w:jc w:val="right"/>
              <w:spacing w:after="0"/>
              <w:rPr>
                <w:sz w:val="20"/>
                <w:szCs w:val="20"/>
                <w:color w:val="auto"/>
              </w:rPr>
            </w:pPr>
            <w:r>
              <w:rPr>
                <w:rFonts w:ascii="Arial" w:cs="Arial" w:eastAsia="Arial" w:hAnsi="Arial"/>
                <w:sz w:val="13"/>
                <w:szCs w:val="13"/>
                <w:color w:val="auto"/>
              </w:rPr>
              <w:t>45.61</w:t>
            </w:r>
          </w:p>
        </w:tc>
        <w:tc>
          <w:tcPr>
            <w:tcW w:w="100" w:type="dxa"/>
            <w:vAlign w:val="bottom"/>
            <w:tcBorders>
              <w:top w:val="single" w:sz="8" w:color="E9F1FB"/>
              <w:bottom w:val="single" w:sz="8" w:color="EFF8FA"/>
            </w:tcBorders>
            <w:shd w:val="clear" w:color="auto" w:fill="EFF8FA"/>
          </w:tcPr>
          <w:p>
            <w:pPr>
              <w:spacing w:after="0"/>
              <w:rPr>
                <w:sz w:val="19"/>
                <w:szCs w:val="19"/>
                <w:color w:val="auto"/>
              </w:rPr>
            </w:pPr>
          </w:p>
        </w:tc>
        <w:tc>
          <w:tcPr>
            <w:tcW w:w="780" w:type="dxa"/>
            <w:vAlign w:val="bottom"/>
            <w:tcBorders>
              <w:top w:val="single" w:sz="8" w:color="E9F1FB"/>
              <w:bottom w:val="single" w:sz="8" w:color="EFF8FA"/>
            </w:tcBorders>
            <w:shd w:val="clear" w:color="auto" w:fill="EFF8FA"/>
          </w:tcPr>
          <w:p>
            <w:pPr>
              <w:jc w:val="right"/>
              <w:ind w:right="13"/>
              <w:spacing w:after="0"/>
              <w:rPr>
                <w:sz w:val="20"/>
                <w:szCs w:val="20"/>
                <w:color w:val="auto"/>
              </w:rPr>
            </w:pPr>
            <w:r>
              <w:rPr>
                <w:rFonts w:ascii="Arial" w:cs="Arial" w:eastAsia="Arial" w:hAnsi="Arial"/>
                <w:sz w:val="13"/>
                <w:szCs w:val="13"/>
                <w:color w:val="auto"/>
              </w:rPr>
              <w:t>02/12/2023</w:t>
            </w:r>
          </w:p>
        </w:tc>
        <w:tc>
          <w:tcPr>
            <w:tcW w:w="80" w:type="dxa"/>
            <w:vAlign w:val="bottom"/>
            <w:tcBorders>
              <w:top w:val="single" w:sz="8" w:color="E9F1FB"/>
            </w:tcBorders>
          </w:tcPr>
          <w:p>
            <w:pPr>
              <w:spacing w:after="0"/>
              <w:rPr>
                <w:sz w:val="19"/>
                <w:szCs w:val="19"/>
                <w:color w:val="auto"/>
              </w:rPr>
            </w:pPr>
          </w:p>
        </w:tc>
        <w:tc>
          <w:tcPr>
            <w:tcW w:w="880" w:type="dxa"/>
            <w:vAlign w:val="bottom"/>
            <w:tcBorders>
              <w:top w:val="single" w:sz="8" w:color="E9F1FB"/>
            </w:tcBorders>
          </w:tcPr>
          <w:p>
            <w:pPr>
              <w:spacing w:after="0"/>
              <w:rPr>
                <w:sz w:val="19"/>
                <w:szCs w:val="19"/>
                <w:color w:val="auto"/>
              </w:rPr>
            </w:pPr>
          </w:p>
        </w:tc>
        <w:tc>
          <w:tcPr>
            <w:tcW w:w="800" w:type="dxa"/>
            <w:vAlign w:val="bottom"/>
            <w:tcBorders>
              <w:top w:val="single" w:sz="8" w:color="E9F1FB"/>
            </w:tcBorders>
          </w:tcPr>
          <w:p>
            <w:pPr>
              <w:spacing w:after="0"/>
              <w:rPr>
                <w:sz w:val="19"/>
                <w:szCs w:val="19"/>
                <w:color w:val="auto"/>
              </w:rPr>
            </w:pPr>
          </w:p>
        </w:tc>
        <w:tc>
          <w:tcPr>
            <w:tcW w:w="820" w:type="dxa"/>
            <w:vAlign w:val="bottom"/>
            <w:tcBorders>
              <w:top w:val="single" w:sz="8" w:color="E9F1FB"/>
            </w:tcBorders>
          </w:tcPr>
          <w:p>
            <w:pPr>
              <w:spacing w:after="0"/>
              <w:rPr>
                <w:sz w:val="19"/>
                <w:szCs w:val="19"/>
                <w:color w:val="auto"/>
              </w:rPr>
            </w:pPr>
          </w:p>
        </w:tc>
        <w:tc>
          <w:tcPr>
            <w:tcW w:w="800" w:type="dxa"/>
            <w:vAlign w:val="bottom"/>
            <w:tcBorders>
              <w:top w:val="single" w:sz="8" w:color="E9F1FB"/>
            </w:tcBorders>
          </w:tcPr>
          <w:p>
            <w:pPr>
              <w:spacing w:after="0"/>
              <w:rPr>
                <w:sz w:val="19"/>
                <w:szCs w:val="19"/>
                <w:color w:val="auto"/>
              </w:rPr>
            </w:pPr>
          </w:p>
        </w:tc>
        <w:tc>
          <w:tcPr>
            <w:tcW w:w="800" w:type="dxa"/>
            <w:vAlign w:val="bottom"/>
            <w:tcBorders>
              <w:top w:val="single" w:sz="8" w:color="E9F1FB"/>
            </w:tcBorders>
          </w:tcPr>
          <w:p>
            <w:pPr>
              <w:spacing w:after="0"/>
              <w:rPr>
                <w:sz w:val="19"/>
                <w:szCs w:val="19"/>
                <w:color w:val="auto"/>
              </w:rPr>
            </w:pPr>
          </w:p>
        </w:tc>
      </w:tr>
      <w:tr>
        <w:trPr>
          <w:trHeight w:val="223"/>
        </w:trPr>
        <w:tc>
          <w:tcPr>
            <w:tcW w:w="2660" w:type="dxa"/>
            <w:vAlign w:val="bottom"/>
          </w:tcPr>
          <w:p>
            <w:pPr>
              <w:spacing w:after="0"/>
              <w:rPr>
                <w:sz w:val="19"/>
                <w:szCs w:val="19"/>
                <w:color w:val="auto"/>
              </w:rPr>
            </w:pPr>
          </w:p>
        </w:tc>
        <w:tc>
          <w:tcPr>
            <w:tcW w:w="80" w:type="dxa"/>
            <w:vAlign w:val="bottom"/>
            <w:tcBorders>
              <w:top w:val="single" w:sz="8" w:color="E9F1FB"/>
            </w:tcBorders>
          </w:tcPr>
          <w:p>
            <w:pPr>
              <w:spacing w:after="0"/>
              <w:rPr>
                <w:sz w:val="19"/>
                <w:szCs w:val="19"/>
                <w:color w:val="auto"/>
              </w:rPr>
            </w:pPr>
          </w:p>
        </w:tc>
        <w:tc>
          <w:tcPr>
            <w:tcW w:w="830" w:type="dxa"/>
            <w:vAlign w:val="bottom"/>
            <w:tcBorders>
              <w:top w:val="single" w:sz="8" w:color="E9F1FB"/>
              <w:bottom w:val="single" w:sz="8" w:color="EFF8FA"/>
            </w:tcBorders>
            <w:shd w:val="clear" w:color="auto" w:fill="EFF8FA"/>
          </w:tcPr>
          <w:p>
            <w:pPr>
              <w:jc w:val="right"/>
              <w:spacing w:after="0"/>
              <w:rPr>
                <w:sz w:val="20"/>
                <w:szCs w:val="20"/>
                <w:color w:val="auto"/>
              </w:rPr>
            </w:pPr>
            <w:r>
              <w:rPr>
                <w:rFonts w:ascii="Arial" w:cs="Arial" w:eastAsia="Arial" w:hAnsi="Arial"/>
                <w:sz w:val="13"/>
                <w:szCs w:val="13"/>
                <w:color w:val="auto"/>
              </w:rPr>
              <w:t>02/18/2014</w:t>
            </w:r>
          </w:p>
        </w:tc>
        <w:tc>
          <w:tcPr>
            <w:tcW w:w="1050" w:type="dxa"/>
            <w:vAlign w:val="bottom"/>
            <w:tcBorders>
              <w:top w:val="single" w:sz="8" w:color="E9F1FB"/>
              <w:bottom w:val="single" w:sz="8" w:color="EFF8FA"/>
            </w:tcBorders>
            <w:shd w:val="clear" w:color="auto" w:fill="EFF8FA"/>
          </w:tcPr>
          <w:p>
            <w:pPr>
              <w:jc w:val="right"/>
              <w:ind w:right="33"/>
              <w:spacing w:after="0"/>
              <w:rPr>
                <w:sz w:val="20"/>
                <w:szCs w:val="20"/>
                <w:color w:val="auto"/>
              </w:rPr>
            </w:pPr>
            <w:r>
              <w:rPr>
                <w:rFonts w:ascii="Arial" w:cs="Arial" w:eastAsia="Arial" w:hAnsi="Arial"/>
                <w:sz w:val="13"/>
                <w:szCs w:val="13"/>
                <w:color w:val="auto"/>
              </w:rPr>
              <w:t>72,289</w:t>
            </w:r>
          </w:p>
        </w:tc>
        <w:tc>
          <w:tcPr>
            <w:tcW w:w="1180" w:type="dxa"/>
            <w:vAlign w:val="bottom"/>
            <w:tcBorders>
              <w:top w:val="single" w:sz="8" w:color="E9F1FB"/>
              <w:bottom w:val="single" w:sz="8" w:color="EFF8FA"/>
            </w:tcBorders>
            <w:shd w:val="clear" w:color="auto" w:fill="EFF8FA"/>
          </w:tcPr>
          <w:p>
            <w:pPr>
              <w:jc w:val="right"/>
              <w:ind w:right="53"/>
              <w:spacing w:after="0"/>
              <w:rPr>
                <w:sz w:val="20"/>
                <w:szCs w:val="20"/>
                <w:color w:val="auto"/>
              </w:rPr>
            </w:pPr>
            <w:r>
              <w:rPr>
                <w:rFonts w:ascii="Arial" w:cs="Arial" w:eastAsia="Arial" w:hAnsi="Arial"/>
                <w:sz w:val="13"/>
                <w:szCs w:val="13"/>
                <w:color w:val="auto"/>
              </w:rPr>
              <w:t>0</w:t>
            </w:r>
          </w:p>
        </w:tc>
        <w:tc>
          <w:tcPr>
            <w:tcW w:w="560" w:type="dxa"/>
            <w:vAlign w:val="bottom"/>
            <w:tcBorders>
              <w:top w:val="single" w:sz="8" w:color="E9F1FB"/>
              <w:bottom w:val="single" w:sz="8" w:color="EFF8FA"/>
            </w:tcBorders>
            <w:shd w:val="clear" w:color="auto" w:fill="EFF8FA"/>
          </w:tcPr>
          <w:p>
            <w:pPr>
              <w:jc w:val="right"/>
              <w:spacing w:after="0"/>
              <w:rPr>
                <w:sz w:val="20"/>
                <w:szCs w:val="20"/>
                <w:color w:val="auto"/>
              </w:rPr>
            </w:pPr>
            <w:r>
              <w:rPr>
                <w:rFonts w:ascii="Arial" w:cs="Arial" w:eastAsia="Arial" w:hAnsi="Arial"/>
                <w:sz w:val="13"/>
                <w:szCs w:val="13"/>
                <w:color w:val="auto"/>
              </w:rPr>
              <w:t>52.18</w:t>
            </w:r>
          </w:p>
        </w:tc>
        <w:tc>
          <w:tcPr>
            <w:tcW w:w="100" w:type="dxa"/>
            <w:vAlign w:val="bottom"/>
            <w:tcBorders>
              <w:top w:val="single" w:sz="8" w:color="E9F1FB"/>
              <w:bottom w:val="single" w:sz="8" w:color="EFF8FA"/>
            </w:tcBorders>
            <w:shd w:val="clear" w:color="auto" w:fill="EFF8FA"/>
          </w:tcPr>
          <w:p>
            <w:pPr>
              <w:spacing w:after="0"/>
              <w:rPr>
                <w:sz w:val="19"/>
                <w:szCs w:val="19"/>
                <w:color w:val="auto"/>
              </w:rPr>
            </w:pPr>
          </w:p>
        </w:tc>
        <w:tc>
          <w:tcPr>
            <w:tcW w:w="780" w:type="dxa"/>
            <w:vAlign w:val="bottom"/>
            <w:tcBorders>
              <w:top w:val="single" w:sz="8" w:color="E9F1FB"/>
              <w:bottom w:val="single" w:sz="8" w:color="EFF8FA"/>
            </w:tcBorders>
            <w:shd w:val="clear" w:color="auto" w:fill="EFF8FA"/>
          </w:tcPr>
          <w:p>
            <w:pPr>
              <w:jc w:val="right"/>
              <w:ind w:right="13"/>
              <w:spacing w:after="0"/>
              <w:rPr>
                <w:sz w:val="20"/>
                <w:szCs w:val="20"/>
                <w:color w:val="auto"/>
              </w:rPr>
            </w:pPr>
            <w:r>
              <w:rPr>
                <w:rFonts w:ascii="Arial" w:cs="Arial" w:eastAsia="Arial" w:hAnsi="Arial"/>
                <w:sz w:val="13"/>
                <w:szCs w:val="13"/>
                <w:color w:val="auto"/>
              </w:rPr>
              <w:t>02/18/2024</w:t>
            </w:r>
          </w:p>
        </w:tc>
        <w:tc>
          <w:tcPr>
            <w:tcW w:w="80" w:type="dxa"/>
            <w:vAlign w:val="bottom"/>
            <w:tcBorders>
              <w:top w:val="single" w:sz="8" w:color="E9F1FB"/>
            </w:tcBorders>
          </w:tcPr>
          <w:p>
            <w:pPr>
              <w:spacing w:after="0"/>
              <w:rPr>
                <w:sz w:val="19"/>
                <w:szCs w:val="19"/>
                <w:color w:val="auto"/>
              </w:rPr>
            </w:pPr>
          </w:p>
        </w:tc>
        <w:tc>
          <w:tcPr>
            <w:tcW w:w="880" w:type="dxa"/>
            <w:vAlign w:val="bottom"/>
            <w:tcBorders>
              <w:top w:val="single" w:sz="8" w:color="E9F1FB"/>
            </w:tcBorders>
          </w:tcPr>
          <w:p>
            <w:pPr>
              <w:spacing w:after="0"/>
              <w:rPr>
                <w:sz w:val="19"/>
                <w:szCs w:val="19"/>
                <w:color w:val="auto"/>
              </w:rPr>
            </w:pPr>
          </w:p>
        </w:tc>
        <w:tc>
          <w:tcPr>
            <w:tcW w:w="800" w:type="dxa"/>
            <w:vAlign w:val="bottom"/>
            <w:tcBorders>
              <w:top w:val="single" w:sz="8" w:color="E9F1FB"/>
            </w:tcBorders>
          </w:tcPr>
          <w:p>
            <w:pPr>
              <w:spacing w:after="0"/>
              <w:rPr>
                <w:sz w:val="19"/>
                <w:szCs w:val="19"/>
                <w:color w:val="auto"/>
              </w:rPr>
            </w:pPr>
          </w:p>
        </w:tc>
        <w:tc>
          <w:tcPr>
            <w:tcW w:w="820" w:type="dxa"/>
            <w:vAlign w:val="bottom"/>
            <w:tcBorders>
              <w:top w:val="single" w:sz="8" w:color="E9F1FB"/>
            </w:tcBorders>
          </w:tcPr>
          <w:p>
            <w:pPr>
              <w:spacing w:after="0"/>
              <w:rPr>
                <w:sz w:val="19"/>
                <w:szCs w:val="19"/>
                <w:color w:val="auto"/>
              </w:rPr>
            </w:pPr>
          </w:p>
        </w:tc>
        <w:tc>
          <w:tcPr>
            <w:tcW w:w="800" w:type="dxa"/>
            <w:vAlign w:val="bottom"/>
            <w:tcBorders>
              <w:top w:val="single" w:sz="8" w:color="E9F1FB"/>
            </w:tcBorders>
          </w:tcPr>
          <w:p>
            <w:pPr>
              <w:spacing w:after="0"/>
              <w:rPr>
                <w:sz w:val="19"/>
                <w:szCs w:val="19"/>
                <w:color w:val="auto"/>
              </w:rPr>
            </w:pPr>
          </w:p>
        </w:tc>
        <w:tc>
          <w:tcPr>
            <w:tcW w:w="800" w:type="dxa"/>
            <w:vAlign w:val="bottom"/>
            <w:tcBorders>
              <w:top w:val="single" w:sz="8" w:color="E9F1FB"/>
            </w:tcBorders>
          </w:tcPr>
          <w:p>
            <w:pPr>
              <w:spacing w:after="0"/>
              <w:rPr>
                <w:sz w:val="19"/>
                <w:szCs w:val="19"/>
                <w:color w:val="auto"/>
              </w:rPr>
            </w:pPr>
          </w:p>
        </w:tc>
      </w:tr>
      <w:tr>
        <w:trPr>
          <w:trHeight w:val="223"/>
        </w:trPr>
        <w:tc>
          <w:tcPr>
            <w:tcW w:w="2660" w:type="dxa"/>
            <w:vAlign w:val="bottom"/>
          </w:tcPr>
          <w:p>
            <w:pPr>
              <w:spacing w:after="0"/>
              <w:rPr>
                <w:sz w:val="19"/>
                <w:szCs w:val="19"/>
                <w:color w:val="auto"/>
              </w:rPr>
            </w:pPr>
          </w:p>
        </w:tc>
        <w:tc>
          <w:tcPr>
            <w:tcW w:w="80" w:type="dxa"/>
            <w:vAlign w:val="bottom"/>
            <w:tcBorders>
              <w:top w:val="single" w:sz="8" w:color="E9F1FB"/>
            </w:tcBorders>
          </w:tcPr>
          <w:p>
            <w:pPr>
              <w:spacing w:after="0"/>
              <w:rPr>
                <w:sz w:val="19"/>
                <w:szCs w:val="19"/>
                <w:color w:val="auto"/>
              </w:rPr>
            </w:pPr>
          </w:p>
        </w:tc>
        <w:tc>
          <w:tcPr>
            <w:tcW w:w="830" w:type="dxa"/>
            <w:vAlign w:val="bottom"/>
            <w:tcBorders>
              <w:top w:val="single" w:sz="8" w:color="E9F1FB"/>
              <w:bottom w:val="single" w:sz="8" w:color="EFF8FA"/>
            </w:tcBorders>
            <w:shd w:val="clear" w:color="auto" w:fill="EFF8FA"/>
          </w:tcPr>
          <w:p>
            <w:pPr>
              <w:jc w:val="right"/>
              <w:spacing w:after="0"/>
              <w:rPr>
                <w:sz w:val="20"/>
                <w:szCs w:val="20"/>
                <w:color w:val="auto"/>
              </w:rPr>
            </w:pPr>
            <w:r>
              <w:rPr>
                <w:rFonts w:ascii="Arial" w:cs="Arial" w:eastAsia="Arial" w:hAnsi="Arial"/>
                <w:sz w:val="13"/>
                <w:szCs w:val="13"/>
                <w:color w:val="auto"/>
              </w:rPr>
              <w:t>02/18/2015</w:t>
            </w:r>
          </w:p>
        </w:tc>
        <w:tc>
          <w:tcPr>
            <w:tcW w:w="1050" w:type="dxa"/>
            <w:vAlign w:val="bottom"/>
            <w:tcBorders>
              <w:top w:val="single" w:sz="8" w:color="E9F1FB"/>
              <w:bottom w:val="single" w:sz="8" w:color="EFF8FA"/>
            </w:tcBorders>
            <w:shd w:val="clear" w:color="auto" w:fill="EFF8FA"/>
          </w:tcPr>
          <w:p>
            <w:pPr>
              <w:jc w:val="right"/>
              <w:ind w:right="33"/>
              <w:spacing w:after="0"/>
              <w:rPr>
                <w:sz w:val="20"/>
                <w:szCs w:val="20"/>
                <w:color w:val="auto"/>
              </w:rPr>
            </w:pPr>
            <w:r>
              <w:rPr>
                <w:rFonts w:ascii="Arial" w:cs="Arial" w:eastAsia="Arial" w:hAnsi="Arial"/>
                <w:sz w:val="13"/>
                <w:szCs w:val="13"/>
                <w:color w:val="auto"/>
              </w:rPr>
              <w:t>72,023</w:t>
            </w:r>
          </w:p>
        </w:tc>
        <w:tc>
          <w:tcPr>
            <w:tcW w:w="1180" w:type="dxa"/>
            <w:vAlign w:val="bottom"/>
            <w:tcBorders>
              <w:top w:val="single" w:sz="8" w:color="E9F1FB"/>
              <w:bottom w:val="single" w:sz="8" w:color="EFF8FA"/>
            </w:tcBorders>
            <w:shd w:val="clear" w:color="auto" w:fill="EFF8FA"/>
          </w:tcPr>
          <w:p>
            <w:pPr>
              <w:jc w:val="right"/>
              <w:ind w:right="53"/>
              <w:spacing w:after="0"/>
              <w:rPr>
                <w:sz w:val="20"/>
                <w:szCs w:val="20"/>
                <w:color w:val="auto"/>
              </w:rPr>
            </w:pPr>
            <w:r>
              <w:rPr>
                <w:rFonts w:ascii="Arial" w:cs="Arial" w:eastAsia="Arial" w:hAnsi="Arial"/>
                <w:sz w:val="13"/>
                <w:szCs w:val="13"/>
                <w:color w:val="auto"/>
              </w:rPr>
              <w:t>0</w:t>
            </w:r>
          </w:p>
        </w:tc>
        <w:tc>
          <w:tcPr>
            <w:tcW w:w="560" w:type="dxa"/>
            <w:vAlign w:val="bottom"/>
            <w:tcBorders>
              <w:top w:val="single" w:sz="8" w:color="E9F1FB"/>
              <w:bottom w:val="single" w:sz="8" w:color="EFF8FA"/>
            </w:tcBorders>
            <w:shd w:val="clear" w:color="auto" w:fill="EFF8FA"/>
          </w:tcPr>
          <w:p>
            <w:pPr>
              <w:jc w:val="right"/>
              <w:spacing w:after="0"/>
              <w:rPr>
                <w:sz w:val="20"/>
                <w:szCs w:val="20"/>
                <w:color w:val="auto"/>
              </w:rPr>
            </w:pPr>
            <w:r>
              <w:rPr>
                <w:rFonts w:ascii="Arial" w:cs="Arial" w:eastAsia="Arial" w:hAnsi="Arial"/>
                <w:sz w:val="13"/>
                <w:szCs w:val="13"/>
                <w:color w:val="auto"/>
              </w:rPr>
              <w:t>70.71</w:t>
            </w:r>
          </w:p>
        </w:tc>
        <w:tc>
          <w:tcPr>
            <w:tcW w:w="100" w:type="dxa"/>
            <w:vAlign w:val="bottom"/>
            <w:tcBorders>
              <w:top w:val="single" w:sz="8" w:color="E9F1FB"/>
              <w:bottom w:val="single" w:sz="8" w:color="EFF8FA"/>
            </w:tcBorders>
            <w:shd w:val="clear" w:color="auto" w:fill="EFF8FA"/>
          </w:tcPr>
          <w:p>
            <w:pPr>
              <w:spacing w:after="0"/>
              <w:rPr>
                <w:sz w:val="19"/>
                <w:szCs w:val="19"/>
                <w:color w:val="auto"/>
              </w:rPr>
            </w:pPr>
          </w:p>
        </w:tc>
        <w:tc>
          <w:tcPr>
            <w:tcW w:w="780" w:type="dxa"/>
            <w:vAlign w:val="bottom"/>
            <w:tcBorders>
              <w:top w:val="single" w:sz="8" w:color="E9F1FB"/>
              <w:bottom w:val="single" w:sz="8" w:color="EFF8FA"/>
            </w:tcBorders>
            <w:shd w:val="clear" w:color="auto" w:fill="EFF8FA"/>
          </w:tcPr>
          <w:p>
            <w:pPr>
              <w:jc w:val="right"/>
              <w:ind w:right="13"/>
              <w:spacing w:after="0"/>
              <w:rPr>
                <w:sz w:val="20"/>
                <w:szCs w:val="20"/>
                <w:color w:val="auto"/>
              </w:rPr>
            </w:pPr>
            <w:r>
              <w:rPr>
                <w:rFonts w:ascii="Arial" w:cs="Arial" w:eastAsia="Arial" w:hAnsi="Arial"/>
                <w:sz w:val="13"/>
                <w:szCs w:val="13"/>
                <w:color w:val="auto"/>
              </w:rPr>
              <w:t>02/18/2025</w:t>
            </w:r>
          </w:p>
        </w:tc>
        <w:tc>
          <w:tcPr>
            <w:tcW w:w="80" w:type="dxa"/>
            <w:vAlign w:val="bottom"/>
            <w:tcBorders>
              <w:top w:val="single" w:sz="8" w:color="E9F1FB"/>
            </w:tcBorders>
          </w:tcPr>
          <w:p>
            <w:pPr>
              <w:spacing w:after="0"/>
              <w:rPr>
                <w:sz w:val="19"/>
                <w:szCs w:val="19"/>
                <w:color w:val="auto"/>
              </w:rPr>
            </w:pPr>
          </w:p>
        </w:tc>
        <w:tc>
          <w:tcPr>
            <w:tcW w:w="880" w:type="dxa"/>
            <w:vAlign w:val="bottom"/>
            <w:tcBorders>
              <w:top w:val="single" w:sz="8" w:color="E9F1FB"/>
            </w:tcBorders>
          </w:tcPr>
          <w:p>
            <w:pPr>
              <w:spacing w:after="0"/>
              <w:rPr>
                <w:sz w:val="19"/>
                <w:szCs w:val="19"/>
                <w:color w:val="auto"/>
              </w:rPr>
            </w:pPr>
          </w:p>
        </w:tc>
        <w:tc>
          <w:tcPr>
            <w:tcW w:w="800" w:type="dxa"/>
            <w:vAlign w:val="bottom"/>
            <w:tcBorders>
              <w:top w:val="single" w:sz="8" w:color="E9F1FB"/>
            </w:tcBorders>
          </w:tcPr>
          <w:p>
            <w:pPr>
              <w:spacing w:after="0"/>
              <w:rPr>
                <w:sz w:val="19"/>
                <w:szCs w:val="19"/>
                <w:color w:val="auto"/>
              </w:rPr>
            </w:pPr>
          </w:p>
        </w:tc>
        <w:tc>
          <w:tcPr>
            <w:tcW w:w="820" w:type="dxa"/>
            <w:vAlign w:val="bottom"/>
            <w:tcBorders>
              <w:top w:val="single" w:sz="8" w:color="E9F1FB"/>
            </w:tcBorders>
          </w:tcPr>
          <w:p>
            <w:pPr>
              <w:spacing w:after="0"/>
              <w:rPr>
                <w:sz w:val="19"/>
                <w:szCs w:val="19"/>
                <w:color w:val="auto"/>
              </w:rPr>
            </w:pPr>
          </w:p>
        </w:tc>
        <w:tc>
          <w:tcPr>
            <w:tcW w:w="800" w:type="dxa"/>
            <w:vAlign w:val="bottom"/>
            <w:tcBorders>
              <w:top w:val="single" w:sz="8" w:color="E9F1FB"/>
            </w:tcBorders>
          </w:tcPr>
          <w:p>
            <w:pPr>
              <w:spacing w:after="0"/>
              <w:rPr>
                <w:sz w:val="19"/>
                <w:szCs w:val="19"/>
                <w:color w:val="auto"/>
              </w:rPr>
            </w:pPr>
          </w:p>
        </w:tc>
        <w:tc>
          <w:tcPr>
            <w:tcW w:w="800" w:type="dxa"/>
            <w:vAlign w:val="bottom"/>
            <w:tcBorders>
              <w:top w:val="single" w:sz="8" w:color="E9F1FB"/>
            </w:tcBorders>
          </w:tcPr>
          <w:p>
            <w:pPr>
              <w:spacing w:after="0"/>
              <w:rPr>
                <w:sz w:val="19"/>
                <w:szCs w:val="19"/>
                <w:color w:val="auto"/>
              </w:rPr>
            </w:pPr>
          </w:p>
        </w:tc>
      </w:tr>
      <w:tr>
        <w:trPr>
          <w:trHeight w:val="223"/>
        </w:trPr>
        <w:tc>
          <w:tcPr>
            <w:tcW w:w="2660" w:type="dxa"/>
            <w:vAlign w:val="bottom"/>
          </w:tcPr>
          <w:p>
            <w:pPr>
              <w:spacing w:after="0"/>
              <w:rPr>
                <w:sz w:val="19"/>
                <w:szCs w:val="19"/>
                <w:color w:val="auto"/>
              </w:rPr>
            </w:pPr>
          </w:p>
        </w:tc>
        <w:tc>
          <w:tcPr>
            <w:tcW w:w="80" w:type="dxa"/>
            <w:vAlign w:val="bottom"/>
            <w:tcBorders>
              <w:top w:val="single" w:sz="8" w:color="E9F1FB"/>
            </w:tcBorders>
          </w:tcPr>
          <w:p>
            <w:pPr>
              <w:spacing w:after="0"/>
              <w:rPr>
                <w:sz w:val="19"/>
                <w:szCs w:val="19"/>
                <w:color w:val="auto"/>
              </w:rPr>
            </w:pPr>
          </w:p>
        </w:tc>
        <w:tc>
          <w:tcPr>
            <w:tcW w:w="830" w:type="dxa"/>
            <w:vAlign w:val="bottom"/>
            <w:tcBorders>
              <w:top w:val="single" w:sz="8" w:color="E9F1FB"/>
              <w:bottom w:val="single" w:sz="8" w:color="EFF8FA"/>
            </w:tcBorders>
            <w:shd w:val="clear" w:color="auto" w:fill="EFF8FA"/>
          </w:tcPr>
          <w:p>
            <w:pPr>
              <w:jc w:val="right"/>
              <w:spacing w:after="0"/>
              <w:rPr>
                <w:sz w:val="20"/>
                <w:szCs w:val="20"/>
                <w:color w:val="auto"/>
              </w:rPr>
            </w:pPr>
            <w:r>
              <w:rPr>
                <w:rFonts w:ascii="Arial" w:cs="Arial" w:eastAsia="Arial" w:hAnsi="Arial"/>
                <w:sz w:val="13"/>
                <w:szCs w:val="13"/>
                <w:color w:val="auto"/>
              </w:rPr>
              <w:t>02/11/2016</w:t>
            </w:r>
          </w:p>
        </w:tc>
        <w:tc>
          <w:tcPr>
            <w:tcW w:w="1050" w:type="dxa"/>
            <w:vAlign w:val="bottom"/>
            <w:tcBorders>
              <w:top w:val="single" w:sz="8" w:color="E9F1FB"/>
              <w:bottom w:val="single" w:sz="8" w:color="EFF8FA"/>
            </w:tcBorders>
            <w:shd w:val="clear" w:color="auto" w:fill="EFF8FA"/>
          </w:tcPr>
          <w:p>
            <w:pPr>
              <w:jc w:val="right"/>
              <w:ind w:right="33"/>
              <w:spacing w:after="0"/>
              <w:rPr>
                <w:sz w:val="20"/>
                <w:szCs w:val="20"/>
                <w:color w:val="auto"/>
              </w:rPr>
            </w:pPr>
            <w:r>
              <w:rPr>
                <w:rFonts w:ascii="Arial" w:cs="Arial" w:eastAsia="Arial" w:hAnsi="Arial"/>
                <w:sz w:val="13"/>
                <w:szCs w:val="13"/>
                <w:color w:val="auto"/>
              </w:rPr>
              <w:t>60,158</w:t>
            </w:r>
          </w:p>
        </w:tc>
        <w:tc>
          <w:tcPr>
            <w:tcW w:w="1180" w:type="dxa"/>
            <w:vAlign w:val="bottom"/>
            <w:tcBorders>
              <w:top w:val="single" w:sz="8" w:color="E9F1FB"/>
              <w:bottom w:val="single" w:sz="8" w:color="EFF8FA"/>
            </w:tcBorders>
            <w:shd w:val="clear" w:color="auto" w:fill="EFF8FA"/>
          </w:tcPr>
          <w:p>
            <w:pPr>
              <w:jc w:val="right"/>
              <w:ind w:right="53"/>
              <w:spacing w:after="0"/>
              <w:rPr>
                <w:sz w:val="20"/>
                <w:szCs w:val="20"/>
                <w:color w:val="auto"/>
              </w:rPr>
            </w:pPr>
            <w:r>
              <w:rPr>
                <w:rFonts w:ascii="Arial" w:cs="Arial" w:eastAsia="Arial" w:hAnsi="Arial"/>
                <w:sz w:val="13"/>
                <w:szCs w:val="13"/>
                <w:color w:val="auto"/>
              </w:rPr>
              <w:t>30,080</w:t>
            </w:r>
          </w:p>
        </w:tc>
        <w:tc>
          <w:tcPr>
            <w:tcW w:w="560" w:type="dxa"/>
            <w:vAlign w:val="bottom"/>
            <w:tcBorders>
              <w:top w:val="single" w:sz="8" w:color="E9F1FB"/>
              <w:bottom w:val="single" w:sz="8" w:color="EFF8FA"/>
            </w:tcBorders>
            <w:shd w:val="clear" w:color="auto" w:fill="EFF8FA"/>
          </w:tcPr>
          <w:p>
            <w:pPr>
              <w:jc w:val="right"/>
              <w:spacing w:after="0"/>
              <w:rPr>
                <w:sz w:val="20"/>
                <w:szCs w:val="20"/>
                <w:color w:val="auto"/>
              </w:rPr>
            </w:pPr>
            <w:r>
              <w:rPr>
                <w:rFonts w:ascii="Arial" w:cs="Arial" w:eastAsia="Arial" w:hAnsi="Arial"/>
                <w:sz w:val="13"/>
                <w:szCs w:val="13"/>
                <w:color w:val="auto"/>
              </w:rPr>
              <w:t>62.32</w:t>
            </w:r>
          </w:p>
        </w:tc>
        <w:tc>
          <w:tcPr>
            <w:tcW w:w="100" w:type="dxa"/>
            <w:vAlign w:val="bottom"/>
            <w:tcBorders>
              <w:top w:val="single" w:sz="8" w:color="E9F1FB"/>
              <w:bottom w:val="single" w:sz="8" w:color="EFF8FA"/>
            </w:tcBorders>
            <w:shd w:val="clear" w:color="auto" w:fill="EFF8FA"/>
          </w:tcPr>
          <w:p>
            <w:pPr>
              <w:spacing w:after="0"/>
              <w:rPr>
                <w:sz w:val="19"/>
                <w:szCs w:val="19"/>
                <w:color w:val="auto"/>
              </w:rPr>
            </w:pPr>
          </w:p>
        </w:tc>
        <w:tc>
          <w:tcPr>
            <w:tcW w:w="780" w:type="dxa"/>
            <w:vAlign w:val="bottom"/>
            <w:tcBorders>
              <w:top w:val="single" w:sz="8" w:color="E9F1FB"/>
              <w:bottom w:val="single" w:sz="8" w:color="EFF8FA"/>
            </w:tcBorders>
            <w:shd w:val="clear" w:color="auto" w:fill="EFF8FA"/>
          </w:tcPr>
          <w:p>
            <w:pPr>
              <w:jc w:val="right"/>
              <w:ind w:right="13"/>
              <w:spacing w:after="0"/>
              <w:rPr>
                <w:sz w:val="20"/>
                <w:szCs w:val="20"/>
                <w:color w:val="auto"/>
              </w:rPr>
            </w:pPr>
            <w:r>
              <w:rPr>
                <w:rFonts w:ascii="Arial" w:cs="Arial" w:eastAsia="Arial" w:hAnsi="Arial"/>
                <w:sz w:val="13"/>
                <w:szCs w:val="13"/>
                <w:color w:val="auto"/>
              </w:rPr>
              <w:t>02/11/2026</w:t>
            </w:r>
          </w:p>
        </w:tc>
        <w:tc>
          <w:tcPr>
            <w:tcW w:w="80" w:type="dxa"/>
            <w:vAlign w:val="bottom"/>
            <w:tcBorders>
              <w:top w:val="single" w:sz="8" w:color="E9F1FB"/>
            </w:tcBorders>
          </w:tcPr>
          <w:p>
            <w:pPr>
              <w:spacing w:after="0"/>
              <w:rPr>
                <w:sz w:val="19"/>
                <w:szCs w:val="19"/>
                <w:color w:val="auto"/>
              </w:rPr>
            </w:pPr>
          </w:p>
        </w:tc>
        <w:tc>
          <w:tcPr>
            <w:tcW w:w="880" w:type="dxa"/>
            <w:vAlign w:val="bottom"/>
            <w:tcBorders>
              <w:top w:val="single" w:sz="8" w:color="E9F1FB"/>
            </w:tcBorders>
          </w:tcPr>
          <w:p>
            <w:pPr>
              <w:spacing w:after="0"/>
              <w:rPr>
                <w:sz w:val="19"/>
                <w:szCs w:val="19"/>
                <w:color w:val="auto"/>
              </w:rPr>
            </w:pPr>
          </w:p>
        </w:tc>
        <w:tc>
          <w:tcPr>
            <w:tcW w:w="800" w:type="dxa"/>
            <w:vAlign w:val="bottom"/>
            <w:tcBorders>
              <w:top w:val="single" w:sz="8" w:color="E9F1FB"/>
            </w:tcBorders>
          </w:tcPr>
          <w:p>
            <w:pPr>
              <w:spacing w:after="0"/>
              <w:rPr>
                <w:sz w:val="19"/>
                <w:szCs w:val="19"/>
                <w:color w:val="auto"/>
              </w:rPr>
            </w:pPr>
          </w:p>
        </w:tc>
        <w:tc>
          <w:tcPr>
            <w:tcW w:w="820" w:type="dxa"/>
            <w:vAlign w:val="bottom"/>
            <w:tcBorders>
              <w:top w:val="single" w:sz="8" w:color="E9F1FB"/>
            </w:tcBorders>
          </w:tcPr>
          <w:p>
            <w:pPr>
              <w:spacing w:after="0"/>
              <w:rPr>
                <w:sz w:val="19"/>
                <w:szCs w:val="19"/>
                <w:color w:val="auto"/>
              </w:rPr>
            </w:pPr>
          </w:p>
        </w:tc>
        <w:tc>
          <w:tcPr>
            <w:tcW w:w="800" w:type="dxa"/>
            <w:vAlign w:val="bottom"/>
            <w:tcBorders>
              <w:top w:val="single" w:sz="8" w:color="E9F1FB"/>
            </w:tcBorders>
          </w:tcPr>
          <w:p>
            <w:pPr>
              <w:spacing w:after="0"/>
              <w:rPr>
                <w:sz w:val="19"/>
                <w:szCs w:val="19"/>
                <w:color w:val="auto"/>
              </w:rPr>
            </w:pPr>
          </w:p>
        </w:tc>
        <w:tc>
          <w:tcPr>
            <w:tcW w:w="800" w:type="dxa"/>
            <w:vAlign w:val="bottom"/>
            <w:tcBorders>
              <w:top w:val="single" w:sz="8" w:color="E9F1FB"/>
            </w:tcBorders>
          </w:tcPr>
          <w:p>
            <w:pPr>
              <w:spacing w:after="0"/>
              <w:rPr>
                <w:sz w:val="19"/>
                <w:szCs w:val="19"/>
                <w:color w:val="auto"/>
              </w:rPr>
            </w:pPr>
          </w:p>
        </w:tc>
      </w:tr>
      <w:tr>
        <w:trPr>
          <w:trHeight w:val="223"/>
        </w:trPr>
        <w:tc>
          <w:tcPr>
            <w:tcW w:w="2660" w:type="dxa"/>
            <w:vAlign w:val="bottom"/>
          </w:tcPr>
          <w:p>
            <w:pPr>
              <w:spacing w:after="0"/>
              <w:rPr>
                <w:sz w:val="19"/>
                <w:szCs w:val="19"/>
                <w:color w:val="auto"/>
              </w:rPr>
            </w:pPr>
          </w:p>
        </w:tc>
        <w:tc>
          <w:tcPr>
            <w:tcW w:w="80" w:type="dxa"/>
            <w:vAlign w:val="bottom"/>
            <w:tcBorders>
              <w:top w:val="single" w:sz="8" w:color="E9F1FB"/>
            </w:tcBorders>
          </w:tcPr>
          <w:p>
            <w:pPr>
              <w:spacing w:after="0"/>
              <w:rPr>
                <w:sz w:val="19"/>
                <w:szCs w:val="19"/>
                <w:color w:val="auto"/>
              </w:rPr>
            </w:pPr>
          </w:p>
        </w:tc>
        <w:tc>
          <w:tcPr>
            <w:tcW w:w="830" w:type="dxa"/>
            <w:vAlign w:val="bottom"/>
            <w:tcBorders>
              <w:top w:val="single" w:sz="8" w:color="E9F1FB"/>
              <w:bottom w:val="single" w:sz="8" w:color="EFF8FA"/>
            </w:tcBorders>
            <w:shd w:val="clear" w:color="auto" w:fill="EFF8FA"/>
          </w:tcPr>
          <w:p>
            <w:pPr>
              <w:spacing w:after="0"/>
              <w:rPr>
                <w:sz w:val="19"/>
                <w:szCs w:val="19"/>
                <w:color w:val="auto"/>
              </w:rPr>
            </w:pPr>
          </w:p>
        </w:tc>
        <w:tc>
          <w:tcPr>
            <w:tcW w:w="1050" w:type="dxa"/>
            <w:vAlign w:val="bottom"/>
            <w:tcBorders>
              <w:top w:val="single" w:sz="8" w:color="E9F1FB"/>
              <w:bottom w:val="single" w:sz="8" w:color="EFF8FA"/>
            </w:tcBorders>
            <w:shd w:val="clear" w:color="auto" w:fill="EFF8FA"/>
          </w:tcPr>
          <w:p>
            <w:pPr>
              <w:spacing w:after="0"/>
              <w:rPr>
                <w:sz w:val="19"/>
                <w:szCs w:val="19"/>
                <w:color w:val="auto"/>
              </w:rPr>
            </w:pPr>
          </w:p>
        </w:tc>
        <w:tc>
          <w:tcPr>
            <w:tcW w:w="1180" w:type="dxa"/>
            <w:vAlign w:val="bottom"/>
            <w:tcBorders>
              <w:top w:val="single" w:sz="8" w:color="E9F1FB"/>
              <w:bottom w:val="single" w:sz="8" w:color="EFF8FA"/>
            </w:tcBorders>
            <w:shd w:val="clear" w:color="auto" w:fill="EFF8FA"/>
          </w:tcPr>
          <w:p>
            <w:pPr>
              <w:spacing w:after="0"/>
              <w:rPr>
                <w:sz w:val="19"/>
                <w:szCs w:val="19"/>
                <w:color w:val="auto"/>
              </w:rPr>
            </w:pPr>
          </w:p>
        </w:tc>
        <w:tc>
          <w:tcPr>
            <w:tcW w:w="560" w:type="dxa"/>
            <w:vAlign w:val="bottom"/>
            <w:tcBorders>
              <w:top w:val="single" w:sz="8" w:color="E9F1FB"/>
              <w:bottom w:val="single" w:sz="8" w:color="EFF8FA"/>
            </w:tcBorders>
            <w:shd w:val="clear" w:color="auto" w:fill="EFF8FA"/>
          </w:tcPr>
          <w:p>
            <w:pPr>
              <w:spacing w:after="0"/>
              <w:rPr>
                <w:sz w:val="19"/>
                <w:szCs w:val="19"/>
                <w:color w:val="auto"/>
              </w:rPr>
            </w:pPr>
          </w:p>
        </w:tc>
        <w:tc>
          <w:tcPr>
            <w:tcW w:w="100" w:type="dxa"/>
            <w:vAlign w:val="bottom"/>
            <w:tcBorders>
              <w:top w:val="single" w:sz="8" w:color="E9F1FB"/>
              <w:bottom w:val="single" w:sz="8" w:color="EFF8FA"/>
            </w:tcBorders>
            <w:shd w:val="clear" w:color="auto" w:fill="EFF8FA"/>
          </w:tcPr>
          <w:p>
            <w:pPr>
              <w:spacing w:after="0"/>
              <w:rPr>
                <w:sz w:val="19"/>
                <w:szCs w:val="19"/>
                <w:color w:val="auto"/>
              </w:rPr>
            </w:pPr>
          </w:p>
        </w:tc>
        <w:tc>
          <w:tcPr>
            <w:tcW w:w="780" w:type="dxa"/>
            <w:vAlign w:val="bottom"/>
            <w:tcBorders>
              <w:top w:val="single" w:sz="8" w:color="E9F1FB"/>
              <w:bottom w:val="single" w:sz="8" w:color="EFF8FA"/>
            </w:tcBorders>
            <w:shd w:val="clear" w:color="auto" w:fill="EFF8FA"/>
          </w:tcPr>
          <w:p>
            <w:pPr>
              <w:spacing w:after="0"/>
              <w:rPr>
                <w:sz w:val="19"/>
                <w:szCs w:val="19"/>
                <w:color w:val="auto"/>
              </w:rPr>
            </w:pPr>
          </w:p>
        </w:tc>
        <w:tc>
          <w:tcPr>
            <w:tcW w:w="960" w:type="dxa"/>
            <w:vAlign w:val="bottom"/>
            <w:tcBorders>
              <w:top w:val="single" w:sz="8" w:color="E9F1FB"/>
            </w:tcBorders>
            <w:gridSpan w:val="2"/>
          </w:tcPr>
          <w:p>
            <w:pPr>
              <w:jc w:val="right"/>
              <w:spacing w:after="0"/>
              <w:rPr>
                <w:sz w:val="20"/>
                <w:szCs w:val="20"/>
                <w:color w:val="auto"/>
              </w:rPr>
            </w:pPr>
            <w:r>
              <w:rPr>
                <w:rFonts w:ascii="Arial" w:cs="Arial" w:eastAsia="Arial" w:hAnsi="Arial"/>
                <w:sz w:val="13"/>
                <w:szCs w:val="13"/>
                <w:color w:val="auto"/>
              </w:rPr>
              <w:t>02/11/2016</w:t>
            </w:r>
          </w:p>
        </w:tc>
        <w:tc>
          <w:tcPr>
            <w:tcW w:w="800" w:type="dxa"/>
            <w:vAlign w:val="bottom"/>
            <w:tcBorders>
              <w:top w:val="single" w:sz="8" w:color="E9F1FB"/>
            </w:tcBorders>
          </w:tcPr>
          <w:p>
            <w:pPr>
              <w:jc w:val="right"/>
              <w:spacing w:after="0"/>
              <w:rPr>
                <w:sz w:val="20"/>
                <w:szCs w:val="20"/>
                <w:color w:val="auto"/>
              </w:rPr>
            </w:pPr>
            <w:r>
              <w:rPr>
                <w:rFonts w:ascii="Arial" w:cs="Arial" w:eastAsia="Arial" w:hAnsi="Arial"/>
                <w:sz w:val="13"/>
                <w:szCs w:val="13"/>
                <w:color w:val="auto"/>
              </w:rPr>
              <w:t>42,759</w:t>
            </w:r>
          </w:p>
        </w:tc>
        <w:tc>
          <w:tcPr>
            <w:tcW w:w="820" w:type="dxa"/>
            <w:vAlign w:val="bottom"/>
            <w:tcBorders>
              <w:top w:val="single" w:sz="8" w:color="E9F1FB"/>
            </w:tcBorders>
          </w:tcPr>
          <w:p>
            <w:pPr>
              <w:jc w:val="right"/>
              <w:spacing w:after="0"/>
              <w:rPr>
                <w:sz w:val="20"/>
                <w:szCs w:val="20"/>
                <w:color w:val="auto"/>
              </w:rPr>
            </w:pPr>
            <w:r>
              <w:rPr>
                <w:rFonts w:ascii="Arial" w:cs="Arial" w:eastAsia="Arial" w:hAnsi="Arial"/>
                <w:sz w:val="13"/>
                <w:szCs w:val="13"/>
                <w:color w:val="auto"/>
              </w:rPr>
              <w:t>3,533,176</w:t>
            </w:r>
          </w:p>
        </w:tc>
        <w:tc>
          <w:tcPr>
            <w:tcW w:w="800" w:type="dxa"/>
            <w:vAlign w:val="bottom"/>
            <w:tcBorders>
              <w:top w:val="single" w:sz="8" w:color="E9F1FB"/>
            </w:tcBorders>
          </w:tcPr>
          <w:p>
            <w:pPr>
              <w:spacing w:after="0"/>
              <w:rPr>
                <w:sz w:val="19"/>
                <w:szCs w:val="19"/>
                <w:color w:val="auto"/>
              </w:rPr>
            </w:pPr>
          </w:p>
        </w:tc>
        <w:tc>
          <w:tcPr>
            <w:tcW w:w="800" w:type="dxa"/>
            <w:vAlign w:val="bottom"/>
            <w:tcBorders>
              <w:top w:val="single" w:sz="8" w:color="E9F1FB"/>
            </w:tcBorders>
          </w:tcPr>
          <w:p>
            <w:pPr>
              <w:spacing w:after="0"/>
              <w:rPr>
                <w:sz w:val="19"/>
                <w:szCs w:val="19"/>
                <w:color w:val="auto"/>
              </w:rPr>
            </w:pPr>
          </w:p>
        </w:tc>
      </w:tr>
      <w:tr>
        <w:trPr>
          <w:trHeight w:val="223"/>
        </w:trPr>
        <w:tc>
          <w:tcPr>
            <w:tcW w:w="2660" w:type="dxa"/>
            <w:vAlign w:val="bottom"/>
          </w:tcPr>
          <w:p>
            <w:pPr>
              <w:spacing w:after="0"/>
              <w:rPr>
                <w:sz w:val="19"/>
                <w:szCs w:val="19"/>
                <w:color w:val="auto"/>
              </w:rPr>
            </w:pPr>
          </w:p>
        </w:tc>
        <w:tc>
          <w:tcPr>
            <w:tcW w:w="80" w:type="dxa"/>
            <w:vAlign w:val="bottom"/>
            <w:tcBorders>
              <w:top w:val="single" w:sz="8" w:color="E9F1FB"/>
            </w:tcBorders>
          </w:tcPr>
          <w:p>
            <w:pPr>
              <w:spacing w:after="0"/>
              <w:rPr>
                <w:sz w:val="19"/>
                <w:szCs w:val="19"/>
                <w:color w:val="auto"/>
              </w:rPr>
            </w:pPr>
          </w:p>
        </w:tc>
        <w:tc>
          <w:tcPr>
            <w:tcW w:w="830" w:type="dxa"/>
            <w:vAlign w:val="bottom"/>
            <w:tcBorders>
              <w:top w:val="single" w:sz="8" w:color="E9F1FB"/>
              <w:bottom w:val="single" w:sz="8" w:color="EFF8FA"/>
            </w:tcBorders>
            <w:shd w:val="clear" w:color="auto" w:fill="EFF8FA"/>
          </w:tcPr>
          <w:p>
            <w:pPr>
              <w:jc w:val="right"/>
              <w:spacing w:after="0"/>
              <w:rPr>
                <w:sz w:val="20"/>
                <w:szCs w:val="20"/>
                <w:color w:val="auto"/>
              </w:rPr>
            </w:pPr>
            <w:r>
              <w:rPr>
                <w:rFonts w:ascii="Arial" w:cs="Arial" w:eastAsia="Arial" w:hAnsi="Arial"/>
                <w:sz w:val="13"/>
                <w:szCs w:val="13"/>
                <w:color w:val="auto"/>
              </w:rPr>
              <w:t>02/09/2017</w:t>
            </w:r>
          </w:p>
        </w:tc>
        <w:tc>
          <w:tcPr>
            <w:tcW w:w="1050" w:type="dxa"/>
            <w:vAlign w:val="bottom"/>
            <w:tcBorders>
              <w:top w:val="single" w:sz="8" w:color="E9F1FB"/>
              <w:bottom w:val="single" w:sz="8" w:color="EFF8FA"/>
            </w:tcBorders>
            <w:shd w:val="clear" w:color="auto" w:fill="EFF8FA"/>
          </w:tcPr>
          <w:p>
            <w:pPr>
              <w:jc w:val="right"/>
              <w:ind w:right="33"/>
              <w:spacing w:after="0"/>
              <w:rPr>
                <w:sz w:val="20"/>
                <w:szCs w:val="20"/>
                <w:color w:val="auto"/>
              </w:rPr>
            </w:pPr>
            <w:r>
              <w:rPr>
                <w:rFonts w:ascii="Arial" w:cs="Arial" w:eastAsia="Arial" w:hAnsi="Arial"/>
                <w:sz w:val="13"/>
                <w:szCs w:val="13"/>
                <w:color w:val="auto"/>
              </w:rPr>
              <w:t>30,595</w:t>
            </w:r>
          </w:p>
        </w:tc>
        <w:tc>
          <w:tcPr>
            <w:tcW w:w="1180" w:type="dxa"/>
            <w:vAlign w:val="bottom"/>
            <w:tcBorders>
              <w:top w:val="single" w:sz="8" w:color="E9F1FB"/>
              <w:bottom w:val="single" w:sz="8" w:color="EFF8FA"/>
            </w:tcBorders>
            <w:shd w:val="clear" w:color="auto" w:fill="EFF8FA"/>
          </w:tcPr>
          <w:p>
            <w:pPr>
              <w:jc w:val="right"/>
              <w:ind w:right="53"/>
              <w:spacing w:after="0"/>
              <w:rPr>
                <w:sz w:val="20"/>
                <w:szCs w:val="20"/>
                <w:color w:val="auto"/>
              </w:rPr>
            </w:pPr>
            <w:r>
              <w:rPr>
                <w:rFonts w:ascii="Arial" w:cs="Arial" w:eastAsia="Arial" w:hAnsi="Arial"/>
                <w:sz w:val="13"/>
                <w:szCs w:val="13"/>
                <w:color w:val="auto"/>
              </w:rPr>
              <w:t>61,192</w:t>
            </w:r>
          </w:p>
        </w:tc>
        <w:tc>
          <w:tcPr>
            <w:tcW w:w="560" w:type="dxa"/>
            <w:vAlign w:val="bottom"/>
            <w:tcBorders>
              <w:top w:val="single" w:sz="8" w:color="E9F1FB"/>
              <w:bottom w:val="single" w:sz="8" w:color="EFF8FA"/>
            </w:tcBorders>
            <w:shd w:val="clear" w:color="auto" w:fill="EFF8FA"/>
          </w:tcPr>
          <w:p>
            <w:pPr>
              <w:jc w:val="right"/>
              <w:spacing w:after="0"/>
              <w:rPr>
                <w:sz w:val="20"/>
                <w:szCs w:val="20"/>
                <w:color w:val="auto"/>
              </w:rPr>
            </w:pPr>
            <w:r>
              <w:rPr>
                <w:rFonts w:ascii="Arial" w:cs="Arial" w:eastAsia="Arial" w:hAnsi="Arial"/>
                <w:sz w:val="13"/>
                <w:szCs w:val="13"/>
                <w:color w:val="auto"/>
              </w:rPr>
              <w:t>78.35</w:t>
            </w:r>
          </w:p>
        </w:tc>
        <w:tc>
          <w:tcPr>
            <w:tcW w:w="100" w:type="dxa"/>
            <w:vAlign w:val="bottom"/>
            <w:tcBorders>
              <w:top w:val="single" w:sz="8" w:color="E9F1FB"/>
              <w:bottom w:val="single" w:sz="8" w:color="EFF8FA"/>
            </w:tcBorders>
            <w:shd w:val="clear" w:color="auto" w:fill="EFF8FA"/>
          </w:tcPr>
          <w:p>
            <w:pPr>
              <w:spacing w:after="0"/>
              <w:rPr>
                <w:sz w:val="19"/>
                <w:szCs w:val="19"/>
                <w:color w:val="auto"/>
              </w:rPr>
            </w:pPr>
          </w:p>
        </w:tc>
        <w:tc>
          <w:tcPr>
            <w:tcW w:w="780" w:type="dxa"/>
            <w:vAlign w:val="bottom"/>
            <w:tcBorders>
              <w:top w:val="single" w:sz="8" w:color="E9F1FB"/>
              <w:bottom w:val="single" w:sz="8" w:color="EFF8FA"/>
            </w:tcBorders>
            <w:shd w:val="clear" w:color="auto" w:fill="EFF8FA"/>
          </w:tcPr>
          <w:p>
            <w:pPr>
              <w:jc w:val="right"/>
              <w:ind w:right="13"/>
              <w:spacing w:after="0"/>
              <w:rPr>
                <w:sz w:val="20"/>
                <w:szCs w:val="20"/>
                <w:color w:val="auto"/>
              </w:rPr>
            </w:pPr>
            <w:r>
              <w:rPr>
                <w:rFonts w:ascii="Arial" w:cs="Arial" w:eastAsia="Arial" w:hAnsi="Arial"/>
                <w:sz w:val="13"/>
                <w:szCs w:val="13"/>
                <w:color w:val="auto"/>
              </w:rPr>
              <w:t>02/09/2027</w:t>
            </w:r>
          </w:p>
        </w:tc>
        <w:tc>
          <w:tcPr>
            <w:tcW w:w="80" w:type="dxa"/>
            <w:vAlign w:val="bottom"/>
            <w:tcBorders>
              <w:top w:val="single" w:sz="8" w:color="E9F1FB"/>
            </w:tcBorders>
          </w:tcPr>
          <w:p>
            <w:pPr>
              <w:spacing w:after="0"/>
              <w:rPr>
                <w:sz w:val="19"/>
                <w:szCs w:val="19"/>
                <w:color w:val="auto"/>
              </w:rPr>
            </w:pPr>
          </w:p>
        </w:tc>
        <w:tc>
          <w:tcPr>
            <w:tcW w:w="880" w:type="dxa"/>
            <w:vAlign w:val="bottom"/>
            <w:tcBorders>
              <w:top w:val="single" w:sz="8" w:color="E9F1FB"/>
            </w:tcBorders>
          </w:tcPr>
          <w:p>
            <w:pPr>
              <w:spacing w:after="0"/>
              <w:rPr>
                <w:sz w:val="19"/>
                <w:szCs w:val="19"/>
                <w:color w:val="auto"/>
              </w:rPr>
            </w:pPr>
          </w:p>
        </w:tc>
        <w:tc>
          <w:tcPr>
            <w:tcW w:w="800" w:type="dxa"/>
            <w:vAlign w:val="bottom"/>
            <w:tcBorders>
              <w:top w:val="single" w:sz="8" w:color="E9F1FB"/>
            </w:tcBorders>
          </w:tcPr>
          <w:p>
            <w:pPr>
              <w:spacing w:after="0"/>
              <w:rPr>
                <w:sz w:val="19"/>
                <w:szCs w:val="19"/>
                <w:color w:val="auto"/>
              </w:rPr>
            </w:pPr>
          </w:p>
        </w:tc>
        <w:tc>
          <w:tcPr>
            <w:tcW w:w="820" w:type="dxa"/>
            <w:vAlign w:val="bottom"/>
            <w:tcBorders>
              <w:top w:val="single" w:sz="8" w:color="E9F1FB"/>
            </w:tcBorders>
          </w:tcPr>
          <w:p>
            <w:pPr>
              <w:spacing w:after="0"/>
              <w:rPr>
                <w:sz w:val="19"/>
                <w:szCs w:val="19"/>
                <w:color w:val="auto"/>
              </w:rPr>
            </w:pPr>
          </w:p>
        </w:tc>
        <w:tc>
          <w:tcPr>
            <w:tcW w:w="800" w:type="dxa"/>
            <w:vAlign w:val="bottom"/>
            <w:tcBorders>
              <w:top w:val="single" w:sz="8" w:color="E9F1FB"/>
            </w:tcBorders>
          </w:tcPr>
          <w:p>
            <w:pPr>
              <w:spacing w:after="0"/>
              <w:rPr>
                <w:sz w:val="19"/>
                <w:szCs w:val="19"/>
                <w:color w:val="auto"/>
              </w:rPr>
            </w:pPr>
          </w:p>
        </w:tc>
        <w:tc>
          <w:tcPr>
            <w:tcW w:w="800" w:type="dxa"/>
            <w:vAlign w:val="bottom"/>
            <w:tcBorders>
              <w:top w:val="single" w:sz="8" w:color="E9F1FB"/>
            </w:tcBorders>
          </w:tcPr>
          <w:p>
            <w:pPr>
              <w:spacing w:after="0"/>
              <w:rPr>
                <w:sz w:val="19"/>
                <w:szCs w:val="19"/>
                <w:color w:val="auto"/>
              </w:rPr>
            </w:pPr>
          </w:p>
        </w:tc>
      </w:tr>
      <w:tr>
        <w:trPr>
          <w:trHeight w:val="223"/>
        </w:trPr>
        <w:tc>
          <w:tcPr>
            <w:tcW w:w="2660" w:type="dxa"/>
            <w:vAlign w:val="bottom"/>
          </w:tcPr>
          <w:p>
            <w:pPr>
              <w:spacing w:after="0"/>
              <w:rPr>
                <w:sz w:val="19"/>
                <w:szCs w:val="19"/>
                <w:color w:val="auto"/>
              </w:rPr>
            </w:pPr>
          </w:p>
        </w:tc>
        <w:tc>
          <w:tcPr>
            <w:tcW w:w="80" w:type="dxa"/>
            <w:vAlign w:val="bottom"/>
            <w:tcBorders>
              <w:top w:val="single" w:sz="8" w:color="E9F1FB"/>
            </w:tcBorders>
          </w:tcPr>
          <w:p>
            <w:pPr>
              <w:spacing w:after="0"/>
              <w:rPr>
                <w:sz w:val="19"/>
                <w:szCs w:val="19"/>
                <w:color w:val="auto"/>
              </w:rPr>
            </w:pPr>
          </w:p>
        </w:tc>
        <w:tc>
          <w:tcPr>
            <w:tcW w:w="830" w:type="dxa"/>
            <w:vAlign w:val="bottom"/>
            <w:tcBorders>
              <w:top w:val="single" w:sz="8" w:color="E9F1FB"/>
              <w:bottom w:val="single" w:sz="8" w:color="EFF8FA"/>
            </w:tcBorders>
            <w:shd w:val="clear" w:color="auto" w:fill="EFF8FA"/>
          </w:tcPr>
          <w:p>
            <w:pPr>
              <w:spacing w:after="0"/>
              <w:rPr>
                <w:sz w:val="19"/>
                <w:szCs w:val="19"/>
                <w:color w:val="auto"/>
              </w:rPr>
            </w:pPr>
          </w:p>
        </w:tc>
        <w:tc>
          <w:tcPr>
            <w:tcW w:w="1050" w:type="dxa"/>
            <w:vAlign w:val="bottom"/>
            <w:tcBorders>
              <w:top w:val="single" w:sz="8" w:color="E9F1FB"/>
              <w:bottom w:val="single" w:sz="8" w:color="EFF8FA"/>
            </w:tcBorders>
            <w:shd w:val="clear" w:color="auto" w:fill="EFF8FA"/>
          </w:tcPr>
          <w:p>
            <w:pPr>
              <w:spacing w:after="0"/>
              <w:rPr>
                <w:sz w:val="19"/>
                <w:szCs w:val="19"/>
                <w:color w:val="auto"/>
              </w:rPr>
            </w:pPr>
          </w:p>
        </w:tc>
        <w:tc>
          <w:tcPr>
            <w:tcW w:w="1180" w:type="dxa"/>
            <w:vAlign w:val="bottom"/>
            <w:tcBorders>
              <w:top w:val="single" w:sz="8" w:color="E9F1FB"/>
              <w:bottom w:val="single" w:sz="8" w:color="EFF8FA"/>
            </w:tcBorders>
            <w:shd w:val="clear" w:color="auto" w:fill="EFF8FA"/>
          </w:tcPr>
          <w:p>
            <w:pPr>
              <w:spacing w:after="0"/>
              <w:rPr>
                <w:sz w:val="19"/>
                <w:szCs w:val="19"/>
                <w:color w:val="auto"/>
              </w:rPr>
            </w:pPr>
          </w:p>
        </w:tc>
        <w:tc>
          <w:tcPr>
            <w:tcW w:w="560" w:type="dxa"/>
            <w:vAlign w:val="bottom"/>
            <w:tcBorders>
              <w:top w:val="single" w:sz="8" w:color="E9F1FB"/>
              <w:bottom w:val="single" w:sz="8" w:color="EFF8FA"/>
            </w:tcBorders>
            <w:shd w:val="clear" w:color="auto" w:fill="EFF8FA"/>
          </w:tcPr>
          <w:p>
            <w:pPr>
              <w:spacing w:after="0"/>
              <w:rPr>
                <w:sz w:val="19"/>
                <w:szCs w:val="19"/>
                <w:color w:val="auto"/>
              </w:rPr>
            </w:pPr>
          </w:p>
        </w:tc>
        <w:tc>
          <w:tcPr>
            <w:tcW w:w="100" w:type="dxa"/>
            <w:vAlign w:val="bottom"/>
            <w:tcBorders>
              <w:top w:val="single" w:sz="8" w:color="E9F1FB"/>
              <w:bottom w:val="single" w:sz="8" w:color="EFF8FA"/>
            </w:tcBorders>
            <w:shd w:val="clear" w:color="auto" w:fill="EFF8FA"/>
          </w:tcPr>
          <w:p>
            <w:pPr>
              <w:spacing w:after="0"/>
              <w:rPr>
                <w:sz w:val="19"/>
                <w:szCs w:val="19"/>
                <w:color w:val="auto"/>
              </w:rPr>
            </w:pPr>
          </w:p>
        </w:tc>
        <w:tc>
          <w:tcPr>
            <w:tcW w:w="780" w:type="dxa"/>
            <w:vAlign w:val="bottom"/>
            <w:tcBorders>
              <w:top w:val="single" w:sz="8" w:color="E9F1FB"/>
              <w:bottom w:val="single" w:sz="8" w:color="EFF8FA"/>
            </w:tcBorders>
            <w:shd w:val="clear" w:color="auto" w:fill="EFF8FA"/>
          </w:tcPr>
          <w:p>
            <w:pPr>
              <w:spacing w:after="0"/>
              <w:rPr>
                <w:sz w:val="19"/>
                <w:szCs w:val="19"/>
                <w:color w:val="auto"/>
              </w:rPr>
            </w:pPr>
          </w:p>
        </w:tc>
        <w:tc>
          <w:tcPr>
            <w:tcW w:w="960" w:type="dxa"/>
            <w:vAlign w:val="bottom"/>
            <w:tcBorders>
              <w:top w:val="single" w:sz="8" w:color="E9F1FB"/>
            </w:tcBorders>
            <w:gridSpan w:val="2"/>
          </w:tcPr>
          <w:p>
            <w:pPr>
              <w:jc w:val="right"/>
              <w:spacing w:after="0"/>
              <w:rPr>
                <w:sz w:val="20"/>
                <w:szCs w:val="20"/>
                <w:color w:val="auto"/>
              </w:rPr>
            </w:pPr>
            <w:r>
              <w:rPr>
                <w:rFonts w:ascii="Arial" w:cs="Arial" w:eastAsia="Arial" w:hAnsi="Arial"/>
                <w:sz w:val="13"/>
                <w:szCs w:val="13"/>
                <w:color w:val="auto"/>
              </w:rPr>
              <w:t>02/09/2017</w:t>
            </w:r>
          </w:p>
        </w:tc>
        <w:tc>
          <w:tcPr>
            <w:tcW w:w="800" w:type="dxa"/>
            <w:vAlign w:val="bottom"/>
            <w:tcBorders>
              <w:top w:val="single" w:sz="8" w:color="E9F1FB"/>
            </w:tcBorders>
          </w:tcPr>
          <w:p>
            <w:pPr>
              <w:spacing w:after="0"/>
              <w:rPr>
                <w:sz w:val="19"/>
                <w:szCs w:val="19"/>
                <w:color w:val="auto"/>
              </w:rPr>
            </w:pPr>
          </w:p>
        </w:tc>
        <w:tc>
          <w:tcPr>
            <w:tcW w:w="820" w:type="dxa"/>
            <w:vAlign w:val="bottom"/>
            <w:tcBorders>
              <w:top w:val="single" w:sz="8" w:color="E9F1FB"/>
            </w:tcBorders>
          </w:tcPr>
          <w:p>
            <w:pPr>
              <w:spacing w:after="0"/>
              <w:rPr>
                <w:sz w:val="19"/>
                <w:szCs w:val="19"/>
                <w:color w:val="auto"/>
              </w:rPr>
            </w:pPr>
          </w:p>
        </w:tc>
        <w:tc>
          <w:tcPr>
            <w:tcW w:w="800" w:type="dxa"/>
            <w:vAlign w:val="bottom"/>
            <w:tcBorders>
              <w:top w:val="single" w:sz="8" w:color="E9F1FB"/>
            </w:tcBorders>
          </w:tcPr>
          <w:p>
            <w:pPr>
              <w:jc w:val="right"/>
              <w:spacing w:after="0"/>
              <w:rPr>
                <w:sz w:val="20"/>
                <w:szCs w:val="20"/>
                <w:color w:val="auto"/>
              </w:rPr>
            </w:pPr>
            <w:r>
              <w:rPr>
                <w:rFonts w:ascii="Arial" w:cs="Arial" w:eastAsia="Arial" w:hAnsi="Arial"/>
                <w:sz w:val="13"/>
                <w:szCs w:val="13"/>
                <w:color w:val="auto"/>
              </w:rPr>
              <w:t>50,926</w:t>
            </w:r>
          </w:p>
        </w:tc>
        <w:tc>
          <w:tcPr>
            <w:tcW w:w="800" w:type="dxa"/>
            <w:vAlign w:val="bottom"/>
            <w:tcBorders>
              <w:top w:val="single" w:sz="8" w:color="E9F1FB"/>
            </w:tcBorders>
          </w:tcPr>
          <w:p>
            <w:pPr>
              <w:jc w:val="right"/>
              <w:spacing w:after="0"/>
              <w:rPr>
                <w:sz w:val="20"/>
                <w:szCs w:val="20"/>
                <w:color w:val="auto"/>
              </w:rPr>
            </w:pPr>
            <w:r>
              <w:rPr>
                <w:rFonts w:ascii="Arial" w:cs="Arial" w:eastAsia="Arial" w:hAnsi="Arial"/>
                <w:sz w:val="13"/>
                <w:szCs w:val="13"/>
                <w:color w:val="auto"/>
              </w:rPr>
              <w:t>4,208,015</w:t>
            </w:r>
          </w:p>
        </w:tc>
      </w:tr>
      <w:tr>
        <w:trPr>
          <w:trHeight w:val="223"/>
        </w:trPr>
        <w:tc>
          <w:tcPr>
            <w:tcW w:w="2660" w:type="dxa"/>
            <w:vAlign w:val="bottom"/>
          </w:tcPr>
          <w:p>
            <w:pPr>
              <w:spacing w:after="0"/>
              <w:rPr>
                <w:sz w:val="19"/>
                <w:szCs w:val="19"/>
                <w:color w:val="auto"/>
              </w:rPr>
            </w:pPr>
          </w:p>
        </w:tc>
        <w:tc>
          <w:tcPr>
            <w:tcW w:w="80" w:type="dxa"/>
            <w:vAlign w:val="bottom"/>
            <w:tcBorders>
              <w:top w:val="single" w:sz="8" w:color="E9F1FB"/>
            </w:tcBorders>
          </w:tcPr>
          <w:p>
            <w:pPr>
              <w:spacing w:after="0"/>
              <w:rPr>
                <w:sz w:val="19"/>
                <w:szCs w:val="19"/>
                <w:color w:val="auto"/>
              </w:rPr>
            </w:pPr>
          </w:p>
        </w:tc>
        <w:tc>
          <w:tcPr>
            <w:tcW w:w="830" w:type="dxa"/>
            <w:vAlign w:val="bottom"/>
            <w:tcBorders>
              <w:top w:val="single" w:sz="8" w:color="E9F1FB"/>
              <w:bottom w:val="single" w:sz="8" w:color="EFF8FA"/>
            </w:tcBorders>
            <w:shd w:val="clear" w:color="auto" w:fill="EFF8FA"/>
          </w:tcPr>
          <w:p>
            <w:pPr>
              <w:jc w:val="right"/>
              <w:spacing w:after="0"/>
              <w:rPr>
                <w:sz w:val="20"/>
                <w:szCs w:val="20"/>
                <w:color w:val="auto"/>
              </w:rPr>
            </w:pPr>
            <w:r>
              <w:rPr>
                <w:rFonts w:ascii="Arial" w:cs="Arial" w:eastAsia="Arial" w:hAnsi="Arial"/>
                <w:sz w:val="13"/>
                <w:szCs w:val="13"/>
                <w:color w:val="auto"/>
              </w:rPr>
              <w:t>02/22/2018</w:t>
            </w:r>
          </w:p>
        </w:tc>
        <w:tc>
          <w:tcPr>
            <w:tcW w:w="1050" w:type="dxa"/>
            <w:vAlign w:val="bottom"/>
            <w:tcBorders>
              <w:top w:val="single" w:sz="8" w:color="E9F1FB"/>
              <w:bottom w:val="single" w:sz="8" w:color="EFF8FA"/>
            </w:tcBorders>
            <w:shd w:val="clear" w:color="auto" w:fill="EFF8FA"/>
          </w:tcPr>
          <w:p>
            <w:pPr>
              <w:jc w:val="right"/>
              <w:ind w:right="33"/>
              <w:spacing w:after="0"/>
              <w:rPr>
                <w:sz w:val="20"/>
                <w:szCs w:val="20"/>
                <w:color w:val="auto"/>
              </w:rPr>
            </w:pPr>
            <w:r>
              <w:rPr>
                <w:rFonts w:ascii="Arial" w:cs="Arial" w:eastAsia="Arial" w:hAnsi="Arial"/>
                <w:sz w:val="13"/>
                <w:szCs w:val="13"/>
                <w:color w:val="auto"/>
              </w:rPr>
              <w:t>0</w:t>
            </w:r>
          </w:p>
        </w:tc>
        <w:tc>
          <w:tcPr>
            <w:tcW w:w="1180" w:type="dxa"/>
            <w:vAlign w:val="bottom"/>
            <w:tcBorders>
              <w:top w:val="single" w:sz="8" w:color="E9F1FB"/>
              <w:bottom w:val="single" w:sz="8" w:color="EFF8FA"/>
            </w:tcBorders>
            <w:shd w:val="clear" w:color="auto" w:fill="EFF8FA"/>
          </w:tcPr>
          <w:p>
            <w:pPr>
              <w:jc w:val="right"/>
              <w:ind w:right="53"/>
              <w:spacing w:after="0"/>
              <w:rPr>
                <w:sz w:val="20"/>
                <w:szCs w:val="20"/>
                <w:color w:val="auto"/>
              </w:rPr>
            </w:pPr>
            <w:r>
              <w:rPr>
                <w:rFonts w:ascii="Arial" w:cs="Arial" w:eastAsia="Arial" w:hAnsi="Arial"/>
                <w:sz w:val="13"/>
                <w:szCs w:val="13"/>
                <w:color w:val="auto"/>
              </w:rPr>
              <w:t>69,836</w:t>
            </w:r>
          </w:p>
        </w:tc>
        <w:tc>
          <w:tcPr>
            <w:tcW w:w="560" w:type="dxa"/>
            <w:vAlign w:val="bottom"/>
            <w:tcBorders>
              <w:top w:val="single" w:sz="8" w:color="E9F1FB"/>
              <w:bottom w:val="single" w:sz="8" w:color="EFF8FA"/>
            </w:tcBorders>
            <w:shd w:val="clear" w:color="auto" w:fill="EFF8FA"/>
          </w:tcPr>
          <w:p>
            <w:pPr>
              <w:jc w:val="right"/>
              <w:spacing w:after="0"/>
              <w:rPr>
                <w:sz w:val="20"/>
                <w:szCs w:val="20"/>
                <w:color w:val="auto"/>
              </w:rPr>
            </w:pPr>
            <w:r>
              <w:rPr>
                <w:rFonts w:ascii="Arial" w:cs="Arial" w:eastAsia="Arial" w:hAnsi="Arial"/>
                <w:sz w:val="13"/>
                <w:szCs w:val="13"/>
                <w:color w:val="auto"/>
              </w:rPr>
              <w:t>92.80</w:t>
            </w:r>
          </w:p>
        </w:tc>
        <w:tc>
          <w:tcPr>
            <w:tcW w:w="100" w:type="dxa"/>
            <w:vAlign w:val="bottom"/>
            <w:tcBorders>
              <w:top w:val="single" w:sz="8" w:color="E9F1FB"/>
              <w:bottom w:val="single" w:sz="8" w:color="EFF8FA"/>
            </w:tcBorders>
            <w:shd w:val="clear" w:color="auto" w:fill="EFF8FA"/>
          </w:tcPr>
          <w:p>
            <w:pPr>
              <w:spacing w:after="0"/>
              <w:rPr>
                <w:sz w:val="19"/>
                <w:szCs w:val="19"/>
                <w:color w:val="auto"/>
              </w:rPr>
            </w:pPr>
          </w:p>
        </w:tc>
        <w:tc>
          <w:tcPr>
            <w:tcW w:w="780" w:type="dxa"/>
            <w:vAlign w:val="bottom"/>
            <w:tcBorders>
              <w:top w:val="single" w:sz="8" w:color="E9F1FB"/>
              <w:bottom w:val="single" w:sz="8" w:color="EFF8FA"/>
            </w:tcBorders>
            <w:shd w:val="clear" w:color="auto" w:fill="EFF8FA"/>
          </w:tcPr>
          <w:p>
            <w:pPr>
              <w:jc w:val="right"/>
              <w:ind w:right="13"/>
              <w:spacing w:after="0"/>
              <w:rPr>
                <w:sz w:val="20"/>
                <w:szCs w:val="20"/>
                <w:color w:val="auto"/>
              </w:rPr>
            </w:pPr>
            <w:r>
              <w:rPr>
                <w:rFonts w:ascii="Arial" w:cs="Arial" w:eastAsia="Arial" w:hAnsi="Arial"/>
                <w:sz w:val="13"/>
                <w:szCs w:val="13"/>
                <w:color w:val="auto"/>
              </w:rPr>
              <w:t>02/22/2028</w:t>
            </w:r>
          </w:p>
        </w:tc>
        <w:tc>
          <w:tcPr>
            <w:tcW w:w="80" w:type="dxa"/>
            <w:vAlign w:val="bottom"/>
            <w:tcBorders>
              <w:top w:val="single" w:sz="8" w:color="E9F1FB"/>
            </w:tcBorders>
          </w:tcPr>
          <w:p>
            <w:pPr>
              <w:spacing w:after="0"/>
              <w:rPr>
                <w:sz w:val="19"/>
                <w:szCs w:val="19"/>
                <w:color w:val="auto"/>
              </w:rPr>
            </w:pPr>
          </w:p>
        </w:tc>
        <w:tc>
          <w:tcPr>
            <w:tcW w:w="880" w:type="dxa"/>
            <w:vAlign w:val="bottom"/>
            <w:tcBorders>
              <w:top w:val="single" w:sz="8" w:color="E9F1FB"/>
            </w:tcBorders>
          </w:tcPr>
          <w:p>
            <w:pPr>
              <w:spacing w:after="0"/>
              <w:rPr>
                <w:sz w:val="19"/>
                <w:szCs w:val="19"/>
                <w:color w:val="auto"/>
              </w:rPr>
            </w:pPr>
          </w:p>
        </w:tc>
        <w:tc>
          <w:tcPr>
            <w:tcW w:w="800" w:type="dxa"/>
            <w:vAlign w:val="bottom"/>
            <w:tcBorders>
              <w:top w:val="single" w:sz="8" w:color="E9F1FB"/>
            </w:tcBorders>
          </w:tcPr>
          <w:p>
            <w:pPr>
              <w:spacing w:after="0"/>
              <w:rPr>
                <w:sz w:val="19"/>
                <w:szCs w:val="19"/>
                <w:color w:val="auto"/>
              </w:rPr>
            </w:pPr>
          </w:p>
        </w:tc>
        <w:tc>
          <w:tcPr>
            <w:tcW w:w="820" w:type="dxa"/>
            <w:vAlign w:val="bottom"/>
            <w:tcBorders>
              <w:top w:val="single" w:sz="8" w:color="E9F1FB"/>
            </w:tcBorders>
          </w:tcPr>
          <w:p>
            <w:pPr>
              <w:spacing w:after="0"/>
              <w:rPr>
                <w:sz w:val="19"/>
                <w:szCs w:val="19"/>
                <w:color w:val="auto"/>
              </w:rPr>
            </w:pPr>
          </w:p>
        </w:tc>
        <w:tc>
          <w:tcPr>
            <w:tcW w:w="800" w:type="dxa"/>
            <w:vAlign w:val="bottom"/>
            <w:tcBorders>
              <w:top w:val="single" w:sz="8" w:color="E9F1FB"/>
            </w:tcBorders>
          </w:tcPr>
          <w:p>
            <w:pPr>
              <w:spacing w:after="0"/>
              <w:rPr>
                <w:sz w:val="19"/>
                <w:szCs w:val="19"/>
                <w:color w:val="auto"/>
              </w:rPr>
            </w:pPr>
          </w:p>
        </w:tc>
        <w:tc>
          <w:tcPr>
            <w:tcW w:w="800" w:type="dxa"/>
            <w:vAlign w:val="bottom"/>
            <w:tcBorders>
              <w:top w:val="single" w:sz="8" w:color="E9F1FB"/>
            </w:tcBorders>
          </w:tcPr>
          <w:p>
            <w:pPr>
              <w:spacing w:after="0"/>
              <w:rPr>
                <w:sz w:val="19"/>
                <w:szCs w:val="19"/>
                <w:color w:val="auto"/>
              </w:rPr>
            </w:pPr>
          </w:p>
        </w:tc>
      </w:tr>
      <w:tr>
        <w:trPr>
          <w:trHeight w:val="203"/>
        </w:trPr>
        <w:tc>
          <w:tcPr>
            <w:tcW w:w="2660" w:type="dxa"/>
            <w:vAlign w:val="bottom"/>
          </w:tcPr>
          <w:p>
            <w:pPr>
              <w:spacing w:after="0"/>
              <w:rPr>
                <w:sz w:val="17"/>
                <w:szCs w:val="17"/>
                <w:color w:val="auto"/>
              </w:rPr>
            </w:pPr>
          </w:p>
        </w:tc>
        <w:tc>
          <w:tcPr>
            <w:tcW w:w="80" w:type="dxa"/>
            <w:vAlign w:val="bottom"/>
            <w:tcBorders>
              <w:top w:val="single" w:sz="8" w:color="E9F1FB"/>
            </w:tcBorders>
          </w:tcPr>
          <w:p>
            <w:pPr>
              <w:spacing w:after="0"/>
              <w:rPr>
                <w:sz w:val="17"/>
                <w:szCs w:val="17"/>
                <w:color w:val="auto"/>
              </w:rPr>
            </w:pPr>
          </w:p>
        </w:tc>
        <w:tc>
          <w:tcPr>
            <w:tcW w:w="830" w:type="dxa"/>
            <w:vAlign w:val="bottom"/>
            <w:tcBorders>
              <w:top w:val="single" w:sz="8" w:color="E9F1FB"/>
              <w:bottom w:val="single" w:sz="8" w:color="EFF8FA"/>
            </w:tcBorders>
            <w:shd w:val="clear" w:color="auto" w:fill="EFF8FA"/>
          </w:tcPr>
          <w:p>
            <w:pPr>
              <w:spacing w:after="0"/>
              <w:rPr>
                <w:sz w:val="17"/>
                <w:szCs w:val="17"/>
                <w:color w:val="auto"/>
              </w:rPr>
            </w:pPr>
          </w:p>
        </w:tc>
        <w:tc>
          <w:tcPr>
            <w:tcW w:w="1050" w:type="dxa"/>
            <w:vAlign w:val="bottom"/>
            <w:tcBorders>
              <w:top w:val="single" w:sz="8" w:color="E9F1FB"/>
              <w:bottom w:val="single" w:sz="8" w:color="EFF8FA"/>
            </w:tcBorders>
            <w:shd w:val="clear" w:color="auto" w:fill="EFF8FA"/>
          </w:tcPr>
          <w:p>
            <w:pPr>
              <w:spacing w:after="0"/>
              <w:rPr>
                <w:sz w:val="17"/>
                <w:szCs w:val="17"/>
                <w:color w:val="auto"/>
              </w:rPr>
            </w:pPr>
          </w:p>
        </w:tc>
        <w:tc>
          <w:tcPr>
            <w:tcW w:w="1180" w:type="dxa"/>
            <w:vAlign w:val="bottom"/>
            <w:tcBorders>
              <w:top w:val="single" w:sz="8" w:color="E9F1FB"/>
              <w:bottom w:val="single" w:sz="8" w:color="EFF8FA"/>
            </w:tcBorders>
            <w:shd w:val="clear" w:color="auto" w:fill="EFF8FA"/>
          </w:tcPr>
          <w:p>
            <w:pPr>
              <w:spacing w:after="0"/>
              <w:rPr>
                <w:sz w:val="17"/>
                <w:szCs w:val="17"/>
                <w:color w:val="auto"/>
              </w:rPr>
            </w:pPr>
          </w:p>
        </w:tc>
        <w:tc>
          <w:tcPr>
            <w:tcW w:w="560" w:type="dxa"/>
            <w:vAlign w:val="bottom"/>
            <w:tcBorders>
              <w:top w:val="single" w:sz="8" w:color="E9F1FB"/>
              <w:bottom w:val="single" w:sz="8" w:color="EFF8FA"/>
            </w:tcBorders>
            <w:shd w:val="clear" w:color="auto" w:fill="EFF8FA"/>
          </w:tcPr>
          <w:p>
            <w:pPr>
              <w:spacing w:after="0"/>
              <w:rPr>
                <w:sz w:val="17"/>
                <w:szCs w:val="17"/>
                <w:color w:val="auto"/>
              </w:rPr>
            </w:pPr>
          </w:p>
        </w:tc>
        <w:tc>
          <w:tcPr>
            <w:tcW w:w="100" w:type="dxa"/>
            <w:vAlign w:val="bottom"/>
            <w:tcBorders>
              <w:top w:val="single" w:sz="8" w:color="E9F1FB"/>
              <w:bottom w:val="single" w:sz="8" w:color="EFF8FA"/>
            </w:tcBorders>
            <w:shd w:val="clear" w:color="auto" w:fill="EFF8FA"/>
          </w:tcPr>
          <w:p>
            <w:pPr>
              <w:spacing w:after="0"/>
              <w:rPr>
                <w:sz w:val="17"/>
                <w:szCs w:val="17"/>
                <w:color w:val="auto"/>
              </w:rPr>
            </w:pPr>
          </w:p>
        </w:tc>
        <w:tc>
          <w:tcPr>
            <w:tcW w:w="780" w:type="dxa"/>
            <w:vAlign w:val="bottom"/>
            <w:tcBorders>
              <w:top w:val="single" w:sz="8" w:color="E9F1FB"/>
              <w:bottom w:val="single" w:sz="8" w:color="EFF8FA"/>
            </w:tcBorders>
            <w:shd w:val="clear" w:color="auto" w:fill="EFF8FA"/>
          </w:tcPr>
          <w:p>
            <w:pPr>
              <w:spacing w:after="0"/>
              <w:rPr>
                <w:sz w:val="17"/>
                <w:szCs w:val="17"/>
                <w:color w:val="auto"/>
              </w:rPr>
            </w:pPr>
          </w:p>
        </w:tc>
        <w:tc>
          <w:tcPr>
            <w:tcW w:w="960" w:type="dxa"/>
            <w:vAlign w:val="bottom"/>
            <w:tcBorders>
              <w:top w:val="single" w:sz="8" w:color="E9F1FB"/>
            </w:tcBorders>
            <w:gridSpan w:val="2"/>
          </w:tcPr>
          <w:p>
            <w:pPr>
              <w:jc w:val="right"/>
              <w:spacing w:after="0"/>
              <w:rPr>
                <w:sz w:val="20"/>
                <w:szCs w:val="20"/>
                <w:color w:val="auto"/>
              </w:rPr>
            </w:pPr>
            <w:r>
              <w:rPr>
                <w:rFonts w:ascii="Arial" w:cs="Arial" w:eastAsia="Arial" w:hAnsi="Arial"/>
                <w:sz w:val="13"/>
                <w:szCs w:val="13"/>
                <w:color w:val="auto"/>
              </w:rPr>
              <w:t>02/22/2018</w:t>
            </w:r>
          </w:p>
        </w:tc>
        <w:tc>
          <w:tcPr>
            <w:tcW w:w="800" w:type="dxa"/>
            <w:vAlign w:val="bottom"/>
            <w:tcBorders>
              <w:top w:val="single" w:sz="8" w:color="E9F1FB"/>
            </w:tcBorders>
          </w:tcPr>
          <w:p>
            <w:pPr>
              <w:spacing w:after="0"/>
              <w:rPr>
                <w:sz w:val="17"/>
                <w:szCs w:val="17"/>
                <w:color w:val="auto"/>
              </w:rPr>
            </w:pPr>
          </w:p>
        </w:tc>
        <w:tc>
          <w:tcPr>
            <w:tcW w:w="820" w:type="dxa"/>
            <w:vAlign w:val="bottom"/>
            <w:tcBorders>
              <w:top w:val="single" w:sz="8" w:color="E9F1FB"/>
            </w:tcBorders>
          </w:tcPr>
          <w:p>
            <w:pPr>
              <w:spacing w:after="0"/>
              <w:rPr>
                <w:sz w:val="17"/>
                <w:szCs w:val="17"/>
                <w:color w:val="auto"/>
              </w:rPr>
            </w:pPr>
          </w:p>
        </w:tc>
        <w:tc>
          <w:tcPr>
            <w:tcW w:w="800" w:type="dxa"/>
            <w:vAlign w:val="bottom"/>
            <w:tcBorders>
              <w:top w:val="single" w:sz="8" w:color="E9F1FB"/>
            </w:tcBorders>
          </w:tcPr>
          <w:p>
            <w:pPr>
              <w:jc w:val="right"/>
              <w:spacing w:after="0"/>
              <w:rPr>
                <w:sz w:val="20"/>
                <w:szCs w:val="20"/>
                <w:color w:val="auto"/>
              </w:rPr>
            </w:pPr>
            <w:r>
              <w:rPr>
                <w:rFonts w:ascii="Arial" w:cs="Arial" w:eastAsia="Arial" w:hAnsi="Arial"/>
                <w:sz w:val="13"/>
                <w:szCs w:val="13"/>
                <w:color w:val="auto"/>
              </w:rPr>
              <w:t>38,470</w:t>
            </w:r>
          </w:p>
        </w:tc>
        <w:tc>
          <w:tcPr>
            <w:tcW w:w="800" w:type="dxa"/>
            <w:vAlign w:val="bottom"/>
            <w:tcBorders>
              <w:top w:val="single" w:sz="8" w:color="E9F1FB"/>
            </w:tcBorders>
          </w:tcPr>
          <w:p>
            <w:pPr>
              <w:jc w:val="right"/>
              <w:spacing w:after="0"/>
              <w:rPr>
                <w:sz w:val="20"/>
                <w:szCs w:val="20"/>
                <w:color w:val="auto"/>
              </w:rPr>
            </w:pPr>
            <w:r>
              <w:rPr>
                <w:rFonts w:ascii="Arial" w:cs="Arial" w:eastAsia="Arial" w:hAnsi="Arial"/>
                <w:sz w:val="13"/>
                <w:szCs w:val="13"/>
                <w:color w:val="auto"/>
              </w:rPr>
              <w:t>3,178,776</w:t>
            </w:r>
          </w:p>
        </w:tc>
      </w:tr>
      <w:tr>
        <w:trPr>
          <w:trHeight w:val="27"/>
        </w:trPr>
        <w:tc>
          <w:tcPr>
            <w:tcW w:w="2660" w:type="dxa"/>
            <w:vAlign w:val="bottom"/>
            <w:shd w:val="clear" w:color="auto" w:fill="105FAB"/>
          </w:tcPr>
          <w:p>
            <w:pPr>
              <w:spacing w:after="0"/>
              <w:rPr>
                <w:sz w:val="2"/>
                <w:szCs w:val="2"/>
                <w:color w:val="auto"/>
              </w:rPr>
            </w:pPr>
          </w:p>
        </w:tc>
        <w:tc>
          <w:tcPr>
            <w:tcW w:w="80" w:type="dxa"/>
            <w:vAlign w:val="bottom"/>
            <w:shd w:val="clear" w:color="auto" w:fill="105FAB"/>
          </w:tcPr>
          <w:p>
            <w:pPr>
              <w:spacing w:after="0"/>
              <w:rPr>
                <w:sz w:val="2"/>
                <w:szCs w:val="2"/>
                <w:color w:val="auto"/>
              </w:rPr>
            </w:pPr>
          </w:p>
        </w:tc>
        <w:tc>
          <w:tcPr>
            <w:tcW w:w="830" w:type="dxa"/>
            <w:vAlign w:val="bottom"/>
            <w:shd w:val="clear" w:color="auto" w:fill="105FAB"/>
          </w:tcPr>
          <w:p>
            <w:pPr>
              <w:spacing w:after="0"/>
              <w:rPr>
                <w:sz w:val="2"/>
                <w:szCs w:val="2"/>
                <w:color w:val="auto"/>
              </w:rPr>
            </w:pPr>
          </w:p>
        </w:tc>
        <w:tc>
          <w:tcPr>
            <w:tcW w:w="1050" w:type="dxa"/>
            <w:vAlign w:val="bottom"/>
            <w:shd w:val="clear" w:color="auto" w:fill="105FAB"/>
          </w:tcPr>
          <w:p>
            <w:pPr>
              <w:spacing w:after="0"/>
              <w:rPr>
                <w:sz w:val="2"/>
                <w:szCs w:val="2"/>
                <w:color w:val="auto"/>
              </w:rPr>
            </w:pPr>
          </w:p>
        </w:tc>
        <w:tc>
          <w:tcPr>
            <w:tcW w:w="1180" w:type="dxa"/>
            <w:vAlign w:val="bottom"/>
            <w:shd w:val="clear" w:color="auto" w:fill="105FAB"/>
          </w:tcPr>
          <w:p>
            <w:pPr>
              <w:spacing w:after="0"/>
              <w:rPr>
                <w:sz w:val="2"/>
                <w:szCs w:val="2"/>
                <w:color w:val="auto"/>
              </w:rPr>
            </w:pPr>
          </w:p>
        </w:tc>
        <w:tc>
          <w:tcPr>
            <w:tcW w:w="560" w:type="dxa"/>
            <w:vAlign w:val="bottom"/>
            <w:shd w:val="clear" w:color="auto" w:fill="105FAB"/>
          </w:tcPr>
          <w:p>
            <w:pPr>
              <w:spacing w:after="0"/>
              <w:rPr>
                <w:sz w:val="2"/>
                <w:szCs w:val="2"/>
                <w:color w:val="auto"/>
              </w:rPr>
            </w:pPr>
          </w:p>
        </w:tc>
        <w:tc>
          <w:tcPr>
            <w:tcW w:w="100" w:type="dxa"/>
            <w:vAlign w:val="bottom"/>
            <w:shd w:val="clear" w:color="auto" w:fill="105FAB"/>
          </w:tcPr>
          <w:p>
            <w:pPr>
              <w:spacing w:after="0"/>
              <w:rPr>
                <w:sz w:val="2"/>
                <w:szCs w:val="2"/>
                <w:color w:val="auto"/>
              </w:rPr>
            </w:pPr>
          </w:p>
        </w:tc>
        <w:tc>
          <w:tcPr>
            <w:tcW w:w="780" w:type="dxa"/>
            <w:vAlign w:val="bottom"/>
            <w:shd w:val="clear" w:color="auto" w:fill="105FAB"/>
          </w:tcPr>
          <w:p>
            <w:pPr>
              <w:spacing w:after="0"/>
              <w:rPr>
                <w:sz w:val="2"/>
                <w:szCs w:val="2"/>
                <w:color w:val="auto"/>
              </w:rPr>
            </w:pPr>
          </w:p>
        </w:tc>
        <w:tc>
          <w:tcPr>
            <w:tcW w:w="80" w:type="dxa"/>
            <w:vAlign w:val="bottom"/>
            <w:shd w:val="clear" w:color="auto" w:fill="105FAB"/>
          </w:tcPr>
          <w:p>
            <w:pPr>
              <w:spacing w:after="0"/>
              <w:rPr>
                <w:sz w:val="2"/>
                <w:szCs w:val="2"/>
                <w:color w:val="auto"/>
              </w:rPr>
            </w:pPr>
          </w:p>
        </w:tc>
        <w:tc>
          <w:tcPr>
            <w:tcW w:w="880" w:type="dxa"/>
            <w:vAlign w:val="bottom"/>
            <w:shd w:val="clear" w:color="auto" w:fill="105FAB"/>
          </w:tcPr>
          <w:p>
            <w:pPr>
              <w:spacing w:after="0"/>
              <w:rPr>
                <w:sz w:val="2"/>
                <w:szCs w:val="2"/>
                <w:color w:val="auto"/>
              </w:rPr>
            </w:pPr>
          </w:p>
        </w:tc>
        <w:tc>
          <w:tcPr>
            <w:tcW w:w="800" w:type="dxa"/>
            <w:vAlign w:val="bottom"/>
            <w:shd w:val="clear" w:color="auto" w:fill="105FAB"/>
          </w:tcPr>
          <w:p>
            <w:pPr>
              <w:spacing w:after="0"/>
              <w:rPr>
                <w:sz w:val="2"/>
                <w:szCs w:val="2"/>
                <w:color w:val="auto"/>
              </w:rPr>
            </w:pPr>
          </w:p>
        </w:tc>
        <w:tc>
          <w:tcPr>
            <w:tcW w:w="820" w:type="dxa"/>
            <w:vAlign w:val="bottom"/>
            <w:shd w:val="clear" w:color="auto" w:fill="105FAB"/>
          </w:tcPr>
          <w:p>
            <w:pPr>
              <w:spacing w:after="0"/>
              <w:rPr>
                <w:sz w:val="2"/>
                <w:szCs w:val="2"/>
                <w:color w:val="auto"/>
              </w:rPr>
            </w:pPr>
          </w:p>
        </w:tc>
        <w:tc>
          <w:tcPr>
            <w:tcW w:w="800" w:type="dxa"/>
            <w:vAlign w:val="bottom"/>
            <w:shd w:val="clear" w:color="auto" w:fill="105FAB"/>
          </w:tcPr>
          <w:p>
            <w:pPr>
              <w:spacing w:after="0"/>
              <w:rPr>
                <w:sz w:val="2"/>
                <w:szCs w:val="2"/>
                <w:color w:val="auto"/>
              </w:rPr>
            </w:pPr>
          </w:p>
        </w:tc>
        <w:tc>
          <w:tcPr>
            <w:tcW w:w="800" w:type="dxa"/>
            <w:vAlign w:val="bottom"/>
            <w:shd w:val="clear" w:color="auto" w:fill="105FAB"/>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133" w:gutter="0" w:footer="0" w:header="0"/>
        </w:sectPr>
      </w:pPr>
    </w:p>
    <w:p>
      <w:pPr>
        <w:spacing w:after="0" w:line="15" w:lineRule="exact"/>
        <w:rPr>
          <w:sz w:val="20"/>
          <w:szCs w:val="20"/>
          <w:color w:val="auto"/>
        </w:rPr>
      </w:pPr>
    </w:p>
    <w:p>
      <w:pPr>
        <w:ind w:left="460" w:hanging="452"/>
        <w:spacing w:after="0"/>
        <w:tabs>
          <w:tab w:leader="none" w:pos="460" w:val="left"/>
        </w:tabs>
        <w:numPr>
          <w:ilvl w:val="0"/>
          <w:numId w:val="195"/>
        </w:numPr>
        <w:rPr>
          <w:rFonts w:ascii="Arial" w:cs="Arial" w:eastAsia="Arial" w:hAnsi="Arial"/>
          <w:sz w:val="13"/>
          <w:szCs w:val="13"/>
          <w:b w:val="1"/>
          <w:bCs w:val="1"/>
          <w:color w:val="105EAB"/>
        </w:rPr>
      </w:pPr>
      <w:r>
        <w:rPr>
          <w:rFonts w:ascii="Arial" w:cs="Arial" w:eastAsia="Arial" w:hAnsi="Arial"/>
          <w:sz w:val="13"/>
          <w:szCs w:val="13"/>
          <w:color w:val="105EAB"/>
        </w:rPr>
        <w:t>www.allstateproxy.com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134620</wp:posOffset>
            </wp:positionV>
            <wp:extent cx="7268210" cy="209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133" w:gutter="0" w:footer="0" w:header="0"/>
          <w:type w:val="continuous"/>
        </w:sectPr>
      </w:pPr>
    </w:p>
    <w:bookmarkStart w:id="59" w:name="page60"/>
    <w:bookmarkEnd w:id="59"/>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jc w:val="right"/>
        <w:ind w:right="20"/>
        <w:spacing w:after="0"/>
        <w:rPr>
          <w:sz w:val="20"/>
          <w:szCs w:val="20"/>
          <w:color w:val="auto"/>
        </w:rPr>
      </w:pPr>
      <w:r>
        <w:rPr>
          <w:rFonts w:ascii="Arial" w:cs="Arial" w:eastAsia="Arial" w:hAnsi="Arial"/>
          <w:sz w:val="13"/>
          <w:szCs w:val="13"/>
          <w:b w:val="1"/>
          <w:bCs w:val="1"/>
          <w:color w:val="auto"/>
        </w:rPr>
        <w:t xml:space="preserve">Option Exercises and Stock Vested During 2018 </w:t>
      </w:r>
      <w:r>
        <w:rPr>
          <w:rFonts w:ascii="Arial" w:cs="Arial" w:eastAsia="Arial" w:hAnsi="Arial"/>
          <w:sz w:val="13"/>
          <w:szCs w:val="13"/>
          <w:b w:val="1"/>
          <w:bCs w:val="1"/>
          <w:color w:val="105EAB"/>
        </w:rPr>
        <w:t>| Executive Compensation</w:t>
      </w:r>
    </w:p>
    <w:p>
      <w:pPr>
        <w:spacing w:after="0" w:line="231" w:lineRule="exact"/>
        <w:rPr>
          <w:sz w:val="20"/>
          <w:szCs w:val="20"/>
          <w:color w:val="auto"/>
        </w:rPr>
      </w:pPr>
    </w:p>
    <w:p>
      <w:pPr>
        <w:ind w:left="300" w:right="360" w:hanging="292"/>
        <w:spacing w:after="0" w:line="238" w:lineRule="auto"/>
        <w:tabs>
          <w:tab w:leader="none" w:pos="300" w:val="left"/>
        </w:tabs>
        <w:numPr>
          <w:ilvl w:val="0"/>
          <w:numId w:val="196"/>
        </w:numPr>
        <w:rPr>
          <w:rFonts w:ascii="Arial" w:cs="Arial" w:eastAsia="Arial" w:hAnsi="Arial"/>
          <w:sz w:val="11"/>
          <w:szCs w:val="11"/>
          <w:color w:val="auto"/>
        </w:rPr>
      </w:pPr>
      <w:r>
        <w:rPr>
          <w:rFonts w:ascii="Arial" w:cs="Arial" w:eastAsia="Arial" w:hAnsi="Arial"/>
          <w:sz w:val="13"/>
          <w:szCs w:val="13"/>
          <w:color w:val="auto"/>
        </w:rPr>
        <w:t>The options vest over three years: one-third will become exercisable on the anniversary of the grant date for each of the three years. The exercise price of each option is equal to the closing price of Allstate’s common stock on the grant date.</w:t>
      </w:r>
    </w:p>
    <w:p>
      <w:pPr>
        <w:ind w:left="300" w:right="80" w:hanging="292"/>
        <w:spacing w:after="0" w:line="238" w:lineRule="auto"/>
        <w:tabs>
          <w:tab w:leader="none" w:pos="300" w:val="left"/>
        </w:tabs>
        <w:numPr>
          <w:ilvl w:val="0"/>
          <w:numId w:val="196"/>
        </w:numPr>
        <w:rPr>
          <w:rFonts w:ascii="Arial" w:cs="Arial" w:eastAsia="Arial" w:hAnsi="Arial"/>
          <w:sz w:val="11"/>
          <w:szCs w:val="11"/>
          <w:color w:val="auto"/>
        </w:rPr>
      </w:pPr>
      <w:r>
        <w:rPr>
          <w:rFonts w:ascii="Arial" w:cs="Arial" w:eastAsia="Arial" w:hAnsi="Arial"/>
          <w:sz w:val="13"/>
          <w:szCs w:val="13"/>
          <w:color w:val="auto"/>
        </w:rPr>
        <w:t>The stock awards listed in this table are PSAs, except for Mr. Dugenske’s sign-on award of 49,128 restricted stock units in 2017, and Mr. Shapiro’s award of 9,176 restricted stock units in 2016. Each restricted stock unit represents the right to receive, without the payment of any consideration, one share of Allstate common stock on the conversion date, which for Mr. Dugenske’s award is April 5, 2020, and for Mr. Shapiro’s award is April 5, 2019.</w:t>
      </w:r>
    </w:p>
    <w:p>
      <w:pPr>
        <w:ind w:left="300" w:hanging="292"/>
        <w:spacing w:after="0"/>
        <w:tabs>
          <w:tab w:leader="none" w:pos="300" w:val="left"/>
        </w:tabs>
        <w:numPr>
          <w:ilvl w:val="0"/>
          <w:numId w:val="196"/>
        </w:numPr>
        <w:rPr>
          <w:rFonts w:ascii="Arial" w:cs="Arial" w:eastAsia="Arial" w:hAnsi="Arial"/>
          <w:sz w:val="11"/>
          <w:szCs w:val="11"/>
          <w:color w:val="auto"/>
        </w:rPr>
      </w:pPr>
      <w:r>
        <w:rPr>
          <w:rFonts w:ascii="Arial" w:cs="Arial" w:eastAsia="Arial" w:hAnsi="Arial"/>
          <w:sz w:val="13"/>
          <w:szCs w:val="13"/>
          <w:color w:val="auto"/>
        </w:rPr>
        <w:t>The aggregate value and aggregate number of exercisable and unexercisable in-the-money options as of December 31, 2018, for each of the named executives are as follows:</w:t>
      </w:r>
    </w:p>
    <w:p>
      <w:pPr>
        <w:spacing w:after="0" w:line="145" w:lineRule="exact"/>
        <w:rPr>
          <w:sz w:val="20"/>
          <w:szCs w:val="20"/>
          <w:color w:val="auto"/>
        </w:rPr>
      </w:pPr>
    </w:p>
    <w:tbl>
      <w:tblPr>
        <w:tblLayout w:type="fixed"/>
        <w:tblInd w:w="280" w:type="dxa"/>
        <w:tblCellMar>
          <w:top w:w="0" w:type="dxa"/>
          <w:left w:w="0" w:type="dxa"/>
          <w:bottom w:w="0" w:type="dxa"/>
          <w:right w:w="0" w:type="dxa"/>
        </w:tblCellMar>
      </w:tblPr>
      <w:tr>
        <w:trPr>
          <w:trHeight w:val="178"/>
        </w:trPr>
        <w:tc>
          <w:tcPr>
            <w:tcW w:w="7560" w:type="dxa"/>
            <w:vAlign w:val="bottom"/>
          </w:tcPr>
          <w:p>
            <w:pPr>
              <w:spacing w:after="0"/>
              <w:rPr>
                <w:sz w:val="15"/>
                <w:szCs w:val="15"/>
                <w:color w:val="auto"/>
              </w:rPr>
            </w:pPr>
          </w:p>
        </w:tc>
        <w:tc>
          <w:tcPr>
            <w:tcW w:w="1900" w:type="dxa"/>
            <w:vAlign w:val="bottom"/>
            <w:gridSpan w:val="3"/>
          </w:tcPr>
          <w:p>
            <w:pPr>
              <w:jc w:val="right"/>
              <w:ind w:right="720"/>
              <w:spacing w:after="0"/>
              <w:rPr>
                <w:sz w:val="20"/>
                <w:szCs w:val="20"/>
                <w:color w:val="auto"/>
              </w:rPr>
            </w:pPr>
            <w:r>
              <w:rPr>
                <w:rFonts w:ascii="Arial" w:cs="Arial" w:eastAsia="Arial" w:hAnsi="Arial"/>
                <w:sz w:val="13"/>
                <w:szCs w:val="13"/>
                <w:b w:val="1"/>
                <w:bCs w:val="1"/>
                <w:color w:val="105EAB"/>
              </w:rPr>
              <w:t>Exercisable</w:t>
            </w:r>
          </w:p>
        </w:tc>
        <w:tc>
          <w:tcPr>
            <w:tcW w:w="1680" w:type="dxa"/>
            <w:vAlign w:val="bottom"/>
            <w:gridSpan w:val="2"/>
          </w:tcPr>
          <w:p>
            <w:pPr>
              <w:jc w:val="right"/>
              <w:ind w:right="313"/>
              <w:spacing w:after="0"/>
              <w:rPr>
                <w:sz w:val="20"/>
                <w:szCs w:val="20"/>
                <w:color w:val="auto"/>
              </w:rPr>
            </w:pPr>
            <w:r>
              <w:rPr>
                <w:rFonts w:ascii="Arial" w:cs="Arial" w:eastAsia="Arial" w:hAnsi="Arial"/>
                <w:sz w:val="13"/>
                <w:szCs w:val="13"/>
                <w:b w:val="1"/>
                <w:bCs w:val="1"/>
                <w:color w:val="105EAB"/>
              </w:rPr>
              <w:t>Unexercisable</w:t>
            </w:r>
          </w:p>
        </w:tc>
      </w:tr>
      <w:tr>
        <w:trPr>
          <w:trHeight w:val="48"/>
        </w:trPr>
        <w:tc>
          <w:tcPr>
            <w:tcW w:w="7560" w:type="dxa"/>
            <w:vAlign w:val="bottom"/>
          </w:tcPr>
          <w:p>
            <w:pPr>
              <w:spacing w:after="0"/>
              <w:rPr>
                <w:sz w:val="4"/>
                <w:szCs w:val="4"/>
                <w:color w:val="auto"/>
              </w:rPr>
            </w:pPr>
          </w:p>
        </w:tc>
        <w:tc>
          <w:tcPr>
            <w:tcW w:w="800" w:type="dxa"/>
            <w:vAlign w:val="bottom"/>
            <w:tcBorders>
              <w:bottom w:val="single" w:sz="8" w:color="105FAB"/>
            </w:tcBorders>
          </w:tcPr>
          <w:p>
            <w:pPr>
              <w:spacing w:after="0"/>
              <w:rPr>
                <w:sz w:val="4"/>
                <w:szCs w:val="4"/>
                <w:color w:val="auto"/>
              </w:rPr>
            </w:pPr>
          </w:p>
        </w:tc>
        <w:tc>
          <w:tcPr>
            <w:tcW w:w="820" w:type="dxa"/>
            <w:vAlign w:val="bottom"/>
            <w:tcBorders>
              <w:bottom w:val="single" w:sz="8" w:color="105FAB"/>
            </w:tcBorders>
          </w:tcPr>
          <w:p>
            <w:pPr>
              <w:spacing w:after="0"/>
              <w:rPr>
                <w:sz w:val="4"/>
                <w:szCs w:val="4"/>
                <w:color w:val="auto"/>
              </w:rPr>
            </w:pPr>
          </w:p>
        </w:tc>
        <w:tc>
          <w:tcPr>
            <w:tcW w:w="280" w:type="dxa"/>
            <w:vAlign w:val="bottom"/>
          </w:tcPr>
          <w:p>
            <w:pPr>
              <w:spacing w:after="0"/>
              <w:rPr>
                <w:sz w:val="4"/>
                <w:szCs w:val="4"/>
                <w:color w:val="auto"/>
              </w:rPr>
            </w:pPr>
          </w:p>
        </w:tc>
        <w:tc>
          <w:tcPr>
            <w:tcW w:w="800" w:type="dxa"/>
            <w:vAlign w:val="bottom"/>
            <w:tcBorders>
              <w:bottom w:val="single" w:sz="8" w:color="105FAB"/>
            </w:tcBorders>
          </w:tcPr>
          <w:p>
            <w:pPr>
              <w:spacing w:after="0"/>
              <w:rPr>
                <w:sz w:val="4"/>
                <w:szCs w:val="4"/>
                <w:color w:val="auto"/>
              </w:rPr>
            </w:pPr>
          </w:p>
        </w:tc>
        <w:tc>
          <w:tcPr>
            <w:tcW w:w="880" w:type="dxa"/>
            <w:vAlign w:val="bottom"/>
            <w:tcBorders>
              <w:bottom w:val="single" w:sz="8" w:color="105FAB"/>
            </w:tcBorders>
          </w:tcPr>
          <w:p>
            <w:pPr>
              <w:spacing w:after="0"/>
              <w:rPr>
                <w:sz w:val="4"/>
                <w:szCs w:val="4"/>
                <w:color w:val="auto"/>
              </w:rPr>
            </w:pPr>
          </w:p>
        </w:tc>
      </w:tr>
      <w:tr>
        <w:trPr>
          <w:trHeight w:val="159"/>
        </w:trPr>
        <w:tc>
          <w:tcPr>
            <w:tcW w:w="7560" w:type="dxa"/>
            <w:vAlign w:val="bottom"/>
          </w:tcPr>
          <w:p>
            <w:pPr>
              <w:spacing w:after="0"/>
              <w:rPr>
                <w:sz w:val="13"/>
                <w:szCs w:val="13"/>
                <w:color w:val="auto"/>
              </w:rPr>
            </w:pPr>
          </w:p>
        </w:tc>
        <w:tc>
          <w:tcPr>
            <w:tcW w:w="800" w:type="dxa"/>
            <w:vAlign w:val="bottom"/>
          </w:tcPr>
          <w:p>
            <w:pPr>
              <w:jc w:val="right"/>
              <w:ind w:right="73"/>
              <w:spacing w:after="0"/>
              <w:rPr>
                <w:sz w:val="20"/>
                <w:szCs w:val="20"/>
                <w:color w:val="auto"/>
              </w:rPr>
            </w:pPr>
            <w:r>
              <w:rPr>
                <w:rFonts w:ascii="Arial" w:cs="Arial" w:eastAsia="Arial" w:hAnsi="Arial"/>
                <w:sz w:val="13"/>
                <w:szCs w:val="13"/>
                <w:b w:val="1"/>
                <w:bCs w:val="1"/>
                <w:color w:val="105EAB"/>
                <w:w w:val="99"/>
              </w:rPr>
              <w:t>Aggregate</w:t>
            </w:r>
          </w:p>
        </w:tc>
        <w:tc>
          <w:tcPr>
            <w:tcW w:w="110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105EAB"/>
              </w:rPr>
              <w:t>Aggregate</w:t>
            </w:r>
          </w:p>
        </w:tc>
        <w:tc>
          <w:tcPr>
            <w:tcW w:w="800" w:type="dxa"/>
            <w:vAlign w:val="bottom"/>
          </w:tcPr>
          <w:p>
            <w:pPr>
              <w:jc w:val="right"/>
              <w:ind w:right="73"/>
              <w:spacing w:after="0"/>
              <w:rPr>
                <w:sz w:val="20"/>
                <w:szCs w:val="20"/>
                <w:color w:val="auto"/>
              </w:rPr>
            </w:pPr>
            <w:r>
              <w:rPr>
                <w:rFonts w:ascii="Arial" w:cs="Arial" w:eastAsia="Arial" w:hAnsi="Arial"/>
                <w:sz w:val="13"/>
                <w:szCs w:val="13"/>
                <w:b w:val="1"/>
                <w:bCs w:val="1"/>
                <w:color w:val="105EAB"/>
                <w:w w:val="99"/>
              </w:rPr>
              <w:t>Aggregate</w:t>
            </w:r>
          </w:p>
        </w:tc>
        <w:tc>
          <w:tcPr>
            <w:tcW w:w="880" w:type="dxa"/>
            <w:vAlign w:val="bottom"/>
          </w:tcPr>
          <w:p>
            <w:pPr>
              <w:jc w:val="right"/>
              <w:ind w:right="13"/>
              <w:spacing w:after="0"/>
              <w:rPr>
                <w:sz w:val="20"/>
                <w:szCs w:val="20"/>
                <w:color w:val="auto"/>
              </w:rPr>
            </w:pPr>
            <w:r>
              <w:rPr>
                <w:rFonts w:ascii="Arial" w:cs="Arial" w:eastAsia="Arial" w:hAnsi="Arial"/>
                <w:sz w:val="13"/>
                <w:szCs w:val="13"/>
                <w:b w:val="1"/>
                <w:bCs w:val="1"/>
                <w:color w:val="105EAB"/>
              </w:rPr>
              <w:t>Aggregate</w:t>
            </w:r>
          </w:p>
        </w:tc>
      </w:tr>
      <w:tr>
        <w:trPr>
          <w:trHeight w:val="148"/>
        </w:trPr>
        <w:tc>
          <w:tcPr>
            <w:tcW w:w="7560" w:type="dxa"/>
            <w:vAlign w:val="bottom"/>
          </w:tcPr>
          <w:p>
            <w:pPr>
              <w:spacing w:after="0"/>
              <w:rPr>
                <w:sz w:val="12"/>
                <w:szCs w:val="12"/>
                <w:color w:val="auto"/>
              </w:rPr>
            </w:pPr>
          </w:p>
        </w:tc>
        <w:tc>
          <w:tcPr>
            <w:tcW w:w="800" w:type="dxa"/>
            <w:vAlign w:val="bottom"/>
          </w:tcPr>
          <w:p>
            <w:pPr>
              <w:jc w:val="right"/>
              <w:ind w:right="73"/>
              <w:spacing w:after="0" w:line="149" w:lineRule="exact"/>
              <w:rPr>
                <w:sz w:val="20"/>
                <w:szCs w:val="20"/>
                <w:color w:val="auto"/>
              </w:rPr>
            </w:pPr>
            <w:r>
              <w:rPr>
                <w:rFonts w:ascii="Arial" w:cs="Arial" w:eastAsia="Arial" w:hAnsi="Arial"/>
                <w:sz w:val="13"/>
                <w:szCs w:val="13"/>
                <w:b w:val="1"/>
                <w:bCs w:val="1"/>
                <w:color w:val="105EAB"/>
              </w:rPr>
              <w:t>Number</w:t>
            </w: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3"/>
                <w:szCs w:val="13"/>
                <w:b w:val="1"/>
                <w:bCs w:val="1"/>
                <w:color w:val="105EAB"/>
              </w:rPr>
              <w:t>Value</w:t>
            </w:r>
          </w:p>
        </w:tc>
        <w:tc>
          <w:tcPr>
            <w:tcW w:w="800" w:type="dxa"/>
            <w:vAlign w:val="bottom"/>
          </w:tcPr>
          <w:p>
            <w:pPr>
              <w:jc w:val="right"/>
              <w:ind w:right="73"/>
              <w:spacing w:after="0" w:line="149" w:lineRule="exact"/>
              <w:rPr>
                <w:sz w:val="20"/>
                <w:szCs w:val="20"/>
                <w:color w:val="auto"/>
              </w:rPr>
            </w:pPr>
            <w:r>
              <w:rPr>
                <w:rFonts w:ascii="Arial" w:cs="Arial" w:eastAsia="Arial" w:hAnsi="Arial"/>
                <w:sz w:val="13"/>
                <w:szCs w:val="13"/>
                <w:b w:val="1"/>
                <w:bCs w:val="1"/>
                <w:color w:val="105EAB"/>
              </w:rPr>
              <w:t>Number</w:t>
            </w:r>
          </w:p>
        </w:tc>
        <w:tc>
          <w:tcPr>
            <w:tcW w:w="880" w:type="dxa"/>
            <w:vAlign w:val="bottom"/>
          </w:tcPr>
          <w:p>
            <w:pPr>
              <w:jc w:val="right"/>
              <w:ind w:right="13"/>
              <w:spacing w:after="0" w:line="149" w:lineRule="exact"/>
              <w:rPr>
                <w:sz w:val="20"/>
                <w:szCs w:val="20"/>
                <w:color w:val="auto"/>
              </w:rPr>
            </w:pPr>
            <w:r>
              <w:rPr>
                <w:rFonts w:ascii="Arial" w:cs="Arial" w:eastAsia="Arial" w:hAnsi="Arial"/>
                <w:sz w:val="13"/>
                <w:szCs w:val="13"/>
                <w:b w:val="1"/>
                <w:bCs w:val="1"/>
                <w:color w:val="105EAB"/>
              </w:rPr>
              <w:t>Value</w:t>
            </w:r>
          </w:p>
        </w:tc>
      </w:tr>
      <w:tr>
        <w:trPr>
          <w:trHeight w:val="199"/>
        </w:trPr>
        <w:tc>
          <w:tcPr>
            <w:tcW w:w="7560" w:type="dxa"/>
            <w:vAlign w:val="bottom"/>
            <w:tcBorders>
              <w:bottom w:val="single" w:sz="8" w:color="105FAB"/>
            </w:tcBorders>
          </w:tcPr>
          <w:p>
            <w:pPr>
              <w:ind w:left="60"/>
              <w:spacing w:after="0"/>
              <w:rPr>
                <w:sz w:val="20"/>
                <w:szCs w:val="20"/>
                <w:color w:val="auto"/>
              </w:rPr>
            </w:pPr>
            <w:r>
              <w:rPr>
                <w:rFonts w:ascii="Arial" w:cs="Arial" w:eastAsia="Arial" w:hAnsi="Arial"/>
                <w:sz w:val="13"/>
                <w:szCs w:val="13"/>
                <w:b w:val="1"/>
                <w:bCs w:val="1"/>
                <w:color w:val="105EAB"/>
              </w:rPr>
              <w:t>Name</w:t>
            </w:r>
          </w:p>
        </w:tc>
        <w:tc>
          <w:tcPr>
            <w:tcW w:w="800" w:type="dxa"/>
            <w:vAlign w:val="bottom"/>
            <w:tcBorders>
              <w:bottom w:val="single" w:sz="8" w:color="105FAB"/>
            </w:tcBorders>
          </w:tcPr>
          <w:p>
            <w:pPr>
              <w:jc w:val="right"/>
              <w:ind w:right="73"/>
              <w:spacing w:after="0"/>
              <w:rPr>
                <w:sz w:val="20"/>
                <w:szCs w:val="20"/>
                <w:color w:val="auto"/>
              </w:rPr>
            </w:pPr>
            <w:r>
              <w:rPr>
                <w:rFonts w:ascii="Arial" w:cs="Arial" w:eastAsia="Arial" w:hAnsi="Arial"/>
                <w:sz w:val="13"/>
                <w:szCs w:val="13"/>
                <w:b w:val="1"/>
                <w:bCs w:val="1"/>
                <w:color w:val="105EAB"/>
              </w:rPr>
              <w:t>(#)</w:t>
            </w:r>
          </w:p>
        </w:tc>
        <w:tc>
          <w:tcPr>
            <w:tcW w:w="1100" w:type="dxa"/>
            <w:vAlign w:val="bottom"/>
            <w:tcBorders>
              <w:bottom w:val="single" w:sz="8" w:color="105FAB"/>
            </w:tcBorders>
            <w:gridSpan w:val="2"/>
          </w:tcPr>
          <w:p>
            <w:pPr>
              <w:jc w:val="right"/>
              <w:ind w:right="280"/>
              <w:spacing w:after="0"/>
              <w:rPr>
                <w:sz w:val="20"/>
                <w:szCs w:val="20"/>
                <w:color w:val="auto"/>
              </w:rPr>
            </w:pPr>
            <w:r>
              <w:rPr>
                <w:rFonts w:ascii="Arial" w:cs="Arial" w:eastAsia="Arial" w:hAnsi="Arial"/>
                <w:sz w:val="13"/>
                <w:szCs w:val="13"/>
                <w:b w:val="1"/>
                <w:bCs w:val="1"/>
                <w:color w:val="105EAB"/>
              </w:rPr>
              <w:t>($)</w:t>
            </w:r>
          </w:p>
        </w:tc>
        <w:tc>
          <w:tcPr>
            <w:tcW w:w="800" w:type="dxa"/>
            <w:vAlign w:val="bottom"/>
            <w:tcBorders>
              <w:bottom w:val="single" w:sz="8" w:color="105FAB"/>
            </w:tcBorders>
          </w:tcPr>
          <w:p>
            <w:pPr>
              <w:jc w:val="right"/>
              <w:ind w:right="73"/>
              <w:spacing w:after="0"/>
              <w:rPr>
                <w:sz w:val="20"/>
                <w:szCs w:val="20"/>
                <w:color w:val="auto"/>
              </w:rPr>
            </w:pPr>
            <w:r>
              <w:rPr>
                <w:rFonts w:ascii="Arial" w:cs="Arial" w:eastAsia="Arial" w:hAnsi="Arial"/>
                <w:sz w:val="13"/>
                <w:szCs w:val="13"/>
                <w:b w:val="1"/>
                <w:bCs w:val="1"/>
                <w:color w:val="105EAB"/>
              </w:rPr>
              <w:t>(#)</w:t>
            </w:r>
          </w:p>
        </w:tc>
        <w:tc>
          <w:tcPr>
            <w:tcW w:w="880" w:type="dxa"/>
            <w:vAlign w:val="bottom"/>
            <w:tcBorders>
              <w:bottom w:val="single" w:sz="8" w:color="105FAB"/>
            </w:tcBorders>
          </w:tcPr>
          <w:p>
            <w:pPr>
              <w:jc w:val="right"/>
              <w:ind w:right="13"/>
              <w:spacing w:after="0"/>
              <w:rPr>
                <w:sz w:val="20"/>
                <w:szCs w:val="20"/>
                <w:color w:val="auto"/>
              </w:rPr>
            </w:pPr>
            <w:r>
              <w:rPr>
                <w:rFonts w:ascii="Arial" w:cs="Arial" w:eastAsia="Arial" w:hAnsi="Arial"/>
                <w:sz w:val="13"/>
                <w:szCs w:val="13"/>
                <w:b w:val="1"/>
                <w:bCs w:val="1"/>
                <w:color w:val="105EAB"/>
              </w:rPr>
              <w:t>($)</w:t>
            </w:r>
          </w:p>
        </w:tc>
      </w:tr>
      <w:tr>
        <w:trPr>
          <w:trHeight w:val="202"/>
        </w:trPr>
        <w:tc>
          <w:tcPr>
            <w:tcW w:w="7560" w:type="dxa"/>
            <w:vAlign w:val="bottom"/>
          </w:tcPr>
          <w:p>
            <w:pPr>
              <w:ind w:left="60"/>
              <w:spacing w:after="0"/>
              <w:rPr>
                <w:sz w:val="20"/>
                <w:szCs w:val="20"/>
                <w:color w:val="auto"/>
              </w:rPr>
            </w:pPr>
            <w:r>
              <w:rPr>
                <w:rFonts w:ascii="Arial" w:cs="Arial" w:eastAsia="Arial" w:hAnsi="Arial"/>
                <w:sz w:val="13"/>
                <w:szCs w:val="13"/>
                <w:b w:val="1"/>
                <w:bCs w:val="1"/>
                <w:color w:val="105EAB"/>
              </w:rPr>
              <w:t>Mr. Wilson</w:t>
            </w:r>
          </w:p>
        </w:tc>
        <w:tc>
          <w:tcPr>
            <w:tcW w:w="800" w:type="dxa"/>
            <w:vAlign w:val="bottom"/>
          </w:tcPr>
          <w:p>
            <w:pPr>
              <w:jc w:val="right"/>
              <w:ind w:right="73"/>
              <w:spacing w:after="0"/>
              <w:rPr>
                <w:sz w:val="20"/>
                <w:szCs w:val="20"/>
                <w:color w:val="auto"/>
              </w:rPr>
            </w:pPr>
            <w:r>
              <w:rPr>
                <w:rFonts w:ascii="Arial" w:cs="Arial" w:eastAsia="Arial" w:hAnsi="Arial"/>
                <w:sz w:val="13"/>
                <w:szCs w:val="13"/>
                <w:color w:val="auto"/>
              </w:rPr>
              <w:t>2,138,705</w:t>
            </w:r>
          </w:p>
        </w:tc>
        <w:tc>
          <w:tcPr>
            <w:tcW w:w="820" w:type="dxa"/>
            <w:vAlign w:val="bottom"/>
          </w:tcPr>
          <w:p>
            <w:pPr>
              <w:jc w:val="right"/>
              <w:spacing w:after="0"/>
              <w:rPr>
                <w:sz w:val="20"/>
                <w:szCs w:val="20"/>
                <w:color w:val="auto"/>
              </w:rPr>
            </w:pPr>
            <w:r>
              <w:rPr>
                <w:rFonts w:ascii="Arial" w:cs="Arial" w:eastAsia="Arial" w:hAnsi="Arial"/>
                <w:sz w:val="13"/>
                <w:szCs w:val="13"/>
                <w:color w:val="auto"/>
              </w:rPr>
              <w:t>76,200,250</w:t>
            </w:r>
          </w:p>
        </w:tc>
        <w:tc>
          <w:tcPr>
            <w:tcW w:w="280" w:type="dxa"/>
            <w:vAlign w:val="bottom"/>
          </w:tcPr>
          <w:p>
            <w:pPr>
              <w:spacing w:after="0"/>
              <w:rPr>
                <w:sz w:val="17"/>
                <w:szCs w:val="17"/>
                <w:color w:val="auto"/>
              </w:rPr>
            </w:pPr>
          </w:p>
        </w:tc>
        <w:tc>
          <w:tcPr>
            <w:tcW w:w="800" w:type="dxa"/>
            <w:vAlign w:val="bottom"/>
          </w:tcPr>
          <w:p>
            <w:pPr>
              <w:jc w:val="right"/>
              <w:ind w:right="73"/>
              <w:spacing w:after="0"/>
              <w:rPr>
                <w:sz w:val="20"/>
                <w:szCs w:val="20"/>
                <w:color w:val="auto"/>
              </w:rPr>
            </w:pPr>
            <w:r>
              <w:rPr>
                <w:rFonts w:ascii="Arial" w:cs="Arial" w:eastAsia="Arial" w:hAnsi="Arial"/>
                <w:sz w:val="13"/>
                <w:szCs w:val="13"/>
                <w:color w:val="auto"/>
              </w:rPr>
              <w:t>264,074</w:t>
            </w:r>
          </w:p>
        </w:tc>
        <w:tc>
          <w:tcPr>
            <w:tcW w:w="880" w:type="dxa"/>
            <w:vAlign w:val="bottom"/>
          </w:tcPr>
          <w:p>
            <w:pPr>
              <w:jc w:val="right"/>
              <w:ind w:right="13"/>
              <w:spacing w:after="0"/>
              <w:rPr>
                <w:sz w:val="20"/>
                <w:szCs w:val="20"/>
                <w:color w:val="auto"/>
              </w:rPr>
            </w:pPr>
            <w:r>
              <w:rPr>
                <w:rFonts w:ascii="Arial" w:cs="Arial" w:eastAsia="Arial" w:hAnsi="Arial"/>
                <w:sz w:val="13"/>
                <w:szCs w:val="13"/>
                <w:color w:val="auto"/>
              </w:rPr>
              <w:t>2,708,262</w:t>
            </w:r>
          </w:p>
        </w:tc>
      </w:tr>
      <w:tr>
        <w:trPr>
          <w:trHeight w:val="41"/>
        </w:trPr>
        <w:tc>
          <w:tcPr>
            <w:tcW w:w="7560" w:type="dxa"/>
            <w:vAlign w:val="bottom"/>
            <w:tcBorders>
              <w:bottom w:val="single" w:sz="8" w:color="E9F1FB"/>
            </w:tcBorders>
          </w:tcPr>
          <w:p>
            <w:pPr>
              <w:spacing w:after="0"/>
              <w:rPr>
                <w:sz w:val="3"/>
                <w:szCs w:val="3"/>
                <w:color w:val="auto"/>
              </w:rPr>
            </w:pPr>
          </w:p>
        </w:tc>
        <w:tc>
          <w:tcPr>
            <w:tcW w:w="800" w:type="dxa"/>
            <w:vAlign w:val="bottom"/>
            <w:tcBorders>
              <w:bottom w:val="single" w:sz="8" w:color="E9F1FB"/>
            </w:tcBorders>
          </w:tcPr>
          <w:p>
            <w:pPr>
              <w:spacing w:after="0"/>
              <w:rPr>
                <w:sz w:val="3"/>
                <w:szCs w:val="3"/>
                <w:color w:val="auto"/>
              </w:rPr>
            </w:pPr>
          </w:p>
        </w:tc>
        <w:tc>
          <w:tcPr>
            <w:tcW w:w="820" w:type="dxa"/>
            <w:vAlign w:val="bottom"/>
            <w:tcBorders>
              <w:bottom w:val="single" w:sz="8" w:color="E9F1FB"/>
            </w:tcBorders>
          </w:tcPr>
          <w:p>
            <w:pPr>
              <w:spacing w:after="0"/>
              <w:rPr>
                <w:sz w:val="3"/>
                <w:szCs w:val="3"/>
                <w:color w:val="auto"/>
              </w:rPr>
            </w:pPr>
          </w:p>
        </w:tc>
        <w:tc>
          <w:tcPr>
            <w:tcW w:w="280" w:type="dxa"/>
            <w:vAlign w:val="bottom"/>
            <w:tcBorders>
              <w:bottom w:val="single" w:sz="8" w:color="E9F1FB"/>
            </w:tcBorders>
          </w:tcPr>
          <w:p>
            <w:pPr>
              <w:spacing w:after="0"/>
              <w:rPr>
                <w:sz w:val="3"/>
                <w:szCs w:val="3"/>
                <w:color w:val="auto"/>
              </w:rPr>
            </w:pPr>
          </w:p>
        </w:tc>
        <w:tc>
          <w:tcPr>
            <w:tcW w:w="800" w:type="dxa"/>
            <w:vAlign w:val="bottom"/>
            <w:tcBorders>
              <w:bottom w:val="single" w:sz="8" w:color="E9F1FB"/>
            </w:tcBorders>
          </w:tcPr>
          <w:p>
            <w:pPr>
              <w:spacing w:after="0"/>
              <w:rPr>
                <w:sz w:val="3"/>
                <w:szCs w:val="3"/>
                <w:color w:val="auto"/>
              </w:rPr>
            </w:pPr>
          </w:p>
        </w:tc>
        <w:tc>
          <w:tcPr>
            <w:tcW w:w="880" w:type="dxa"/>
            <w:vAlign w:val="bottom"/>
            <w:tcBorders>
              <w:bottom w:val="single" w:sz="8" w:color="E9F1FB"/>
            </w:tcBorders>
          </w:tcPr>
          <w:p>
            <w:pPr>
              <w:spacing w:after="0"/>
              <w:rPr>
                <w:sz w:val="3"/>
                <w:szCs w:val="3"/>
                <w:color w:val="auto"/>
              </w:rPr>
            </w:pPr>
          </w:p>
        </w:tc>
      </w:tr>
      <w:tr>
        <w:trPr>
          <w:trHeight w:val="195"/>
        </w:trPr>
        <w:tc>
          <w:tcPr>
            <w:tcW w:w="7560" w:type="dxa"/>
            <w:vAlign w:val="bottom"/>
          </w:tcPr>
          <w:p>
            <w:pPr>
              <w:ind w:left="60"/>
              <w:spacing w:after="0"/>
              <w:rPr>
                <w:sz w:val="20"/>
                <w:szCs w:val="20"/>
                <w:color w:val="auto"/>
              </w:rPr>
            </w:pPr>
            <w:r>
              <w:rPr>
                <w:rFonts w:ascii="Arial" w:cs="Arial" w:eastAsia="Arial" w:hAnsi="Arial"/>
                <w:sz w:val="13"/>
                <w:szCs w:val="13"/>
                <w:b w:val="1"/>
                <w:bCs w:val="1"/>
                <w:color w:val="105EAB"/>
              </w:rPr>
              <w:t>Mr. Rizzo</w:t>
            </w:r>
          </w:p>
        </w:tc>
        <w:tc>
          <w:tcPr>
            <w:tcW w:w="800" w:type="dxa"/>
            <w:vAlign w:val="bottom"/>
          </w:tcPr>
          <w:p>
            <w:pPr>
              <w:jc w:val="right"/>
              <w:ind w:right="73"/>
              <w:spacing w:after="0"/>
              <w:rPr>
                <w:sz w:val="20"/>
                <w:szCs w:val="20"/>
                <w:color w:val="auto"/>
              </w:rPr>
            </w:pPr>
            <w:r>
              <w:rPr>
                <w:rFonts w:ascii="Arial" w:cs="Arial" w:eastAsia="Arial" w:hAnsi="Arial"/>
                <w:sz w:val="13"/>
                <w:szCs w:val="13"/>
                <w:color w:val="auto"/>
              </w:rPr>
              <w:t>38,879</w:t>
            </w:r>
          </w:p>
        </w:tc>
        <w:tc>
          <w:tcPr>
            <w:tcW w:w="820" w:type="dxa"/>
            <w:vAlign w:val="bottom"/>
          </w:tcPr>
          <w:p>
            <w:pPr>
              <w:jc w:val="right"/>
              <w:spacing w:after="0"/>
              <w:rPr>
                <w:sz w:val="20"/>
                <w:szCs w:val="20"/>
                <w:color w:val="auto"/>
              </w:rPr>
            </w:pPr>
            <w:r>
              <w:rPr>
                <w:rFonts w:ascii="Arial" w:cs="Arial" w:eastAsia="Arial" w:hAnsi="Arial"/>
                <w:sz w:val="13"/>
                <w:szCs w:val="13"/>
                <w:color w:val="auto"/>
              </w:rPr>
              <w:t>1,412,554</w:t>
            </w:r>
          </w:p>
        </w:tc>
        <w:tc>
          <w:tcPr>
            <w:tcW w:w="280" w:type="dxa"/>
            <w:vAlign w:val="bottom"/>
          </w:tcPr>
          <w:p>
            <w:pPr>
              <w:spacing w:after="0"/>
              <w:rPr>
                <w:sz w:val="16"/>
                <w:szCs w:val="16"/>
                <w:color w:val="auto"/>
              </w:rPr>
            </w:pPr>
          </w:p>
        </w:tc>
        <w:tc>
          <w:tcPr>
            <w:tcW w:w="800" w:type="dxa"/>
            <w:vAlign w:val="bottom"/>
          </w:tcPr>
          <w:p>
            <w:pPr>
              <w:jc w:val="right"/>
              <w:ind w:right="73"/>
              <w:spacing w:after="0"/>
              <w:rPr>
                <w:sz w:val="20"/>
                <w:szCs w:val="20"/>
                <w:color w:val="auto"/>
              </w:rPr>
            </w:pPr>
            <w:r>
              <w:rPr>
                <w:rFonts w:ascii="Arial" w:cs="Arial" w:eastAsia="Arial" w:hAnsi="Arial"/>
                <w:sz w:val="13"/>
                <w:szCs w:val="13"/>
                <w:color w:val="auto"/>
              </w:rPr>
              <w:t>10,336</w:t>
            </w:r>
          </w:p>
        </w:tc>
        <w:tc>
          <w:tcPr>
            <w:tcW w:w="880" w:type="dxa"/>
            <w:vAlign w:val="bottom"/>
          </w:tcPr>
          <w:p>
            <w:pPr>
              <w:jc w:val="right"/>
              <w:ind w:right="13"/>
              <w:spacing w:after="0"/>
              <w:rPr>
                <w:sz w:val="20"/>
                <w:szCs w:val="20"/>
                <w:color w:val="auto"/>
              </w:rPr>
            </w:pPr>
            <w:r>
              <w:rPr>
                <w:rFonts w:ascii="Arial" w:cs="Arial" w:eastAsia="Arial" w:hAnsi="Arial"/>
                <w:sz w:val="13"/>
                <w:szCs w:val="13"/>
                <w:color w:val="auto"/>
              </w:rPr>
              <w:t>97,073</w:t>
            </w:r>
          </w:p>
        </w:tc>
      </w:tr>
      <w:tr>
        <w:trPr>
          <w:trHeight w:val="41"/>
        </w:trPr>
        <w:tc>
          <w:tcPr>
            <w:tcW w:w="7560" w:type="dxa"/>
            <w:vAlign w:val="bottom"/>
            <w:tcBorders>
              <w:bottom w:val="single" w:sz="8" w:color="E9F1FB"/>
            </w:tcBorders>
          </w:tcPr>
          <w:p>
            <w:pPr>
              <w:spacing w:after="0"/>
              <w:rPr>
                <w:sz w:val="3"/>
                <w:szCs w:val="3"/>
                <w:color w:val="auto"/>
              </w:rPr>
            </w:pPr>
          </w:p>
        </w:tc>
        <w:tc>
          <w:tcPr>
            <w:tcW w:w="800" w:type="dxa"/>
            <w:vAlign w:val="bottom"/>
            <w:tcBorders>
              <w:bottom w:val="single" w:sz="8" w:color="E9F1FB"/>
            </w:tcBorders>
          </w:tcPr>
          <w:p>
            <w:pPr>
              <w:spacing w:after="0"/>
              <w:rPr>
                <w:sz w:val="3"/>
                <w:szCs w:val="3"/>
                <w:color w:val="auto"/>
              </w:rPr>
            </w:pPr>
          </w:p>
        </w:tc>
        <w:tc>
          <w:tcPr>
            <w:tcW w:w="820" w:type="dxa"/>
            <w:vAlign w:val="bottom"/>
            <w:tcBorders>
              <w:bottom w:val="single" w:sz="8" w:color="E9F1FB"/>
            </w:tcBorders>
          </w:tcPr>
          <w:p>
            <w:pPr>
              <w:spacing w:after="0"/>
              <w:rPr>
                <w:sz w:val="3"/>
                <w:szCs w:val="3"/>
                <w:color w:val="auto"/>
              </w:rPr>
            </w:pPr>
          </w:p>
        </w:tc>
        <w:tc>
          <w:tcPr>
            <w:tcW w:w="280" w:type="dxa"/>
            <w:vAlign w:val="bottom"/>
            <w:tcBorders>
              <w:bottom w:val="single" w:sz="8" w:color="E9F1FB"/>
            </w:tcBorders>
          </w:tcPr>
          <w:p>
            <w:pPr>
              <w:spacing w:after="0"/>
              <w:rPr>
                <w:sz w:val="3"/>
                <w:szCs w:val="3"/>
                <w:color w:val="auto"/>
              </w:rPr>
            </w:pPr>
          </w:p>
        </w:tc>
        <w:tc>
          <w:tcPr>
            <w:tcW w:w="800" w:type="dxa"/>
            <w:vAlign w:val="bottom"/>
            <w:tcBorders>
              <w:bottom w:val="single" w:sz="8" w:color="E9F1FB"/>
            </w:tcBorders>
          </w:tcPr>
          <w:p>
            <w:pPr>
              <w:spacing w:after="0"/>
              <w:rPr>
                <w:sz w:val="3"/>
                <w:szCs w:val="3"/>
                <w:color w:val="auto"/>
              </w:rPr>
            </w:pPr>
          </w:p>
        </w:tc>
        <w:tc>
          <w:tcPr>
            <w:tcW w:w="880" w:type="dxa"/>
            <w:vAlign w:val="bottom"/>
            <w:tcBorders>
              <w:bottom w:val="single" w:sz="8" w:color="E9F1FB"/>
            </w:tcBorders>
          </w:tcPr>
          <w:p>
            <w:pPr>
              <w:spacing w:after="0"/>
              <w:rPr>
                <w:sz w:val="3"/>
                <w:szCs w:val="3"/>
                <w:color w:val="auto"/>
              </w:rPr>
            </w:pPr>
          </w:p>
        </w:tc>
      </w:tr>
      <w:tr>
        <w:trPr>
          <w:trHeight w:val="195"/>
        </w:trPr>
        <w:tc>
          <w:tcPr>
            <w:tcW w:w="7560" w:type="dxa"/>
            <w:vAlign w:val="bottom"/>
          </w:tcPr>
          <w:p>
            <w:pPr>
              <w:ind w:left="60"/>
              <w:spacing w:after="0"/>
              <w:rPr>
                <w:sz w:val="20"/>
                <w:szCs w:val="20"/>
                <w:color w:val="auto"/>
              </w:rPr>
            </w:pPr>
            <w:r>
              <w:rPr>
                <w:rFonts w:ascii="Arial" w:cs="Arial" w:eastAsia="Arial" w:hAnsi="Arial"/>
                <w:sz w:val="13"/>
                <w:szCs w:val="13"/>
                <w:b w:val="1"/>
                <w:bCs w:val="1"/>
                <w:color w:val="105EAB"/>
              </w:rPr>
              <w:t>Mr. Dugenske</w:t>
            </w:r>
          </w:p>
        </w:tc>
        <w:tc>
          <w:tcPr>
            <w:tcW w:w="800" w:type="dxa"/>
            <w:vAlign w:val="bottom"/>
          </w:tcPr>
          <w:p>
            <w:pPr>
              <w:jc w:val="right"/>
              <w:ind w:right="73"/>
              <w:spacing w:after="0"/>
              <w:rPr>
                <w:sz w:val="20"/>
                <w:szCs w:val="20"/>
                <w:color w:val="auto"/>
              </w:rPr>
            </w:pPr>
            <w:r>
              <w:rPr>
                <w:rFonts w:ascii="Arial" w:cs="Arial" w:eastAsia="Arial" w:hAnsi="Arial"/>
                <w:sz w:val="13"/>
                <w:szCs w:val="13"/>
                <w:color w:val="auto"/>
              </w:rPr>
              <w:t>19,180</w:t>
            </w:r>
          </w:p>
        </w:tc>
        <w:tc>
          <w:tcPr>
            <w:tcW w:w="1100" w:type="dxa"/>
            <w:vAlign w:val="bottom"/>
            <w:gridSpan w:val="2"/>
          </w:tcPr>
          <w:p>
            <w:pPr>
              <w:jc w:val="right"/>
              <w:ind w:right="280"/>
              <w:spacing w:after="0"/>
              <w:rPr>
                <w:sz w:val="20"/>
                <w:szCs w:val="20"/>
                <w:color w:val="auto"/>
              </w:rPr>
            </w:pPr>
            <w:r>
              <w:rPr>
                <w:rFonts w:ascii="Arial" w:cs="Arial" w:eastAsia="Arial" w:hAnsi="Arial"/>
                <w:sz w:val="13"/>
                <w:szCs w:val="13"/>
                <w:color w:val="auto"/>
              </w:rPr>
              <w:t>14,769</w:t>
            </w:r>
          </w:p>
        </w:tc>
        <w:tc>
          <w:tcPr>
            <w:tcW w:w="800" w:type="dxa"/>
            <w:vAlign w:val="bottom"/>
          </w:tcPr>
          <w:p>
            <w:pPr>
              <w:jc w:val="right"/>
              <w:ind w:right="73"/>
              <w:spacing w:after="0"/>
              <w:rPr>
                <w:sz w:val="20"/>
                <w:szCs w:val="20"/>
                <w:color w:val="auto"/>
              </w:rPr>
            </w:pPr>
            <w:r>
              <w:rPr>
                <w:rFonts w:ascii="Arial" w:cs="Arial" w:eastAsia="Arial" w:hAnsi="Arial"/>
                <w:sz w:val="13"/>
                <w:szCs w:val="13"/>
                <w:color w:val="auto"/>
              </w:rPr>
              <w:t>38,360</w:t>
            </w:r>
          </w:p>
        </w:tc>
        <w:tc>
          <w:tcPr>
            <w:tcW w:w="880" w:type="dxa"/>
            <w:vAlign w:val="bottom"/>
          </w:tcPr>
          <w:p>
            <w:pPr>
              <w:jc w:val="right"/>
              <w:ind w:right="13"/>
              <w:spacing w:after="0"/>
              <w:rPr>
                <w:sz w:val="20"/>
                <w:szCs w:val="20"/>
                <w:color w:val="auto"/>
              </w:rPr>
            </w:pPr>
            <w:r>
              <w:rPr>
                <w:rFonts w:ascii="Arial" w:cs="Arial" w:eastAsia="Arial" w:hAnsi="Arial"/>
                <w:sz w:val="13"/>
                <w:szCs w:val="13"/>
                <w:color w:val="auto"/>
              </w:rPr>
              <w:t>29,537</w:t>
            </w:r>
          </w:p>
        </w:tc>
      </w:tr>
      <w:tr>
        <w:trPr>
          <w:trHeight w:val="41"/>
        </w:trPr>
        <w:tc>
          <w:tcPr>
            <w:tcW w:w="7560" w:type="dxa"/>
            <w:vAlign w:val="bottom"/>
            <w:tcBorders>
              <w:bottom w:val="single" w:sz="8" w:color="E9F1FB"/>
            </w:tcBorders>
          </w:tcPr>
          <w:p>
            <w:pPr>
              <w:spacing w:after="0"/>
              <w:rPr>
                <w:sz w:val="3"/>
                <w:szCs w:val="3"/>
                <w:color w:val="auto"/>
              </w:rPr>
            </w:pPr>
          </w:p>
        </w:tc>
        <w:tc>
          <w:tcPr>
            <w:tcW w:w="800" w:type="dxa"/>
            <w:vAlign w:val="bottom"/>
            <w:tcBorders>
              <w:bottom w:val="single" w:sz="8" w:color="E9F1FB"/>
            </w:tcBorders>
          </w:tcPr>
          <w:p>
            <w:pPr>
              <w:spacing w:after="0"/>
              <w:rPr>
                <w:sz w:val="3"/>
                <w:szCs w:val="3"/>
                <w:color w:val="auto"/>
              </w:rPr>
            </w:pPr>
          </w:p>
        </w:tc>
        <w:tc>
          <w:tcPr>
            <w:tcW w:w="820" w:type="dxa"/>
            <w:vAlign w:val="bottom"/>
            <w:tcBorders>
              <w:bottom w:val="single" w:sz="8" w:color="E9F1FB"/>
            </w:tcBorders>
          </w:tcPr>
          <w:p>
            <w:pPr>
              <w:spacing w:after="0"/>
              <w:rPr>
                <w:sz w:val="3"/>
                <w:szCs w:val="3"/>
                <w:color w:val="auto"/>
              </w:rPr>
            </w:pPr>
          </w:p>
        </w:tc>
        <w:tc>
          <w:tcPr>
            <w:tcW w:w="280" w:type="dxa"/>
            <w:vAlign w:val="bottom"/>
            <w:tcBorders>
              <w:bottom w:val="single" w:sz="8" w:color="E9F1FB"/>
            </w:tcBorders>
          </w:tcPr>
          <w:p>
            <w:pPr>
              <w:spacing w:after="0"/>
              <w:rPr>
                <w:sz w:val="3"/>
                <w:szCs w:val="3"/>
                <w:color w:val="auto"/>
              </w:rPr>
            </w:pPr>
          </w:p>
        </w:tc>
        <w:tc>
          <w:tcPr>
            <w:tcW w:w="800" w:type="dxa"/>
            <w:vAlign w:val="bottom"/>
            <w:tcBorders>
              <w:bottom w:val="single" w:sz="8" w:color="E9F1FB"/>
            </w:tcBorders>
          </w:tcPr>
          <w:p>
            <w:pPr>
              <w:spacing w:after="0"/>
              <w:rPr>
                <w:sz w:val="3"/>
                <w:szCs w:val="3"/>
                <w:color w:val="auto"/>
              </w:rPr>
            </w:pPr>
          </w:p>
        </w:tc>
        <w:tc>
          <w:tcPr>
            <w:tcW w:w="880" w:type="dxa"/>
            <w:vAlign w:val="bottom"/>
            <w:tcBorders>
              <w:bottom w:val="single" w:sz="8" w:color="E9F1FB"/>
            </w:tcBorders>
          </w:tcPr>
          <w:p>
            <w:pPr>
              <w:spacing w:after="0"/>
              <w:rPr>
                <w:sz w:val="3"/>
                <w:szCs w:val="3"/>
                <w:color w:val="auto"/>
              </w:rPr>
            </w:pPr>
          </w:p>
        </w:tc>
      </w:tr>
      <w:tr>
        <w:trPr>
          <w:trHeight w:val="195"/>
        </w:trPr>
        <w:tc>
          <w:tcPr>
            <w:tcW w:w="7560" w:type="dxa"/>
            <w:vAlign w:val="bottom"/>
          </w:tcPr>
          <w:p>
            <w:pPr>
              <w:ind w:left="60"/>
              <w:spacing w:after="0"/>
              <w:rPr>
                <w:sz w:val="20"/>
                <w:szCs w:val="20"/>
                <w:color w:val="auto"/>
              </w:rPr>
            </w:pPr>
            <w:r>
              <w:rPr>
                <w:rFonts w:ascii="Arial" w:cs="Arial" w:eastAsia="Arial" w:hAnsi="Arial"/>
                <w:sz w:val="13"/>
                <w:szCs w:val="13"/>
                <w:b w:val="1"/>
                <w:bCs w:val="1"/>
                <w:color w:val="105EAB"/>
              </w:rPr>
              <w:t>Mr. Shapiro</w:t>
            </w:r>
          </w:p>
        </w:tc>
        <w:tc>
          <w:tcPr>
            <w:tcW w:w="800" w:type="dxa"/>
            <w:vAlign w:val="bottom"/>
          </w:tcPr>
          <w:p>
            <w:pPr>
              <w:jc w:val="right"/>
              <w:ind w:right="73"/>
              <w:spacing w:after="0"/>
              <w:rPr>
                <w:sz w:val="20"/>
                <w:szCs w:val="20"/>
                <w:color w:val="auto"/>
              </w:rPr>
            </w:pPr>
            <w:r>
              <w:rPr>
                <w:rFonts w:ascii="Arial" w:cs="Arial" w:eastAsia="Arial" w:hAnsi="Arial"/>
                <w:sz w:val="13"/>
                <w:szCs w:val="13"/>
                <w:color w:val="auto"/>
              </w:rPr>
              <w:t>0</w:t>
            </w:r>
          </w:p>
        </w:tc>
        <w:tc>
          <w:tcPr>
            <w:tcW w:w="1100" w:type="dxa"/>
            <w:vAlign w:val="bottom"/>
            <w:gridSpan w:val="2"/>
          </w:tcPr>
          <w:p>
            <w:pPr>
              <w:jc w:val="right"/>
              <w:ind w:right="280"/>
              <w:spacing w:after="0"/>
              <w:rPr>
                <w:sz w:val="20"/>
                <w:szCs w:val="20"/>
                <w:color w:val="auto"/>
              </w:rPr>
            </w:pPr>
            <w:r>
              <w:rPr>
                <w:rFonts w:ascii="Arial" w:cs="Arial" w:eastAsia="Arial" w:hAnsi="Arial"/>
                <w:sz w:val="13"/>
                <w:szCs w:val="13"/>
                <w:color w:val="auto"/>
              </w:rPr>
              <w:t>0</w:t>
            </w:r>
          </w:p>
        </w:tc>
        <w:tc>
          <w:tcPr>
            <w:tcW w:w="800" w:type="dxa"/>
            <w:vAlign w:val="bottom"/>
          </w:tcPr>
          <w:p>
            <w:pPr>
              <w:jc w:val="right"/>
              <w:ind w:right="73"/>
              <w:spacing w:after="0"/>
              <w:rPr>
                <w:sz w:val="20"/>
                <w:szCs w:val="20"/>
                <w:color w:val="auto"/>
              </w:rPr>
            </w:pPr>
            <w:r>
              <w:rPr>
                <w:rFonts w:ascii="Arial" w:cs="Arial" w:eastAsia="Arial" w:hAnsi="Arial"/>
                <w:sz w:val="13"/>
                <w:szCs w:val="13"/>
                <w:color w:val="auto"/>
              </w:rPr>
              <w:t>41,025</w:t>
            </w:r>
          </w:p>
        </w:tc>
        <w:tc>
          <w:tcPr>
            <w:tcW w:w="880" w:type="dxa"/>
            <w:vAlign w:val="bottom"/>
          </w:tcPr>
          <w:p>
            <w:pPr>
              <w:jc w:val="right"/>
              <w:ind w:right="13"/>
              <w:spacing w:after="0"/>
              <w:rPr>
                <w:sz w:val="20"/>
                <w:szCs w:val="20"/>
                <w:color w:val="auto"/>
              </w:rPr>
            </w:pPr>
            <w:r>
              <w:rPr>
                <w:rFonts w:ascii="Arial" w:cs="Arial" w:eastAsia="Arial" w:hAnsi="Arial"/>
                <w:sz w:val="13"/>
                <w:szCs w:val="13"/>
                <w:color w:val="auto"/>
              </w:rPr>
              <w:t>318,521</w:t>
            </w:r>
          </w:p>
        </w:tc>
      </w:tr>
      <w:tr>
        <w:trPr>
          <w:trHeight w:val="41"/>
        </w:trPr>
        <w:tc>
          <w:tcPr>
            <w:tcW w:w="7560" w:type="dxa"/>
            <w:vAlign w:val="bottom"/>
            <w:tcBorders>
              <w:bottom w:val="single" w:sz="8" w:color="E9F1FB"/>
            </w:tcBorders>
          </w:tcPr>
          <w:p>
            <w:pPr>
              <w:spacing w:after="0"/>
              <w:rPr>
                <w:sz w:val="3"/>
                <w:szCs w:val="3"/>
                <w:color w:val="auto"/>
              </w:rPr>
            </w:pPr>
          </w:p>
        </w:tc>
        <w:tc>
          <w:tcPr>
            <w:tcW w:w="800" w:type="dxa"/>
            <w:vAlign w:val="bottom"/>
            <w:tcBorders>
              <w:bottom w:val="single" w:sz="8" w:color="E9F1FB"/>
            </w:tcBorders>
          </w:tcPr>
          <w:p>
            <w:pPr>
              <w:spacing w:after="0"/>
              <w:rPr>
                <w:sz w:val="3"/>
                <w:szCs w:val="3"/>
                <w:color w:val="auto"/>
              </w:rPr>
            </w:pPr>
          </w:p>
        </w:tc>
        <w:tc>
          <w:tcPr>
            <w:tcW w:w="820" w:type="dxa"/>
            <w:vAlign w:val="bottom"/>
            <w:tcBorders>
              <w:bottom w:val="single" w:sz="8" w:color="E9F1FB"/>
            </w:tcBorders>
          </w:tcPr>
          <w:p>
            <w:pPr>
              <w:spacing w:after="0"/>
              <w:rPr>
                <w:sz w:val="3"/>
                <w:szCs w:val="3"/>
                <w:color w:val="auto"/>
              </w:rPr>
            </w:pPr>
          </w:p>
        </w:tc>
        <w:tc>
          <w:tcPr>
            <w:tcW w:w="280" w:type="dxa"/>
            <w:vAlign w:val="bottom"/>
            <w:tcBorders>
              <w:bottom w:val="single" w:sz="8" w:color="E9F1FB"/>
            </w:tcBorders>
          </w:tcPr>
          <w:p>
            <w:pPr>
              <w:spacing w:after="0"/>
              <w:rPr>
                <w:sz w:val="3"/>
                <w:szCs w:val="3"/>
                <w:color w:val="auto"/>
              </w:rPr>
            </w:pPr>
          </w:p>
        </w:tc>
        <w:tc>
          <w:tcPr>
            <w:tcW w:w="800" w:type="dxa"/>
            <w:vAlign w:val="bottom"/>
            <w:tcBorders>
              <w:bottom w:val="single" w:sz="8" w:color="E9F1FB"/>
            </w:tcBorders>
          </w:tcPr>
          <w:p>
            <w:pPr>
              <w:spacing w:after="0"/>
              <w:rPr>
                <w:sz w:val="3"/>
                <w:szCs w:val="3"/>
                <w:color w:val="auto"/>
              </w:rPr>
            </w:pPr>
          </w:p>
        </w:tc>
        <w:tc>
          <w:tcPr>
            <w:tcW w:w="880" w:type="dxa"/>
            <w:vAlign w:val="bottom"/>
            <w:tcBorders>
              <w:bottom w:val="single" w:sz="8" w:color="E9F1FB"/>
            </w:tcBorders>
          </w:tcPr>
          <w:p>
            <w:pPr>
              <w:spacing w:after="0"/>
              <w:rPr>
                <w:sz w:val="3"/>
                <w:szCs w:val="3"/>
                <w:color w:val="auto"/>
              </w:rPr>
            </w:pPr>
          </w:p>
        </w:tc>
      </w:tr>
      <w:tr>
        <w:trPr>
          <w:trHeight w:val="195"/>
        </w:trPr>
        <w:tc>
          <w:tcPr>
            <w:tcW w:w="7560" w:type="dxa"/>
            <w:vAlign w:val="bottom"/>
          </w:tcPr>
          <w:p>
            <w:pPr>
              <w:ind w:left="60"/>
              <w:spacing w:after="0"/>
              <w:rPr>
                <w:sz w:val="20"/>
                <w:szCs w:val="20"/>
                <w:color w:val="auto"/>
              </w:rPr>
            </w:pPr>
            <w:r>
              <w:rPr>
                <w:rFonts w:ascii="Arial" w:cs="Arial" w:eastAsia="Arial" w:hAnsi="Arial"/>
                <w:sz w:val="13"/>
                <w:szCs w:val="13"/>
                <w:b w:val="1"/>
                <w:bCs w:val="1"/>
                <w:color w:val="105EAB"/>
              </w:rPr>
              <w:t>Mr. Shebik</w:t>
            </w:r>
          </w:p>
        </w:tc>
        <w:tc>
          <w:tcPr>
            <w:tcW w:w="800" w:type="dxa"/>
            <w:vAlign w:val="bottom"/>
          </w:tcPr>
          <w:p>
            <w:pPr>
              <w:jc w:val="right"/>
              <w:ind w:right="73"/>
              <w:spacing w:after="0"/>
              <w:rPr>
                <w:sz w:val="20"/>
                <w:szCs w:val="20"/>
                <w:color w:val="auto"/>
              </w:rPr>
            </w:pPr>
            <w:r>
              <w:rPr>
                <w:rFonts w:ascii="Arial" w:cs="Arial" w:eastAsia="Arial" w:hAnsi="Arial"/>
                <w:sz w:val="13"/>
                <w:szCs w:val="13"/>
                <w:color w:val="auto"/>
              </w:rPr>
              <w:t>371,713</w:t>
            </w:r>
          </w:p>
        </w:tc>
        <w:tc>
          <w:tcPr>
            <w:tcW w:w="820" w:type="dxa"/>
            <w:vAlign w:val="bottom"/>
          </w:tcPr>
          <w:p>
            <w:pPr>
              <w:jc w:val="right"/>
              <w:spacing w:after="0"/>
              <w:rPr>
                <w:sz w:val="20"/>
                <w:szCs w:val="20"/>
                <w:color w:val="auto"/>
              </w:rPr>
            </w:pPr>
            <w:r>
              <w:rPr>
                <w:rFonts w:ascii="Arial" w:cs="Arial" w:eastAsia="Arial" w:hAnsi="Arial"/>
                <w:sz w:val="13"/>
                <w:szCs w:val="13"/>
                <w:color w:val="auto"/>
              </w:rPr>
              <w:t>10,354,300</w:t>
            </w:r>
          </w:p>
        </w:tc>
        <w:tc>
          <w:tcPr>
            <w:tcW w:w="280" w:type="dxa"/>
            <w:vAlign w:val="bottom"/>
          </w:tcPr>
          <w:p>
            <w:pPr>
              <w:spacing w:after="0"/>
              <w:rPr>
                <w:sz w:val="16"/>
                <w:szCs w:val="16"/>
                <w:color w:val="auto"/>
              </w:rPr>
            </w:pPr>
          </w:p>
        </w:tc>
        <w:tc>
          <w:tcPr>
            <w:tcW w:w="800" w:type="dxa"/>
            <w:vAlign w:val="bottom"/>
          </w:tcPr>
          <w:p>
            <w:pPr>
              <w:jc w:val="right"/>
              <w:ind w:right="73"/>
              <w:spacing w:after="0"/>
              <w:rPr>
                <w:sz w:val="20"/>
                <w:szCs w:val="20"/>
                <w:color w:val="auto"/>
              </w:rPr>
            </w:pPr>
            <w:r>
              <w:rPr>
                <w:rFonts w:ascii="Arial" w:cs="Arial" w:eastAsia="Arial" w:hAnsi="Arial"/>
                <w:sz w:val="13"/>
                <w:szCs w:val="13"/>
                <w:color w:val="auto"/>
              </w:rPr>
              <w:t>91,272</w:t>
            </w:r>
          </w:p>
        </w:tc>
        <w:tc>
          <w:tcPr>
            <w:tcW w:w="880" w:type="dxa"/>
            <w:vAlign w:val="bottom"/>
          </w:tcPr>
          <w:p>
            <w:pPr>
              <w:jc w:val="right"/>
              <w:ind w:right="13"/>
              <w:spacing w:after="0"/>
              <w:rPr>
                <w:sz w:val="20"/>
                <w:szCs w:val="20"/>
                <w:color w:val="auto"/>
              </w:rPr>
            </w:pPr>
            <w:r>
              <w:rPr>
                <w:rFonts w:ascii="Arial" w:cs="Arial" w:eastAsia="Arial" w:hAnsi="Arial"/>
                <w:sz w:val="13"/>
                <w:szCs w:val="13"/>
                <w:color w:val="auto"/>
              </w:rPr>
              <w:t>872,827</w:t>
            </w:r>
          </w:p>
        </w:tc>
      </w:tr>
      <w:tr>
        <w:trPr>
          <w:trHeight w:val="48"/>
        </w:trPr>
        <w:tc>
          <w:tcPr>
            <w:tcW w:w="7560" w:type="dxa"/>
            <w:vAlign w:val="bottom"/>
            <w:tcBorders>
              <w:bottom w:val="single" w:sz="8" w:color="105FAB"/>
            </w:tcBorders>
          </w:tcPr>
          <w:p>
            <w:pPr>
              <w:spacing w:after="0"/>
              <w:rPr>
                <w:sz w:val="4"/>
                <w:szCs w:val="4"/>
                <w:color w:val="auto"/>
              </w:rPr>
            </w:pPr>
          </w:p>
        </w:tc>
        <w:tc>
          <w:tcPr>
            <w:tcW w:w="800" w:type="dxa"/>
            <w:vAlign w:val="bottom"/>
            <w:tcBorders>
              <w:bottom w:val="single" w:sz="8" w:color="105FAB"/>
            </w:tcBorders>
          </w:tcPr>
          <w:p>
            <w:pPr>
              <w:spacing w:after="0"/>
              <w:rPr>
                <w:sz w:val="4"/>
                <w:szCs w:val="4"/>
                <w:color w:val="auto"/>
              </w:rPr>
            </w:pPr>
          </w:p>
        </w:tc>
        <w:tc>
          <w:tcPr>
            <w:tcW w:w="820" w:type="dxa"/>
            <w:vAlign w:val="bottom"/>
            <w:tcBorders>
              <w:bottom w:val="single" w:sz="8" w:color="105FAB"/>
            </w:tcBorders>
          </w:tcPr>
          <w:p>
            <w:pPr>
              <w:spacing w:after="0"/>
              <w:rPr>
                <w:sz w:val="4"/>
                <w:szCs w:val="4"/>
                <w:color w:val="auto"/>
              </w:rPr>
            </w:pPr>
          </w:p>
        </w:tc>
        <w:tc>
          <w:tcPr>
            <w:tcW w:w="280" w:type="dxa"/>
            <w:vAlign w:val="bottom"/>
            <w:tcBorders>
              <w:bottom w:val="single" w:sz="8" w:color="105FAB"/>
            </w:tcBorders>
          </w:tcPr>
          <w:p>
            <w:pPr>
              <w:spacing w:after="0"/>
              <w:rPr>
                <w:sz w:val="4"/>
                <w:szCs w:val="4"/>
                <w:color w:val="auto"/>
              </w:rPr>
            </w:pPr>
          </w:p>
        </w:tc>
        <w:tc>
          <w:tcPr>
            <w:tcW w:w="800" w:type="dxa"/>
            <w:vAlign w:val="bottom"/>
            <w:tcBorders>
              <w:bottom w:val="single" w:sz="8" w:color="105FAB"/>
            </w:tcBorders>
          </w:tcPr>
          <w:p>
            <w:pPr>
              <w:spacing w:after="0"/>
              <w:rPr>
                <w:sz w:val="4"/>
                <w:szCs w:val="4"/>
                <w:color w:val="auto"/>
              </w:rPr>
            </w:pPr>
          </w:p>
        </w:tc>
        <w:tc>
          <w:tcPr>
            <w:tcW w:w="880" w:type="dxa"/>
            <w:vAlign w:val="bottom"/>
            <w:tcBorders>
              <w:bottom w:val="single" w:sz="8" w:color="105FAB"/>
            </w:tcBorders>
          </w:tcPr>
          <w:p>
            <w:pPr>
              <w:spacing w:after="0"/>
              <w:rPr>
                <w:sz w:val="4"/>
                <w:szCs w:val="4"/>
                <w:color w:val="auto"/>
              </w:rPr>
            </w:pPr>
          </w:p>
        </w:tc>
      </w:tr>
    </w:tbl>
    <w:p>
      <w:pPr>
        <w:spacing w:after="0" w:line="107" w:lineRule="exact"/>
        <w:rPr>
          <w:sz w:val="20"/>
          <w:szCs w:val="20"/>
          <w:color w:val="auto"/>
        </w:rPr>
      </w:pPr>
    </w:p>
    <w:p>
      <w:pPr>
        <w:ind w:left="300" w:hanging="292"/>
        <w:spacing w:after="0"/>
        <w:tabs>
          <w:tab w:leader="none" w:pos="300" w:val="left"/>
        </w:tabs>
        <w:numPr>
          <w:ilvl w:val="0"/>
          <w:numId w:val="197"/>
        </w:numPr>
        <w:rPr>
          <w:rFonts w:ascii="Arial" w:cs="Arial" w:eastAsia="Arial" w:hAnsi="Arial"/>
          <w:sz w:val="11"/>
          <w:szCs w:val="11"/>
          <w:color w:val="auto"/>
        </w:rPr>
      </w:pPr>
      <w:r>
        <w:rPr>
          <w:rFonts w:ascii="Arial" w:cs="Arial" w:eastAsia="Arial" w:hAnsi="Arial"/>
          <w:sz w:val="13"/>
          <w:szCs w:val="13"/>
          <w:color w:val="auto"/>
        </w:rPr>
        <w:t>The PSAs vest in one installment on the day before the third anniversary of the grant date.</w:t>
      </w:r>
    </w:p>
    <w:p>
      <w:pPr>
        <w:spacing w:after="0" w:line="12" w:lineRule="exact"/>
        <w:rPr>
          <w:rFonts w:ascii="Arial" w:cs="Arial" w:eastAsia="Arial" w:hAnsi="Arial"/>
          <w:sz w:val="11"/>
          <w:szCs w:val="11"/>
          <w:color w:val="auto"/>
        </w:rPr>
      </w:pPr>
    </w:p>
    <w:p>
      <w:pPr>
        <w:ind w:left="300" w:hanging="292"/>
        <w:spacing w:after="0"/>
        <w:tabs>
          <w:tab w:leader="none" w:pos="300" w:val="left"/>
        </w:tabs>
        <w:numPr>
          <w:ilvl w:val="0"/>
          <w:numId w:val="197"/>
        </w:numPr>
        <w:rPr>
          <w:rFonts w:ascii="Arial" w:cs="Arial" w:eastAsia="Arial" w:hAnsi="Arial"/>
          <w:sz w:val="11"/>
          <w:szCs w:val="11"/>
          <w:color w:val="auto"/>
        </w:rPr>
      </w:pPr>
      <w:r>
        <w:rPr>
          <w:rFonts w:ascii="Arial" w:cs="Arial" w:eastAsia="Arial" w:hAnsi="Arial"/>
          <w:sz w:val="13"/>
          <w:szCs w:val="13"/>
          <w:color w:val="auto"/>
        </w:rPr>
        <w:t>Amount is based on the closing price of our common stock of $82.63 on December 31, 2018.</w:t>
      </w:r>
    </w:p>
    <w:p>
      <w:pPr>
        <w:spacing w:after="0" w:line="12" w:lineRule="exact"/>
        <w:rPr>
          <w:rFonts w:ascii="Arial" w:cs="Arial" w:eastAsia="Arial" w:hAnsi="Arial"/>
          <w:sz w:val="11"/>
          <w:szCs w:val="11"/>
          <w:color w:val="auto"/>
        </w:rPr>
      </w:pPr>
    </w:p>
    <w:p>
      <w:pPr>
        <w:ind w:left="300" w:right="80" w:hanging="292"/>
        <w:spacing w:after="0" w:line="244" w:lineRule="auto"/>
        <w:tabs>
          <w:tab w:leader="none" w:pos="300" w:val="left"/>
        </w:tabs>
        <w:numPr>
          <w:ilvl w:val="0"/>
          <w:numId w:val="197"/>
        </w:numPr>
        <w:rPr>
          <w:rFonts w:ascii="Arial" w:cs="Arial" w:eastAsia="Arial" w:hAnsi="Arial"/>
          <w:sz w:val="11"/>
          <w:szCs w:val="11"/>
          <w:color w:val="auto"/>
        </w:rPr>
      </w:pPr>
      <w:r>
        <w:rPr>
          <w:rFonts w:ascii="Arial" w:cs="Arial" w:eastAsia="Arial" w:hAnsi="Arial"/>
          <w:sz w:val="13"/>
          <w:szCs w:val="13"/>
          <w:color w:val="auto"/>
        </w:rPr>
        <w:t>The PSAs vest in one installment on the day before the third anniversary of the grant date. The number of shares that ultimately vest may range from 0 to 200% of the target depending on actual performance during the three-year performance period. For a description of the PSA program and the performance measures used, see pages 45-46 and 51-52. The number of PSAs reflected in this column for the 2017 and 2018 awards is the number of shares that would vest if the maximum level of performance is achieved. Final payouts under the PSAs will not be known until the respective performance period is completed.</w:t>
      </w:r>
    </w:p>
    <w:p>
      <w:pPr>
        <w:spacing w:after="0" w:line="171" w:lineRule="exact"/>
        <w:rPr>
          <w:sz w:val="20"/>
          <w:szCs w:val="20"/>
          <w:color w:val="auto"/>
        </w:rPr>
      </w:pPr>
    </w:p>
    <w:p>
      <w:pPr>
        <w:spacing w:after="0"/>
        <w:rPr>
          <w:sz w:val="20"/>
          <w:szCs w:val="20"/>
          <w:color w:val="auto"/>
        </w:rPr>
      </w:pPr>
      <w:r>
        <w:rPr>
          <w:rFonts w:ascii="Arial" w:cs="Arial" w:eastAsia="Arial" w:hAnsi="Arial"/>
          <w:sz w:val="31"/>
          <w:szCs w:val="31"/>
          <w:b w:val="1"/>
          <w:bCs w:val="1"/>
          <w:color w:val="959595"/>
        </w:rPr>
        <w:t>Option Exercises and Stock Vested During 2018</w:t>
      </w:r>
    </w:p>
    <w:p>
      <w:pPr>
        <w:spacing w:after="0" w:line="258" w:lineRule="exact"/>
        <w:rPr>
          <w:sz w:val="20"/>
          <w:szCs w:val="20"/>
          <w:color w:val="auto"/>
        </w:rPr>
      </w:pPr>
    </w:p>
    <w:p>
      <w:pPr>
        <w:ind w:right="420"/>
        <w:spacing w:after="0" w:line="239" w:lineRule="auto"/>
        <w:rPr>
          <w:sz w:val="20"/>
          <w:szCs w:val="20"/>
          <w:color w:val="auto"/>
        </w:rPr>
      </w:pPr>
      <w:r>
        <w:rPr>
          <w:rFonts w:ascii="Arial" w:cs="Arial" w:eastAsia="Arial" w:hAnsi="Arial"/>
          <w:sz w:val="18"/>
          <w:szCs w:val="18"/>
          <w:color w:val="auto"/>
        </w:rPr>
        <w:t>The following table summarizes the options exercised by the named executives during 2018 and the PSAs or restricted stock units that vested during 2018.</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500" w:type="dxa"/>
            <w:vAlign w:val="bottom"/>
          </w:tcPr>
          <w:p>
            <w:pPr>
              <w:spacing w:after="0"/>
              <w:rPr>
                <w:sz w:val="15"/>
                <w:szCs w:val="15"/>
                <w:color w:val="auto"/>
              </w:rPr>
            </w:pPr>
          </w:p>
        </w:tc>
        <w:tc>
          <w:tcPr>
            <w:tcW w:w="2100" w:type="dxa"/>
            <w:vAlign w:val="bottom"/>
            <w:gridSpan w:val="3"/>
          </w:tcPr>
          <w:p>
            <w:pPr>
              <w:jc w:val="right"/>
              <w:ind w:right="700"/>
              <w:spacing w:after="0"/>
              <w:rPr>
                <w:sz w:val="20"/>
                <w:szCs w:val="20"/>
                <w:color w:val="auto"/>
              </w:rPr>
            </w:pPr>
            <w:r>
              <w:rPr>
                <w:rFonts w:ascii="Arial" w:cs="Arial" w:eastAsia="Arial" w:hAnsi="Arial"/>
                <w:sz w:val="13"/>
                <w:szCs w:val="13"/>
                <w:b w:val="1"/>
                <w:bCs w:val="1"/>
                <w:color w:val="105EAB"/>
              </w:rPr>
              <w:t>Option Awards</w:t>
            </w:r>
          </w:p>
        </w:tc>
        <w:tc>
          <w:tcPr>
            <w:tcW w:w="1820" w:type="dxa"/>
            <w:vAlign w:val="bottom"/>
            <w:gridSpan w:val="2"/>
          </w:tcPr>
          <w:p>
            <w:pPr>
              <w:jc w:val="right"/>
              <w:ind w:right="393"/>
              <w:spacing w:after="0"/>
              <w:rPr>
                <w:sz w:val="20"/>
                <w:szCs w:val="20"/>
                <w:color w:val="auto"/>
              </w:rPr>
            </w:pPr>
            <w:r>
              <w:rPr>
                <w:rFonts w:ascii="Arial" w:cs="Arial" w:eastAsia="Arial" w:hAnsi="Arial"/>
                <w:sz w:val="13"/>
                <w:szCs w:val="13"/>
                <w:b w:val="1"/>
                <w:bCs w:val="1"/>
                <w:color w:val="105EAB"/>
              </w:rPr>
              <w:t>Stock Awards</w:t>
            </w:r>
          </w:p>
        </w:tc>
        <w:tc>
          <w:tcPr>
            <w:tcW w:w="0" w:type="dxa"/>
            <w:vAlign w:val="bottom"/>
          </w:tcPr>
          <w:p>
            <w:pPr>
              <w:spacing w:after="0"/>
              <w:rPr>
                <w:sz w:val="1"/>
                <w:szCs w:val="1"/>
                <w:color w:val="auto"/>
              </w:rPr>
            </w:pPr>
          </w:p>
        </w:tc>
      </w:tr>
      <w:tr>
        <w:trPr>
          <w:trHeight w:val="48"/>
        </w:trPr>
        <w:tc>
          <w:tcPr>
            <w:tcW w:w="7500" w:type="dxa"/>
            <w:vAlign w:val="bottom"/>
          </w:tcPr>
          <w:p>
            <w:pPr>
              <w:spacing w:after="0"/>
              <w:rPr>
                <w:sz w:val="4"/>
                <w:szCs w:val="4"/>
                <w:color w:val="auto"/>
              </w:rPr>
            </w:pPr>
          </w:p>
        </w:tc>
        <w:tc>
          <w:tcPr>
            <w:tcW w:w="940" w:type="dxa"/>
            <w:vAlign w:val="bottom"/>
            <w:tcBorders>
              <w:bottom w:val="single" w:sz="8" w:color="105FAB"/>
            </w:tcBorders>
          </w:tcPr>
          <w:p>
            <w:pPr>
              <w:spacing w:after="0"/>
              <w:rPr>
                <w:sz w:val="4"/>
                <w:szCs w:val="4"/>
                <w:color w:val="auto"/>
              </w:rPr>
            </w:pPr>
          </w:p>
        </w:tc>
        <w:tc>
          <w:tcPr>
            <w:tcW w:w="880" w:type="dxa"/>
            <w:vAlign w:val="bottom"/>
            <w:tcBorders>
              <w:bottom w:val="single" w:sz="8" w:color="105FAB"/>
            </w:tcBorders>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Borders>
              <w:bottom w:val="single" w:sz="8" w:color="105FAB"/>
            </w:tcBorders>
          </w:tcPr>
          <w:p>
            <w:pPr>
              <w:spacing w:after="0"/>
              <w:rPr>
                <w:sz w:val="4"/>
                <w:szCs w:val="4"/>
                <w:color w:val="auto"/>
              </w:rPr>
            </w:pPr>
          </w:p>
        </w:tc>
        <w:tc>
          <w:tcPr>
            <w:tcW w:w="880" w:type="dxa"/>
            <w:vAlign w:val="bottom"/>
            <w:tcBorders>
              <w:bottom w:val="single" w:sz="8" w:color="105FAB"/>
            </w:tcBorders>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7500" w:type="dxa"/>
            <w:vAlign w:val="bottom"/>
          </w:tcPr>
          <w:p>
            <w:pPr>
              <w:spacing w:after="0"/>
              <w:rPr>
                <w:sz w:val="13"/>
                <w:szCs w:val="13"/>
                <w:color w:val="auto"/>
              </w:rPr>
            </w:pPr>
          </w:p>
        </w:tc>
        <w:tc>
          <w:tcPr>
            <w:tcW w:w="940" w:type="dxa"/>
            <w:vAlign w:val="bottom"/>
          </w:tcPr>
          <w:p>
            <w:pPr>
              <w:jc w:val="right"/>
              <w:ind w:right="73"/>
              <w:spacing w:after="0"/>
              <w:rPr>
                <w:sz w:val="20"/>
                <w:szCs w:val="20"/>
                <w:color w:val="auto"/>
              </w:rPr>
            </w:pPr>
            <w:r>
              <w:rPr>
                <w:rFonts w:ascii="Arial" w:cs="Arial" w:eastAsia="Arial" w:hAnsi="Arial"/>
                <w:sz w:val="13"/>
                <w:szCs w:val="13"/>
                <w:b w:val="1"/>
                <w:bCs w:val="1"/>
                <w:color w:val="105EAB"/>
              </w:rPr>
              <w:t>Number of</w:t>
            </w:r>
          </w:p>
        </w:tc>
        <w:tc>
          <w:tcPr>
            <w:tcW w:w="1160" w:type="dxa"/>
            <w:vAlign w:val="bottom"/>
            <w:gridSpan w:val="2"/>
            <w:vMerge w:val="restart"/>
          </w:tcPr>
          <w:p>
            <w:pPr>
              <w:jc w:val="right"/>
              <w:ind w:right="280"/>
              <w:spacing w:after="0"/>
              <w:rPr>
                <w:sz w:val="20"/>
                <w:szCs w:val="20"/>
                <w:color w:val="auto"/>
              </w:rPr>
            </w:pPr>
            <w:r>
              <w:rPr>
                <w:rFonts w:ascii="Arial" w:cs="Arial" w:eastAsia="Arial" w:hAnsi="Arial"/>
                <w:sz w:val="13"/>
                <w:szCs w:val="13"/>
                <w:b w:val="1"/>
                <w:bCs w:val="1"/>
                <w:color w:val="105EAB"/>
              </w:rPr>
              <w:t>Value</w:t>
            </w:r>
          </w:p>
        </w:tc>
        <w:tc>
          <w:tcPr>
            <w:tcW w:w="940" w:type="dxa"/>
            <w:vAlign w:val="bottom"/>
          </w:tcPr>
          <w:p>
            <w:pPr>
              <w:jc w:val="right"/>
              <w:ind w:right="73"/>
              <w:spacing w:after="0"/>
              <w:rPr>
                <w:sz w:val="20"/>
                <w:szCs w:val="20"/>
                <w:color w:val="auto"/>
              </w:rPr>
            </w:pPr>
            <w:r>
              <w:rPr>
                <w:rFonts w:ascii="Arial" w:cs="Arial" w:eastAsia="Arial" w:hAnsi="Arial"/>
                <w:sz w:val="13"/>
                <w:szCs w:val="13"/>
                <w:b w:val="1"/>
                <w:bCs w:val="1"/>
                <w:color w:val="105EAB"/>
              </w:rPr>
              <w:t>Number of</w:t>
            </w: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7500" w:type="dxa"/>
            <w:vAlign w:val="bottom"/>
          </w:tcPr>
          <w:p>
            <w:pPr>
              <w:spacing w:after="0"/>
              <w:rPr>
                <w:sz w:val="12"/>
                <w:szCs w:val="12"/>
                <w:color w:val="auto"/>
              </w:rPr>
            </w:pPr>
          </w:p>
        </w:tc>
        <w:tc>
          <w:tcPr>
            <w:tcW w:w="940" w:type="dxa"/>
            <w:vAlign w:val="bottom"/>
          </w:tcPr>
          <w:p>
            <w:pPr>
              <w:jc w:val="right"/>
              <w:ind w:right="73"/>
              <w:spacing w:after="0" w:line="138" w:lineRule="exact"/>
              <w:rPr>
                <w:sz w:val="20"/>
                <w:szCs w:val="20"/>
                <w:color w:val="auto"/>
              </w:rPr>
            </w:pPr>
            <w:r>
              <w:rPr>
                <w:rFonts w:ascii="Arial" w:cs="Arial" w:eastAsia="Arial" w:hAnsi="Arial"/>
                <w:sz w:val="13"/>
                <w:szCs w:val="13"/>
                <w:b w:val="1"/>
                <w:bCs w:val="1"/>
                <w:color w:val="105EAB"/>
              </w:rPr>
              <w:t>Shares</w:t>
            </w:r>
          </w:p>
        </w:tc>
        <w:tc>
          <w:tcPr>
            <w:tcW w:w="1160" w:type="dxa"/>
            <w:vAlign w:val="bottom"/>
            <w:gridSpan w:val="2"/>
            <w:vMerge w:val="continue"/>
          </w:tcPr>
          <w:p>
            <w:pPr>
              <w:spacing w:after="0"/>
              <w:rPr>
                <w:sz w:val="12"/>
                <w:szCs w:val="12"/>
                <w:color w:val="auto"/>
              </w:rPr>
            </w:pPr>
          </w:p>
        </w:tc>
        <w:tc>
          <w:tcPr>
            <w:tcW w:w="940" w:type="dxa"/>
            <w:vAlign w:val="bottom"/>
          </w:tcPr>
          <w:p>
            <w:pPr>
              <w:jc w:val="right"/>
              <w:ind w:right="73"/>
              <w:spacing w:after="0" w:line="138" w:lineRule="exact"/>
              <w:rPr>
                <w:sz w:val="20"/>
                <w:szCs w:val="20"/>
                <w:color w:val="auto"/>
              </w:rPr>
            </w:pPr>
            <w:r>
              <w:rPr>
                <w:rFonts w:ascii="Arial" w:cs="Arial" w:eastAsia="Arial" w:hAnsi="Arial"/>
                <w:sz w:val="13"/>
                <w:szCs w:val="13"/>
                <w:b w:val="1"/>
                <w:bCs w:val="1"/>
                <w:color w:val="105EAB"/>
              </w:rPr>
              <w:t>Shares</w:t>
            </w:r>
          </w:p>
        </w:tc>
        <w:tc>
          <w:tcPr>
            <w:tcW w:w="880" w:type="dxa"/>
            <w:vAlign w:val="bottom"/>
          </w:tcPr>
          <w:p>
            <w:pPr>
              <w:jc w:val="right"/>
              <w:ind w:right="13"/>
              <w:spacing w:after="0" w:line="138" w:lineRule="exact"/>
              <w:rPr>
                <w:sz w:val="20"/>
                <w:szCs w:val="20"/>
                <w:color w:val="auto"/>
              </w:rPr>
            </w:pPr>
            <w:r>
              <w:rPr>
                <w:rFonts w:ascii="Arial" w:cs="Arial" w:eastAsia="Arial" w:hAnsi="Arial"/>
                <w:sz w:val="13"/>
                <w:szCs w:val="13"/>
                <w:b w:val="1"/>
                <w:bCs w:val="1"/>
                <w:color w:val="105EAB"/>
              </w:rPr>
              <w:t>Value</w:t>
            </w:r>
          </w:p>
        </w:tc>
        <w:tc>
          <w:tcPr>
            <w:tcW w:w="0" w:type="dxa"/>
            <w:vAlign w:val="bottom"/>
          </w:tcPr>
          <w:p>
            <w:pPr>
              <w:spacing w:after="0"/>
              <w:rPr>
                <w:sz w:val="1"/>
                <w:szCs w:val="1"/>
                <w:color w:val="auto"/>
              </w:rPr>
            </w:pPr>
          </w:p>
        </w:tc>
      </w:tr>
      <w:tr>
        <w:trPr>
          <w:trHeight w:val="148"/>
        </w:trPr>
        <w:tc>
          <w:tcPr>
            <w:tcW w:w="7500" w:type="dxa"/>
            <w:vAlign w:val="bottom"/>
          </w:tcPr>
          <w:p>
            <w:pPr>
              <w:spacing w:after="0"/>
              <w:rPr>
                <w:sz w:val="12"/>
                <w:szCs w:val="12"/>
                <w:color w:val="auto"/>
              </w:rPr>
            </w:pPr>
          </w:p>
        </w:tc>
        <w:tc>
          <w:tcPr>
            <w:tcW w:w="940" w:type="dxa"/>
            <w:vAlign w:val="bottom"/>
          </w:tcPr>
          <w:p>
            <w:pPr>
              <w:jc w:val="right"/>
              <w:ind w:right="73"/>
              <w:spacing w:after="0" w:line="149" w:lineRule="exact"/>
              <w:rPr>
                <w:sz w:val="20"/>
                <w:szCs w:val="20"/>
                <w:color w:val="auto"/>
              </w:rPr>
            </w:pPr>
            <w:r>
              <w:rPr>
                <w:rFonts w:ascii="Arial" w:cs="Arial" w:eastAsia="Arial" w:hAnsi="Arial"/>
                <w:sz w:val="13"/>
                <w:szCs w:val="13"/>
                <w:b w:val="1"/>
                <w:bCs w:val="1"/>
                <w:color w:val="105EAB"/>
              </w:rPr>
              <w:t>Acquired on</w:t>
            </w:r>
          </w:p>
        </w:tc>
        <w:tc>
          <w:tcPr>
            <w:tcW w:w="1160" w:type="dxa"/>
            <w:vAlign w:val="bottom"/>
            <w:gridSpan w:val="2"/>
          </w:tcPr>
          <w:p>
            <w:pPr>
              <w:jc w:val="right"/>
              <w:ind w:right="280"/>
              <w:spacing w:after="0" w:line="149" w:lineRule="exact"/>
              <w:rPr>
                <w:sz w:val="20"/>
                <w:szCs w:val="20"/>
                <w:color w:val="auto"/>
              </w:rPr>
            </w:pPr>
            <w:r>
              <w:rPr>
                <w:rFonts w:ascii="Arial" w:cs="Arial" w:eastAsia="Arial" w:hAnsi="Arial"/>
                <w:sz w:val="13"/>
                <w:szCs w:val="13"/>
                <w:b w:val="1"/>
                <w:bCs w:val="1"/>
                <w:color w:val="105EAB"/>
              </w:rPr>
              <w:t>Realized</w:t>
            </w:r>
          </w:p>
        </w:tc>
        <w:tc>
          <w:tcPr>
            <w:tcW w:w="940" w:type="dxa"/>
            <w:vAlign w:val="bottom"/>
          </w:tcPr>
          <w:p>
            <w:pPr>
              <w:jc w:val="right"/>
              <w:ind w:right="73"/>
              <w:spacing w:after="0" w:line="149" w:lineRule="exact"/>
              <w:rPr>
                <w:sz w:val="20"/>
                <w:szCs w:val="20"/>
                <w:color w:val="auto"/>
              </w:rPr>
            </w:pPr>
            <w:r>
              <w:rPr>
                <w:rFonts w:ascii="Arial" w:cs="Arial" w:eastAsia="Arial" w:hAnsi="Arial"/>
                <w:sz w:val="13"/>
                <w:szCs w:val="13"/>
                <w:b w:val="1"/>
                <w:bCs w:val="1"/>
                <w:color w:val="105EAB"/>
              </w:rPr>
              <w:t>Acquired on</w:t>
            </w:r>
          </w:p>
        </w:tc>
        <w:tc>
          <w:tcPr>
            <w:tcW w:w="880" w:type="dxa"/>
            <w:vAlign w:val="bottom"/>
          </w:tcPr>
          <w:p>
            <w:pPr>
              <w:jc w:val="right"/>
              <w:ind w:right="13"/>
              <w:spacing w:after="0" w:line="149" w:lineRule="exact"/>
              <w:rPr>
                <w:sz w:val="20"/>
                <w:szCs w:val="20"/>
                <w:color w:val="auto"/>
              </w:rPr>
            </w:pPr>
            <w:r>
              <w:rPr>
                <w:rFonts w:ascii="Arial" w:cs="Arial" w:eastAsia="Arial" w:hAnsi="Arial"/>
                <w:sz w:val="13"/>
                <w:szCs w:val="13"/>
                <w:b w:val="1"/>
                <w:bCs w:val="1"/>
                <w:color w:val="105EAB"/>
              </w:rPr>
              <w:t>Realized</w:t>
            </w:r>
          </w:p>
        </w:tc>
        <w:tc>
          <w:tcPr>
            <w:tcW w:w="0" w:type="dxa"/>
            <w:vAlign w:val="bottom"/>
          </w:tcPr>
          <w:p>
            <w:pPr>
              <w:spacing w:after="0"/>
              <w:rPr>
                <w:sz w:val="1"/>
                <w:szCs w:val="1"/>
                <w:color w:val="auto"/>
              </w:rPr>
            </w:pPr>
          </w:p>
        </w:tc>
      </w:tr>
      <w:tr>
        <w:trPr>
          <w:trHeight w:val="148"/>
        </w:trPr>
        <w:tc>
          <w:tcPr>
            <w:tcW w:w="7500" w:type="dxa"/>
            <w:vAlign w:val="bottom"/>
          </w:tcPr>
          <w:p>
            <w:pPr>
              <w:spacing w:after="0"/>
              <w:rPr>
                <w:sz w:val="12"/>
                <w:szCs w:val="12"/>
                <w:color w:val="auto"/>
              </w:rPr>
            </w:pPr>
          </w:p>
        </w:tc>
        <w:tc>
          <w:tcPr>
            <w:tcW w:w="940" w:type="dxa"/>
            <w:vAlign w:val="bottom"/>
          </w:tcPr>
          <w:p>
            <w:pPr>
              <w:jc w:val="right"/>
              <w:ind w:right="73"/>
              <w:spacing w:after="0" w:line="149" w:lineRule="exact"/>
              <w:rPr>
                <w:sz w:val="20"/>
                <w:szCs w:val="20"/>
                <w:color w:val="auto"/>
              </w:rPr>
            </w:pPr>
            <w:r>
              <w:rPr>
                <w:rFonts w:ascii="Arial" w:cs="Arial" w:eastAsia="Arial" w:hAnsi="Arial"/>
                <w:sz w:val="13"/>
                <w:szCs w:val="13"/>
                <w:b w:val="1"/>
                <w:bCs w:val="1"/>
                <w:color w:val="105EAB"/>
              </w:rPr>
              <w:t>Exercise</w:t>
            </w:r>
          </w:p>
        </w:tc>
        <w:tc>
          <w:tcPr>
            <w:tcW w:w="1160" w:type="dxa"/>
            <w:vAlign w:val="bottom"/>
            <w:gridSpan w:val="2"/>
          </w:tcPr>
          <w:p>
            <w:pPr>
              <w:jc w:val="right"/>
              <w:ind w:right="280"/>
              <w:spacing w:after="0" w:line="149" w:lineRule="exact"/>
              <w:rPr>
                <w:sz w:val="20"/>
                <w:szCs w:val="20"/>
                <w:color w:val="auto"/>
              </w:rPr>
            </w:pPr>
            <w:r>
              <w:rPr>
                <w:rFonts w:ascii="Arial" w:cs="Arial" w:eastAsia="Arial" w:hAnsi="Arial"/>
                <w:sz w:val="13"/>
                <w:szCs w:val="13"/>
                <w:b w:val="1"/>
                <w:bCs w:val="1"/>
                <w:color w:val="105EAB"/>
              </w:rPr>
              <w:t>on Exercise</w:t>
            </w:r>
          </w:p>
        </w:tc>
        <w:tc>
          <w:tcPr>
            <w:tcW w:w="940" w:type="dxa"/>
            <w:vAlign w:val="bottom"/>
          </w:tcPr>
          <w:p>
            <w:pPr>
              <w:jc w:val="right"/>
              <w:ind w:right="73"/>
              <w:spacing w:after="0" w:line="149" w:lineRule="exact"/>
              <w:rPr>
                <w:sz w:val="20"/>
                <w:szCs w:val="20"/>
                <w:color w:val="auto"/>
              </w:rPr>
            </w:pPr>
            <w:r>
              <w:rPr>
                <w:rFonts w:ascii="Arial" w:cs="Arial" w:eastAsia="Arial" w:hAnsi="Arial"/>
                <w:sz w:val="13"/>
                <w:szCs w:val="13"/>
                <w:b w:val="1"/>
                <w:bCs w:val="1"/>
                <w:color w:val="105EAB"/>
              </w:rPr>
              <w:t>Vesting</w:t>
            </w:r>
          </w:p>
        </w:tc>
        <w:tc>
          <w:tcPr>
            <w:tcW w:w="880" w:type="dxa"/>
            <w:vAlign w:val="bottom"/>
          </w:tcPr>
          <w:p>
            <w:pPr>
              <w:jc w:val="right"/>
              <w:ind w:right="13"/>
              <w:spacing w:after="0" w:line="149" w:lineRule="exact"/>
              <w:rPr>
                <w:sz w:val="20"/>
                <w:szCs w:val="20"/>
                <w:color w:val="auto"/>
              </w:rPr>
            </w:pPr>
            <w:r>
              <w:rPr>
                <w:rFonts w:ascii="Arial" w:cs="Arial" w:eastAsia="Arial" w:hAnsi="Arial"/>
                <w:sz w:val="13"/>
                <w:szCs w:val="13"/>
                <w:b w:val="1"/>
                <w:bCs w:val="1"/>
                <w:color w:val="105EAB"/>
              </w:rPr>
              <w:t>on Vesting</w:t>
            </w:r>
          </w:p>
        </w:tc>
        <w:tc>
          <w:tcPr>
            <w:tcW w:w="0" w:type="dxa"/>
            <w:vAlign w:val="bottom"/>
          </w:tcPr>
          <w:p>
            <w:pPr>
              <w:spacing w:after="0"/>
              <w:rPr>
                <w:sz w:val="1"/>
                <w:szCs w:val="1"/>
                <w:color w:val="auto"/>
              </w:rPr>
            </w:pPr>
          </w:p>
        </w:tc>
      </w:tr>
      <w:tr>
        <w:trPr>
          <w:trHeight w:val="209"/>
        </w:trPr>
        <w:tc>
          <w:tcPr>
            <w:tcW w:w="7500" w:type="dxa"/>
            <w:vAlign w:val="bottom"/>
            <w:tcBorders>
              <w:bottom w:val="single" w:sz="8" w:color="105FAB"/>
            </w:tcBorders>
          </w:tcPr>
          <w:p>
            <w:pPr>
              <w:ind w:left="80"/>
              <w:spacing w:after="0"/>
              <w:rPr>
                <w:sz w:val="20"/>
                <w:szCs w:val="20"/>
                <w:color w:val="auto"/>
              </w:rPr>
            </w:pPr>
            <w:r>
              <w:rPr>
                <w:rFonts w:ascii="Arial" w:cs="Arial" w:eastAsia="Arial" w:hAnsi="Arial"/>
                <w:sz w:val="13"/>
                <w:szCs w:val="13"/>
                <w:b w:val="1"/>
                <w:bCs w:val="1"/>
                <w:color w:val="105EAB"/>
              </w:rPr>
              <w:t>Name</w:t>
            </w:r>
          </w:p>
        </w:tc>
        <w:tc>
          <w:tcPr>
            <w:tcW w:w="940" w:type="dxa"/>
            <w:vAlign w:val="bottom"/>
            <w:tcBorders>
              <w:bottom w:val="single" w:sz="8" w:color="105FAB"/>
            </w:tcBorders>
          </w:tcPr>
          <w:p>
            <w:pPr>
              <w:jc w:val="right"/>
              <w:ind w:right="73"/>
              <w:spacing w:after="0"/>
              <w:rPr>
                <w:sz w:val="20"/>
                <w:szCs w:val="20"/>
                <w:color w:val="auto"/>
              </w:rPr>
            </w:pPr>
            <w:r>
              <w:rPr>
                <w:rFonts w:ascii="Arial" w:cs="Arial" w:eastAsia="Arial" w:hAnsi="Arial"/>
                <w:sz w:val="13"/>
                <w:szCs w:val="13"/>
                <w:b w:val="1"/>
                <w:bCs w:val="1"/>
                <w:color w:val="105EAB"/>
              </w:rPr>
              <w:t>(#)</w:t>
            </w:r>
          </w:p>
        </w:tc>
        <w:tc>
          <w:tcPr>
            <w:tcW w:w="880" w:type="dxa"/>
            <w:vAlign w:val="bottom"/>
            <w:tcBorders>
              <w:bottom w:val="single" w:sz="8" w:color="105FAB"/>
            </w:tcBorders>
          </w:tcPr>
          <w:p>
            <w:pPr>
              <w:jc w:val="right"/>
              <w:spacing w:after="0" w:line="202" w:lineRule="exact"/>
              <w:rPr>
                <w:sz w:val="20"/>
                <w:szCs w:val="20"/>
                <w:color w:val="auto"/>
              </w:rPr>
            </w:pPr>
            <w:r>
              <w:rPr>
                <w:rFonts w:ascii="Arial" w:cs="Arial" w:eastAsia="Arial" w:hAnsi="Arial"/>
                <w:sz w:val="13"/>
                <w:szCs w:val="13"/>
                <w:b w:val="1"/>
                <w:bCs w:val="1"/>
                <w:color w:val="105EAB"/>
              </w:rPr>
              <w:t>($)</w:t>
            </w:r>
            <w:r>
              <w:rPr>
                <w:rFonts w:ascii="Arial" w:cs="Arial" w:eastAsia="Arial" w:hAnsi="Arial"/>
                <w:sz w:val="22"/>
                <w:szCs w:val="22"/>
                <w:b w:val="1"/>
                <w:bCs w:val="1"/>
                <w:color w:val="105EAB"/>
                <w:vertAlign w:val="superscript"/>
              </w:rPr>
              <w:t>(1)</w:t>
            </w:r>
          </w:p>
        </w:tc>
        <w:tc>
          <w:tcPr>
            <w:tcW w:w="280" w:type="dxa"/>
            <w:vAlign w:val="bottom"/>
            <w:tcBorders>
              <w:bottom w:val="single" w:sz="8" w:color="105FAB"/>
            </w:tcBorders>
          </w:tcPr>
          <w:p>
            <w:pPr>
              <w:spacing w:after="0"/>
              <w:rPr>
                <w:sz w:val="18"/>
                <w:szCs w:val="18"/>
                <w:color w:val="auto"/>
              </w:rPr>
            </w:pPr>
          </w:p>
        </w:tc>
        <w:tc>
          <w:tcPr>
            <w:tcW w:w="940" w:type="dxa"/>
            <w:vAlign w:val="bottom"/>
            <w:tcBorders>
              <w:bottom w:val="single" w:sz="8" w:color="105FAB"/>
            </w:tcBorders>
          </w:tcPr>
          <w:p>
            <w:pPr>
              <w:jc w:val="right"/>
              <w:ind w:right="73"/>
              <w:spacing w:after="0"/>
              <w:rPr>
                <w:sz w:val="20"/>
                <w:szCs w:val="20"/>
                <w:color w:val="auto"/>
              </w:rPr>
            </w:pPr>
            <w:r>
              <w:rPr>
                <w:rFonts w:ascii="Arial" w:cs="Arial" w:eastAsia="Arial" w:hAnsi="Arial"/>
                <w:sz w:val="13"/>
                <w:szCs w:val="13"/>
                <w:b w:val="1"/>
                <w:bCs w:val="1"/>
                <w:color w:val="105EAB"/>
              </w:rPr>
              <w:t>(#)</w:t>
            </w:r>
          </w:p>
        </w:tc>
        <w:tc>
          <w:tcPr>
            <w:tcW w:w="880" w:type="dxa"/>
            <w:vAlign w:val="bottom"/>
            <w:tcBorders>
              <w:bottom w:val="single" w:sz="8" w:color="105FAB"/>
            </w:tcBorders>
          </w:tcPr>
          <w:p>
            <w:pPr>
              <w:jc w:val="right"/>
              <w:ind w:right="13"/>
              <w:spacing w:after="0"/>
              <w:rPr>
                <w:sz w:val="20"/>
                <w:szCs w:val="20"/>
                <w:color w:val="auto"/>
              </w:rPr>
            </w:pPr>
            <w:r>
              <w:rPr>
                <w:rFonts w:ascii="Arial" w:cs="Arial" w:eastAsia="Arial" w:hAnsi="Arial"/>
                <w:sz w:val="13"/>
                <w:szCs w:val="13"/>
                <w:b w:val="1"/>
                <w:bCs w:val="1"/>
                <w:color w:val="105EAB"/>
              </w:rPr>
              <w:t>($)</w:t>
            </w:r>
          </w:p>
        </w:tc>
        <w:tc>
          <w:tcPr>
            <w:tcW w:w="0" w:type="dxa"/>
            <w:vAlign w:val="bottom"/>
          </w:tcPr>
          <w:p>
            <w:pPr>
              <w:spacing w:after="0"/>
              <w:rPr>
                <w:sz w:val="1"/>
                <w:szCs w:val="1"/>
                <w:color w:val="auto"/>
              </w:rPr>
            </w:pPr>
          </w:p>
        </w:tc>
      </w:tr>
      <w:tr>
        <w:trPr>
          <w:trHeight w:val="202"/>
        </w:trPr>
        <w:tc>
          <w:tcPr>
            <w:tcW w:w="7500" w:type="dxa"/>
            <w:vAlign w:val="bottom"/>
          </w:tcPr>
          <w:p>
            <w:pPr>
              <w:ind w:left="80"/>
              <w:spacing w:after="0"/>
              <w:rPr>
                <w:sz w:val="20"/>
                <w:szCs w:val="20"/>
                <w:color w:val="auto"/>
              </w:rPr>
            </w:pPr>
            <w:r>
              <w:rPr>
                <w:rFonts w:ascii="Arial" w:cs="Arial" w:eastAsia="Arial" w:hAnsi="Arial"/>
                <w:sz w:val="13"/>
                <w:szCs w:val="13"/>
                <w:b w:val="1"/>
                <w:bCs w:val="1"/>
                <w:color w:val="105EAB"/>
              </w:rPr>
              <w:t>Mr. Wilson</w:t>
            </w:r>
          </w:p>
        </w:tc>
        <w:tc>
          <w:tcPr>
            <w:tcW w:w="940" w:type="dxa"/>
            <w:vAlign w:val="bottom"/>
          </w:tcPr>
          <w:p>
            <w:pPr>
              <w:jc w:val="right"/>
              <w:ind w:right="73"/>
              <w:spacing w:after="0"/>
              <w:rPr>
                <w:sz w:val="20"/>
                <w:szCs w:val="20"/>
                <w:color w:val="auto"/>
              </w:rPr>
            </w:pPr>
            <w:r>
              <w:rPr>
                <w:rFonts w:ascii="Arial" w:cs="Arial" w:eastAsia="Arial" w:hAnsi="Arial"/>
                <w:sz w:val="13"/>
                <w:szCs w:val="13"/>
                <w:color w:val="auto"/>
              </w:rPr>
              <w:t>0</w:t>
            </w:r>
          </w:p>
        </w:tc>
        <w:tc>
          <w:tcPr>
            <w:tcW w:w="1160" w:type="dxa"/>
            <w:vAlign w:val="bottom"/>
            <w:gridSpan w:val="2"/>
          </w:tcPr>
          <w:p>
            <w:pPr>
              <w:jc w:val="right"/>
              <w:ind w:right="280"/>
              <w:spacing w:after="0"/>
              <w:rPr>
                <w:sz w:val="20"/>
                <w:szCs w:val="20"/>
                <w:color w:val="auto"/>
              </w:rPr>
            </w:pPr>
            <w:r>
              <w:rPr>
                <w:rFonts w:ascii="Arial" w:cs="Arial" w:eastAsia="Arial" w:hAnsi="Arial"/>
                <w:sz w:val="13"/>
                <w:szCs w:val="13"/>
                <w:color w:val="auto"/>
              </w:rPr>
              <w:t>0</w:t>
            </w:r>
          </w:p>
        </w:tc>
        <w:tc>
          <w:tcPr>
            <w:tcW w:w="940" w:type="dxa"/>
            <w:vAlign w:val="bottom"/>
          </w:tcPr>
          <w:p>
            <w:pPr>
              <w:jc w:val="right"/>
              <w:ind w:right="73"/>
              <w:spacing w:after="0"/>
              <w:rPr>
                <w:sz w:val="20"/>
                <w:szCs w:val="20"/>
                <w:color w:val="auto"/>
              </w:rPr>
            </w:pPr>
            <w:r>
              <w:rPr>
                <w:rFonts w:ascii="Arial" w:cs="Arial" w:eastAsia="Arial" w:hAnsi="Arial"/>
                <w:sz w:val="13"/>
                <w:szCs w:val="13"/>
                <w:color w:val="auto"/>
              </w:rPr>
              <w:t>53,780</w:t>
            </w:r>
          </w:p>
        </w:tc>
        <w:tc>
          <w:tcPr>
            <w:tcW w:w="880" w:type="dxa"/>
            <w:vAlign w:val="bottom"/>
          </w:tcPr>
          <w:p>
            <w:pPr>
              <w:jc w:val="right"/>
              <w:ind w:right="13"/>
              <w:spacing w:after="0"/>
              <w:rPr>
                <w:sz w:val="20"/>
                <w:szCs w:val="20"/>
                <w:color w:val="auto"/>
              </w:rPr>
            </w:pPr>
            <w:r>
              <w:rPr>
                <w:rFonts w:ascii="Arial" w:cs="Arial" w:eastAsia="Arial" w:hAnsi="Arial"/>
                <w:sz w:val="13"/>
                <w:szCs w:val="13"/>
                <w:color w:val="auto"/>
              </w:rPr>
              <w:t>5,111,251</w:t>
            </w:r>
          </w:p>
        </w:tc>
        <w:tc>
          <w:tcPr>
            <w:tcW w:w="0" w:type="dxa"/>
            <w:vAlign w:val="bottom"/>
          </w:tcPr>
          <w:p>
            <w:pPr>
              <w:spacing w:after="0"/>
              <w:rPr>
                <w:sz w:val="1"/>
                <w:szCs w:val="1"/>
                <w:color w:val="auto"/>
              </w:rPr>
            </w:pPr>
          </w:p>
        </w:tc>
      </w:tr>
      <w:tr>
        <w:trPr>
          <w:trHeight w:val="41"/>
        </w:trPr>
        <w:tc>
          <w:tcPr>
            <w:tcW w:w="7500" w:type="dxa"/>
            <w:vAlign w:val="bottom"/>
            <w:tcBorders>
              <w:bottom w:val="single" w:sz="8" w:color="E9F1FB"/>
            </w:tcBorders>
          </w:tcPr>
          <w:p>
            <w:pPr>
              <w:spacing w:after="0"/>
              <w:rPr>
                <w:sz w:val="3"/>
                <w:szCs w:val="3"/>
                <w:color w:val="auto"/>
              </w:rPr>
            </w:pPr>
          </w:p>
        </w:tc>
        <w:tc>
          <w:tcPr>
            <w:tcW w:w="940" w:type="dxa"/>
            <w:vAlign w:val="bottom"/>
            <w:tcBorders>
              <w:bottom w:val="single" w:sz="8" w:color="E9F1FB"/>
            </w:tcBorders>
          </w:tcPr>
          <w:p>
            <w:pPr>
              <w:spacing w:after="0"/>
              <w:rPr>
                <w:sz w:val="3"/>
                <w:szCs w:val="3"/>
                <w:color w:val="auto"/>
              </w:rPr>
            </w:pPr>
          </w:p>
        </w:tc>
        <w:tc>
          <w:tcPr>
            <w:tcW w:w="880" w:type="dxa"/>
            <w:vAlign w:val="bottom"/>
            <w:tcBorders>
              <w:bottom w:val="single" w:sz="8" w:color="E9F1FB"/>
            </w:tcBorders>
          </w:tcPr>
          <w:p>
            <w:pPr>
              <w:spacing w:after="0"/>
              <w:rPr>
                <w:sz w:val="3"/>
                <w:szCs w:val="3"/>
                <w:color w:val="auto"/>
              </w:rPr>
            </w:pPr>
          </w:p>
        </w:tc>
        <w:tc>
          <w:tcPr>
            <w:tcW w:w="280" w:type="dxa"/>
            <w:vAlign w:val="bottom"/>
            <w:tcBorders>
              <w:bottom w:val="single" w:sz="8" w:color="E9F1FB"/>
            </w:tcBorders>
          </w:tcPr>
          <w:p>
            <w:pPr>
              <w:spacing w:after="0"/>
              <w:rPr>
                <w:sz w:val="3"/>
                <w:szCs w:val="3"/>
                <w:color w:val="auto"/>
              </w:rPr>
            </w:pPr>
          </w:p>
        </w:tc>
        <w:tc>
          <w:tcPr>
            <w:tcW w:w="940" w:type="dxa"/>
            <w:vAlign w:val="bottom"/>
            <w:tcBorders>
              <w:bottom w:val="single" w:sz="8" w:color="E9F1FB"/>
            </w:tcBorders>
          </w:tcPr>
          <w:p>
            <w:pPr>
              <w:spacing w:after="0"/>
              <w:rPr>
                <w:sz w:val="3"/>
                <w:szCs w:val="3"/>
                <w:color w:val="auto"/>
              </w:rPr>
            </w:pPr>
          </w:p>
        </w:tc>
        <w:tc>
          <w:tcPr>
            <w:tcW w:w="880" w:type="dxa"/>
            <w:vAlign w:val="bottom"/>
            <w:tcBorders>
              <w:bottom w:val="single" w:sz="8" w:color="E9F1FB"/>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7500" w:type="dxa"/>
            <w:vAlign w:val="bottom"/>
          </w:tcPr>
          <w:p>
            <w:pPr>
              <w:ind w:left="80"/>
              <w:spacing w:after="0"/>
              <w:rPr>
                <w:sz w:val="20"/>
                <w:szCs w:val="20"/>
                <w:color w:val="auto"/>
              </w:rPr>
            </w:pPr>
            <w:r>
              <w:rPr>
                <w:rFonts w:ascii="Arial" w:cs="Arial" w:eastAsia="Arial" w:hAnsi="Arial"/>
                <w:sz w:val="13"/>
                <w:szCs w:val="13"/>
                <w:b w:val="1"/>
                <w:bCs w:val="1"/>
                <w:color w:val="105EAB"/>
              </w:rPr>
              <w:t>Mr. Rizzo</w:t>
            </w:r>
          </w:p>
        </w:tc>
        <w:tc>
          <w:tcPr>
            <w:tcW w:w="940" w:type="dxa"/>
            <w:vAlign w:val="bottom"/>
          </w:tcPr>
          <w:p>
            <w:pPr>
              <w:jc w:val="right"/>
              <w:ind w:right="73"/>
              <w:spacing w:after="0"/>
              <w:rPr>
                <w:sz w:val="20"/>
                <w:szCs w:val="20"/>
                <w:color w:val="auto"/>
              </w:rPr>
            </w:pPr>
            <w:r>
              <w:rPr>
                <w:rFonts w:ascii="Arial" w:cs="Arial" w:eastAsia="Arial" w:hAnsi="Arial"/>
                <w:sz w:val="13"/>
                <w:szCs w:val="13"/>
                <w:color w:val="auto"/>
              </w:rPr>
              <w:t>0</w:t>
            </w:r>
          </w:p>
        </w:tc>
        <w:tc>
          <w:tcPr>
            <w:tcW w:w="1160" w:type="dxa"/>
            <w:vAlign w:val="bottom"/>
            <w:gridSpan w:val="2"/>
          </w:tcPr>
          <w:p>
            <w:pPr>
              <w:jc w:val="right"/>
              <w:ind w:right="280"/>
              <w:spacing w:after="0"/>
              <w:rPr>
                <w:sz w:val="20"/>
                <w:szCs w:val="20"/>
                <w:color w:val="auto"/>
              </w:rPr>
            </w:pPr>
            <w:r>
              <w:rPr>
                <w:rFonts w:ascii="Arial" w:cs="Arial" w:eastAsia="Arial" w:hAnsi="Arial"/>
                <w:sz w:val="13"/>
                <w:szCs w:val="13"/>
                <w:color w:val="auto"/>
              </w:rPr>
              <w:t>0</w:t>
            </w:r>
          </w:p>
        </w:tc>
        <w:tc>
          <w:tcPr>
            <w:tcW w:w="940" w:type="dxa"/>
            <w:vAlign w:val="bottom"/>
          </w:tcPr>
          <w:p>
            <w:pPr>
              <w:jc w:val="right"/>
              <w:ind w:right="73"/>
              <w:spacing w:after="0"/>
              <w:rPr>
                <w:sz w:val="20"/>
                <w:szCs w:val="20"/>
                <w:color w:val="auto"/>
              </w:rPr>
            </w:pPr>
            <w:r>
              <w:rPr>
                <w:rFonts w:ascii="Arial" w:cs="Arial" w:eastAsia="Arial" w:hAnsi="Arial"/>
                <w:sz w:val="13"/>
                <w:szCs w:val="13"/>
                <w:color w:val="auto"/>
              </w:rPr>
              <w:t>3,447</w:t>
            </w:r>
          </w:p>
        </w:tc>
        <w:tc>
          <w:tcPr>
            <w:tcW w:w="880" w:type="dxa"/>
            <w:vAlign w:val="bottom"/>
          </w:tcPr>
          <w:p>
            <w:pPr>
              <w:jc w:val="right"/>
              <w:ind w:right="13"/>
              <w:spacing w:after="0"/>
              <w:rPr>
                <w:sz w:val="20"/>
                <w:szCs w:val="20"/>
                <w:color w:val="auto"/>
              </w:rPr>
            </w:pPr>
            <w:r>
              <w:rPr>
                <w:rFonts w:ascii="Arial" w:cs="Arial" w:eastAsia="Arial" w:hAnsi="Arial"/>
                <w:sz w:val="13"/>
                <w:szCs w:val="13"/>
                <w:color w:val="auto"/>
              </w:rPr>
              <w:t>327,603</w:t>
            </w:r>
          </w:p>
        </w:tc>
        <w:tc>
          <w:tcPr>
            <w:tcW w:w="0" w:type="dxa"/>
            <w:vAlign w:val="bottom"/>
          </w:tcPr>
          <w:p>
            <w:pPr>
              <w:spacing w:after="0"/>
              <w:rPr>
                <w:sz w:val="1"/>
                <w:szCs w:val="1"/>
                <w:color w:val="auto"/>
              </w:rPr>
            </w:pPr>
          </w:p>
        </w:tc>
      </w:tr>
      <w:tr>
        <w:trPr>
          <w:trHeight w:val="41"/>
        </w:trPr>
        <w:tc>
          <w:tcPr>
            <w:tcW w:w="7500" w:type="dxa"/>
            <w:vAlign w:val="bottom"/>
            <w:tcBorders>
              <w:bottom w:val="single" w:sz="8" w:color="E9F1FB"/>
            </w:tcBorders>
          </w:tcPr>
          <w:p>
            <w:pPr>
              <w:spacing w:after="0"/>
              <w:rPr>
                <w:sz w:val="3"/>
                <w:szCs w:val="3"/>
                <w:color w:val="auto"/>
              </w:rPr>
            </w:pPr>
          </w:p>
        </w:tc>
        <w:tc>
          <w:tcPr>
            <w:tcW w:w="940" w:type="dxa"/>
            <w:vAlign w:val="bottom"/>
            <w:tcBorders>
              <w:bottom w:val="single" w:sz="8" w:color="E9F1FB"/>
            </w:tcBorders>
          </w:tcPr>
          <w:p>
            <w:pPr>
              <w:spacing w:after="0"/>
              <w:rPr>
                <w:sz w:val="3"/>
                <w:szCs w:val="3"/>
                <w:color w:val="auto"/>
              </w:rPr>
            </w:pPr>
          </w:p>
        </w:tc>
        <w:tc>
          <w:tcPr>
            <w:tcW w:w="880" w:type="dxa"/>
            <w:vAlign w:val="bottom"/>
            <w:tcBorders>
              <w:bottom w:val="single" w:sz="8" w:color="E9F1FB"/>
            </w:tcBorders>
          </w:tcPr>
          <w:p>
            <w:pPr>
              <w:spacing w:after="0"/>
              <w:rPr>
                <w:sz w:val="3"/>
                <w:szCs w:val="3"/>
                <w:color w:val="auto"/>
              </w:rPr>
            </w:pPr>
          </w:p>
        </w:tc>
        <w:tc>
          <w:tcPr>
            <w:tcW w:w="280" w:type="dxa"/>
            <w:vAlign w:val="bottom"/>
            <w:tcBorders>
              <w:bottom w:val="single" w:sz="8" w:color="E9F1FB"/>
            </w:tcBorders>
          </w:tcPr>
          <w:p>
            <w:pPr>
              <w:spacing w:after="0"/>
              <w:rPr>
                <w:sz w:val="3"/>
                <w:szCs w:val="3"/>
                <w:color w:val="auto"/>
              </w:rPr>
            </w:pPr>
          </w:p>
        </w:tc>
        <w:tc>
          <w:tcPr>
            <w:tcW w:w="940" w:type="dxa"/>
            <w:vAlign w:val="bottom"/>
            <w:tcBorders>
              <w:bottom w:val="single" w:sz="8" w:color="E9F1FB"/>
            </w:tcBorders>
          </w:tcPr>
          <w:p>
            <w:pPr>
              <w:spacing w:after="0"/>
              <w:rPr>
                <w:sz w:val="3"/>
                <w:szCs w:val="3"/>
                <w:color w:val="auto"/>
              </w:rPr>
            </w:pPr>
          </w:p>
        </w:tc>
        <w:tc>
          <w:tcPr>
            <w:tcW w:w="880" w:type="dxa"/>
            <w:vAlign w:val="bottom"/>
            <w:tcBorders>
              <w:bottom w:val="single" w:sz="8" w:color="E9F1FB"/>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7500" w:type="dxa"/>
            <w:vAlign w:val="bottom"/>
          </w:tcPr>
          <w:p>
            <w:pPr>
              <w:ind w:left="80"/>
              <w:spacing w:after="0"/>
              <w:rPr>
                <w:sz w:val="20"/>
                <w:szCs w:val="20"/>
                <w:color w:val="auto"/>
              </w:rPr>
            </w:pPr>
            <w:r>
              <w:rPr>
                <w:rFonts w:ascii="Arial" w:cs="Arial" w:eastAsia="Arial" w:hAnsi="Arial"/>
                <w:sz w:val="13"/>
                <w:szCs w:val="13"/>
                <w:b w:val="1"/>
                <w:bCs w:val="1"/>
                <w:color w:val="105EAB"/>
              </w:rPr>
              <w:t>Mr. Dugenske</w:t>
            </w:r>
          </w:p>
        </w:tc>
        <w:tc>
          <w:tcPr>
            <w:tcW w:w="940" w:type="dxa"/>
            <w:vAlign w:val="bottom"/>
          </w:tcPr>
          <w:p>
            <w:pPr>
              <w:jc w:val="right"/>
              <w:ind w:right="73"/>
              <w:spacing w:after="0"/>
              <w:rPr>
                <w:sz w:val="20"/>
                <w:szCs w:val="20"/>
                <w:color w:val="auto"/>
              </w:rPr>
            </w:pPr>
            <w:r>
              <w:rPr>
                <w:rFonts w:ascii="Arial" w:cs="Arial" w:eastAsia="Arial" w:hAnsi="Arial"/>
                <w:sz w:val="13"/>
                <w:szCs w:val="13"/>
                <w:color w:val="auto"/>
              </w:rPr>
              <w:t>0</w:t>
            </w:r>
          </w:p>
        </w:tc>
        <w:tc>
          <w:tcPr>
            <w:tcW w:w="1160" w:type="dxa"/>
            <w:vAlign w:val="bottom"/>
            <w:gridSpan w:val="2"/>
          </w:tcPr>
          <w:p>
            <w:pPr>
              <w:jc w:val="right"/>
              <w:ind w:right="280"/>
              <w:spacing w:after="0"/>
              <w:rPr>
                <w:sz w:val="20"/>
                <w:szCs w:val="20"/>
                <w:color w:val="auto"/>
              </w:rPr>
            </w:pPr>
            <w:r>
              <w:rPr>
                <w:rFonts w:ascii="Arial" w:cs="Arial" w:eastAsia="Arial" w:hAnsi="Arial"/>
                <w:sz w:val="13"/>
                <w:szCs w:val="13"/>
                <w:color w:val="auto"/>
              </w:rPr>
              <w:t>0</w:t>
            </w:r>
          </w:p>
        </w:tc>
        <w:tc>
          <w:tcPr>
            <w:tcW w:w="940" w:type="dxa"/>
            <w:vAlign w:val="bottom"/>
          </w:tcPr>
          <w:p>
            <w:pPr>
              <w:jc w:val="right"/>
              <w:ind w:right="73"/>
              <w:spacing w:after="0"/>
              <w:rPr>
                <w:sz w:val="20"/>
                <w:szCs w:val="20"/>
                <w:color w:val="auto"/>
              </w:rPr>
            </w:pPr>
            <w:r>
              <w:rPr>
                <w:rFonts w:ascii="Arial" w:cs="Arial" w:eastAsia="Arial" w:hAnsi="Arial"/>
                <w:sz w:val="13"/>
                <w:szCs w:val="13"/>
                <w:color w:val="auto"/>
              </w:rPr>
              <w:t>0</w:t>
            </w:r>
          </w:p>
        </w:tc>
        <w:tc>
          <w:tcPr>
            <w:tcW w:w="880" w:type="dxa"/>
            <w:vAlign w:val="bottom"/>
          </w:tcPr>
          <w:p>
            <w:pPr>
              <w:jc w:val="right"/>
              <w:ind w:right="13"/>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41"/>
        </w:trPr>
        <w:tc>
          <w:tcPr>
            <w:tcW w:w="7500" w:type="dxa"/>
            <w:vAlign w:val="bottom"/>
            <w:tcBorders>
              <w:bottom w:val="single" w:sz="8" w:color="E9F1FB"/>
            </w:tcBorders>
          </w:tcPr>
          <w:p>
            <w:pPr>
              <w:spacing w:after="0"/>
              <w:rPr>
                <w:sz w:val="3"/>
                <w:szCs w:val="3"/>
                <w:color w:val="auto"/>
              </w:rPr>
            </w:pPr>
          </w:p>
        </w:tc>
        <w:tc>
          <w:tcPr>
            <w:tcW w:w="940" w:type="dxa"/>
            <w:vAlign w:val="bottom"/>
            <w:tcBorders>
              <w:bottom w:val="single" w:sz="8" w:color="E9F1FB"/>
            </w:tcBorders>
          </w:tcPr>
          <w:p>
            <w:pPr>
              <w:spacing w:after="0"/>
              <w:rPr>
                <w:sz w:val="3"/>
                <w:szCs w:val="3"/>
                <w:color w:val="auto"/>
              </w:rPr>
            </w:pPr>
          </w:p>
        </w:tc>
        <w:tc>
          <w:tcPr>
            <w:tcW w:w="880" w:type="dxa"/>
            <w:vAlign w:val="bottom"/>
            <w:tcBorders>
              <w:bottom w:val="single" w:sz="8" w:color="E9F1FB"/>
            </w:tcBorders>
          </w:tcPr>
          <w:p>
            <w:pPr>
              <w:spacing w:after="0"/>
              <w:rPr>
                <w:sz w:val="3"/>
                <w:szCs w:val="3"/>
                <w:color w:val="auto"/>
              </w:rPr>
            </w:pPr>
          </w:p>
        </w:tc>
        <w:tc>
          <w:tcPr>
            <w:tcW w:w="280" w:type="dxa"/>
            <w:vAlign w:val="bottom"/>
            <w:tcBorders>
              <w:bottom w:val="single" w:sz="8" w:color="E9F1FB"/>
            </w:tcBorders>
          </w:tcPr>
          <w:p>
            <w:pPr>
              <w:spacing w:after="0"/>
              <w:rPr>
                <w:sz w:val="3"/>
                <w:szCs w:val="3"/>
                <w:color w:val="auto"/>
              </w:rPr>
            </w:pPr>
          </w:p>
        </w:tc>
        <w:tc>
          <w:tcPr>
            <w:tcW w:w="940" w:type="dxa"/>
            <w:vAlign w:val="bottom"/>
            <w:tcBorders>
              <w:bottom w:val="single" w:sz="8" w:color="E9F1FB"/>
            </w:tcBorders>
          </w:tcPr>
          <w:p>
            <w:pPr>
              <w:spacing w:after="0"/>
              <w:rPr>
                <w:sz w:val="3"/>
                <w:szCs w:val="3"/>
                <w:color w:val="auto"/>
              </w:rPr>
            </w:pPr>
          </w:p>
        </w:tc>
        <w:tc>
          <w:tcPr>
            <w:tcW w:w="880" w:type="dxa"/>
            <w:vAlign w:val="bottom"/>
            <w:tcBorders>
              <w:bottom w:val="single" w:sz="8" w:color="E9F1FB"/>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7500" w:type="dxa"/>
            <w:vAlign w:val="bottom"/>
          </w:tcPr>
          <w:p>
            <w:pPr>
              <w:ind w:left="80"/>
              <w:spacing w:after="0"/>
              <w:rPr>
                <w:sz w:val="20"/>
                <w:szCs w:val="20"/>
                <w:color w:val="auto"/>
              </w:rPr>
            </w:pPr>
            <w:r>
              <w:rPr>
                <w:rFonts w:ascii="Arial" w:cs="Arial" w:eastAsia="Arial" w:hAnsi="Arial"/>
                <w:sz w:val="13"/>
                <w:szCs w:val="13"/>
                <w:b w:val="1"/>
                <w:bCs w:val="1"/>
                <w:color w:val="105EAB"/>
              </w:rPr>
              <w:t>Mr. Shapiro</w:t>
            </w:r>
          </w:p>
        </w:tc>
        <w:tc>
          <w:tcPr>
            <w:tcW w:w="940" w:type="dxa"/>
            <w:vAlign w:val="bottom"/>
          </w:tcPr>
          <w:p>
            <w:pPr>
              <w:jc w:val="right"/>
              <w:ind w:right="73"/>
              <w:spacing w:after="0"/>
              <w:rPr>
                <w:sz w:val="20"/>
                <w:szCs w:val="20"/>
                <w:color w:val="auto"/>
              </w:rPr>
            </w:pPr>
            <w:r>
              <w:rPr>
                <w:rFonts w:ascii="Arial" w:cs="Arial" w:eastAsia="Arial" w:hAnsi="Arial"/>
                <w:sz w:val="13"/>
                <w:szCs w:val="13"/>
                <w:color w:val="auto"/>
              </w:rPr>
              <w:t>26,645</w:t>
            </w:r>
          </w:p>
        </w:tc>
        <w:tc>
          <w:tcPr>
            <w:tcW w:w="880" w:type="dxa"/>
            <w:vAlign w:val="bottom"/>
          </w:tcPr>
          <w:p>
            <w:pPr>
              <w:jc w:val="right"/>
              <w:spacing w:after="0"/>
              <w:rPr>
                <w:sz w:val="20"/>
                <w:szCs w:val="20"/>
                <w:color w:val="auto"/>
              </w:rPr>
            </w:pPr>
            <w:r>
              <w:rPr>
                <w:rFonts w:ascii="Arial" w:cs="Arial" w:eastAsia="Arial" w:hAnsi="Arial"/>
                <w:sz w:val="13"/>
                <w:szCs w:val="13"/>
                <w:color w:val="auto"/>
              </w:rPr>
              <w:t>687,646</w:t>
            </w:r>
          </w:p>
        </w:tc>
        <w:tc>
          <w:tcPr>
            <w:tcW w:w="280" w:type="dxa"/>
            <w:vAlign w:val="bottom"/>
          </w:tcPr>
          <w:p>
            <w:pPr>
              <w:spacing w:after="0"/>
              <w:rPr>
                <w:sz w:val="16"/>
                <w:szCs w:val="16"/>
                <w:color w:val="auto"/>
              </w:rPr>
            </w:pPr>
          </w:p>
        </w:tc>
        <w:tc>
          <w:tcPr>
            <w:tcW w:w="940" w:type="dxa"/>
            <w:vAlign w:val="bottom"/>
          </w:tcPr>
          <w:p>
            <w:pPr>
              <w:jc w:val="right"/>
              <w:ind w:right="73"/>
              <w:spacing w:after="0"/>
              <w:rPr>
                <w:sz w:val="20"/>
                <w:szCs w:val="20"/>
                <w:color w:val="auto"/>
              </w:rPr>
            </w:pPr>
            <w:r>
              <w:rPr>
                <w:rFonts w:ascii="Arial" w:cs="Arial" w:eastAsia="Arial" w:hAnsi="Arial"/>
                <w:sz w:val="13"/>
                <w:szCs w:val="13"/>
                <w:color w:val="auto"/>
              </w:rPr>
              <w:t>2,211</w:t>
            </w:r>
          </w:p>
        </w:tc>
        <w:tc>
          <w:tcPr>
            <w:tcW w:w="880" w:type="dxa"/>
            <w:vAlign w:val="bottom"/>
          </w:tcPr>
          <w:p>
            <w:pPr>
              <w:jc w:val="right"/>
              <w:ind w:right="13"/>
              <w:spacing w:after="0"/>
              <w:rPr>
                <w:sz w:val="20"/>
                <w:szCs w:val="20"/>
                <w:color w:val="auto"/>
              </w:rPr>
            </w:pPr>
            <w:r>
              <w:rPr>
                <w:rFonts w:ascii="Arial" w:cs="Arial" w:eastAsia="Arial" w:hAnsi="Arial"/>
                <w:sz w:val="13"/>
                <w:szCs w:val="13"/>
                <w:color w:val="auto"/>
              </w:rPr>
              <w:t>213,428</w:t>
            </w:r>
          </w:p>
        </w:tc>
        <w:tc>
          <w:tcPr>
            <w:tcW w:w="0" w:type="dxa"/>
            <w:vAlign w:val="bottom"/>
          </w:tcPr>
          <w:p>
            <w:pPr>
              <w:spacing w:after="0"/>
              <w:rPr>
                <w:sz w:val="1"/>
                <w:szCs w:val="1"/>
                <w:color w:val="auto"/>
              </w:rPr>
            </w:pPr>
          </w:p>
        </w:tc>
      </w:tr>
      <w:tr>
        <w:trPr>
          <w:trHeight w:val="41"/>
        </w:trPr>
        <w:tc>
          <w:tcPr>
            <w:tcW w:w="7500" w:type="dxa"/>
            <w:vAlign w:val="bottom"/>
            <w:tcBorders>
              <w:bottom w:val="single" w:sz="8" w:color="E9F1FB"/>
            </w:tcBorders>
          </w:tcPr>
          <w:p>
            <w:pPr>
              <w:spacing w:after="0"/>
              <w:rPr>
                <w:sz w:val="3"/>
                <w:szCs w:val="3"/>
                <w:color w:val="auto"/>
              </w:rPr>
            </w:pPr>
          </w:p>
        </w:tc>
        <w:tc>
          <w:tcPr>
            <w:tcW w:w="940" w:type="dxa"/>
            <w:vAlign w:val="bottom"/>
            <w:tcBorders>
              <w:bottom w:val="single" w:sz="8" w:color="E9F1FB"/>
            </w:tcBorders>
          </w:tcPr>
          <w:p>
            <w:pPr>
              <w:spacing w:after="0"/>
              <w:rPr>
                <w:sz w:val="3"/>
                <w:szCs w:val="3"/>
                <w:color w:val="auto"/>
              </w:rPr>
            </w:pPr>
          </w:p>
        </w:tc>
        <w:tc>
          <w:tcPr>
            <w:tcW w:w="880" w:type="dxa"/>
            <w:vAlign w:val="bottom"/>
            <w:tcBorders>
              <w:bottom w:val="single" w:sz="8" w:color="E9F1FB"/>
            </w:tcBorders>
          </w:tcPr>
          <w:p>
            <w:pPr>
              <w:spacing w:after="0"/>
              <w:rPr>
                <w:sz w:val="3"/>
                <w:szCs w:val="3"/>
                <w:color w:val="auto"/>
              </w:rPr>
            </w:pPr>
          </w:p>
        </w:tc>
        <w:tc>
          <w:tcPr>
            <w:tcW w:w="280" w:type="dxa"/>
            <w:vAlign w:val="bottom"/>
            <w:tcBorders>
              <w:bottom w:val="single" w:sz="8" w:color="E9F1FB"/>
            </w:tcBorders>
          </w:tcPr>
          <w:p>
            <w:pPr>
              <w:spacing w:after="0"/>
              <w:rPr>
                <w:sz w:val="3"/>
                <w:szCs w:val="3"/>
                <w:color w:val="auto"/>
              </w:rPr>
            </w:pPr>
          </w:p>
        </w:tc>
        <w:tc>
          <w:tcPr>
            <w:tcW w:w="940" w:type="dxa"/>
            <w:vAlign w:val="bottom"/>
            <w:tcBorders>
              <w:bottom w:val="single" w:sz="8" w:color="E9F1FB"/>
            </w:tcBorders>
          </w:tcPr>
          <w:p>
            <w:pPr>
              <w:spacing w:after="0"/>
              <w:rPr>
                <w:sz w:val="3"/>
                <w:szCs w:val="3"/>
                <w:color w:val="auto"/>
              </w:rPr>
            </w:pPr>
          </w:p>
        </w:tc>
        <w:tc>
          <w:tcPr>
            <w:tcW w:w="880" w:type="dxa"/>
            <w:vAlign w:val="bottom"/>
            <w:tcBorders>
              <w:bottom w:val="single" w:sz="8" w:color="E9F1FB"/>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7500" w:type="dxa"/>
            <w:vAlign w:val="bottom"/>
          </w:tcPr>
          <w:p>
            <w:pPr>
              <w:ind w:left="80"/>
              <w:spacing w:after="0"/>
              <w:rPr>
                <w:sz w:val="20"/>
                <w:szCs w:val="20"/>
                <w:color w:val="auto"/>
              </w:rPr>
            </w:pPr>
            <w:r>
              <w:rPr>
                <w:rFonts w:ascii="Arial" w:cs="Arial" w:eastAsia="Arial" w:hAnsi="Arial"/>
                <w:sz w:val="13"/>
                <w:szCs w:val="13"/>
                <w:b w:val="1"/>
                <w:bCs w:val="1"/>
                <w:color w:val="105EAB"/>
              </w:rPr>
              <w:t>Mr. Shebik</w:t>
            </w:r>
          </w:p>
        </w:tc>
        <w:tc>
          <w:tcPr>
            <w:tcW w:w="940" w:type="dxa"/>
            <w:vAlign w:val="bottom"/>
          </w:tcPr>
          <w:p>
            <w:pPr>
              <w:jc w:val="right"/>
              <w:ind w:right="73"/>
              <w:spacing w:after="0"/>
              <w:rPr>
                <w:sz w:val="20"/>
                <w:szCs w:val="20"/>
                <w:color w:val="auto"/>
              </w:rPr>
            </w:pPr>
            <w:r>
              <w:rPr>
                <w:rFonts w:ascii="Arial" w:cs="Arial" w:eastAsia="Arial" w:hAnsi="Arial"/>
                <w:sz w:val="13"/>
                <w:szCs w:val="13"/>
                <w:color w:val="auto"/>
              </w:rPr>
              <w:t>0</w:t>
            </w:r>
          </w:p>
        </w:tc>
        <w:tc>
          <w:tcPr>
            <w:tcW w:w="1160" w:type="dxa"/>
            <w:vAlign w:val="bottom"/>
            <w:gridSpan w:val="2"/>
          </w:tcPr>
          <w:p>
            <w:pPr>
              <w:jc w:val="right"/>
              <w:ind w:right="280"/>
              <w:spacing w:after="0"/>
              <w:rPr>
                <w:sz w:val="20"/>
                <w:szCs w:val="20"/>
                <w:color w:val="auto"/>
              </w:rPr>
            </w:pPr>
            <w:r>
              <w:rPr>
                <w:rFonts w:ascii="Arial" w:cs="Arial" w:eastAsia="Arial" w:hAnsi="Arial"/>
                <w:sz w:val="13"/>
                <w:szCs w:val="13"/>
                <w:color w:val="auto"/>
              </w:rPr>
              <w:t>0</w:t>
            </w:r>
          </w:p>
        </w:tc>
        <w:tc>
          <w:tcPr>
            <w:tcW w:w="940" w:type="dxa"/>
            <w:vAlign w:val="bottom"/>
          </w:tcPr>
          <w:p>
            <w:pPr>
              <w:jc w:val="right"/>
              <w:ind w:right="73"/>
              <w:spacing w:after="0"/>
              <w:rPr>
                <w:sz w:val="20"/>
                <w:szCs w:val="20"/>
                <w:color w:val="auto"/>
              </w:rPr>
            </w:pPr>
            <w:r>
              <w:rPr>
                <w:rFonts w:ascii="Arial" w:cs="Arial" w:eastAsia="Arial" w:hAnsi="Arial"/>
                <w:sz w:val="13"/>
                <w:szCs w:val="13"/>
                <w:color w:val="auto"/>
              </w:rPr>
              <w:t>13,153</w:t>
            </w:r>
          </w:p>
        </w:tc>
        <w:tc>
          <w:tcPr>
            <w:tcW w:w="880" w:type="dxa"/>
            <w:vAlign w:val="bottom"/>
          </w:tcPr>
          <w:p>
            <w:pPr>
              <w:jc w:val="right"/>
              <w:ind w:right="13"/>
              <w:spacing w:after="0"/>
              <w:rPr>
                <w:sz w:val="20"/>
                <w:szCs w:val="20"/>
                <w:color w:val="auto"/>
              </w:rPr>
            </w:pPr>
            <w:r>
              <w:rPr>
                <w:rFonts w:ascii="Arial" w:cs="Arial" w:eastAsia="Arial" w:hAnsi="Arial"/>
                <w:sz w:val="13"/>
                <w:szCs w:val="13"/>
                <w:color w:val="auto"/>
              </w:rPr>
              <w:t>1,250,061</w:t>
            </w:r>
          </w:p>
        </w:tc>
        <w:tc>
          <w:tcPr>
            <w:tcW w:w="0" w:type="dxa"/>
            <w:vAlign w:val="bottom"/>
          </w:tcPr>
          <w:p>
            <w:pPr>
              <w:spacing w:after="0"/>
              <w:rPr>
                <w:sz w:val="1"/>
                <w:szCs w:val="1"/>
                <w:color w:val="auto"/>
              </w:rPr>
            </w:pPr>
          </w:p>
        </w:tc>
      </w:tr>
      <w:tr>
        <w:trPr>
          <w:trHeight w:val="48"/>
        </w:trPr>
        <w:tc>
          <w:tcPr>
            <w:tcW w:w="7500" w:type="dxa"/>
            <w:vAlign w:val="bottom"/>
            <w:tcBorders>
              <w:bottom w:val="single" w:sz="8" w:color="105FAB"/>
            </w:tcBorders>
          </w:tcPr>
          <w:p>
            <w:pPr>
              <w:spacing w:after="0"/>
              <w:rPr>
                <w:sz w:val="4"/>
                <w:szCs w:val="4"/>
                <w:color w:val="auto"/>
              </w:rPr>
            </w:pPr>
          </w:p>
        </w:tc>
        <w:tc>
          <w:tcPr>
            <w:tcW w:w="940" w:type="dxa"/>
            <w:vAlign w:val="bottom"/>
            <w:tcBorders>
              <w:bottom w:val="single" w:sz="8" w:color="105FAB"/>
            </w:tcBorders>
          </w:tcPr>
          <w:p>
            <w:pPr>
              <w:spacing w:after="0"/>
              <w:rPr>
                <w:sz w:val="4"/>
                <w:szCs w:val="4"/>
                <w:color w:val="auto"/>
              </w:rPr>
            </w:pPr>
          </w:p>
        </w:tc>
        <w:tc>
          <w:tcPr>
            <w:tcW w:w="880" w:type="dxa"/>
            <w:vAlign w:val="bottom"/>
            <w:tcBorders>
              <w:bottom w:val="single" w:sz="8" w:color="105FAB"/>
            </w:tcBorders>
          </w:tcPr>
          <w:p>
            <w:pPr>
              <w:spacing w:after="0"/>
              <w:rPr>
                <w:sz w:val="4"/>
                <w:szCs w:val="4"/>
                <w:color w:val="auto"/>
              </w:rPr>
            </w:pPr>
          </w:p>
        </w:tc>
        <w:tc>
          <w:tcPr>
            <w:tcW w:w="280" w:type="dxa"/>
            <w:vAlign w:val="bottom"/>
            <w:tcBorders>
              <w:bottom w:val="single" w:sz="8" w:color="105FAB"/>
            </w:tcBorders>
          </w:tcPr>
          <w:p>
            <w:pPr>
              <w:spacing w:after="0"/>
              <w:rPr>
                <w:sz w:val="4"/>
                <w:szCs w:val="4"/>
                <w:color w:val="auto"/>
              </w:rPr>
            </w:pPr>
          </w:p>
        </w:tc>
        <w:tc>
          <w:tcPr>
            <w:tcW w:w="940" w:type="dxa"/>
            <w:vAlign w:val="bottom"/>
            <w:tcBorders>
              <w:bottom w:val="single" w:sz="8" w:color="105FAB"/>
            </w:tcBorders>
          </w:tcPr>
          <w:p>
            <w:pPr>
              <w:spacing w:after="0"/>
              <w:rPr>
                <w:sz w:val="4"/>
                <w:szCs w:val="4"/>
                <w:color w:val="auto"/>
              </w:rPr>
            </w:pPr>
          </w:p>
        </w:tc>
        <w:tc>
          <w:tcPr>
            <w:tcW w:w="880" w:type="dxa"/>
            <w:vAlign w:val="bottom"/>
            <w:tcBorders>
              <w:bottom w:val="single" w:sz="8" w:color="105FAB"/>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300" w:right="220" w:hanging="292"/>
        <w:spacing w:after="0" w:line="258" w:lineRule="auto"/>
        <w:tabs>
          <w:tab w:leader="none" w:pos="300" w:val="left"/>
        </w:tabs>
        <w:numPr>
          <w:ilvl w:val="0"/>
          <w:numId w:val="198"/>
        </w:numPr>
        <w:rPr>
          <w:rFonts w:ascii="Arial" w:cs="Arial" w:eastAsia="Arial" w:hAnsi="Arial"/>
          <w:sz w:val="11"/>
          <w:szCs w:val="11"/>
          <w:color w:val="auto"/>
        </w:rPr>
      </w:pPr>
      <w:r>
        <w:rPr>
          <w:rFonts w:ascii="Arial" w:cs="Arial" w:eastAsia="Arial" w:hAnsi="Arial"/>
          <w:sz w:val="13"/>
          <w:szCs w:val="13"/>
          <w:color w:val="auto"/>
        </w:rPr>
        <w:t>The dollar amount realized upon exercise of the option is determined based on the difference between the market price of the underlying securities at exercise and the exercise price of the options.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1120" w:type="dxa"/>
            <w:vAlign w:val="bottom"/>
          </w:tcPr>
          <w:p>
            <w:pPr>
              <w:ind w:left="9640"/>
              <w:spacing w:after="0"/>
              <w:rPr>
                <w:sz w:val="20"/>
                <w:szCs w:val="20"/>
                <w:color w:val="auto"/>
              </w:rPr>
            </w:pPr>
            <w:r>
              <w:rPr>
                <w:rFonts w:ascii="Arial" w:cs="Arial" w:eastAsia="Arial" w:hAnsi="Arial"/>
                <w:sz w:val="13"/>
                <w:szCs w:val="13"/>
                <w:color w:val="105EAB"/>
              </w:rPr>
              <w:t>2019 Proxy Statement</w:t>
            </w:r>
          </w:p>
        </w:tc>
        <w:tc>
          <w:tcPr>
            <w:tcW w:w="320" w:type="dxa"/>
            <w:vAlign w:val="bottom"/>
          </w:tcPr>
          <w:p>
            <w:pPr>
              <w:jc w:val="right"/>
              <w:spacing w:after="0"/>
              <w:rPr>
                <w:sz w:val="20"/>
                <w:szCs w:val="20"/>
                <w:color w:val="auto"/>
              </w:rPr>
            </w:pPr>
            <w:r>
              <w:rPr>
                <w:rFonts w:ascii="Arial" w:cs="Arial" w:eastAsia="Arial" w:hAnsi="Arial"/>
                <w:sz w:val="13"/>
                <w:szCs w:val="13"/>
                <w:b w:val="1"/>
                <w:bCs w:val="1"/>
                <w:color w:val="105EAB"/>
              </w:rPr>
              <w:t>59</w:t>
            </w:r>
          </w:p>
        </w:tc>
      </w:tr>
      <w:tr>
        <w:trPr>
          <w:trHeight w:val="213"/>
        </w:trPr>
        <w:tc>
          <w:tcPr>
            <w:tcW w:w="1112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-13970</wp:posOffset>
            </wp:positionV>
            <wp:extent cx="1270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b w:val="1"/>
          <w:bCs w:val="1"/>
          <w:color w:val="105EAB"/>
        </w:rPr>
        <w:t xml:space="preserve">Executive Compensation | </w:t>
      </w:r>
      <w:r>
        <w:rPr>
          <w:rFonts w:ascii="Arial" w:cs="Arial" w:eastAsia="Arial" w:hAnsi="Arial"/>
          <w:sz w:val="13"/>
          <w:szCs w:val="13"/>
          <w:b w:val="1"/>
          <w:bCs w:val="1"/>
          <w:color w:val="000000"/>
        </w:rPr>
        <w:t>Retirement Benefits</w:t>
      </w:r>
    </w:p>
    <w:p>
      <w:pPr>
        <w:spacing w:after="0" w:line="200" w:lineRule="exact"/>
        <w:rPr>
          <w:sz w:val="20"/>
          <w:szCs w:val="20"/>
          <w:color w:val="auto"/>
        </w:rPr>
      </w:pPr>
    </w:p>
    <w:p>
      <w:pPr>
        <w:spacing w:after="0"/>
        <w:rPr>
          <w:sz w:val="20"/>
          <w:szCs w:val="20"/>
          <w:color w:val="auto"/>
        </w:rPr>
      </w:pPr>
      <w:r>
        <w:rPr>
          <w:rFonts w:ascii="Arial" w:cs="Arial" w:eastAsia="Arial" w:hAnsi="Arial"/>
          <w:sz w:val="31"/>
          <w:szCs w:val="31"/>
          <w:b w:val="1"/>
          <w:bCs w:val="1"/>
          <w:color w:val="959595"/>
        </w:rPr>
        <w:t>Retirement Benefits</w:t>
      </w:r>
    </w:p>
    <w:p>
      <w:pPr>
        <w:spacing w:after="0" w:line="258" w:lineRule="exact"/>
        <w:rPr>
          <w:sz w:val="20"/>
          <w:szCs w:val="20"/>
          <w:color w:val="auto"/>
        </w:rPr>
      </w:pPr>
    </w:p>
    <w:p>
      <w:pPr>
        <w:ind w:right="680"/>
        <w:spacing w:after="0" w:line="239" w:lineRule="auto"/>
        <w:rPr>
          <w:sz w:val="20"/>
          <w:szCs w:val="20"/>
          <w:color w:val="auto"/>
        </w:rPr>
      </w:pPr>
      <w:r>
        <w:rPr>
          <w:rFonts w:ascii="Arial" w:cs="Arial" w:eastAsia="Arial" w:hAnsi="Arial"/>
          <w:sz w:val="18"/>
          <w:szCs w:val="18"/>
          <w:color w:val="auto"/>
        </w:rPr>
        <w:t>The following table provides information about the pension plans in which the named executives participate. Each of the named executives participates in the Allstate Retirement Plan (ARP) and the Supplemental Retirement Income Plan (SRIP).</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105EAB"/>
        </w:rPr>
        <w:t>PENSION BENEFITS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76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20" w:type="dxa"/>
            <w:vAlign w:val="bottom"/>
          </w:tcPr>
          <w:p>
            <w:pPr>
              <w:jc w:val="right"/>
              <w:ind w:right="73"/>
              <w:spacing w:after="0"/>
              <w:rPr>
                <w:sz w:val="20"/>
                <w:szCs w:val="20"/>
                <w:color w:val="auto"/>
              </w:rPr>
            </w:pPr>
            <w:r>
              <w:rPr>
                <w:rFonts w:ascii="Arial" w:cs="Arial" w:eastAsia="Arial" w:hAnsi="Arial"/>
                <w:sz w:val="13"/>
                <w:szCs w:val="13"/>
                <w:b w:val="1"/>
                <w:bCs w:val="1"/>
                <w:color w:val="105EAB"/>
              </w:rPr>
              <w:t>Number</w:t>
            </w:r>
          </w:p>
        </w:tc>
        <w:tc>
          <w:tcPr>
            <w:tcW w:w="1120" w:type="dxa"/>
            <w:vAlign w:val="bottom"/>
          </w:tcPr>
          <w:p>
            <w:pPr>
              <w:jc w:val="right"/>
              <w:ind w:right="73"/>
              <w:spacing w:after="0"/>
              <w:rPr>
                <w:sz w:val="20"/>
                <w:szCs w:val="20"/>
                <w:color w:val="auto"/>
              </w:rPr>
            </w:pPr>
            <w:r>
              <w:rPr>
                <w:rFonts w:ascii="Arial" w:cs="Arial" w:eastAsia="Arial" w:hAnsi="Arial"/>
                <w:sz w:val="13"/>
                <w:szCs w:val="13"/>
                <w:b w:val="1"/>
                <w:bCs w:val="1"/>
                <w:color w:val="105EAB"/>
              </w:rPr>
              <w:t>Present</w:t>
            </w:r>
          </w:p>
        </w:tc>
        <w:tc>
          <w:tcPr>
            <w:tcW w:w="960" w:type="dxa"/>
            <w:vAlign w:val="bottom"/>
          </w:tcPr>
          <w:p>
            <w:pPr>
              <w:spacing w:after="0"/>
              <w:rPr>
                <w:sz w:val="15"/>
                <w:szCs w:val="15"/>
                <w:color w:val="auto"/>
              </w:rPr>
            </w:pPr>
          </w:p>
        </w:tc>
      </w:tr>
      <w:tr>
        <w:trPr>
          <w:trHeight w:val="148"/>
        </w:trPr>
        <w:tc>
          <w:tcPr>
            <w:tcW w:w="7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20" w:type="dxa"/>
            <w:vAlign w:val="bottom"/>
          </w:tcPr>
          <w:p>
            <w:pPr>
              <w:jc w:val="right"/>
              <w:ind w:right="73"/>
              <w:spacing w:after="0" w:line="149" w:lineRule="exact"/>
              <w:rPr>
                <w:sz w:val="20"/>
                <w:szCs w:val="20"/>
                <w:color w:val="auto"/>
              </w:rPr>
            </w:pPr>
            <w:r>
              <w:rPr>
                <w:rFonts w:ascii="Arial" w:cs="Arial" w:eastAsia="Arial" w:hAnsi="Arial"/>
                <w:sz w:val="13"/>
                <w:szCs w:val="13"/>
                <w:b w:val="1"/>
                <w:bCs w:val="1"/>
                <w:color w:val="105EAB"/>
              </w:rPr>
              <w:t>of Years</w:t>
            </w:r>
          </w:p>
        </w:tc>
        <w:tc>
          <w:tcPr>
            <w:tcW w:w="1120" w:type="dxa"/>
            <w:vAlign w:val="bottom"/>
          </w:tcPr>
          <w:p>
            <w:pPr>
              <w:jc w:val="right"/>
              <w:ind w:right="73"/>
              <w:spacing w:after="0" w:line="149" w:lineRule="exact"/>
              <w:rPr>
                <w:sz w:val="20"/>
                <w:szCs w:val="20"/>
                <w:color w:val="auto"/>
              </w:rPr>
            </w:pPr>
            <w:r>
              <w:rPr>
                <w:rFonts w:ascii="Arial" w:cs="Arial" w:eastAsia="Arial" w:hAnsi="Arial"/>
                <w:sz w:val="13"/>
                <w:szCs w:val="13"/>
                <w:b w:val="1"/>
                <w:bCs w:val="1"/>
                <w:color w:val="105EAB"/>
              </w:rPr>
              <w:t>Value of</w:t>
            </w:r>
          </w:p>
        </w:tc>
        <w:tc>
          <w:tcPr>
            <w:tcW w:w="960" w:type="dxa"/>
            <w:vAlign w:val="bottom"/>
          </w:tcPr>
          <w:p>
            <w:pPr>
              <w:jc w:val="right"/>
              <w:ind w:right="13"/>
              <w:spacing w:after="0" w:line="149" w:lineRule="exact"/>
              <w:rPr>
                <w:sz w:val="20"/>
                <w:szCs w:val="20"/>
                <w:color w:val="auto"/>
              </w:rPr>
            </w:pPr>
            <w:r>
              <w:rPr>
                <w:rFonts w:ascii="Arial" w:cs="Arial" w:eastAsia="Arial" w:hAnsi="Arial"/>
                <w:sz w:val="13"/>
                <w:szCs w:val="13"/>
                <w:b w:val="1"/>
                <w:bCs w:val="1"/>
                <w:color w:val="105EAB"/>
              </w:rPr>
              <w:t>Payments</w:t>
            </w:r>
          </w:p>
        </w:tc>
      </w:tr>
      <w:tr>
        <w:trPr>
          <w:trHeight w:val="148"/>
        </w:trPr>
        <w:tc>
          <w:tcPr>
            <w:tcW w:w="7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20" w:type="dxa"/>
            <w:vAlign w:val="bottom"/>
          </w:tcPr>
          <w:p>
            <w:pPr>
              <w:jc w:val="right"/>
              <w:ind w:right="73"/>
              <w:spacing w:after="0" w:line="149" w:lineRule="exact"/>
              <w:rPr>
                <w:sz w:val="20"/>
                <w:szCs w:val="20"/>
                <w:color w:val="auto"/>
              </w:rPr>
            </w:pPr>
            <w:r>
              <w:rPr>
                <w:rFonts w:ascii="Arial" w:cs="Arial" w:eastAsia="Arial" w:hAnsi="Arial"/>
                <w:sz w:val="13"/>
                <w:szCs w:val="13"/>
                <w:b w:val="1"/>
                <w:bCs w:val="1"/>
                <w:color w:val="105EAB"/>
              </w:rPr>
              <w:t>Credited</w:t>
            </w:r>
          </w:p>
        </w:tc>
        <w:tc>
          <w:tcPr>
            <w:tcW w:w="1120" w:type="dxa"/>
            <w:vAlign w:val="bottom"/>
          </w:tcPr>
          <w:p>
            <w:pPr>
              <w:jc w:val="right"/>
              <w:ind w:right="73"/>
              <w:spacing w:after="0" w:line="149" w:lineRule="exact"/>
              <w:rPr>
                <w:sz w:val="20"/>
                <w:szCs w:val="20"/>
                <w:color w:val="auto"/>
              </w:rPr>
            </w:pPr>
            <w:r>
              <w:rPr>
                <w:rFonts w:ascii="Arial" w:cs="Arial" w:eastAsia="Arial" w:hAnsi="Arial"/>
                <w:sz w:val="13"/>
                <w:szCs w:val="13"/>
                <w:b w:val="1"/>
                <w:bCs w:val="1"/>
                <w:color w:val="105EAB"/>
              </w:rPr>
              <w:t>Accumulated</w:t>
            </w:r>
          </w:p>
        </w:tc>
        <w:tc>
          <w:tcPr>
            <w:tcW w:w="960" w:type="dxa"/>
            <w:vAlign w:val="bottom"/>
          </w:tcPr>
          <w:p>
            <w:pPr>
              <w:jc w:val="right"/>
              <w:ind w:right="13"/>
              <w:spacing w:after="0" w:line="149" w:lineRule="exact"/>
              <w:rPr>
                <w:sz w:val="20"/>
                <w:szCs w:val="20"/>
                <w:color w:val="auto"/>
              </w:rPr>
            </w:pPr>
            <w:r>
              <w:rPr>
                <w:rFonts w:ascii="Arial" w:cs="Arial" w:eastAsia="Arial" w:hAnsi="Arial"/>
                <w:sz w:val="13"/>
                <w:szCs w:val="13"/>
                <w:b w:val="1"/>
                <w:bCs w:val="1"/>
                <w:color w:val="105EAB"/>
              </w:rPr>
              <w:t>During Last</w:t>
            </w:r>
          </w:p>
        </w:tc>
      </w:tr>
      <w:tr>
        <w:trPr>
          <w:trHeight w:val="159"/>
        </w:trPr>
        <w:tc>
          <w:tcPr>
            <w:tcW w:w="76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20" w:type="dxa"/>
            <w:vAlign w:val="bottom"/>
          </w:tcPr>
          <w:p>
            <w:pPr>
              <w:jc w:val="right"/>
              <w:ind w:right="73"/>
              <w:spacing w:after="0"/>
              <w:rPr>
                <w:sz w:val="20"/>
                <w:szCs w:val="20"/>
                <w:color w:val="auto"/>
              </w:rPr>
            </w:pPr>
            <w:r>
              <w:rPr>
                <w:rFonts w:ascii="Arial" w:cs="Arial" w:eastAsia="Arial" w:hAnsi="Arial"/>
                <w:sz w:val="13"/>
                <w:szCs w:val="13"/>
                <w:b w:val="1"/>
                <w:bCs w:val="1"/>
                <w:color w:val="105EAB"/>
              </w:rPr>
              <w:t>Service</w:t>
            </w:r>
          </w:p>
        </w:tc>
        <w:tc>
          <w:tcPr>
            <w:tcW w:w="1120" w:type="dxa"/>
            <w:vAlign w:val="bottom"/>
          </w:tcPr>
          <w:p>
            <w:pPr>
              <w:jc w:val="right"/>
              <w:ind w:right="73"/>
              <w:spacing w:after="0" w:line="159" w:lineRule="exact"/>
              <w:rPr>
                <w:sz w:val="20"/>
                <w:szCs w:val="20"/>
                <w:color w:val="auto"/>
              </w:rPr>
            </w:pPr>
            <w:r>
              <w:rPr>
                <w:rFonts w:ascii="Arial" w:cs="Arial" w:eastAsia="Arial" w:hAnsi="Arial"/>
                <w:sz w:val="11"/>
                <w:szCs w:val="11"/>
                <w:b w:val="1"/>
                <w:bCs w:val="1"/>
                <w:color w:val="105EAB"/>
              </w:rPr>
              <w:t>Benefit</w:t>
            </w:r>
            <w:r>
              <w:rPr>
                <w:rFonts w:ascii="Arial" w:cs="Arial" w:eastAsia="Arial" w:hAnsi="Arial"/>
                <w:sz w:val="18"/>
                <w:szCs w:val="18"/>
                <w:b w:val="1"/>
                <w:bCs w:val="1"/>
                <w:color w:val="105EAB"/>
                <w:vertAlign w:val="superscript"/>
              </w:rPr>
              <w:t>(1)(2)</w:t>
            </w:r>
          </w:p>
        </w:tc>
        <w:tc>
          <w:tcPr>
            <w:tcW w:w="960" w:type="dxa"/>
            <w:vAlign w:val="bottom"/>
          </w:tcPr>
          <w:p>
            <w:pPr>
              <w:jc w:val="right"/>
              <w:ind w:right="13"/>
              <w:spacing w:after="0"/>
              <w:rPr>
                <w:sz w:val="20"/>
                <w:szCs w:val="20"/>
                <w:color w:val="auto"/>
              </w:rPr>
            </w:pPr>
            <w:r>
              <w:rPr>
                <w:rFonts w:ascii="Arial" w:cs="Arial" w:eastAsia="Arial" w:hAnsi="Arial"/>
                <w:sz w:val="13"/>
                <w:szCs w:val="13"/>
                <w:b w:val="1"/>
                <w:bCs w:val="1"/>
                <w:color w:val="105EAB"/>
              </w:rPr>
              <w:t>Fiscal Year</w:t>
            </w:r>
          </w:p>
        </w:tc>
      </w:tr>
      <w:tr>
        <w:trPr>
          <w:trHeight w:val="199"/>
        </w:trPr>
        <w:tc>
          <w:tcPr>
            <w:tcW w:w="7620" w:type="dxa"/>
            <w:vAlign w:val="bottom"/>
            <w:tcBorders>
              <w:bottom w:val="single" w:sz="8" w:color="105FAB"/>
            </w:tcBorders>
          </w:tcPr>
          <w:p>
            <w:pPr>
              <w:ind w:left="80"/>
              <w:spacing w:after="0"/>
              <w:rPr>
                <w:sz w:val="20"/>
                <w:szCs w:val="20"/>
                <w:color w:val="auto"/>
              </w:rPr>
            </w:pPr>
            <w:r>
              <w:rPr>
                <w:rFonts w:ascii="Arial" w:cs="Arial" w:eastAsia="Arial" w:hAnsi="Arial"/>
                <w:sz w:val="13"/>
                <w:szCs w:val="13"/>
                <w:b w:val="1"/>
                <w:bCs w:val="1"/>
                <w:color w:val="105EAB"/>
              </w:rPr>
              <w:t>Name</w:t>
            </w:r>
          </w:p>
        </w:tc>
        <w:tc>
          <w:tcPr>
            <w:tcW w:w="900" w:type="dxa"/>
            <w:vAlign w:val="bottom"/>
            <w:tcBorders>
              <w:bottom w:val="single" w:sz="8" w:color="105FAB"/>
            </w:tcBorders>
          </w:tcPr>
          <w:p>
            <w:pPr>
              <w:jc w:val="right"/>
              <w:ind w:right="73"/>
              <w:spacing w:after="0"/>
              <w:rPr>
                <w:sz w:val="20"/>
                <w:szCs w:val="20"/>
                <w:color w:val="auto"/>
              </w:rPr>
            </w:pPr>
            <w:r>
              <w:rPr>
                <w:rFonts w:ascii="Arial" w:cs="Arial" w:eastAsia="Arial" w:hAnsi="Arial"/>
                <w:sz w:val="13"/>
                <w:szCs w:val="13"/>
                <w:b w:val="1"/>
                <w:bCs w:val="1"/>
                <w:color w:val="105EAB"/>
              </w:rPr>
              <w:t>Plan Name</w:t>
            </w:r>
          </w:p>
        </w:tc>
        <w:tc>
          <w:tcPr>
            <w:tcW w:w="820" w:type="dxa"/>
            <w:vAlign w:val="bottom"/>
            <w:tcBorders>
              <w:bottom w:val="single" w:sz="8" w:color="105FAB"/>
            </w:tcBorders>
          </w:tcPr>
          <w:p>
            <w:pPr>
              <w:jc w:val="right"/>
              <w:ind w:right="73"/>
              <w:spacing w:after="0"/>
              <w:rPr>
                <w:sz w:val="20"/>
                <w:szCs w:val="20"/>
                <w:color w:val="auto"/>
              </w:rPr>
            </w:pPr>
            <w:r>
              <w:rPr>
                <w:rFonts w:ascii="Arial" w:cs="Arial" w:eastAsia="Arial" w:hAnsi="Arial"/>
                <w:sz w:val="13"/>
                <w:szCs w:val="13"/>
                <w:b w:val="1"/>
                <w:bCs w:val="1"/>
                <w:color w:val="105EAB"/>
              </w:rPr>
              <w:t>(#)</w:t>
            </w:r>
          </w:p>
        </w:tc>
        <w:tc>
          <w:tcPr>
            <w:tcW w:w="1120" w:type="dxa"/>
            <w:vAlign w:val="bottom"/>
            <w:tcBorders>
              <w:bottom w:val="single" w:sz="8" w:color="105FAB"/>
            </w:tcBorders>
          </w:tcPr>
          <w:p>
            <w:pPr>
              <w:jc w:val="right"/>
              <w:ind w:right="73"/>
              <w:spacing w:after="0"/>
              <w:rPr>
                <w:sz w:val="20"/>
                <w:szCs w:val="20"/>
                <w:color w:val="auto"/>
              </w:rPr>
            </w:pPr>
            <w:r>
              <w:rPr>
                <w:rFonts w:ascii="Arial" w:cs="Arial" w:eastAsia="Arial" w:hAnsi="Arial"/>
                <w:sz w:val="13"/>
                <w:szCs w:val="13"/>
                <w:b w:val="1"/>
                <w:bCs w:val="1"/>
                <w:color w:val="105EAB"/>
              </w:rPr>
              <w:t>($)</w:t>
            </w:r>
          </w:p>
        </w:tc>
        <w:tc>
          <w:tcPr>
            <w:tcW w:w="960" w:type="dxa"/>
            <w:vAlign w:val="bottom"/>
            <w:tcBorders>
              <w:bottom w:val="single" w:sz="8" w:color="105FAB"/>
            </w:tcBorders>
          </w:tcPr>
          <w:p>
            <w:pPr>
              <w:jc w:val="right"/>
              <w:ind w:right="13"/>
              <w:spacing w:after="0"/>
              <w:rPr>
                <w:sz w:val="20"/>
                <w:szCs w:val="20"/>
                <w:color w:val="auto"/>
              </w:rPr>
            </w:pPr>
            <w:r>
              <w:rPr>
                <w:rFonts w:ascii="Arial" w:cs="Arial" w:eastAsia="Arial" w:hAnsi="Arial"/>
                <w:sz w:val="13"/>
                <w:szCs w:val="13"/>
                <w:b w:val="1"/>
                <w:bCs w:val="1"/>
                <w:color w:val="105EAB"/>
              </w:rPr>
              <w:t>($)</w:t>
            </w:r>
          </w:p>
        </w:tc>
      </w:tr>
      <w:tr>
        <w:trPr>
          <w:trHeight w:val="202"/>
        </w:trPr>
        <w:tc>
          <w:tcPr>
            <w:tcW w:w="7620" w:type="dxa"/>
            <w:vAlign w:val="bottom"/>
          </w:tcPr>
          <w:p>
            <w:pPr>
              <w:ind w:left="80"/>
              <w:spacing w:after="0"/>
              <w:rPr>
                <w:sz w:val="20"/>
                <w:szCs w:val="20"/>
                <w:color w:val="auto"/>
              </w:rPr>
            </w:pPr>
            <w:r>
              <w:rPr>
                <w:rFonts w:ascii="Arial" w:cs="Arial" w:eastAsia="Arial" w:hAnsi="Arial"/>
                <w:sz w:val="13"/>
                <w:szCs w:val="13"/>
                <w:b w:val="1"/>
                <w:bCs w:val="1"/>
                <w:color w:val="105EAB"/>
              </w:rPr>
              <w:t>Mr. Wilson</w:t>
            </w:r>
          </w:p>
        </w:tc>
        <w:tc>
          <w:tcPr>
            <w:tcW w:w="900" w:type="dxa"/>
            <w:vAlign w:val="bottom"/>
          </w:tcPr>
          <w:p>
            <w:pPr>
              <w:jc w:val="right"/>
              <w:ind w:right="73"/>
              <w:spacing w:after="0"/>
              <w:rPr>
                <w:sz w:val="20"/>
                <w:szCs w:val="20"/>
                <w:color w:val="auto"/>
              </w:rPr>
            </w:pPr>
            <w:r>
              <w:rPr>
                <w:rFonts w:ascii="Arial" w:cs="Arial" w:eastAsia="Arial" w:hAnsi="Arial"/>
                <w:sz w:val="13"/>
                <w:szCs w:val="13"/>
                <w:color w:val="auto"/>
              </w:rPr>
              <w:t>ARP</w:t>
            </w:r>
          </w:p>
        </w:tc>
        <w:tc>
          <w:tcPr>
            <w:tcW w:w="820" w:type="dxa"/>
            <w:vAlign w:val="bottom"/>
          </w:tcPr>
          <w:p>
            <w:pPr>
              <w:jc w:val="right"/>
              <w:ind w:right="73"/>
              <w:spacing w:after="0"/>
              <w:rPr>
                <w:sz w:val="20"/>
                <w:szCs w:val="20"/>
                <w:color w:val="auto"/>
              </w:rPr>
            </w:pPr>
            <w:r>
              <w:rPr>
                <w:rFonts w:ascii="Arial" w:cs="Arial" w:eastAsia="Arial" w:hAnsi="Arial"/>
                <w:sz w:val="13"/>
                <w:szCs w:val="13"/>
                <w:color w:val="auto"/>
              </w:rPr>
              <w:t>25.8</w:t>
            </w:r>
          </w:p>
        </w:tc>
        <w:tc>
          <w:tcPr>
            <w:tcW w:w="1120" w:type="dxa"/>
            <w:vAlign w:val="bottom"/>
          </w:tcPr>
          <w:p>
            <w:pPr>
              <w:jc w:val="right"/>
              <w:ind w:right="73"/>
              <w:spacing w:after="0"/>
              <w:rPr>
                <w:sz w:val="20"/>
                <w:szCs w:val="20"/>
                <w:color w:val="auto"/>
              </w:rPr>
            </w:pPr>
            <w:r>
              <w:rPr>
                <w:rFonts w:ascii="Arial" w:cs="Arial" w:eastAsia="Arial" w:hAnsi="Arial"/>
                <w:sz w:val="13"/>
                <w:szCs w:val="13"/>
                <w:color w:val="auto"/>
              </w:rPr>
              <w:t>1,181,255</w:t>
            </w:r>
          </w:p>
        </w:tc>
        <w:tc>
          <w:tcPr>
            <w:tcW w:w="960" w:type="dxa"/>
            <w:vAlign w:val="bottom"/>
          </w:tcPr>
          <w:p>
            <w:pPr>
              <w:jc w:val="right"/>
              <w:ind w:right="13"/>
              <w:spacing w:after="0"/>
              <w:rPr>
                <w:sz w:val="20"/>
                <w:szCs w:val="20"/>
                <w:color w:val="auto"/>
              </w:rPr>
            </w:pPr>
            <w:r>
              <w:rPr>
                <w:rFonts w:ascii="Arial" w:cs="Arial" w:eastAsia="Arial" w:hAnsi="Arial"/>
                <w:sz w:val="13"/>
                <w:szCs w:val="13"/>
                <w:color w:val="auto"/>
              </w:rPr>
              <w:t>0</w:t>
            </w:r>
          </w:p>
        </w:tc>
      </w:tr>
      <w:tr>
        <w:trPr>
          <w:trHeight w:val="41"/>
        </w:trPr>
        <w:tc>
          <w:tcPr>
            <w:tcW w:w="7620" w:type="dxa"/>
            <w:vAlign w:val="bottom"/>
          </w:tcPr>
          <w:p>
            <w:pPr>
              <w:spacing w:after="0"/>
              <w:rPr>
                <w:sz w:val="3"/>
                <w:szCs w:val="3"/>
                <w:color w:val="auto"/>
              </w:rPr>
            </w:pPr>
          </w:p>
        </w:tc>
        <w:tc>
          <w:tcPr>
            <w:tcW w:w="900" w:type="dxa"/>
            <w:vAlign w:val="bottom"/>
            <w:tcBorders>
              <w:bottom w:val="single" w:sz="8" w:color="E9F1FB"/>
            </w:tcBorders>
          </w:tcPr>
          <w:p>
            <w:pPr>
              <w:spacing w:after="0"/>
              <w:rPr>
                <w:sz w:val="3"/>
                <w:szCs w:val="3"/>
                <w:color w:val="auto"/>
              </w:rPr>
            </w:pPr>
          </w:p>
        </w:tc>
        <w:tc>
          <w:tcPr>
            <w:tcW w:w="820" w:type="dxa"/>
            <w:vAlign w:val="bottom"/>
            <w:tcBorders>
              <w:bottom w:val="single" w:sz="8" w:color="E9F1FB"/>
            </w:tcBorders>
          </w:tcPr>
          <w:p>
            <w:pPr>
              <w:spacing w:after="0"/>
              <w:rPr>
                <w:sz w:val="3"/>
                <w:szCs w:val="3"/>
                <w:color w:val="auto"/>
              </w:rPr>
            </w:pPr>
          </w:p>
        </w:tc>
        <w:tc>
          <w:tcPr>
            <w:tcW w:w="1120" w:type="dxa"/>
            <w:vAlign w:val="bottom"/>
            <w:tcBorders>
              <w:bottom w:val="single" w:sz="8" w:color="E9F1FB"/>
            </w:tcBorders>
          </w:tcPr>
          <w:p>
            <w:pPr>
              <w:spacing w:after="0"/>
              <w:rPr>
                <w:sz w:val="3"/>
                <w:szCs w:val="3"/>
                <w:color w:val="auto"/>
              </w:rPr>
            </w:pPr>
          </w:p>
        </w:tc>
        <w:tc>
          <w:tcPr>
            <w:tcW w:w="960" w:type="dxa"/>
            <w:vAlign w:val="bottom"/>
            <w:tcBorders>
              <w:bottom w:val="single" w:sz="8" w:color="E9F1FB"/>
            </w:tcBorders>
          </w:tcPr>
          <w:p>
            <w:pPr>
              <w:spacing w:after="0"/>
              <w:rPr>
                <w:sz w:val="3"/>
                <w:szCs w:val="3"/>
                <w:color w:val="auto"/>
              </w:rPr>
            </w:pPr>
          </w:p>
        </w:tc>
      </w:tr>
      <w:tr>
        <w:trPr>
          <w:trHeight w:val="195"/>
        </w:trPr>
        <w:tc>
          <w:tcPr>
            <w:tcW w:w="7620" w:type="dxa"/>
            <w:vAlign w:val="bottom"/>
          </w:tcPr>
          <w:p>
            <w:pPr>
              <w:spacing w:after="0"/>
              <w:rPr>
                <w:sz w:val="16"/>
                <w:szCs w:val="16"/>
                <w:color w:val="auto"/>
              </w:rPr>
            </w:pPr>
          </w:p>
        </w:tc>
        <w:tc>
          <w:tcPr>
            <w:tcW w:w="900" w:type="dxa"/>
            <w:vAlign w:val="bottom"/>
          </w:tcPr>
          <w:p>
            <w:pPr>
              <w:jc w:val="right"/>
              <w:ind w:right="73"/>
              <w:spacing w:after="0"/>
              <w:rPr>
                <w:sz w:val="20"/>
                <w:szCs w:val="20"/>
                <w:color w:val="auto"/>
              </w:rPr>
            </w:pPr>
            <w:r>
              <w:rPr>
                <w:rFonts w:ascii="Arial" w:cs="Arial" w:eastAsia="Arial" w:hAnsi="Arial"/>
                <w:sz w:val="13"/>
                <w:szCs w:val="13"/>
                <w:color w:val="auto"/>
              </w:rPr>
              <w:t>SRIP</w:t>
            </w:r>
          </w:p>
        </w:tc>
        <w:tc>
          <w:tcPr>
            <w:tcW w:w="820" w:type="dxa"/>
            <w:vAlign w:val="bottom"/>
          </w:tcPr>
          <w:p>
            <w:pPr>
              <w:jc w:val="right"/>
              <w:ind w:right="73"/>
              <w:spacing w:after="0"/>
              <w:rPr>
                <w:sz w:val="20"/>
                <w:szCs w:val="20"/>
                <w:color w:val="auto"/>
              </w:rPr>
            </w:pPr>
            <w:r>
              <w:rPr>
                <w:rFonts w:ascii="Arial" w:cs="Arial" w:eastAsia="Arial" w:hAnsi="Arial"/>
                <w:sz w:val="13"/>
                <w:szCs w:val="13"/>
                <w:color w:val="auto"/>
              </w:rPr>
              <w:t>25.8</w:t>
            </w:r>
          </w:p>
        </w:tc>
        <w:tc>
          <w:tcPr>
            <w:tcW w:w="1120" w:type="dxa"/>
            <w:vAlign w:val="bottom"/>
          </w:tcPr>
          <w:p>
            <w:pPr>
              <w:jc w:val="right"/>
              <w:ind w:right="73"/>
              <w:spacing w:after="0"/>
              <w:rPr>
                <w:sz w:val="20"/>
                <w:szCs w:val="20"/>
                <w:color w:val="auto"/>
              </w:rPr>
            </w:pPr>
            <w:r>
              <w:rPr>
                <w:rFonts w:ascii="Arial" w:cs="Arial" w:eastAsia="Arial" w:hAnsi="Arial"/>
                <w:sz w:val="13"/>
                <w:szCs w:val="13"/>
                <w:color w:val="auto"/>
              </w:rPr>
              <w:t>16,875,827</w:t>
            </w:r>
          </w:p>
        </w:tc>
        <w:tc>
          <w:tcPr>
            <w:tcW w:w="960" w:type="dxa"/>
            <w:vAlign w:val="bottom"/>
          </w:tcPr>
          <w:p>
            <w:pPr>
              <w:jc w:val="right"/>
              <w:ind w:right="13"/>
              <w:spacing w:after="0"/>
              <w:rPr>
                <w:sz w:val="20"/>
                <w:szCs w:val="20"/>
                <w:color w:val="auto"/>
              </w:rPr>
            </w:pPr>
            <w:r>
              <w:rPr>
                <w:rFonts w:ascii="Arial" w:cs="Arial" w:eastAsia="Arial" w:hAnsi="Arial"/>
                <w:sz w:val="13"/>
                <w:szCs w:val="13"/>
                <w:color w:val="auto"/>
              </w:rPr>
              <w:t>0</w:t>
            </w:r>
          </w:p>
        </w:tc>
      </w:tr>
      <w:tr>
        <w:trPr>
          <w:trHeight w:val="41"/>
        </w:trPr>
        <w:tc>
          <w:tcPr>
            <w:tcW w:w="7620" w:type="dxa"/>
            <w:vAlign w:val="bottom"/>
            <w:tcBorders>
              <w:bottom w:val="single" w:sz="8" w:color="E9F1FB"/>
            </w:tcBorders>
          </w:tcPr>
          <w:p>
            <w:pPr>
              <w:spacing w:after="0"/>
              <w:rPr>
                <w:sz w:val="3"/>
                <w:szCs w:val="3"/>
                <w:color w:val="auto"/>
              </w:rPr>
            </w:pPr>
          </w:p>
        </w:tc>
        <w:tc>
          <w:tcPr>
            <w:tcW w:w="900" w:type="dxa"/>
            <w:vAlign w:val="bottom"/>
            <w:tcBorders>
              <w:bottom w:val="single" w:sz="8" w:color="E9F1FB"/>
            </w:tcBorders>
          </w:tcPr>
          <w:p>
            <w:pPr>
              <w:spacing w:after="0"/>
              <w:rPr>
                <w:sz w:val="3"/>
                <w:szCs w:val="3"/>
                <w:color w:val="auto"/>
              </w:rPr>
            </w:pPr>
          </w:p>
        </w:tc>
        <w:tc>
          <w:tcPr>
            <w:tcW w:w="820" w:type="dxa"/>
            <w:vAlign w:val="bottom"/>
            <w:tcBorders>
              <w:bottom w:val="single" w:sz="8" w:color="E9F1FB"/>
            </w:tcBorders>
          </w:tcPr>
          <w:p>
            <w:pPr>
              <w:spacing w:after="0"/>
              <w:rPr>
                <w:sz w:val="3"/>
                <w:szCs w:val="3"/>
                <w:color w:val="auto"/>
              </w:rPr>
            </w:pPr>
          </w:p>
        </w:tc>
        <w:tc>
          <w:tcPr>
            <w:tcW w:w="1120" w:type="dxa"/>
            <w:vAlign w:val="bottom"/>
            <w:tcBorders>
              <w:bottom w:val="single" w:sz="8" w:color="E9F1FB"/>
            </w:tcBorders>
          </w:tcPr>
          <w:p>
            <w:pPr>
              <w:spacing w:after="0"/>
              <w:rPr>
                <w:sz w:val="3"/>
                <w:szCs w:val="3"/>
                <w:color w:val="auto"/>
              </w:rPr>
            </w:pPr>
          </w:p>
        </w:tc>
        <w:tc>
          <w:tcPr>
            <w:tcW w:w="960" w:type="dxa"/>
            <w:vAlign w:val="bottom"/>
            <w:tcBorders>
              <w:bottom w:val="single" w:sz="8" w:color="E9F1FB"/>
            </w:tcBorders>
          </w:tcPr>
          <w:p>
            <w:pPr>
              <w:spacing w:after="0"/>
              <w:rPr>
                <w:sz w:val="3"/>
                <w:szCs w:val="3"/>
                <w:color w:val="auto"/>
              </w:rPr>
            </w:pPr>
          </w:p>
        </w:tc>
      </w:tr>
      <w:tr>
        <w:trPr>
          <w:trHeight w:val="195"/>
        </w:trPr>
        <w:tc>
          <w:tcPr>
            <w:tcW w:w="7620" w:type="dxa"/>
            <w:vAlign w:val="bottom"/>
          </w:tcPr>
          <w:p>
            <w:pPr>
              <w:ind w:left="80"/>
              <w:spacing w:after="0"/>
              <w:rPr>
                <w:sz w:val="20"/>
                <w:szCs w:val="20"/>
                <w:color w:val="auto"/>
              </w:rPr>
            </w:pPr>
            <w:r>
              <w:rPr>
                <w:rFonts w:ascii="Arial" w:cs="Arial" w:eastAsia="Arial" w:hAnsi="Arial"/>
                <w:sz w:val="13"/>
                <w:szCs w:val="13"/>
                <w:b w:val="1"/>
                <w:bCs w:val="1"/>
                <w:color w:val="105EAB"/>
              </w:rPr>
              <w:t>Mr. Rizzo</w:t>
            </w:r>
          </w:p>
        </w:tc>
        <w:tc>
          <w:tcPr>
            <w:tcW w:w="900" w:type="dxa"/>
            <w:vAlign w:val="bottom"/>
          </w:tcPr>
          <w:p>
            <w:pPr>
              <w:jc w:val="right"/>
              <w:ind w:right="73"/>
              <w:spacing w:after="0"/>
              <w:rPr>
                <w:sz w:val="20"/>
                <w:szCs w:val="20"/>
                <w:color w:val="auto"/>
              </w:rPr>
            </w:pPr>
            <w:r>
              <w:rPr>
                <w:rFonts w:ascii="Arial" w:cs="Arial" w:eastAsia="Arial" w:hAnsi="Arial"/>
                <w:sz w:val="13"/>
                <w:szCs w:val="13"/>
                <w:color w:val="auto"/>
              </w:rPr>
              <w:t>ARP</w:t>
            </w:r>
          </w:p>
        </w:tc>
        <w:tc>
          <w:tcPr>
            <w:tcW w:w="820" w:type="dxa"/>
            <w:vAlign w:val="bottom"/>
          </w:tcPr>
          <w:p>
            <w:pPr>
              <w:jc w:val="right"/>
              <w:ind w:right="73"/>
              <w:spacing w:after="0"/>
              <w:rPr>
                <w:sz w:val="20"/>
                <w:szCs w:val="20"/>
                <w:color w:val="auto"/>
              </w:rPr>
            </w:pPr>
            <w:r>
              <w:rPr>
                <w:rFonts w:ascii="Arial" w:cs="Arial" w:eastAsia="Arial" w:hAnsi="Arial"/>
                <w:sz w:val="13"/>
                <w:szCs w:val="13"/>
                <w:color w:val="auto"/>
              </w:rPr>
              <w:t>29.9</w:t>
            </w:r>
          </w:p>
        </w:tc>
        <w:tc>
          <w:tcPr>
            <w:tcW w:w="1120" w:type="dxa"/>
            <w:vAlign w:val="bottom"/>
          </w:tcPr>
          <w:p>
            <w:pPr>
              <w:jc w:val="right"/>
              <w:ind w:right="73"/>
              <w:spacing w:after="0"/>
              <w:rPr>
                <w:sz w:val="20"/>
                <w:szCs w:val="20"/>
                <w:color w:val="auto"/>
              </w:rPr>
            </w:pPr>
            <w:r>
              <w:rPr>
                <w:rFonts w:ascii="Arial" w:cs="Arial" w:eastAsia="Arial" w:hAnsi="Arial"/>
                <w:sz w:val="13"/>
                <w:szCs w:val="13"/>
                <w:color w:val="auto"/>
              </w:rPr>
              <w:t>979,014</w:t>
            </w:r>
          </w:p>
        </w:tc>
        <w:tc>
          <w:tcPr>
            <w:tcW w:w="960" w:type="dxa"/>
            <w:vAlign w:val="bottom"/>
          </w:tcPr>
          <w:p>
            <w:pPr>
              <w:jc w:val="right"/>
              <w:ind w:right="13"/>
              <w:spacing w:after="0"/>
              <w:rPr>
                <w:sz w:val="20"/>
                <w:szCs w:val="20"/>
                <w:color w:val="auto"/>
              </w:rPr>
            </w:pPr>
            <w:r>
              <w:rPr>
                <w:rFonts w:ascii="Arial" w:cs="Arial" w:eastAsia="Arial" w:hAnsi="Arial"/>
                <w:sz w:val="13"/>
                <w:szCs w:val="13"/>
                <w:color w:val="auto"/>
              </w:rPr>
              <w:t>0</w:t>
            </w:r>
          </w:p>
        </w:tc>
      </w:tr>
      <w:tr>
        <w:trPr>
          <w:trHeight w:val="41"/>
        </w:trPr>
        <w:tc>
          <w:tcPr>
            <w:tcW w:w="7620" w:type="dxa"/>
            <w:vAlign w:val="bottom"/>
          </w:tcPr>
          <w:p>
            <w:pPr>
              <w:spacing w:after="0"/>
              <w:rPr>
                <w:sz w:val="3"/>
                <w:szCs w:val="3"/>
                <w:color w:val="auto"/>
              </w:rPr>
            </w:pPr>
          </w:p>
        </w:tc>
        <w:tc>
          <w:tcPr>
            <w:tcW w:w="900" w:type="dxa"/>
            <w:vAlign w:val="bottom"/>
            <w:tcBorders>
              <w:bottom w:val="single" w:sz="8" w:color="E9F1FB"/>
            </w:tcBorders>
          </w:tcPr>
          <w:p>
            <w:pPr>
              <w:spacing w:after="0"/>
              <w:rPr>
                <w:sz w:val="3"/>
                <w:szCs w:val="3"/>
                <w:color w:val="auto"/>
              </w:rPr>
            </w:pPr>
          </w:p>
        </w:tc>
        <w:tc>
          <w:tcPr>
            <w:tcW w:w="820" w:type="dxa"/>
            <w:vAlign w:val="bottom"/>
            <w:tcBorders>
              <w:bottom w:val="single" w:sz="8" w:color="E9F1FB"/>
            </w:tcBorders>
          </w:tcPr>
          <w:p>
            <w:pPr>
              <w:spacing w:after="0"/>
              <w:rPr>
                <w:sz w:val="3"/>
                <w:szCs w:val="3"/>
                <w:color w:val="auto"/>
              </w:rPr>
            </w:pPr>
          </w:p>
        </w:tc>
        <w:tc>
          <w:tcPr>
            <w:tcW w:w="1120" w:type="dxa"/>
            <w:vAlign w:val="bottom"/>
            <w:tcBorders>
              <w:bottom w:val="single" w:sz="8" w:color="E9F1FB"/>
            </w:tcBorders>
          </w:tcPr>
          <w:p>
            <w:pPr>
              <w:spacing w:after="0"/>
              <w:rPr>
                <w:sz w:val="3"/>
                <w:szCs w:val="3"/>
                <w:color w:val="auto"/>
              </w:rPr>
            </w:pPr>
          </w:p>
        </w:tc>
        <w:tc>
          <w:tcPr>
            <w:tcW w:w="960" w:type="dxa"/>
            <w:vAlign w:val="bottom"/>
            <w:tcBorders>
              <w:bottom w:val="single" w:sz="8" w:color="E9F1FB"/>
            </w:tcBorders>
          </w:tcPr>
          <w:p>
            <w:pPr>
              <w:spacing w:after="0"/>
              <w:rPr>
                <w:sz w:val="3"/>
                <w:szCs w:val="3"/>
                <w:color w:val="auto"/>
              </w:rPr>
            </w:pPr>
          </w:p>
        </w:tc>
      </w:tr>
      <w:tr>
        <w:trPr>
          <w:trHeight w:val="195"/>
        </w:trPr>
        <w:tc>
          <w:tcPr>
            <w:tcW w:w="7620" w:type="dxa"/>
            <w:vAlign w:val="bottom"/>
          </w:tcPr>
          <w:p>
            <w:pPr>
              <w:spacing w:after="0"/>
              <w:rPr>
                <w:sz w:val="16"/>
                <w:szCs w:val="16"/>
                <w:color w:val="auto"/>
              </w:rPr>
            </w:pPr>
          </w:p>
        </w:tc>
        <w:tc>
          <w:tcPr>
            <w:tcW w:w="900" w:type="dxa"/>
            <w:vAlign w:val="bottom"/>
          </w:tcPr>
          <w:p>
            <w:pPr>
              <w:jc w:val="right"/>
              <w:ind w:right="73"/>
              <w:spacing w:after="0"/>
              <w:rPr>
                <w:sz w:val="20"/>
                <w:szCs w:val="20"/>
                <w:color w:val="auto"/>
              </w:rPr>
            </w:pPr>
            <w:r>
              <w:rPr>
                <w:rFonts w:ascii="Arial" w:cs="Arial" w:eastAsia="Arial" w:hAnsi="Arial"/>
                <w:sz w:val="13"/>
                <w:szCs w:val="13"/>
                <w:color w:val="auto"/>
              </w:rPr>
              <w:t>SRIP</w:t>
            </w:r>
          </w:p>
        </w:tc>
        <w:tc>
          <w:tcPr>
            <w:tcW w:w="820" w:type="dxa"/>
            <w:vAlign w:val="bottom"/>
          </w:tcPr>
          <w:p>
            <w:pPr>
              <w:jc w:val="right"/>
              <w:ind w:right="73"/>
              <w:spacing w:after="0"/>
              <w:rPr>
                <w:sz w:val="20"/>
                <w:szCs w:val="20"/>
                <w:color w:val="auto"/>
              </w:rPr>
            </w:pPr>
            <w:r>
              <w:rPr>
                <w:rFonts w:ascii="Arial" w:cs="Arial" w:eastAsia="Arial" w:hAnsi="Arial"/>
                <w:sz w:val="13"/>
                <w:szCs w:val="13"/>
                <w:color w:val="auto"/>
              </w:rPr>
              <w:t>29.9</w:t>
            </w:r>
          </w:p>
        </w:tc>
        <w:tc>
          <w:tcPr>
            <w:tcW w:w="1120" w:type="dxa"/>
            <w:vAlign w:val="bottom"/>
          </w:tcPr>
          <w:p>
            <w:pPr>
              <w:jc w:val="right"/>
              <w:ind w:right="73"/>
              <w:spacing w:after="0"/>
              <w:rPr>
                <w:sz w:val="20"/>
                <w:szCs w:val="20"/>
                <w:color w:val="auto"/>
              </w:rPr>
            </w:pPr>
            <w:r>
              <w:rPr>
                <w:rFonts w:ascii="Arial" w:cs="Arial" w:eastAsia="Arial" w:hAnsi="Arial"/>
                <w:sz w:val="13"/>
                <w:szCs w:val="13"/>
                <w:color w:val="auto"/>
              </w:rPr>
              <w:t>613,631</w:t>
            </w:r>
          </w:p>
        </w:tc>
        <w:tc>
          <w:tcPr>
            <w:tcW w:w="960" w:type="dxa"/>
            <w:vAlign w:val="bottom"/>
          </w:tcPr>
          <w:p>
            <w:pPr>
              <w:jc w:val="right"/>
              <w:ind w:right="13"/>
              <w:spacing w:after="0"/>
              <w:rPr>
                <w:sz w:val="20"/>
                <w:szCs w:val="20"/>
                <w:color w:val="auto"/>
              </w:rPr>
            </w:pPr>
            <w:r>
              <w:rPr>
                <w:rFonts w:ascii="Arial" w:cs="Arial" w:eastAsia="Arial" w:hAnsi="Arial"/>
                <w:sz w:val="13"/>
                <w:szCs w:val="13"/>
                <w:color w:val="auto"/>
              </w:rPr>
              <w:t>0</w:t>
            </w:r>
          </w:p>
        </w:tc>
      </w:tr>
      <w:tr>
        <w:trPr>
          <w:trHeight w:val="41"/>
        </w:trPr>
        <w:tc>
          <w:tcPr>
            <w:tcW w:w="7620" w:type="dxa"/>
            <w:vAlign w:val="bottom"/>
            <w:tcBorders>
              <w:bottom w:val="single" w:sz="8" w:color="E9F1FB"/>
            </w:tcBorders>
          </w:tcPr>
          <w:p>
            <w:pPr>
              <w:spacing w:after="0"/>
              <w:rPr>
                <w:sz w:val="3"/>
                <w:szCs w:val="3"/>
                <w:color w:val="auto"/>
              </w:rPr>
            </w:pPr>
          </w:p>
        </w:tc>
        <w:tc>
          <w:tcPr>
            <w:tcW w:w="900" w:type="dxa"/>
            <w:vAlign w:val="bottom"/>
            <w:tcBorders>
              <w:bottom w:val="single" w:sz="8" w:color="E9F1FB"/>
            </w:tcBorders>
          </w:tcPr>
          <w:p>
            <w:pPr>
              <w:spacing w:after="0"/>
              <w:rPr>
                <w:sz w:val="3"/>
                <w:szCs w:val="3"/>
                <w:color w:val="auto"/>
              </w:rPr>
            </w:pPr>
          </w:p>
        </w:tc>
        <w:tc>
          <w:tcPr>
            <w:tcW w:w="820" w:type="dxa"/>
            <w:vAlign w:val="bottom"/>
            <w:tcBorders>
              <w:bottom w:val="single" w:sz="8" w:color="E9F1FB"/>
            </w:tcBorders>
          </w:tcPr>
          <w:p>
            <w:pPr>
              <w:spacing w:after="0"/>
              <w:rPr>
                <w:sz w:val="3"/>
                <w:szCs w:val="3"/>
                <w:color w:val="auto"/>
              </w:rPr>
            </w:pPr>
          </w:p>
        </w:tc>
        <w:tc>
          <w:tcPr>
            <w:tcW w:w="1120" w:type="dxa"/>
            <w:vAlign w:val="bottom"/>
            <w:tcBorders>
              <w:bottom w:val="single" w:sz="8" w:color="E9F1FB"/>
            </w:tcBorders>
          </w:tcPr>
          <w:p>
            <w:pPr>
              <w:spacing w:after="0"/>
              <w:rPr>
                <w:sz w:val="3"/>
                <w:szCs w:val="3"/>
                <w:color w:val="auto"/>
              </w:rPr>
            </w:pPr>
          </w:p>
        </w:tc>
        <w:tc>
          <w:tcPr>
            <w:tcW w:w="960" w:type="dxa"/>
            <w:vAlign w:val="bottom"/>
            <w:tcBorders>
              <w:bottom w:val="single" w:sz="8" w:color="E9F1FB"/>
            </w:tcBorders>
          </w:tcPr>
          <w:p>
            <w:pPr>
              <w:spacing w:after="0"/>
              <w:rPr>
                <w:sz w:val="3"/>
                <w:szCs w:val="3"/>
                <w:color w:val="auto"/>
              </w:rPr>
            </w:pPr>
          </w:p>
        </w:tc>
      </w:tr>
      <w:tr>
        <w:trPr>
          <w:trHeight w:val="290"/>
        </w:trPr>
        <w:tc>
          <w:tcPr>
            <w:tcW w:w="7620" w:type="dxa"/>
            <w:vAlign w:val="bottom"/>
          </w:tcPr>
          <w:p>
            <w:pPr>
              <w:ind w:left="80"/>
              <w:spacing w:after="0"/>
              <w:rPr>
                <w:sz w:val="20"/>
                <w:szCs w:val="20"/>
                <w:color w:val="auto"/>
              </w:rPr>
            </w:pPr>
            <w:r>
              <w:rPr>
                <w:rFonts w:ascii="Arial" w:cs="Arial" w:eastAsia="Arial" w:hAnsi="Arial"/>
                <w:sz w:val="13"/>
                <w:szCs w:val="13"/>
                <w:b w:val="1"/>
                <w:bCs w:val="1"/>
                <w:color w:val="105EAB"/>
              </w:rPr>
              <w:t>Mr. Dugenske</w:t>
            </w:r>
            <w:r>
              <w:rPr>
                <w:rFonts w:ascii="Arial" w:cs="Arial" w:eastAsia="Arial" w:hAnsi="Arial"/>
                <w:sz w:val="22"/>
                <w:szCs w:val="22"/>
                <w:b w:val="1"/>
                <w:bCs w:val="1"/>
                <w:color w:val="105EAB"/>
                <w:vertAlign w:val="superscript"/>
              </w:rPr>
              <w:t>(3)</w:t>
            </w:r>
          </w:p>
        </w:tc>
        <w:tc>
          <w:tcPr>
            <w:tcW w:w="900" w:type="dxa"/>
            <w:vAlign w:val="bottom"/>
            <w:tcBorders>
              <w:bottom w:val="single" w:sz="8" w:color="E9F1FB"/>
            </w:tcBorders>
          </w:tcPr>
          <w:p>
            <w:pPr>
              <w:jc w:val="right"/>
              <w:ind w:right="73"/>
              <w:spacing w:after="0"/>
              <w:rPr>
                <w:sz w:val="20"/>
                <w:szCs w:val="20"/>
                <w:color w:val="auto"/>
              </w:rPr>
            </w:pPr>
            <w:r>
              <w:rPr>
                <w:rFonts w:ascii="Arial" w:cs="Arial" w:eastAsia="Arial" w:hAnsi="Arial"/>
                <w:sz w:val="13"/>
                <w:szCs w:val="13"/>
                <w:color w:val="auto"/>
              </w:rPr>
              <w:t>ARP</w:t>
            </w:r>
          </w:p>
        </w:tc>
        <w:tc>
          <w:tcPr>
            <w:tcW w:w="820" w:type="dxa"/>
            <w:vAlign w:val="bottom"/>
            <w:tcBorders>
              <w:bottom w:val="single" w:sz="8" w:color="E9F1FB"/>
            </w:tcBorders>
          </w:tcPr>
          <w:p>
            <w:pPr>
              <w:jc w:val="right"/>
              <w:ind w:right="73"/>
              <w:spacing w:after="0"/>
              <w:rPr>
                <w:sz w:val="20"/>
                <w:szCs w:val="20"/>
                <w:color w:val="auto"/>
              </w:rPr>
            </w:pPr>
            <w:r>
              <w:rPr>
                <w:rFonts w:ascii="Arial" w:cs="Arial" w:eastAsia="Arial" w:hAnsi="Arial"/>
                <w:sz w:val="13"/>
                <w:szCs w:val="13"/>
                <w:color w:val="auto"/>
              </w:rPr>
              <w:t>1.8</w:t>
            </w:r>
          </w:p>
        </w:tc>
        <w:tc>
          <w:tcPr>
            <w:tcW w:w="1120" w:type="dxa"/>
            <w:vAlign w:val="bottom"/>
            <w:tcBorders>
              <w:bottom w:val="single" w:sz="8" w:color="E9F1FB"/>
            </w:tcBorders>
          </w:tcPr>
          <w:p>
            <w:pPr>
              <w:jc w:val="right"/>
              <w:ind w:right="73"/>
              <w:spacing w:after="0"/>
              <w:rPr>
                <w:sz w:val="20"/>
                <w:szCs w:val="20"/>
                <w:color w:val="auto"/>
              </w:rPr>
            </w:pPr>
            <w:r>
              <w:rPr>
                <w:rFonts w:ascii="Arial" w:cs="Arial" w:eastAsia="Arial" w:hAnsi="Arial"/>
                <w:sz w:val="13"/>
                <w:szCs w:val="13"/>
                <w:color w:val="auto"/>
              </w:rPr>
              <w:t>7,917</w:t>
            </w:r>
          </w:p>
        </w:tc>
        <w:tc>
          <w:tcPr>
            <w:tcW w:w="960" w:type="dxa"/>
            <w:vAlign w:val="bottom"/>
            <w:tcBorders>
              <w:bottom w:val="single" w:sz="8" w:color="E9F1FB"/>
            </w:tcBorders>
          </w:tcPr>
          <w:p>
            <w:pPr>
              <w:jc w:val="right"/>
              <w:ind w:right="13"/>
              <w:spacing w:after="0"/>
              <w:rPr>
                <w:sz w:val="20"/>
                <w:szCs w:val="20"/>
                <w:color w:val="auto"/>
              </w:rPr>
            </w:pPr>
            <w:r>
              <w:rPr>
                <w:rFonts w:ascii="Arial" w:cs="Arial" w:eastAsia="Arial" w:hAnsi="Arial"/>
                <w:sz w:val="13"/>
                <w:szCs w:val="13"/>
                <w:color w:val="auto"/>
              </w:rPr>
              <w:t>0</w:t>
            </w:r>
          </w:p>
        </w:tc>
      </w:tr>
      <w:tr>
        <w:trPr>
          <w:trHeight w:val="195"/>
        </w:trPr>
        <w:tc>
          <w:tcPr>
            <w:tcW w:w="7620" w:type="dxa"/>
            <w:vAlign w:val="bottom"/>
          </w:tcPr>
          <w:p>
            <w:pPr>
              <w:spacing w:after="0"/>
              <w:rPr>
                <w:sz w:val="16"/>
                <w:szCs w:val="16"/>
                <w:color w:val="auto"/>
              </w:rPr>
            </w:pPr>
          </w:p>
        </w:tc>
        <w:tc>
          <w:tcPr>
            <w:tcW w:w="900" w:type="dxa"/>
            <w:vAlign w:val="bottom"/>
          </w:tcPr>
          <w:p>
            <w:pPr>
              <w:jc w:val="right"/>
              <w:ind w:right="73"/>
              <w:spacing w:after="0"/>
              <w:rPr>
                <w:sz w:val="20"/>
                <w:szCs w:val="20"/>
                <w:color w:val="auto"/>
              </w:rPr>
            </w:pPr>
            <w:r>
              <w:rPr>
                <w:rFonts w:ascii="Arial" w:cs="Arial" w:eastAsia="Arial" w:hAnsi="Arial"/>
                <w:sz w:val="13"/>
                <w:szCs w:val="13"/>
                <w:color w:val="auto"/>
              </w:rPr>
              <w:t>SRIP</w:t>
            </w:r>
          </w:p>
        </w:tc>
        <w:tc>
          <w:tcPr>
            <w:tcW w:w="820" w:type="dxa"/>
            <w:vAlign w:val="bottom"/>
          </w:tcPr>
          <w:p>
            <w:pPr>
              <w:jc w:val="right"/>
              <w:ind w:right="73"/>
              <w:spacing w:after="0"/>
              <w:rPr>
                <w:sz w:val="20"/>
                <w:szCs w:val="20"/>
                <w:color w:val="auto"/>
              </w:rPr>
            </w:pPr>
            <w:r>
              <w:rPr>
                <w:rFonts w:ascii="Arial" w:cs="Arial" w:eastAsia="Arial" w:hAnsi="Arial"/>
                <w:sz w:val="13"/>
                <w:szCs w:val="13"/>
                <w:color w:val="auto"/>
              </w:rPr>
              <w:t>1.8</w:t>
            </w:r>
          </w:p>
        </w:tc>
        <w:tc>
          <w:tcPr>
            <w:tcW w:w="1120" w:type="dxa"/>
            <w:vAlign w:val="bottom"/>
          </w:tcPr>
          <w:p>
            <w:pPr>
              <w:jc w:val="right"/>
              <w:ind w:right="73"/>
              <w:spacing w:after="0"/>
              <w:rPr>
                <w:sz w:val="20"/>
                <w:szCs w:val="20"/>
                <w:color w:val="auto"/>
              </w:rPr>
            </w:pPr>
            <w:r>
              <w:rPr>
                <w:rFonts w:ascii="Arial" w:cs="Arial" w:eastAsia="Arial" w:hAnsi="Arial"/>
                <w:sz w:val="13"/>
                <w:szCs w:val="13"/>
                <w:color w:val="auto"/>
              </w:rPr>
              <w:t>70,089</w:t>
            </w:r>
          </w:p>
        </w:tc>
        <w:tc>
          <w:tcPr>
            <w:tcW w:w="960" w:type="dxa"/>
            <w:vAlign w:val="bottom"/>
          </w:tcPr>
          <w:p>
            <w:pPr>
              <w:jc w:val="right"/>
              <w:ind w:right="13"/>
              <w:spacing w:after="0"/>
              <w:rPr>
                <w:sz w:val="20"/>
                <w:szCs w:val="20"/>
                <w:color w:val="auto"/>
              </w:rPr>
            </w:pPr>
            <w:r>
              <w:rPr>
                <w:rFonts w:ascii="Arial" w:cs="Arial" w:eastAsia="Arial" w:hAnsi="Arial"/>
                <w:sz w:val="13"/>
                <w:szCs w:val="13"/>
                <w:color w:val="auto"/>
              </w:rPr>
              <w:t>0</w:t>
            </w:r>
          </w:p>
        </w:tc>
      </w:tr>
      <w:tr>
        <w:trPr>
          <w:trHeight w:val="41"/>
        </w:trPr>
        <w:tc>
          <w:tcPr>
            <w:tcW w:w="7620" w:type="dxa"/>
            <w:vAlign w:val="bottom"/>
            <w:tcBorders>
              <w:bottom w:val="single" w:sz="8" w:color="E9F1FB"/>
            </w:tcBorders>
          </w:tcPr>
          <w:p>
            <w:pPr>
              <w:spacing w:after="0"/>
              <w:rPr>
                <w:sz w:val="3"/>
                <w:szCs w:val="3"/>
                <w:color w:val="auto"/>
              </w:rPr>
            </w:pPr>
          </w:p>
        </w:tc>
        <w:tc>
          <w:tcPr>
            <w:tcW w:w="900" w:type="dxa"/>
            <w:vAlign w:val="bottom"/>
            <w:tcBorders>
              <w:bottom w:val="single" w:sz="8" w:color="E9F1FB"/>
            </w:tcBorders>
          </w:tcPr>
          <w:p>
            <w:pPr>
              <w:spacing w:after="0"/>
              <w:rPr>
                <w:sz w:val="3"/>
                <w:szCs w:val="3"/>
                <w:color w:val="auto"/>
              </w:rPr>
            </w:pPr>
          </w:p>
        </w:tc>
        <w:tc>
          <w:tcPr>
            <w:tcW w:w="820" w:type="dxa"/>
            <w:vAlign w:val="bottom"/>
            <w:tcBorders>
              <w:bottom w:val="single" w:sz="8" w:color="E9F1FB"/>
            </w:tcBorders>
          </w:tcPr>
          <w:p>
            <w:pPr>
              <w:spacing w:after="0"/>
              <w:rPr>
                <w:sz w:val="3"/>
                <w:szCs w:val="3"/>
                <w:color w:val="auto"/>
              </w:rPr>
            </w:pPr>
          </w:p>
        </w:tc>
        <w:tc>
          <w:tcPr>
            <w:tcW w:w="1120" w:type="dxa"/>
            <w:vAlign w:val="bottom"/>
            <w:tcBorders>
              <w:bottom w:val="single" w:sz="8" w:color="E9F1FB"/>
            </w:tcBorders>
          </w:tcPr>
          <w:p>
            <w:pPr>
              <w:spacing w:after="0"/>
              <w:rPr>
                <w:sz w:val="3"/>
                <w:szCs w:val="3"/>
                <w:color w:val="auto"/>
              </w:rPr>
            </w:pPr>
          </w:p>
        </w:tc>
        <w:tc>
          <w:tcPr>
            <w:tcW w:w="960" w:type="dxa"/>
            <w:vAlign w:val="bottom"/>
            <w:tcBorders>
              <w:bottom w:val="single" w:sz="8" w:color="E9F1FB"/>
            </w:tcBorders>
          </w:tcPr>
          <w:p>
            <w:pPr>
              <w:spacing w:after="0"/>
              <w:rPr>
                <w:sz w:val="3"/>
                <w:szCs w:val="3"/>
                <w:color w:val="auto"/>
              </w:rPr>
            </w:pPr>
          </w:p>
        </w:tc>
      </w:tr>
      <w:tr>
        <w:trPr>
          <w:trHeight w:val="290"/>
        </w:trPr>
        <w:tc>
          <w:tcPr>
            <w:tcW w:w="7620" w:type="dxa"/>
            <w:vAlign w:val="bottom"/>
          </w:tcPr>
          <w:p>
            <w:pPr>
              <w:ind w:left="80"/>
              <w:spacing w:after="0"/>
              <w:rPr>
                <w:sz w:val="20"/>
                <w:szCs w:val="20"/>
                <w:color w:val="auto"/>
              </w:rPr>
            </w:pPr>
            <w:r>
              <w:rPr>
                <w:rFonts w:ascii="Arial" w:cs="Arial" w:eastAsia="Arial" w:hAnsi="Arial"/>
                <w:sz w:val="13"/>
                <w:szCs w:val="13"/>
                <w:b w:val="1"/>
                <w:bCs w:val="1"/>
                <w:color w:val="105EAB"/>
              </w:rPr>
              <w:t>Mr. Shapiro</w:t>
            </w:r>
            <w:r>
              <w:rPr>
                <w:rFonts w:ascii="Arial" w:cs="Arial" w:eastAsia="Arial" w:hAnsi="Arial"/>
                <w:sz w:val="22"/>
                <w:szCs w:val="22"/>
                <w:b w:val="1"/>
                <w:bCs w:val="1"/>
                <w:color w:val="105EAB"/>
                <w:vertAlign w:val="superscript"/>
              </w:rPr>
              <w:t>(3)</w:t>
            </w:r>
          </w:p>
        </w:tc>
        <w:tc>
          <w:tcPr>
            <w:tcW w:w="900" w:type="dxa"/>
            <w:vAlign w:val="bottom"/>
            <w:tcBorders>
              <w:bottom w:val="single" w:sz="8" w:color="E9F1FB"/>
            </w:tcBorders>
          </w:tcPr>
          <w:p>
            <w:pPr>
              <w:jc w:val="right"/>
              <w:ind w:right="73"/>
              <w:spacing w:after="0"/>
              <w:rPr>
                <w:sz w:val="20"/>
                <w:szCs w:val="20"/>
                <w:color w:val="auto"/>
              </w:rPr>
            </w:pPr>
            <w:r>
              <w:rPr>
                <w:rFonts w:ascii="Arial" w:cs="Arial" w:eastAsia="Arial" w:hAnsi="Arial"/>
                <w:sz w:val="13"/>
                <w:szCs w:val="13"/>
                <w:color w:val="auto"/>
              </w:rPr>
              <w:t>ARP</w:t>
            </w:r>
          </w:p>
        </w:tc>
        <w:tc>
          <w:tcPr>
            <w:tcW w:w="820" w:type="dxa"/>
            <w:vAlign w:val="bottom"/>
            <w:tcBorders>
              <w:bottom w:val="single" w:sz="8" w:color="E9F1FB"/>
            </w:tcBorders>
          </w:tcPr>
          <w:p>
            <w:pPr>
              <w:jc w:val="right"/>
              <w:ind w:right="73"/>
              <w:spacing w:after="0"/>
              <w:rPr>
                <w:sz w:val="20"/>
                <w:szCs w:val="20"/>
                <w:color w:val="auto"/>
              </w:rPr>
            </w:pPr>
            <w:r>
              <w:rPr>
                <w:rFonts w:ascii="Arial" w:cs="Arial" w:eastAsia="Arial" w:hAnsi="Arial"/>
                <w:sz w:val="13"/>
                <w:szCs w:val="13"/>
                <w:color w:val="auto"/>
              </w:rPr>
              <w:t>2.8</w:t>
            </w:r>
          </w:p>
        </w:tc>
        <w:tc>
          <w:tcPr>
            <w:tcW w:w="1120" w:type="dxa"/>
            <w:vAlign w:val="bottom"/>
            <w:tcBorders>
              <w:bottom w:val="single" w:sz="8" w:color="E9F1FB"/>
            </w:tcBorders>
          </w:tcPr>
          <w:p>
            <w:pPr>
              <w:jc w:val="right"/>
              <w:ind w:right="73"/>
              <w:spacing w:after="0"/>
              <w:rPr>
                <w:sz w:val="20"/>
                <w:szCs w:val="20"/>
                <w:color w:val="auto"/>
              </w:rPr>
            </w:pPr>
            <w:r>
              <w:rPr>
                <w:rFonts w:ascii="Arial" w:cs="Arial" w:eastAsia="Arial" w:hAnsi="Arial"/>
                <w:sz w:val="13"/>
                <w:szCs w:val="13"/>
                <w:color w:val="auto"/>
              </w:rPr>
              <w:t>15,711</w:t>
            </w:r>
          </w:p>
        </w:tc>
        <w:tc>
          <w:tcPr>
            <w:tcW w:w="960" w:type="dxa"/>
            <w:vAlign w:val="bottom"/>
            <w:tcBorders>
              <w:bottom w:val="single" w:sz="8" w:color="E9F1FB"/>
            </w:tcBorders>
          </w:tcPr>
          <w:p>
            <w:pPr>
              <w:jc w:val="right"/>
              <w:ind w:right="13"/>
              <w:spacing w:after="0"/>
              <w:rPr>
                <w:sz w:val="20"/>
                <w:szCs w:val="20"/>
                <w:color w:val="auto"/>
              </w:rPr>
            </w:pPr>
            <w:r>
              <w:rPr>
                <w:rFonts w:ascii="Arial" w:cs="Arial" w:eastAsia="Arial" w:hAnsi="Arial"/>
                <w:sz w:val="13"/>
                <w:szCs w:val="13"/>
                <w:color w:val="auto"/>
              </w:rPr>
              <w:t>0</w:t>
            </w:r>
          </w:p>
        </w:tc>
      </w:tr>
      <w:tr>
        <w:trPr>
          <w:trHeight w:val="195"/>
        </w:trPr>
        <w:tc>
          <w:tcPr>
            <w:tcW w:w="7620" w:type="dxa"/>
            <w:vAlign w:val="bottom"/>
          </w:tcPr>
          <w:p>
            <w:pPr>
              <w:spacing w:after="0"/>
              <w:rPr>
                <w:sz w:val="16"/>
                <w:szCs w:val="16"/>
                <w:color w:val="auto"/>
              </w:rPr>
            </w:pPr>
          </w:p>
        </w:tc>
        <w:tc>
          <w:tcPr>
            <w:tcW w:w="900" w:type="dxa"/>
            <w:vAlign w:val="bottom"/>
          </w:tcPr>
          <w:p>
            <w:pPr>
              <w:jc w:val="right"/>
              <w:ind w:right="73"/>
              <w:spacing w:after="0"/>
              <w:rPr>
                <w:sz w:val="20"/>
                <w:szCs w:val="20"/>
                <w:color w:val="auto"/>
              </w:rPr>
            </w:pPr>
            <w:r>
              <w:rPr>
                <w:rFonts w:ascii="Arial" w:cs="Arial" w:eastAsia="Arial" w:hAnsi="Arial"/>
                <w:sz w:val="13"/>
                <w:szCs w:val="13"/>
                <w:color w:val="auto"/>
              </w:rPr>
              <w:t>SRIP</w:t>
            </w:r>
          </w:p>
        </w:tc>
        <w:tc>
          <w:tcPr>
            <w:tcW w:w="820" w:type="dxa"/>
            <w:vAlign w:val="bottom"/>
          </w:tcPr>
          <w:p>
            <w:pPr>
              <w:jc w:val="right"/>
              <w:ind w:right="73"/>
              <w:spacing w:after="0"/>
              <w:rPr>
                <w:sz w:val="20"/>
                <w:szCs w:val="20"/>
                <w:color w:val="auto"/>
              </w:rPr>
            </w:pPr>
            <w:r>
              <w:rPr>
                <w:rFonts w:ascii="Arial" w:cs="Arial" w:eastAsia="Arial" w:hAnsi="Arial"/>
                <w:sz w:val="13"/>
                <w:szCs w:val="13"/>
                <w:color w:val="auto"/>
              </w:rPr>
              <w:t>2.8</w:t>
            </w:r>
          </w:p>
        </w:tc>
        <w:tc>
          <w:tcPr>
            <w:tcW w:w="1120" w:type="dxa"/>
            <w:vAlign w:val="bottom"/>
          </w:tcPr>
          <w:p>
            <w:pPr>
              <w:jc w:val="right"/>
              <w:ind w:right="73"/>
              <w:spacing w:after="0"/>
              <w:rPr>
                <w:sz w:val="20"/>
                <w:szCs w:val="20"/>
                <w:color w:val="auto"/>
              </w:rPr>
            </w:pPr>
            <w:r>
              <w:rPr>
                <w:rFonts w:ascii="Arial" w:cs="Arial" w:eastAsia="Arial" w:hAnsi="Arial"/>
                <w:sz w:val="13"/>
                <w:szCs w:val="13"/>
                <w:color w:val="auto"/>
              </w:rPr>
              <w:t>69,338</w:t>
            </w:r>
          </w:p>
        </w:tc>
        <w:tc>
          <w:tcPr>
            <w:tcW w:w="960" w:type="dxa"/>
            <w:vAlign w:val="bottom"/>
          </w:tcPr>
          <w:p>
            <w:pPr>
              <w:jc w:val="right"/>
              <w:ind w:right="13"/>
              <w:spacing w:after="0"/>
              <w:rPr>
                <w:sz w:val="20"/>
                <w:szCs w:val="20"/>
                <w:color w:val="auto"/>
              </w:rPr>
            </w:pPr>
            <w:r>
              <w:rPr>
                <w:rFonts w:ascii="Arial" w:cs="Arial" w:eastAsia="Arial" w:hAnsi="Arial"/>
                <w:sz w:val="13"/>
                <w:szCs w:val="13"/>
                <w:color w:val="auto"/>
              </w:rPr>
              <w:t>0</w:t>
            </w:r>
          </w:p>
        </w:tc>
      </w:tr>
      <w:tr>
        <w:trPr>
          <w:trHeight w:val="41"/>
        </w:trPr>
        <w:tc>
          <w:tcPr>
            <w:tcW w:w="7620" w:type="dxa"/>
            <w:vAlign w:val="bottom"/>
            <w:tcBorders>
              <w:bottom w:val="single" w:sz="8" w:color="E9F1FB"/>
            </w:tcBorders>
          </w:tcPr>
          <w:p>
            <w:pPr>
              <w:spacing w:after="0"/>
              <w:rPr>
                <w:sz w:val="3"/>
                <w:szCs w:val="3"/>
                <w:color w:val="auto"/>
              </w:rPr>
            </w:pPr>
          </w:p>
        </w:tc>
        <w:tc>
          <w:tcPr>
            <w:tcW w:w="900" w:type="dxa"/>
            <w:vAlign w:val="bottom"/>
            <w:tcBorders>
              <w:bottom w:val="single" w:sz="8" w:color="E9F1FB"/>
            </w:tcBorders>
          </w:tcPr>
          <w:p>
            <w:pPr>
              <w:spacing w:after="0"/>
              <w:rPr>
                <w:sz w:val="3"/>
                <w:szCs w:val="3"/>
                <w:color w:val="auto"/>
              </w:rPr>
            </w:pPr>
          </w:p>
        </w:tc>
        <w:tc>
          <w:tcPr>
            <w:tcW w:w="820" w:type="dxa"/>
            <w:vAlign w:val="bottom"/>
            <w:tcBorders>
              <w:bottom w:val="single" w:sz="8" w:color="E9F1FB"/>
            </w:tcBorders>
          </w:tcPr>
          <w:p>
            <w:pPr>
              <w:spacing w:after="0"/>
              <w:rPr>
                <w:sz w:val="3"/>
                <w:szCs w:val="3"/>
                <w:color w:val="auto"/>
              </w:rPr>
            </w:pPr>
          </w:p>
        </w:tc>
        <w:tc>
          <w:tcPr>
            <w:tcW w:w="1120" w:type="dxa"/>
            <w:vAlign w:val="bottom"/>
            <w:tcBorders>
              <w:bottom w:val="single" w:sz="8" w:color="E9F1FB"/>
            </w:tcBorders>
          </w:tcPr>
          <w:p>
            <w:pPr>
              <w:spacing w:after="0"/>
              <w:rPr>
                <w:sz w:val="3"/>
                <w:szCs w:val="3"/>
                <w:color w:val="auto"/>
              </w:rPr>
            </w:pPr>
          </w:p>
        </w:tc>
        <w:tc>
          <w:tcPr>
            <w:tcW w:w="960" w:type="dxa"/>
            <w:vAlign w:val="bottom"/>
            <w:tcBorders>
              <w:bottom w:val="single" w:sz="8" w:color="E9F1FB"/>
            </w:tcBorders>
          </w:tcPr>
          <w:p>
            <w:pPr>
              <w:spacing w:after="0"/>
              <w:rPr>
                <w:sz w:val="3"/>
                <w:szCs w:val="3"/>
                <w:color w:val="auto"/>
              </w:rPr>
            </w:pPr>
          </w:p>
        </w:tc>
      </w:tr>
      <w:tr>
        <w:trPr>
          <w:trHeight w:val="195"/>
        </w:trPr>
        <w:tc>
          <w:tcPr>
            <w:tcW w:w="7620" w:type="dxa"/>
            <w:vAlign w:val="bottom"/>
          </w:tcPr>
          <w:p>
            <w:pPr>
              <w:ind w:left="80"/>
              <w:spacing w:after="0"/>
              <w:rPr>
                <w:sz w:val="20"/>
                <w:szCs w:val="20"/>
                <w:color w:val="auto"/>
              </w:rPr>
            </w:pPr>
            <w:r>
              <w:rPr>
                <w:rFonts w:ascii="Arial" w:cs="Arial" w:eastAsia="Arial" w:hAnsi="Arial"/>
                <w:sz w:val="13"/>
                <w:szCs w:val="13"/>
                <w:b w:val="1"/>
                <w:bCs w:val="1"/>
                <w:color w:val="105EAB"/>
              </w:rPr>
              <w:t>Mr. Shebik</w:t>
            </w:r>
          </w:p>
        </w:tc>
        <w:tc>
          <w:tcPr>
            <w:tcW w:w="900" w:type="dxa"/>
            <w:vAlign w:val="bottom"/>
          </w:tcPr>
          <w:p>
            <w:pPr>
              <w:jc w:val="right"/>
              <w:ind w:right="73"/>
              <w:spacing w:after="0"/>
              <w:rPr>
                <w:sz w:val="20"/>
                <w:szCs w:val="20"/>
                <w:color w:val="auto"/>
              </w:rPr>
            </w:pPr>
            <w:r>
              <w:rPr>
                <w:rFonts w:ascii="Arial" w:cs="Arial" w:eastAsia="Arial" w:hAnsi="Arial"/>
                <w:sz w:val="13"/>
                <w:szCs w:val="13"/>
                <w:color w:val="auto"/>
              </w:rPr>
              <w:t>ARP</w:t>
            </w:r>
          </w:p>
        </w:tc>
        <w:tc>
          <w:tcPr>
            <w:tcW w:w="820" w:type="dxa"/>
            <w:vAlign w:val="bottom"/>
          </w:tcPr>
          <w:p>
            <w:pPr>
              <w:jc w:val="right"/>
              <w:ind w:right="73"/>
              <w:spacing w:after="0"/>
              <w:rPr>
                <w:sz w:val="20"/>
                <w:szCs w:val="20"/>
                <w:color w:val="auto"/>
              </w:rPr>
            </w:pPr>
            <w:r>
              <w:rPr>
                <w:rFonts w:ascii="Arial" w:cs="Arial" w:eastAsia="Arial" w:hAnsi="Arial"/>
                <w:sz w:val="13"/>
                <w:szCs w:val="13"/>
                <w:color w:val="auto"/>
              </w:rPr>
              <w:t>30.2</w:t>
            </w:r>
          </w:p>
        </w:tc>
        <w:tc>
          <w:tcPr>
            <w:tcW w:w="1120" w:type="dxa"/>
            <w:vAlign w:val="bottom"/>
          </w:tcPr>
          <w:p>
            <w:pPr>
              <w:jc w:val="right"/>
              <w:ind w:right="73"/>
              <w:spacing w:after="0"/>
              <w:rPr>
                <w:sz w:val="20"/>
                <w:szCs w:val="20"/>
                <w:color w:val="auto"/>
              </w:rPr>
            </w:pPr>
            <w:r>
              <w:rPr>
                <w:rFonts w:ascii="Arial" w:cs="Arial" w:eastAsia="Arial" w:hAnsi="Arial"/>
                <w:sz w:val="13"/>
                <w:szCs w:val="13"/>
                <w:color w:val="auto"/>
              </w:rPr>
              <w:t>1,437,419</w:t>
            </w:r>
          </w:p>
        </w:tc>
        <w:tc>
          <w:tcPr>
            <w:tcW w:w="960" w:type="dxa"/>
            <w:vAlign w:val="bottom"/>
          </w:tcPr>
          <w:p>
            <w:pPr>
              <w:jc w:val="right"/>
              <w:ind w:right="13"/>
              <w:spacing w:after="0"/>
              <w:rPr>
                <w:sz w:val="20"/>
                <w:szCs w:val="20"/>
                <w:color w:val="auto"/>
              </w:rPr>
            </w:pPr>
            <w:r>
              <w:rPr>
                <w:rFonts w:ascii="Arial" w:cs="Arial" w:eastAsia="Arial" w:hAnsi="Arial"/>
                <w:sz w:val="13"/>
                <w:szCs w:val="13"/>
                <w:color w:val="auto"/>
              </w:rPr>
              <w:t>0</w:t>
            </w:r>
          </w:p>
        </w:tc>
      </w:tr>
      <w:tr>
        <w:trPr>
          <w:trHeight w:val="41"/>
        </w:trPr>
        <w:tc>
          <w:tcPr>
            <w:tcW w:w="7620" w:type="dxa"/>
            <w:vAlign w:val="bottom"/>
          </w:tcPr>
          <w:p>
            <w:pPr>
              <w:spacing w:after="0"/>
              <w:rPr>
                <w:sz w:val="3"/>
                <w:szCs w:val="3"/>
                <w:color w:val="auto"/>
              </w:rPr>
            </w:pPr>
          </w:p>
        </w:tc>
        <w:tc>
          <w:tcPr>
            <w:tcW w:w="900" w:type="dxa"/>
            <w:vAlign w:val="bottom"/>
            <w:tcBorders>
              <w:bottom w:val="single" w:sz="8" w:color="E9F1FB"/>
            </w:tcBorders>
          </w:tcPr>
          <w:p>
            <w:pPr>
              <w:spacing w:after="0"/>
              <w:rPr>
                <w:sz w:val="3"/>
                <w:szCs w:val="3"/>
                <w:color w:val="auto"/>
              </w:rPr>
            </w:pPr>
          </w:p>
        </w:tc>
        <w:tc>
          <w:tcPr>
            <w:tcW w:w="820" w:type="dxa"/>
            <w:vAlign w:val="bottom"/>
            <w:tcBorders>
              <w:bottom w:val="single" w:sz="8" w:color="E9F1FB"/>
            </w:tcBorders>
          </w:tcPr>
          <w:p>
            <w:pPr>
              <w:spacing w:after="0"/>
              <w:rPr>
                <w:sz w:val="3"/>
                <w:szCs w:val="3"/>
                <w:color w:val="auto"/>
              </w:rPr>
            </w:pPr>
          </w:p>
        </w:tc>
        <w:tc>
          <w:tcPr>
            <w:tcW w:w="1120" w:type="dxa"/>
            <w:vAlign w:val="bottom"/>
            <w:tcBorders>
              <w:bottom w:val="single" w:sz="8" w:color="E9F1FB"/>
            </w:tcBorders>
          </w:tcPr>
          <w:p>
            <w:pPr>
              <w:spacing w:after="0"/>
              <w:rPr>
                <w:sz w:val="3"/>
                <w:szCs w:val="3"/>
                <w:color w:val="auto"/>
              </w:rPr>
            </w:pPr>
          </w:p>
        </w:tc>
        <w:tc>
          <w:tcPr>
            <w:tcW w:w="960" w:type="dxa"/>
            <w:vAlign w:val="bottom"/>
            <w:tcBorders>
              <w:bottom w:val="single" w:sz="8" w:color="E9F1FB"/>
            </w:tcBorders>
          </w:tcPr>
          <w:p>
            <w:pPr>
              <w:spacing w:after="0"/>
              <w:rPr>
                <w:sz w:val="3"/>
                <w:szCs w:val="3"/>
                <w:color w:val="auto"/>
              </w:rPr>
            </w:pPr>
          </w:p>
        </w:tc>
      </w:tr>
      <w:tr>
        <w:trPr>
          <w:trHeight w:val="195"/>
        </w:trPr>
        <w:tc>
          <w:tcPr>
            <w:tcW w:w="7620" w:type="dxa"/>
            <w:vAlign w:val="bottom"/>
          </w:tcPr>
          <w:p>
            <w:pPr>
              <w:spacing w:after="0"/>
              <w:rPr>
                <w:sz w:val="16"/>
                <w:szCs w:val="16"/>
                <w:color w:val="auto"/>
              </w:rPr>
            </w:pPr>
          </w:p>
        </w:tc>
        <w:tc>
          <w:tcPr>
            <w:tcW w:w="900" w:type="dxa"/>
            <w:vAlign w:val="bottom"/>
          </w:tcPr>
          <w:p>
            <w:pPr>
              <w:jc w:val="right"/>
              <w:ind w:right="73"/>
              <w:spacing w:after="0"/>
              <w:rPr>
                <w:sz w:val="20"/>
                <w:szCs w:val="20"/>
                <w:color w:val="auto"/>
              </w:rPr>
            </w:pPr>
            <w:r>
              <w:rPr>
                <w:rFonts w:ascii="Arial" w:cs="Arial" w:eastAsia="Arial" w:hAnsi="Arial"/>
                <w:sz w:val="13"/>
                <w:szCs w:val="13"/>
                <w:color w:val="auto"/>
              </w:rPr>
              <w:t>SRIP</w:t>
            </w:r>
          </w:p>
        </w:tc>
        <w:tc>
          <w:tcPr>
            <w:tcW w:w="820" w:type="dxa"/>
            <w:vAlign w:val="bottom"/>
          </w:tcPr>
          <w:p>
            <w:pPr>
              <w:jc w:val="right"/>
              <w:ind w:right="73"/>
              <w:spacing w:after="0"/>
              <w:rPr>
                <w:sz w:val="20"/>
                <w:szCs w:val="20"/>
                <w:color w:val="auto"/>
              </w:rPr>
            </w:pPr>
            <w:r>
              <w:rPr>
                <w:rFonts w:ascii="Arial" w:cs="Arial" w:eastAsia="Arial" w:hAnsi="Arial"/>
                <w:sz w:val="13"/>
                <w:szCs w:val="13"/>
                <w:color w:val="auto"/>
              </w:rPr>
              <w:t>30.2</w:t>
            </w:r>
          </w:p>
        </w:tc>
        <w:tc>
          <w:tcPr>
            <w:tcW w:w="1120" w:type="dxa"/>
            <w:vAlign w:val="bottom"/>
          </w:tcPr>
          <w:p>
            <w:pPr>
              <w:jc w:val="right"/>
              <w:ind w:right="73"/>
              <w:spacing w:after="0"/>
              <w:rPr>
                <w:sz w:val="20"/>
                <w:szCs w:val="20"/>
                <w:color w:val="auto"/>
              </w:rPr>
            </w:pPr>
            <w:r>
              <w:rPr>
                <w:rFonts w:ascii="Arial" w:cs="Arial" w:eastAsia="Arial" w:hAnsi="Arial"/>
                <w:sz w:val="13"/>
                <w:szCs w:val="13"/>
                <w:color w:val="auto"/>
              </w:rPr>
              <w:t>4,368,898</w:t>
            </w:r>
          </w:p>
        </w:tc>
        <w:tc>
          <w:tcPr>
            <w:tcW w:w="960" w:type="dxa"/>
            <w:vAlign w:val="bottom"/>
          </w:tcPr>
          <w:p>
            <w:pPr>
              <w:jc w:val="right"/>
              <w:ind w:right="13"/>
              <w:spacing w:after="0"/>
              <w:rPr>
                <w:sz w:val="20"/>
                <w:szCs w:val="20"/>
                <w:color w:val="auto"/>
              </w:rPr>
            </w:pPr>
            <w:r>
              <w:rPr>
                <w:rFonts w:ascii="Arial" w:cs="Arial" w:eastAsia="Arial" w:hAnsi="Arial"/>
                <w:sz w:val="13"/>
                <w:szCs w:val="13"/>
                <w:color w:val="auto"/>
              </w:rPr>
              <w:t>0</w:t>
            </w:r>
          </w:p>
        </w:tc>
      </w:tr>
      <w:tr>
        <w:trPr>
          <w:trHeight w:val="48"/>
        </w:trPr>
        <w:tc>
          <w:tcPr>
            <w:tcW w:w="7620" w:type="dxa"/>
            <w:vAlign w:val="bottom"/>
            <w:tcBorders>
              <w:bottom w:val="single" w:sz="8" w:color="105FAB"/>
            </w:tcBorders>
          </w:tcPr>
          <w:p>
            <w:pPr>
              <w:spacing w:after="0"/>
              <w:rPr>
                <w:sz w:val="4"/>
                <w:szCs w:val="4"/>
                <w:color w:val="auto"/>
              </w:rPr>
            </w:pPr>
          </w:p>
        </w:tc>
        <w:tc>
          <w:tcPr>
            <w:tcW w:w="900" w:type="dxa"/>
            <w:vAlign w:val="bottom"/>
            <w:tcBorders>
              <w:bottom w:val="single" w:sz="8" w:color="105FAB"/>
            </w:tcBorders>
          </w:tcPr>
          <w:p>
            <w:pPr>
              <w:spacing w:after="0"/>
              <w:rPr>
                <w:sz w:val="4"/>
                <w:szCs w:val="4"/>
                <w:color w:val="auto"/>
              </w:rPr>
            </w:pPr>
          </w:p>
        </w:tc>
        <w:tc>
          <w:tcPr>
            <w:tcW w:w="820" w:type="dxa"/>
            <w:vAlign w:val="bottom"/>
            <w:tcBorders>
              <w:bottom w:val="single" w:sz="8" w:color="105FAB"/>
            </w:tcBorders>
          </w:tcPr>
          <w:p>
            <w:pPr>
              <w:spacing w:after="0"/>
              <w:rPr>
                <w:sz w:val="4"/>
                <w:szCs w:val="4"/>
                <w:color w:val="auto"/>
              </w:rPr>
            </w:pPr>
          </w:p>
        </w:tc>
        <w:tc>
          <w:tcPr>
            <w:tcW w:w="1120" w:type="dxa"/>
            <w:vAlign w:val="bottom"/>
            <w:tcBorders>
              <w:bottom w:val="single" w:sz="8" w:color="105FAB"/>
            </w:tcBorders>
          </w:tcPr>
          <w:p>
            <w:pPr>
              <w:spacing w:after="0"/>
              <w:rPr>
                <w:sz w:val="4"/>
                <w:szCs w:val="4"/>
                <w:color w:val="auto"/>
              </w:rPr>
            </w:pPr>
          </w:p>
        </w:tc>
        <w:tc>
          <w:tcPr>
            <w:tcW w:w="960" w:type="dxa"/>
            <w:vAlign w:val="bottom"/>
            <w:tcBorders>
              <w:bottom w:val="single" w:sz="8" w:color="105FAB"/>
            </w:tcBorders>
          </w:tcPr>
          <w:p>
            <w:pPr>
              <w:spacing w:after="0"/>
              <w:rPr>
                <w:sz w:val="4"/>
                <w:szCs w:val="4"/>
                <w:color w:val="auto"/>
              </w:rPr>
            </w:pPr>
          </w:p>
        </w:tc>
      </w:tr>
    </w:tbl>
    <w:p>
      <w:pPr>
        <w:spacing w:after="0" w:line="107" w:lineRule="exact"/>
        <w:rPr>
          <w:sz w:val="20"/>
          <w:szCs w:val="20"/>
          <w:color w:val="auto"/>
        </w:rPr>
      </w:pPr>
    </w:p>
    <w:p>
      <w:pPr>
        <w:ind w:left="300" w:right="240" w:hanging="292"/>
        <w:spacing w:after="0" w:line="238" w:lineRule="auto"/>
        <w:tabs>
          <w:tab w:leader="none" w:pos="300" w:val="left"/>
        </w:tabs>
        <w:numPr>
          <w:ilvl w:val="0"/>
          <w:numId w:val="199"/>
        </w:numPr>
        <w:rPr>
          <w:rFonts w:ascii="Arial" w:cs="Arial" w:eastAsia="Arial" w:hAnsi="Arial"/>
          <w:sz w:val="11"/>
          <w:szCs w:val="11"/>
          <w:color w:val="auto"/>
        </w:rPr>
      </w:pPr>
      <w:r>
        <w:rPr>
          <w:rFonts w:ascii="Arial" w:cs="Arial" w:eastAsia="Arial" w:hAnsi="Arial"/>
          <w:sz w:val="13"/>
          <w:szCs w:val="13"/>
          <w:color w:val="auto"/>
        </w:rPr>
        <w:t>These amounts are estimates and do not necessarily reflect the actual amounts that will be paid to the named executives, which will be known only at the time they become eligible for payment. The present value of the accumulated benefit was determined using the same measurement date (December 31, 2018) and material assumptions that we use for year-end financial reporting purposes, except that we made no assumptions for early termination, disability, or pre-retirement mortality. Other assumptions include the following:</w:t>
      </w:r>
    </w:p>
    <w:p>
      <w:pPr>
        <w:ind w:left="540" w:hanging="213"/>
        <w:spacing w:after="0" w:line="238" w:lineRule="auto"/>
        <w:tabs>
          <w:tab w:leader="none" w:pos="540" w:val="left"/>
        </w:tabs>
        <w:numPr>
          <w:ilvl w:val="1"/>
          <w:numId w:val="199"/>
        </w:numPr>
        <w:rPr>
          <w:rFonts w:ascii="Arial" w:cs="Arial" w:eastAsia="Arial" w:hAnsi="Arial"/>
          <w:sz w:val="13"/>
          <w:szCs w:val="13"/>
          <w:color w:val="105EAB"/>
        </w:rPr>
      </w:pPr>
      <w:r>
        <w:rPr>
          <w:rFonts w:ascii="Arial" w:cs="Arial" w:eastAsia="Arial" w:hAnsi="Arial"/>
          <w:sz w:val="13"/>
          <w:szCs w:val="13"/>
          <w:color w:val="auto"/>
        </w:rPr>
        <w:t>Retirement at the normal retirement age as defined in the plans (age 65).</w:t>
      </w:r>
    </w:p>
    <w:p>
      <w:pPr>
        <w:ind w:left="540" w:hanging="213"/>
        <w:spacing w:after="0"/>
        <w:tabs>
          <w:tab w:leader="none" w:pos="540" w:val="left"/>
        </w:tabs>
        <w:numPr>
          <w:ilvl w:val="1"/>
          <w:numId w:val="199"/>
        </w:numPr>
        <w:rPr>
          <w:rFonts w:ascii="Arial" w:cs="Arial" w:eastAsia="Arial" w:hAnsi="Arial"/>
          <w:sz w:val="13"/>
          <w:szCs w:val="13"/>
          <w:color w:val="105EAB"/>
        </w:rPr>
      </w:pPr>
      <w:r>
        <w:rPr>
          <w:rFonts w:ascii="Arial" w:cs="Arial" w:eastAsia="Arial" w:hAnsi="Arial"/>
          <w:sz w:val="13"/>
          <w:szCs w:val="13"/>
          <w:color w:val="auto"/>
        </w:rPr>
        <w:t>Discount rate of 4.35%.</w:t>
      </w:r>
    </w:p>
    <w:p>
      <w:pPr>
        <w:spacing w:after="0" w:line="146" w:lineRule="exact"/>
        <w:rPr>
          <w:sz w:val="20"/>
          <w:szCs w:val="20"/>
          <w:color w:val="auto"/>
        </w:rPr>
      </w:pPr>
    </w:p>
    <w:p>
      <w:pPr>
        <w:ind w:left="540" w:hanging="213"/>
        <w:spacing w:after="0"/>
        <w:tabs>
          <w:tab w:leader="none" w:pos="540" w:val="left"/>
        </w:tabs>
        <w:numPr>
          <w:ilvl w:val="0"/>
          <w:numId w:val="200"/>
        </w:numPr>
        <w:rPr>
          <w:rFonts w:ascii="Arial" w:cs="Arial" w:eastAsia="Arial" w:hAnsi="Arial"/>
          <w:sz w:val="13"/>
          <w:szCs w:val="13"/>
          <w:color w:val="105EAB"/>
        </w:rPr>
      </w:pPr>
      <w:r>
        <w:rPr>
          <w:rFonts w:ascii="Arial" w:cs="Arial" w:eastAsia="Arial" w:hAnsi="Arial"/>
          <w:sz w:val="13"/>
          <w:szCs w:val="13"/>
          <w:color w:val="auto"/>
        </w:rPr>
        <w:t>80% paid as a lump sum and 20% paid as an annuity; for the cash balance formula, 100% paid as a lump sum.</w:t>
      </w:r>
    </w:p>
    <w:p>
      <w:pPr>
        <w:ind w:left="540" w:hanging="213"/>
        <w:spacing w:after="0" w:line="238" w:lineRule="auto"/>
        <w:tabs>
          <w:tab w:leader="none" w:pos="540" w:val="left"/>
        </w:tabs>
        <w:numPr>
          <w:ilvl w:val="0"/>
          <w:numId w:val="200"/>
        </w:numPr>
        <w:rPr>
          <w:rFonts w:ascii="Arial" w:cs="Arial" w:eastAsia="Arial" w:hAnsi="Arial"/>
          <w:sz w:val="13"/>
          <w:szCs w:val="13"/>
          <w:color w:val="105EAB"/>
        </w:rPr>
      </w:pPr>
      <w:r>
        <w:rPr>
          <w:rFonts w:ascii="Arial" w:cs="Arial" w:eastAsia="Arial" w:hAnsi="Arial"/>
          <w:sz w:val="13"/>
          <w:szCs w:val="13"/>
          <w:color w:val="auto"/>
        </w:rPr>
        <w:t>ARP lump-sum/annuity conversion segmented interest rates of 2.00% for the first five years, 4.50% for the next 15 years, and 5.25% for all years after 20.</w:t>
      </w:r>
    </w:p>
    <w:p>
      <w:pPr>
        <w:ind w:left="540" w:hanging="213"/>
        <w:spacing w:after="0" w:line="238" w:lineRule="auto"/>
        <w:tabs>
          <w:tab w:leader="none" w:pos="540" w:val="left"/>
        </w:tabs>
        <w:numPr>
          <w:ilvl w:val="0"/>
          <w:numId w:val="200"/>
        </w:numPr>
        <w:rPr>
          <w:rFonts w:ascii="Arial" w:cs="Arial" w:eastAsia="Arial" w:hAnsi="Arial"/>
          <w:sz w:val="13"/>
          <w:szCs w:val="13"/>
          <w:color w:val="105EAB"/>
        </w:rPr>
      </w:pPr>
      <w:r>
        <w:rPr>
          <w:rFonts w:ascii="Arial" w:cs="Arial" w:eastAsia="Arial" w:hAnsi="Arial"/>
          <w:sz w:val="13"/>
          <w:szCs w:val="13"/>
          <w:color w:val="auto"/>
        </w:rPr>
        <w:t>SRIP lump-sum conversion segmented interest rates of 1.75% for the first five years, 4.25% for the next 15 years, and 5.25% for all years after 20.</w:t>
      </w:r>
    </w:p>
    <w:p>
      <w:pPr>
        <w:ind w:left="540" w:hanging="213"/>
        <w:spacing w:after="0" w:line="238" w:lineRule="auto"/>
        <w:tabs>
          <w:tab w:leader="none" w:pos="540" w:val="left"/>
        </w:tabs>
        <w:numPr>
          <w:ilvl w:val="0"/>
          <w:numId w:val="200"/>
        </w:numPr>
        <w:rPr>
          <w:rFonts w:ascii="Arial" w:cs="Arial" w:eastAsia="Arial" w:hAnsi="Arial"/>
          <w:sz w:val="13"/>
          <w:szCs w:val="13"/>
          <w:color w:val="105EAB"/>
        </w:rPr>
      </w:pPr>
      <w:r>
        <w:rPr>
          <w:rFonts w:ascii="Arial" w:cs="Arial" w:eastAsia="Arial" w:hAnsi="Arial"/>
          <w:sz w:val="13"/>
          <w:szCs w:val="13"/>
          <w:color w:val="auto"/>
        </w:rPr>
        <w:t>Lump-sum calculations were done using the Internal Revenue Code Section 417(e)(3) mortality table projected with the MP-2018 projection table.</w:t>
      </w:r>
    </w:p>
    <w:p>
      <w:pPr>
        <w:ind w:left="540" w:hanging="213"/>
        <w:spacing w:after="0"/>
        <w:tabs>
          <w:tab w:leader="none" w:pos="540" w:val="left"/>
        </w:tabs>
        <w:numPr>
          <w:ilvl w:val="0"/>
          <w:numId w:val="200"/>
        </w:numPr>
        <w:rPr>
          <w:rFonts w:ascii="Arial" w:cs="Arial" w:eastAsia="Arial" w:hAnsi="Arial"/>
          <w:sz w:val="13"/>
          <w:szCs w:val="13"/>
          <w:color w:val="105EAB"/>
        </w:rPr>
      </w:pPr>
      <w:r>
        <w:rPr>
          <w:rFonts w:ascii="Arial" w:cs="Arial" w:eastAsia="Arial" w:hAnsi="Arial"/>
          <w:sz w:val="13"/>
          <w:szCs w:val="13"/>
          <w:color w:val="auto"/>
        </w:rPr>
        <w:t>Annuity calculations were done using the RP-2014 white-collar mortality table for annuitants projected with the MP-2018 projection table.</w:t>
      </w:r>
    </w:p>
    <w:p>
      <w:pPr>
        <w:spacing w:after="0" w:line="147" w:lineRule="exact"/>
        <w:rPr>
          <w:sz w:val="20"/>
          <w:szCs w:val="20"/>
          <w:color w:val="auto"/>
        </w:rPr>
      </w:pPr>
    </w:p>
    <w:p>
      <w:pPr>
        <w:ind w:left="300" w:right="5580" w:firstLine="27"/>
        <w:spacing w:after="0" w:line="238" w:lineRule="auto"/>
        <w:tabs>
          <w:tab w:leader="none" w:pos="547" w:val="left"/>
        </w:tabs>
        <w:numPr>
          <w:ilvl w:val="1"/>
          <w:numId w:val="201"/>
        </w:numPr>
        <w:rPr>
          <w:rFonts w:ascii="Arial" w:cs="Arial" w:eastAsia="Arial" w:hAnsi="Arial"/>
          <w:sz w:val="13"/>
          <w:szCs w:val="13"/>
          <w:color w:val="105EAB"/>
        </w:rPr>
      </w:pPr>
      <w:r>
        <w:rPr>
          <w:rFonts w:ascii="Arial" w:cs="Arial" w:eastAsia="Arial" w:hAnsi="Arial"/>
          <w:sz w:val="13"/>
          <w:szCs w:val="13"/>
          <w:color w:val="auto"/>
        </w:rPr>
        <w:t>Accounts were projected to retirement using an assumed interest crediting rate of 3.75%. See note 17 to our audited financial statements for 2018 for additional information.</w:t>
      </w:r>
    </w:p>
    <w:p>
      <w:pPr>
        <w:ind w:left="300" w:right="400" w:hanging="292"/>
        <w:spacing w:after="0" w:line="258" w:lineRule="auto"/>
        <w:tabs>
          <w:tab w:leader="none" w:pos="300" w:val="left"/>
        </w:tabs>
        <w:numPr>
          <w:ilvl w:val="0"/>
          <w:numId w:val="201"/>
        </w:numPr>
        <w:rPr>
          <w:rFonts w:ascii="Arial" w:cs="Arial" w:eastAsia="Arial" w:hAnsi="Arial"/>
          <w:sz w:val="11"/>
          <w:szCs w:val="11"/>
          <w:color w:val="auto"/>
        </w:rPr>
      </w:pPr>
      <w:r>
        <w:rPr>
          <w:rFonts w:ascii="Arial" w:cs="Arial" w:eastAsia="Arial" w:hAnsi="Arial"/>
          <w:sz w:val="13"/>
          <w:szCs w:val="13"/>
          <w:color w:val="auto"/>
        </w:rPr>
        <w:t>The following table shows the lump-sum present value of the non-qualified pension benefits for each named executive earned through December 31, 2018, if the named executive’s employment terminated on that date.</w:t>
      </w:r>
    </w:p>
    <w:p>
      <w:pPr>
        <w:spacing w:after="0" w:line="66" w:lineRule="exact"/>
        <w:rPr>
          <w:sz w:val="20"/>
          <w:szCs w:val="20"/>
          <w:color w:val="auto"/>
        </w:rPr>
      </w:pPr>
    </w:p>
    <w:tbl>
      <w:tblPr>
        <w:tblLayout w:type="fixed"/>
        <w:tblInd w:w="280" w:type="dxa"/>
        <w:tblCellMar>
          <w:top w:w="0" w:type="dxa"/>
          <w:left w:w="0" w:type="dxa"/>
          <w:bottom w:w="0" w:type="dxa"/>
          <w:right w:w="0" w:type="dxa"/>
        </w:tblCellMar>
      </w:tblPr>
      <w:tr>
        <w:trPr>
          <w:trHeight w:val="149"/>
        </w:trPr>
        <w:tc>
          <w:tcPr>
            <w:tcW w:w="518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900" w:type="dxa"/>
            <w:vAlign w:val="bottom"/>
          </w:tcPr>
          <w:p>
            <w:pPr>
              <w:jc w:val="right"/>
              <w:ind w:right="13"/>
              <w:spacing w:after="0"/>
              <w:rPr>
                <w:sz w:val="20"/>
                <w:szCs w:val="20"/>
                <w:color w:val="auto"/>
              </w:rPr>
            </w:pPr>
            <w:r>
              <w:rPr>
                <w:rFonts w:ascii="Arial" w:cs="Arial" w:eastAsia="Arial" w:hAnsi="Arial"/>
                <w:sz w:val="13"/>
                <w:szCs w:val="13"/>
                <w:b w:val="1"/>
                <w:bCs w:val="1"/>
                <w:color w:val="105EAB"/>
              </w:rPr>
              <w:t>Lump Sum</w:t>
            </w:r>
          </w:p>
        </w:tc>
      </w:tr>
      <w:tr>
        <w:trPr>
          <w:trHeight w:val="148"/>
        </w:trPr>
        <w:tc>
          <w:tcPr>
            <w:tcW w:w="518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900" w:type="dxa"/>
            <w:vAlign w:val="bottom"/>
          </w:tcPr>
          <w:p>
            <w:pPr>
              <w:jc w:val="right"/>
              <w:ind w:right="13"/>
              <w:spacing w:after="0" w:line="149" w:lineRule="exact"/>
              <w:rPr>
                <w:sz w:val="20"/>
                <w:szCs w:val="20"/>
                <w:color w:val="auto"/>
              </w:rPr>
            </w:pPr>
            <w:r>
              <w:rPr>
                <w:rFonts w:ascii="Arial" w:cs="Arial" w:eastAsia="Arial" w:hAnsi="Arial"/>
                <w:sz w:val="13"/>
                <w:szCs w:val="13"/>
                <w:b w:val="1"/>
                <w:bCs w:val="1"/>
                <w:color w:val="105EAB"/>
              </w:rPr>
              <w:t>Amount</w:t>
            </w:r>
          </w:p>
        </w:tc>
      </w:tr>
      <w:tr>
        <w:trPr>
          <w:trHeight w:val="199"/>
        </w:trPr>
        <w:tc>
          <w:tcPr>
            <w:tcW w:w="5180" w:type="dxa"/>
            <w:vAlign w:val="bottom"/>
            <w:tcBorders>
              <w:bottom w:val="single" w:sz="8" w:color="105FAB"/>
            </w:tcBorders>
          </w:tcPr>
          <w:p>
            <w:pPr>
              <w:ind w:left="60"/>
              <w:spacing w:after="0"/>
              <w:rPr>
                <w:sz w:val="20"/>
                <w:szCs w:val="20"/>
                <w:color w:val="auto"/>
              </w:rPr>
            </w:pPr>
            <w:r>
              <w:rPr>
                <w:rFonts w:ascii="Arial" w:cs="Arial" w:eastAsia="Arial" w:hAnsi="Arial"/>
                <w:sz w:val="13"/>
                <w:szCs w:val="13"/>
                <w:b w:val="1"/>
                <w:bCs w:val="1"/>
                <w:color w:val="105EAB"/>
              </w:rPr>
              <w:t>Name</w:t>
            </w:r>
          </w:p>
        </w:tc>
        <w:tc>
          <w:tcPr>
            <w:tcW w:w="5060" w:type="dxa"/>
            <w:vAlign w:val="bottom"/>
            <w:tcBorders>
              <w:bottom w:val="single" w:sz="8" w:color="105FAB"/>
            </w:tcBorders>
          </w:tcPr>
          <w:p>
            <w:pPr>
              <w:jc w:val="right"/>
              <w:ind w:right="73"/>
              <w:spacing w:after="0"/>
              <w:rPr>
                <w:sz w:val="20"/>
                <w:szCs w:val="20"/>
                <w:color w:val="auto"/>
              </w:rPr>
            </w:pPr>
            <w:r>
              <w:rPr>
                <w:rFonts w:ascii="Arial" w:cs="Arial" w:eastAsia="Arial" w:hAnsi="Arial"/>
                <w:sz w:val="13"/>
                <w:szCs w:val="13"/>
                <w:b w:val="1"/>
                <w:bCs w:val="1"/>
                <w:color w:val="105EAB"/>
              </w:rPr>
              <w:t>Plan Name</w:t>
            </w:r>
          </w:p>
        </w:tc>
        <w:tc>
          <w:tcPr>
            <w:tcW w:w="900" w:type="dxa"/>
            <w:vAlign w:val="bottom"/>
            <w:tcBorders>
              <w:bottom w:val="single" w:sz="8" w:color="105FAB"/>
            </w:tcBorders>
          </w:tcPr>
          <w:p>
            <w:pPr>
              <w:jc w:val="right"/>
              <w:ind w:right="13"/>
              <w:spacing w:after="0"/>
              <w:rPr>
                <w:sz w:val="20"/>
                <w:szCs w:val="20"/>
                <w:color w:val="auto"/>
              </w:rPr>
            </w:pPr>
            <w:r>
              <w:rPr>
                <w:rFonts w:ascii="Arial" w:cs="Arial" w:eastAsia="Arial" w:hAnsi="Arial"/>
                <w:sz w:val="13"/>
                <w:szCs w:val="13"/>
                <w:b w:val="1"/>
                <w:bCs w:val="1"/>
                <w:color w:val="105EAB"/>
              </w:rPr>
              <w:t>($)</w:t>
            </w:r>
          </w:p>
        </w:tc>
      </w:tr>
      <w:tr>
        <w:trPr>
          <w:trHeight w:val="202"/>
        </w:trPr>
        <w:tc>
          <w:tcPr>
            <w:tcW w:w="5180" w:type="dxa"/>
            <w:vAlign w:val="bottom"/>
          </w:tcPr>
          <w:p>
            <w:pPr>
              <w:ind w:left="60"/>
              <w:spacing w:after="0"/>
              <w:rPr>
                <w:sz w:val="20"/>
                <w:szCs w:val="20"/>
                <w:color w:val="auto"/>
              </w:rPr>
            </w:pPr>
            <w:r>
              <w:rPr>
                <w:rFonts w:ascii="Arial" w:cs="Arial" w:eastAsia="Arial" w:hAnsi="Arial"/>
                <w:sz w:val="13"/>
                <w:szCs w:val="13"/>
                <w:b w:val="1"/>
                <w:bCs w:val="1"/>
                <w:color w:val="105EAB"/>
              </w:rPr>
              <w:t>Mr. Wilson</w:t>
            </w:r>
          </w:p>
        </w:tc>
        <w:tc>
          <w:tcPr>
            <w:tcW w:w="5060" w:type="dxa"/>
            <w:vAlign w:val="bottom"/>
          </w:tcPr>
          <w:p>
            <w:pPr>
              <w:jc w:val="right"/>
              <w:ind w:right="73"/>
              <w:spacing w:after="0"/>
              <w:rPr>
                <w:sz w:val="20"/>
                <w:szCs w:val="20"/>
                <w:color w:val="auto"/>
              </w:rPr>
            </w:pPr>
            <w:r>
              <w:rPr>
                <w:rFonts w:ascii="Arial" w:cs="Arial" w:eastAsia="Arial" w:hAnsi="Arial"/>
                <w:sz w:val="13"/>
                <w:szCs w:val="13"/>
                <w:color w:val="auto"/>
              </w:rPr>
              <w:t>SRIP</w:t>
            </w:r>
          </w:p>
        </w:tc>
        <w:tc>
          <w:tcPr>
            <w:tcW w:w="900" w:type="dxa"/>
            <w:vAlign w:val="bottom"/>
          </w:tcPr>
          <w:p>
            <w:pPr>
              <w:jc w:val="right"/>
              <w:ind w:right="13"/>
              <w:spacing w:after="0"/>
              <w:rPr>
                <w:sz w:val="20"/>
                <w:szCs w:val="20"/>
                <w:color w:val="auto"/>
              </w:rPr>
            </w:pPr>
            <w:r>
              <w:rPr>
                <w:rFonts w:ascii="Arial" w:cs="Arial" w:eastAsia="Arial" w:hAnsi="Arial"/>
                <w:sz w:val="13"/>
                <w:szCs w:val="13"/>
                <w:color w:val="auto"/>
              </w:rPr>
              <w:t>17,303,244</w:t>
            </w:r>
          </w:p>
        </w:tc>
      </w:tr>
      <w:tr>
        <w:trPr>
          <w:trHeight w:val="41"/>
        </w:trPr>
        <w:tc>
          <w:tcPr>
            <w:tcW w:w="5180" w:type="dxa"/>
            <w:vAlign w:val="bottom"/>
            <w:tcBorders>
              <w:bottom w:val="single" w:sz="8" w:color="E9F1FB"/>
            </w:tcBorders>
          </w:tcPr>
          <w:p>
            <w:pPr>
              <w:spacing w:after="0"/>
              <w:rPr>
                <w:sz w:val="3"/>
                <w:szCs w:val="3"/>
                <w:color w:val="auto"/>
              </w:rPr>
            </w:pPr>
          </w:p>
        </w:tc>
        <w:tc>
          <w:tcPr>
            <w:tcW w:w="5060" w:type="dxa"/>
            <w:vAlign w:val="bottom"/>
            <w:tcBorders>
              <w:bottom w:val="single" w:sz="8" w:color="E9F1FB"/>
            </w:tcBorders>
          </w:tcPr>
          <w:p>
            <w:pPr>
              <w:spacing w:after="0"/>
              <w:rPr>
                <w:sz w:val="3"/>
                <w:szCs w:val="3"/>
                <w:color w:val="auto"/>
              </w:rPr>
            </w:pPr>
          </w:p>
        </w:tc>
        <w:tc>
          <w:tcPr>
            <w:tcW w:w="900" w:type="dxa"/>
            <w:vAlign w:val="bottom"/>
            <w:tcBorders>
              <w:bottom w:val="single" w:sz="8" w:color="E9F1FB"/>
            </w:tcBorders>
          </w:tcPr>
          <w:p>
            <w:pPr>
              <w:spacing w:after="0"/>
              <w:rPr>
                <w:sz w:val="3"/>
                <w:szCs w:val="3"/>
                <w:color w:val="auto"/>
              </w:rPr>
            </w:pPr>
          </w:p>
        </w:tc>
      </w:tr>
      <w:tr>
        <w:trPr>
          <w:trHeight w:val="195"/>
        </w:trPr>
        <w:tc>
          <w:tcPr>
            <w:tcW w:w="5180" w:type="dxa"/>
            <w:vAlign w:val="bottom"/>
          </w:tcPr>
          <w:p>
            <w:pPr>
              <w:ind w:left="60"/>
              <w:spacing w:after="0"/>
              <w:rPr>
                <w:sz w:val="20"/>
                <w:szCs w:val="20"/>
                <w:color w:val="auto"/>
              </w:rPr>
            </w:pPr>
            <w:r>
              <w:rPr>
                <w:rFonts w:ascii="Arial" w:cs="Arial" w:eastAsia="Arial" w:hAnsi="Arial"/>
                <w:sz w:val="13"/>
                <w:szCs w:val="13"/>
                <w:b w:val="1"/>
                <w:bCs w:val="1"/>
                <w:color w:val="105EAB"/>
              </w:rPr>
              <w:t>Mr. Rizzo</w:t>
            </w:r>
          </w:p>
        </w:tc>
        <w:tc>
          <w:tcPr>
            <w:tcW w:w="5060" w:type="dxa"/>
            <w:vAlign w:val="bottom"/>
          </w:tcPr>
          <w:p>
            <w:pPr>
              <w:jc w:val="right"/>
              <w:ind w:right="73"/>
              <w:spacing w:after="0"/>
              <w:rPr>
                <w:sz w:val="20"/>
                <w:szCs w:val="20"/>
                <w:color w:val="auto"/>
              </w:rPr>
            </w:pPr>
            <w:r>
              <w:rPr>
                <w:rFonts w:ascii="Arial" w:cs="Arial" w:eastAsia="Arial" w:hAnsi="Arial"/>
                <w:sz w:val="13"/>
                <w:szCs w:val="13"/>
                <w:color w:val="auto"/>
              </w:rPr>
              <w:t>SRIP</w:t>
            </w:r>
          </w:p>
        </w:tc>
        <w:tc>
          <w:tcPr>
            <w:tcW w:w="900" w:type="dxa"/>
            <w:vAlign w:val="bottom"/>
          </w:tcPr>
          <w:p>
            <w:pPr>
              <w:jc w:val="right"/>
              <w:ind w:right="13"/>
              <w:spacing w:after="0"/>
              <w:rPr>
                <w:sz w:val="20"/>
                <w:szCs w:val="20"/>
                <w:color w:val="auto"/>
              </w:rPr>
            </w:pPr>
            <w:r>
              <w:rPr>
                <w:rFonts w:ascii="Arial" w:cs="Arial" w:eastAsia="Arial" w:hAnsi="Arial"/>
                <w:sz w:val="13"/>
                <w:szCs w:val="13"/>
                <w:color w:val="auto"/>
              </w:rPr>
              <w:t>1,948,157</w:t>
            </w:r>
          </w:p>
        </w:tc>
      </w:tr>
      <w:tr>
        <w:trPr>
          <w:trHeight w:val="41"/>
        </w:trPr>
        <w:tc>
          <w:tcPr>
            <w:tcW w:w="5180" w:type="dxa"/>
            <w:vAlign w:val="bottom"/>
            <w:tcBorders>
              <w:bottom w:val="single" w:sz="8" w:color="E9F1FB"/>
            </w:tcBorders>
          </w:tcPr>
          <w:p>
            <w:pPr>
              <w:spacing w:after="0"/>
              <w:rPr>
                <w:sz w:val="3"/>
                <w:szCs w:val="3"/>
                <w:color w:val="auto"/>
              </w:rPr>
            </w:pPr>
          </w:p>
        </w:tc>
        <w:tc>
          <w:tcPr>
            <w:tcW w:w="5060" w:type="dxa"/>
            <w:vAlign w:val="bottom"/>
            <w:tcBorders>
              <w:bottom w:val="single" w:sz="8" w:color="E9F1FB"/>
            </w:tcBorders>
          </w:tcPr>
          <w:p>
            <w:pPr>
              <w:spacing w:after="0"/>
              <w:rPr>
                <w:sz w:val="3"/>
                <w:szCs w:val="3"/>
                <w:color w:val="auto"/>
              </w:rPr>
            </w:pPr>
          </w:p>
        </w:tc>
        <w:tc>
          <w:tcPr>
            <w:tcW w:w="900" w:type="dxa"/>
            <w:vAlign w:val="bottom"/>
            <w:tcBorders>
              <w:bottom w:val="single" w:sz="8" w:color="E9F1FB"/>
            </w:tcBorders>
          </w:tcPr>
          <w:p>
            <w:pPr>
              <w:spacing w:after="0"/>
              <w:rPr>
                <w:sz w:val="3"/>
                <w:szCs w:val="3"/>
                <w:color w:val="auto"/>
              </w:rPr>
            </w:pPr>
          </w:p>
        </w:tc>
      </w:tr>
      <w:tr>
        <w:trPr>
          <w:trHeight w:val="195"/>
        </w:trPr>
        <w:tc>
          <w:tcPr>
            <w:tcW w:w="5180" w:type="dxa"/>
            <w:vAlign w:val="bottom"/>
          </w:tcPr>
          <w:p>
            <w:pPr>
              <w:ind w:left="60"/>
              <w:spacing w:after="0"/>
              <w:rPr>
                <w:sz w:val="20"/>
                <w:szCs w:val="20"/>
                <w:color w:val="auto"/>
              </w:rPr>
            </w:pPr>
            <w:r>
              <w:rPr>
                <w:rFonts w:ascii="Arial" w:cs="Arial" w:eastAsia="Arial" w:hAnsi="Arial"/>
                <w:sz w:val="13"/>
                <w:szCs w:val="13"/>
                <w:b w:val="1"/>
                <w:bCs w:val="1"/>
                <w:color w:val="105EAB"/>
              </w:rPr>
              <w:t>Mr. Dugenske</w:t>
            </w:r>
          </w:p>
        </w:tc>
        <w:tc>
          <w:tcPr>
            <w:tcW w:w="5060" w:type="dxa"/>
            <w:vAlign w:val="bottom"/>
          </w:tcPr>
          <w:p>
            <w:pPr>
              <w:jc w:val="right"/>
              <w:ind w:right="73"/>
              <w:spacing w:after="0"/>
              <w:rPr>
                <w:sz w:val="20"/>
                <w:szCs w:val="20"/>
                <w:color w:val="auto"/>
              </w:rPr>
            </w:pPr>
            <w:r>
              <w:rPr>
                <w:rFonts w:ascii="Arial" w:cs="Arial" w:eastAsia="Arial" w:hAnsi="Arial"/>
                <w:sz w:val="13"/>
                <w:szCs w:val="13"/>
                <w:color w:val="auto"/>
              </w:rPr>
              <w:t>SRIP</w:t>
            </w:r>
          </w:p>
        </w:tc>
        <w:tc>
          <w:tcPr>
            <w:tcW w:w="900" w:type="dxa"/>
            <w:vAlign w:val="bottom"/>
          </w:tcPr>
          <w:p>
            <w:pPr>
              <w:jc w:val="right"/>
              <w:ind w:right="13"/>
              <w:spacing w:after="0"/>
              <w:rPr>
                <w:sz w:val="20"/>
                <w:szCs w:val="20"/>
                <w:color w:val="auto"/>
              </w:rPr>
            </w:pPr>
            <w:r>
              <w:rPr>
                <w:rFonts w:ascii="Arial" w:cs="Arial" w:eastAsia="Arial" w:hAnsi="Arial"/>
                <w:sz w:val="13"/>
                <w:szCs w:val="13"/>
                <w:color w:val="auto"/>
              </w:rPr>
              <w:t>74,571</w:t>
            </w:r>
          </w:p>
        </w:tc>
      </w:tr>
      <w:tr>
        <w:trPr>
          <w:trHeight w:val="41"/>
        </w:trPr>
        <w:tc>
          <w:tcPr>
            <w:tcW w:w="5180" w:type="dxa"/>
            <w:vAlign w:val="bottom"/>
            <w:tcBorders>
              <w:bottom w:val="single" w:sz="8" w:color="E9F1FB"/>
            </w:tcBorders>
          </w:tcPr>
          <w:p>
            <w:pPr>
              <w:spacing w:after="0"/>
              <w:rPr>
                <w:sz w:val="3"/>
                <w:szCs w:val="3"/>
                <w:color w:val="auto"/>
              </w:rPr>
            </w:pPr>
          </w:p>
        </w:tc>
        <w:tc>
          <w:tcPr>
            <w:tcW w:w="5060" w:type="dxa"/>
            <w:vAlign w:val="bottom"/>
            <w:tcBorders>
              <w:bottom w:val="single" w:sz="8" w:color="E9F1FB"/>
            </w:tcBorders>
          </w:tcPr>
          <w:p>
            <w:pPr>
              <w:spacing w:after="0"/>
              <w:rPr>
                <w:sz w:val="3"/>
                <w:szCs w:val="3"/>
                <w:color w:val="auto"/>
              </w:rPr>
            </w:pPr>
          </w:p>
        </w:tc>
        <w:tc>
          <w:tcPr>
            <w:tcW w:w="900" w:type="dxa"/>
            <w:vAlign w:val="bottom"/>
            <w:tcBorders>
              <w:bottom w:val="single" w:sz="8" w:color="E9F1FB"/>
            </w:tcBorders>
          </w:tcPr>
          <w:p>
            <w:pPr>
              <w:spacing w:after="0"/>
              <w:rPr>
                <w:sz w:val="3"/>
                <w:szCs w:val="3"/>
                <w:color w:val="auto"/>
              </w:rPr>
            </w:pPr>
          </w:p>
        </w:tc>
      </w:tr>
      <w:tr>
        <w:trPr>
          <w:trHeight w:val="195"/>
        </w:trPr>
        <w:tc>
          <w:tcPr>
            <w:tcW w:w="5180" w:type="dxa"/>
            <w:vAlign w:val="bottom"/>
          </w:tcPr>
          <w:p>
            <w:pPr>
              <w:ind w:left="60"/>
              <w:spacing w:after="0"/>
              <w:rPr>
                <w:sz w:val="20"/>
                <w:szCs w:val="20"/>
                <w:color w:val="auto"/>
              </w:rPr>
            </w:pPr>
            <w:r>
              <w:rPr>
                <w:rFonts w:ascii="Arial" w:cs="Arial" w:eastAsia="Arial" w:hAnsi="Arial"/>
                <w:sz w:val="13"/>
                <w:szCs w:val="13"/>
                <w:b w:val="1"/>
                <w:bCs w:val="1"/>
                <w:color w:val="105EAB"/>
              </w:rPr>
              <w:t>Mr. Shapiro</w:t>
            </w:r>
          </w:p>
        </w:tc>
        <w:tc>
          <w:tcPr>
            <w:tcW w:w="5060" w:type="dxa"/>
            <w:vAlign w:val="bottom"/>
          </w:tcPr>
          <w:p>
            <w:pPr>
              <w:jc w:val="right"/>
              <w:ind w:right="73"/>
              <w:spacing w:after="0"/>
              <w:rPr>
                <w:sz w:val="20"/>
                <w:szCs w:val="20"/>
                <w:color w:val="auto"/>
              </w:rPr>
            </w:pPr>
            <w:r>
              <w:rPr>
                <w:rFonts w:ascii="Arial" w:cs="Arial" w:eastAsia="Arial" w:hAnsi="Arial"/>
                <w:sz w:val="13"/>
                <w:szCs w:val="13"/>
                <w:color w:val="auto"/>
              </w:rPr>
              <w:t>SRIP</w:t>
            </w:r>
          </w:p>
        </w:tc>
        <w:tc>
          <w:tcPr>
            <w:tcW w:w="900" w:type="dxa"/>
            <w:vAlign w:val="bottom"/>
          </w:tcPr>
          <w:p>
            <w:pPr>
              <w:jc w:val="right"/>
              <w:ind w:right="13"/>
              <w:spacing w:after="0"/>
              <w:rPr>
                <w:sz w:val="20"/>
                <w:szCs w:val="20"/>
                <w:color w:val="auto"/>
              </w:rPr>
            </w:pPr>
            <w:r>
              <w:rPr>
                <w:rFonts w:ascii="Arial" w:cs="Arial" w:eastAsia="Arial" w:hAnsi="Arial"/>
                <w:sz w:val="13"/>
                <w:szCs w:val="13"/>
                <w:color w:val="auto"/>
              </w:rPr>
              <w:t>74,342</w:t>
            </w:r>
          </w:p>
        </w:tc>
      </w:tr>
      <w:tr>
        <w:trPr>
          <w:trHeight w:val="41"/>
        </w:trPr>
        <w:tc>
          <w:tcPr>
            <w:tcW w:w="5180" w:type="dxa"/>
            <w:vAlign w:val="bottom"/>
            <w:tcBorders>
              <w:bottom w:val="single" w:sz="8" w:color="E9F1FB"/>
            </w:tcBorders>
          </w:tcPr>
          <w:p>
            <w:pPr>
              <w:spacing w:after="0"/>
              <w:rPr>
                <w:sz w:val="3"/>
                <w:szCs w:val="3"/>
                <w:color w:val="auto"/>
              </w:rPr>
            </w:pPr>
          </w:p>
        </w:tc>
        <w:tc>
          <w:tcPr>
            <w:tcW w:w="5060" w:type="dxa"/>
            <w:vAlign w:val="bottom"/>
            <w:tcBorders>
              <w:bottom w:val="single" w:sz="8" w:color="E9F1FB"/>
            </w:tcBorders>
          </w:tcPr>
          <w:p>
            <w:pPr>
              <w:spacing w:after="0"/>
              <w:rPr>
                <w:sz w:val="3"/>
                <w:szCs w:val="3"/>
                <w:color w:val="auto"/>
              </w:rPr>
            </w:pPr>
          </w:p>
        </w:tc>
        <w:tc>
          <w:tcPr>
            <w:tcW w:w="900" w:type="dxa"/>
            <w:vAlign w:val="bottom"/>
            <w:tcBorders>
              <w:bottom w:val="single" w:sz="8" w:color="E9F1FB"/>
            </w:tcBorders>
          </w:tcPr>
          <w:p>
            <w:pPr>
              <w:spacing w:after="0"/>
              <w:rPr>
                <w:sz w:val="3"/>
                <w:szCs w:val="3"/>
                <w:color w:val="auto"/>
              </w:rPr>
            </w:pPr>
          </w:p>
        </w:tc>
      </w:tr>
      <w:tr>
        <w:trPr>
          <w:trHeight w:val="195"/>
        </w:trPr>
        <w:tc>
          <w:tcPr>
            <w:tcW w:w="5180" w:type="dxa"/>
            <w:vAlign w:val="bottom"/>
          </w:tcPr>
          <w:p>
            <w:pPr>
              <w:ind w:left="60"/>
              <w:spacing w:after="0"/>
              <w:rPr>
                <w:sz w:val="20"/>
                <w:szCs w:val="20"/>
                <w:color w:val="auto"/>
              </w:rPr>
            </w:pPr>
            <w:r>
              <w:rPr>
                <w:rFonts w:ascii="Arial" w:cs="Arial" w:eastAsia="Arial" w:hAnsi="Arial"/>
                <w:sz w:val="13"/>
                <w:szCs w:val="13"/>
                <w:b w:val="1"/>
                <w:bCs w:val="1"/>
                <w:color w:val="105EAB"/>
              </w:rPr>
              <w:t>Mr. Shebik</w:t>
            </w:r>
          </w:p>
        </w:tc>
        <w:tc>
          <w:tcPr>
            <w:tcW w:w="5060" w:type="dxa"/>
            <w:vAlign w:val="bottom"/>
          </w:tcPr>
          <w:p>
            <w:pPr>
              <w:jc w:val="right"/>
              <w:ind w:right="73"/>
              <w:spacing w:after="0"/>
              <w:rPr>
                <w:sz w:val="20"/>
                <w:szCs w:val="20"/>
                <w:color w:val="auto"/>
              </w:rPr>
            </w:pPr>
            <w:r>
              <w:rPr>
                <w:rFonts w:ascii="Arial" w:cs="Arial" w:eastAsia="Arial" w:hAnsi="Arial"/>
                <w:sz w:val="13"/>
                <w:szCs w:val="13"/>
                <w:color w:val="auto"/>
              </w:rPr>
              <w:t>SRIP</w:t>
            </w:r>
          </w:p>
        </w:tc>
        <w:tc>
          <w:tcPr>
            <w:tcW w:w="900" w:type="dxa"/>
            <w:vAlign w:val="bottom"/>
          </w:tcPr>
          <w:p>
            <w:pPr>
              <w:jc w:val="right"/>
              <w:ind w:right="13"/>
              <w:spacing w:after="0"/>
              <w:rPr>
                <w:sz w:val="20"/>
                <w:szCs w:val="20"/>
                <w:color w:val="auto"/>
              </w:rPr>
            </w:pPr>
            <w:r>
              <w:rPr>
                <w:rFonts w:ascii="Arial" w:cs="Arial" w:eastAsia="Arial" w:hAnsi="Arial"/>
                <w:sz w:val="13"/>
                <w:szCs w:val="13"/>
                <w:color w:val="auto"/>
              </w:rPr>
              <w:t>4,473,610</w:t>
            </w:r>
          </w:p>
        </w:tc>
      </w:tr>
      <w:tr>
        <w:trPr>
          <w:trHeight w:val="48"/>
        </w:trPr>
        <w:tc>
          <w:tcPr>
            <w:tcW w:w="5180" w:type="dxa"/>
            <w:vAlign w:val="bottom"/>
            <w:tcBorders>
              <w:bottom w:val="single" w:sz="8" w:color="105FAB"/>
            </w:tcBorders>
          </w:tcPr>
          <w:p>
            <w:pPr>
              <w:spacing w:after="0"/>
              <w:rPr>
                <w:sz w:val="4"/>
                <w:szCs w:val="4"/>
                <w:color w:val="auto"/>
              </w:rPr>
            </w:pPr>
          </w:p>
        </w:tc>
        <w:tc>
          <w:tcPr>
            <w:tcW w:w="5060" w:type="dxa"/>
            <w:vAlign w:val="bottom"/>
            <w:tcBorders>
              <w:bottom w:val="single" w:sz="8" w:color="105FAB"/>
            </w:tcBorders>
          </w:tcPr>
          <w:p>
            <w:pPr>
              <w:spacing w:after="0"/>
              <w:rPr>
                <w:sz w:val="4"/>
                <w:szCs w:val="4"/>
                <w:color w:val="auto"/>
              </w:rPr>
            </w:pPr>
          </w:p>
        </w:tc>
        <w:tc>
          <w:tcPr>
            <w:tcW w:w="900" w:type="dxa"/>
            <w:vAlign w:val="bottom"/>
            <w:tcBorders>
              <w:bottom w:val="single" w:sz="8" w:color="105FAB"/>
            </w:tcBorders>
          </w:tcPr>
          <w:p>
            <w:pPr>
              <w:spacing w:after="0"/>
              <w:rPr>
                <w:sz w:val="4"/>
                <w:szCs w:val="4"/>
                <w:color w:val="auto"/>
              </w:rPr>
            </w:pPr>
          </w:p>
        </w:tc>
      </w:tr>
    </w:tbl>
    <w:p>
      <w:pPr>
        <w:spacing w:after="0" w:line="107" w:lineRule="exact"/>
        <w:rPr>
          <w:sz w:val="20"/>
          <w:szCs w:val="20"/>
          <w:color w:val="auto"/>
        </w:rPr>
      </w:pPr>
    </w:p>
    <w:p>
      <w:pPr>
        <w:jc w:val="both"/>
        <w:ind w:left="300" w:right="60"/>
        <w:spacing w:after="0" w:line="238" w:lineRule="auto"/>
        <w:rPr>
          <w:sz w:val="20"/>
          <w:szCs w:val="20"/>
          <w:color w:val="auto"/>
        </w:rPr>
      </w:pPr>
      <w:r>
        <w:rPr>
          <w:rFonts w:ascii="Arial" w:cs="Arial" w:eastAsia="Arial" w:hAnsi="Arial"/>
          <w:sz w:val="13"/>
          <w:szCs w:val="13"/>
          <w:color w:val="auto"/>
        </w:rPr>
        <w:t>The amount shown is based on the lump-sum methodology used by the Allstate pension plans in 2019. Specifically, the interest rate for 2019 is based on 100% of the average corporate bond segmented yield curve from August of the prior year. As required under the Internal Revenue Code, the mortality table used for 2019 is the 2019 combined static Pension Protection Act funding mortality table with a blend of 50% males and 50% females.</w:t>
      </w:r>
    </w:p>
    <w:p>
      <w:pPr>
        <w:ind w:left="300" w:hanging="292"/>
        <w:spacing w:after="0"/>
        <w:tabs>
          <w:tab w:leader="none" w:pos="300" w:val="left"/>
        </w:tabs>
        <w:numPr>
          <w:ilvl w:val="0"/>
          <w:numId w:val="202"/>
        </w:numPr>
        <w:rPr>
          <w:rFonts w:ascii="Arial" w:cs="Arial" w:eastAsia="Arial" w:hAnsi="Arial"/>
          <w:sz w:val="11"/>
          <w:szCs w:val="11"/>
          <w:color w:val="auto"/>
        </w:rPr>
      </w:pPr>
      <w:r>
        <w:rPr>
          <w:rFonts w:ascii="Arial" w:cs="Arial" w:eastAsia="Arial" w:hAnsi="Arial"/>
          <w:sz w:val="13"/>
          <w:szCs w:val="13"/>
          <w:color w:val="auto"/>
        </w:rPr>
        <w:t>Messrs. Dugenske and Shapiro are not currently vested in the ARP or the SRIP.</w:t>
      </w:r>
    </w:p>
    <w:p>
      <w:pPr>
        <w:spacing w:after="0" w:line="228" w:lineRule="exact"/>
        <w:rPr>
          <w:sz w:val="20"/>
          <w:szCs w:val="20"/>
          <w:color w:val="auto"/>
        </w:rPr>
      </w:pPr>
    </w:p>
    <w:p>
      <w:pPr>
        <w:ind w:left="460" w:hanging="452"/>
        <w:spacing w:after="0"/>
        <w:tabs>
          <w:tab w:leader="none" w:pos="460" w:val="left"/>
        </w:tabs>
        <w:numPr>
          <w:ilvl w:val="0"/>
          <w:numId w:val="203"/>
        </w:numPr>
        <w:rPr>
          <w:rFonts w:ascii="Arial" w:cs="Arial" w:eastAsia="Arial" w:hAnsi="Arial"/>
          <w:sz w:val="13"/>
          <w:szCs w:val="13"/>
          <w:b w:val="1"/>
          <w:bCs w:val="1"/>
          <w:color w:val="105EAB"/>
        </w:rPr>
      </w:pPr>
      <w:r>
        <w:rPr>
          <w:rFonts w:ascii="Arial" w:cs="Arial" w:eastAsia="Arial" w:hAnsi="Arial"/>
          <w:sz w:val="13"/>
          <w:szCs w:val="13"/>
          <w:color w:val="105EAB"/>
        </w:rPr>
        <w:t>www.allstateproxy.com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134620</wp:posOffset>
            </wp:positionV>
            <wp:extent cx="7268210" cy="209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jc w:val="right"/>
        <w:ind w:right="20"/>
        <w:spacing w:after="0"/>
        <w:rPr>
          <w:sz w:val="20"/>
          <w:szCs w:val="20"/>
          <w:color w:val="auto"/>
        </w:rPr>
      </w:pPr>
      <w:r>
        <w:rPr>
          <w:rFonts w:ascii="Arial" w:cs="Arial" w:eastAsia="Arial" w:hAnsi="Arial"/>
          <w:sz w:val="13"/>
          <w:szCs w:val="13"/>
          <w:b w:val="1"/>
          <w:bCs w:val="1"/>
          <w:color w:val="auto"/>
        </w:rPr>
        <w:t xml:space="preserve">Retirement Benefits </w:t>
      </w:r>
      <w:r>
        <w:rPr>
          <w:rFonts w:ascii="Arial" w:cs="Arial" w:eastAsia="Arial" w:hAnsi="Arial"/>
          <w:sz w:val="13"/>
          <w:szCs w:val="13"/>
          <w:b w:val="1"/>
          <w:bCs w:val="1"/>
          <w:color w:val="105EAB"/>
        </w:rPr>
        <w:t>| Executive Compensation</w:t>
      </w:r>
    </w:p>
    <w:p>
      <w:pPr>
        <w:spacing w:after="0" w:line="201" w:lineRule="exact"/>
        <w:rPr>
          <w:sz w:val="20"/>
          <w:szCs w:val="20"/>
          <w:color w:val="auto"/>
        </w:rPr>
      </w:pPr>
    </w:p>
    <w:p>
      <w:pPr>
        <w:spacing w:after="0"/>
        <w:rPr>
          <w:sz w:val="20"/>
          <w:szCs w:val="20"/>
          <w:color w:val="auto"/>
        </w:rPr>
      </w:pPr>
      <w:r>
        <w:rPr>
          <w:rFonts w:ascii="Arial" w:cs="Arial" w:eastAsia="Arial" w:hAnsi="Arial"/>
          <w:sz w:val="25"/>
          <w:szCs w:val="25"/>
          <w:b w:val="1"/>
          <w:bCs w:val="1"/>
          <w:color w:val="105EAB"/>
        </w:rPr>
        <w:t>Allstate Retirement Plan (ARP)</w:t>
      </w:r>
    </w:p>
    <w:p>
      <w:pPr>
        <w:spacing w:after="0" w:line="259" w:lineRule="exact"/>
        <w:rPr>
          <w:sz w:val="20"/>
          <w:szCs w:val="20"/>
          <w:color w:val="auto"/>
        </w:rPr>
      </w:pPr>
    </w:p>
    <w:p>
      <w:pPr>
        <w:ind w:right="200"/>
        <w:spacing w:after="0" w:line="236" w:lineRule="auto"/>
        <w:rPr>
          <w:sz w:val="20"/>
          <w:szCs w:val="20"/>
          <w:color w:val="auto"/>
        </w:rPr>
      </w:pPr>
      <w:r>
        <w:rPr>
          <w:rFonts w:ascii="Arial" w:cs="Arial" w:eastAsia="Arial" w:hAnsi="Arial"/>
          <w:sz w:val="18"/>
          <w:szCs w:val="18"/>
          <w:color w:val="auto"/>
        </w:rPr>
        <w:t>Contributions to the ARP are made entirely by Allstate and are paid into a trust fund from which benefits are paid. Before January 1, 2014, ARP participants earned benefits under one of two formulas (final average pay or cash balance) based on their date of hire or their choice at the time Allstate introduced the cash balance formula. In order to better align our pension benefits with market practices, provide future pension benefits more equitably to Allstate employees, and reduce costs, final average pay benefits were frozen as of December 31, 2013. As of January 1, 2014, all eligible participants earn benefits under a cash balance formula only.</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39B6E9"/>
        </w:rPr>
        <w:t>Final Average Pay Formula — Frozen as of 12/31/13</w:t>
      </w:r>
    </w:p>
    <w:p>
      <w:pPr>
        <w:spacing w:after="0" w:line="232"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Benefits under the final average pay formula were earned and are stated in the form of a straight life annuity payable at the normal retirement age of 65. Messrs. Rizzo, Shebik and Wilson have earned final average pay benefits equal to the sum of a Base Benefit and an Additional Benefit. The Base Benefit equals 1.55% of the participant’s average annual compensation, multiplied by credited service after 1988 through 2013. The Additional Benefit equals 0.65% of the amount of the participant’s average annual compensation that exceeds the participant’s covered compensation, multiplied by credited service after 1988 through 2013. Covered compensation is the average of the maximum annual salary taxable for Social Security over the 35-year period ending the year the participant would reach Social Security retirement age. Messrs. Rizzo, Shebik and Wilson are eligible for a reduced early retirement benefit that would reduce their Base Benefit by 4.8% for each year of early payment before age 65 and their Additional Benefit by 8% for each year of early payment from age 62 to age 65 and 4% for each year of early payment from age 55 to age 62, prorated on a monthly basis based on age at the date payments begin.</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39B6E9"/>
        </w:rPr>
        <w:t>Cash Balance Formula — For All Participants Beginning 1/1/14</w:t>
      </w:r>
    </w:p>
    <w:p>
      <w:pPr>
        <w:spacing w:after="0" w:line="232"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All named executives earned benefits under the cash balance formula in 2018. Under this formula, participants receive pay credits while employed at Allstate, based on a percentage of eligible annual compensation and years of service, plus interest credits. Pay credits are allocated to a hypothetical account in an amount equal to 3% to 5% of eligible annual compensation, depending on years of vesting service. Interest credits are allocated to the hypothetical account based on the interest crediting rate in effect for that plan year as published by the Internal Revenue Service. The interest crediting rate is set annually and is currently based on the average yield for 30-year U.S. Treasury securities for August of the prior year.</w:t>
      </w:r>
    </w:p>
    <w:p>
      <w:pPr>
        <w:spacing w:after="0" w:line="175" w:lineRule="exact"/>
        <w:rPr>
          <w:sz w:val="20"/>
          <w:szCs w:val="20"/>
          <w:color w:val="auto"/>
        </w:rPr>
      </w:pPr>
    </w:p>
    <w:p>
      <w:pPr>
        <w:spacing w:after="0"/>
        <w:rPr>
          <w:sz w:val="20"/>
          <w:szCs w:val="20"/>
          <w:color w:val="auto"/>
        </w:rPr>
      </w:pPr>
      <w:r>
        <w:rPr>
          <w:rFonts w:ascii="Arial" w:cs="Arial" w:eastAsia="Arial" w:hAnsi="Arial"/>
          <w:sz w:val="25"/>
          <w:szCs w:val="25"/>
          <w:b w:val="1"/>
          <w:bCs w:val="1"/>
          <w:color w:val="105EAB"/>
        </w:rPr>
        <w:t>Supplemental Retirement Income Plan (SRIP)</w:t>
      </w:r>
    </w:p>
    <w:p>
      <w:pPr>
        <w:spacing w:after="0" w:line="259"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SRIP benefits are generally determined using a two-step process: (1) determine the amount that would be payable under the ARP formula(s) specified above if Internal Revenue Code limits did not apply, then (2) reduce the amount described in (1) by the amount actually payable under the applicable ARP formula(s). The normal retirement date under the SRIP is age 65. If eligible for early retirement under the ARP, the employee also is eligible for early retirement under the SRIP. SRIP benefits are not funded and are paid out of Allstate’s general assets.</w:t>
      </w:r>
    </w:p>
    <w:p>
      <w:pPr>
        <w:spacing w:after="0" w:line="174" w:lineRule="exact"/>
        <w:rPr>
          <w:sz w:val="20"/>
          <w:szCs w:val="20"/>
          <w:color w:val="auto"/>
        </w:rPr>
      </w:pPr>
    </w:p>
    <w:p>
      <w:pPr>
        <w:spacing w:after="0"/>
        <w:rPr>
          <w:sz w:val="20"/>
          <w:szCs w:val="20"/>
          <w:color w:val="auto"/>
        </w:rPr>
      </w:pPr>
      <w:r>
        <w:rPr>
          <w:rFonts w:ascii="Arial" w:cs="Arial" w:eastAsia="Arial" w:hAnsi="Arial"/>
          <w:sz w:val="25"/>
          <w:szCs w:val="25"/>
          <w:b w:val="1"/>
          <w:bCs w:val="1"/>
          <w:color w:val="105EAB"/>
        </w:rPr>
        <w:t>Credited Service</w:t>
      </w:r>
    </w:p>
    <w:p>
      <w:pPr>
        <w:spacing w:after="0" w:line="259"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No additional service credit beyond service with Allstate or its predecessors is granted under the ARP or the SRIP to any of the named executives. Messrs. Shebik and Wilson have combined service with Allstate and its former parent company, Sears, Roebuck and Co., of 30.2 and 25.8 years, respectively. As a result, a portion of their retirement benefits will be paid from the Sears pension plan. Consistent with the pension benefits of other employees with Sears service who were employed by Allstate at the time of the spin-off from Sears in 1995, Messrs. Shebik’s and Wilson’s final average pay pension benefits under the ARP and the SRIP are calculated as if each had worked his combined Sears-Allstate career with Allstate through December 31, 2013, and then are reduced by amounts earned under the Sears pension plan.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1120" w:type="dxa"/>
            <w:vAlign w:val="bottom"/>
          </w:tcPr>
          <w:p>
            <w:pPr>
              <w:ind w:left="9640"/>
              <w:spacing w:after="0"/>
              <w:rPr>
                <w:sz w:val="20"/>
                <w:szCs w:val="20"/>
                <w:color w:val="auto"/>
              </w:rPr>
            </w:pPr>
            <w:r>
              <w:rPr>
                <w:rFonts w:ascii="Arial" w:cs="Arial" w:eastAsia="Arial" w:hAnsi="Arial"/>
                <w:sz w:val="13"/>
                <w:szCs w:val="13"/>
                <w:color w:val="105EAB"/>
              </w:rPr>
              <w:t>2019 Proxy Statement</w:t>
            </w:r>
          </w:p>
        </w:tc>
        <w:tc>
          <w:tcPr>
            <w:tcW w:w="320" w:type="dxa"/>
            <w:vAlign w:val="bottom"/>
          </w:tcPr>
          <w:p>
            <w:pPr>
              <w:jc w:val="right"/>
              <w:spacing w:after="0"/>
              <w:rPr>
                <w:sz w:val="20"/>
                <w:szCs w:val="20"/>
                <w:color w:val="auto"/>
              </w:rPr>
            </w:pPr>
            <w:r>
              <w:rPr>
                <w:rFonts w:ascii="Arial" w:cs="Arial" w:eastAsia="Arial" w:hAnsi="Arial"/>
                <w:sz w:val="13"/>
                <w:szCs w:val="13"/>
                <w:b w:val="1"/>
                <w:bCs w:val="1"/>
                <w:color w:val="105EAB"/>
              </w:rPr>
              <w:t>61</w:t>
            </w:r>
          </w:p>
        </w:tc>
      </w:tr>
      <w:tr>
        <w:trPr>
          <w:trHeight w:val="213"/>
        </w:trPr>
        <w:tc>
          <w:tcPr>
            <w:tcW w:w="1112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-13970</wp:posOffset>
            </wp:positionV>
            <wp:extent cx="1270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b w:val="1"/>
          <w:bCs w:val="1"/>
          <w:color w:val="105EAB"/>
        </w:rPr>
        <w:t xml:space="preserve">Executive Compensation | </w:t>
      </w:r>
      <w:r>
        <w:rPr>
          <w:rFonts w:ascii="Arial" w:cs="Arial" w:eastAsia="Arial" w:hAnsi="Arial"/>
          <w:sz w:val="13"/>
          <w:szCs w:val="13"/>
          <w:b w:val="1"/>
          <w:bCs w:val="1"/>
          <w:color w:val="000000"/>
        </w:rPr>
        <w:t>Non-Qualified Deferred Compensation at Fiscal Year-end 2018</w:t>
      </w:r>
    </w:p>
    <w:p>
      <w:pPr>
        <w:spacing w:after="0" w:line="201" w:lineRule="exact"/>
        <w:rPr>
          <w:sz w:val="20"/>
          <w:szCs w:val="20"/>
          <w:color w:val="auto"/>
        </w:rPr>
      </w:pPr>
    </w:p>
    <w:p>
      <w:pPr>
        <w:spacing w:after="0"/>
        <w:rPr>
          <w:sz w:val="20"/>
          <w:szCs w:val="20"/>
          <w:color w:val="auto"/>
        </w:rPr>
      </w:pPr>
      <w:r>
        <w:rPr>
          <w:rFonts w:ascii="Arial" w:cs="Arial" w:eastAsia="Arial" w:hAnsi="Arial"/>
          <w:sz w:val="25"/>
          <w:szCs w:val="25"/>
          <w:b w:val="1"/>
          <w:bCs w:val="1"/>
          <w:color w:val="105EAB"/>
        </w:rPr>
        <w:t>Eligible Compensation</w:t>
      </w:r>
    </w:p>
    <w:p>
      <w:pPr>
        <w:spacing w:after="0" w:line="25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Under both the ARP and SRIP, eligible compensation consists of salary, annual cash incentive awards, and certain other forms of compensation, but does not include long-term cash incentive awards or income related to equity awards. Compensation used to determine benefits under the ARP is limited in accordance with the Internal Revenue Code. For final average pay benefits, average annual compensation is the average compensation of the five highest consecutive calendar years within the last ten consecutive calendar years through 2013.</w:t>
      </w:r>
    </w:p>
    <w:p>
      <w:pPr>
        <w:spacing w:after="0" w:line="174" w:lineRule="exact"/>
        <w:rPr>
          <w:sz w:val="20"/>
          <w:szCs w:val="20"/>
          <w:color w:val="auto"/>
        </w:rPr>
      </w:pPr>
    </w:p>
    <w:p>
      <w:pPr>
        <w:spacing w:after="0"/>
        <w:rPr>
          <w:sz w:val="20"/>
          <w:szCs w:val="20"/>
          <w:color w:val="auto"/>
        </w:rPr>
      </w:pPr>
      <w:r>
        <w:rPr>
          <w:rFonts w:ascii="Arial" w:cs="Arial" w:eastAsia="Arial" w:hAnsi="Arial"/>
          <w:sz w:val="25"/>
          <w:szCs w:val="25"/>
          <w:b w:val="1"/>
          <w:bCs w:val="1"/>
          <w:color w:val="105EAB"/>
        </w:rPr>
        <w:t>Payment Options</w:t>
      </w:r>
    </w:p>
    <w:p>
      <w:pPr>
        <w:spacing w:after="0" w:line="259"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Payment options under the ARP include a lump sum, straight life annuity, and various survivor annuity options. The lump sum under the final average pay benefit is calculated in accordance with the applicable interest rate and mortality assumptions as required under the Internal Revenue Code. The lump-sum payment under the cash balance benefit is generally equal to a participant’s account balance. Payments from the SRIP are paid in the form of a lump sum using the same interest rate and mortality assumptions used under the ARP.</w:t>
      </w:r>
    </w:p>
    <w:p>
      <w:pPr>
        <w:spacing w:after="0" w:line="174" w:lineRule="exact"/>
        <w:rPr>
          <w:sz w:val="20"/>
          <w:szCs w:val="20"/>
          <w:color w:val="auto"/>
        </w:rPr>
      </w:pPr>
    </w:p>
    <w:p>
      <w:pPr>
        <w:spacing w:after="0"/>
        <w:rPr>
          <w:sz w:val="20"/>
          <w:szCs w:val="20"/>
          <w:color w:val="auto"/>
        </w:rPr>
      </w:pPr>
      <w:r>
        <w:rPr>
          <w:rFonts w:ascii="Arial" w:cs="Arial" w:eastAsia="Arial" w:hAnsi="Arial"/>
          <w:sz w:val="25"/>
          <w:szCs w:val="25"/>
          <w:b w:val="1"/>
          <w:bCs w:val="1"/>
          <w:color w:val="105EAB"/>
        </w:rPr>
        <w:t>Timing of Payments</w:t>
      </w:r>
    </w:p>
    <w:p>
      <w:pPr>
        <w:spacing w:after="0" w:line="259"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Eligible employees are vested in the normal ARP and SRIP retirement benefits on the earlier of the completion of three years of service or upon reaching age 65.</w:t>
      </w:r>
    </w:p>
    <w:p>
      <w:pPr>
        <w:spacing w:after="0" w:line="208"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Final average pay benefits are payable at age 65. A participant with final average pay benefits may be entitled to a reduced early retirement benefit on or after age 55 if he or she terminates employment after completing 20 or more years of vesting service.</w:t>
      </w:r>
    </w:p>
    <w:p>
      <w:pPr>
        <w:spacing w:after="0" w:line="208" w:lineRule="exact"/>
        <w:rPr>
          <w:sz w:val="20"/>
          <w:szCs w:val="20"/>
          <w:color w:val="auto"/>
        </w:rPr>
      </w:pPr>
    </w:p>
    <w:p>
      <w:pPr>
        <w:ind w:right="580"/>
        <w:spacing w:after="0" w:line="239" w:lineRule="auto"/>
        <w:rPr>
          <w:sz w:val="20"/>
          <w:szCs w:val="20"/>
          <w:color w:val="auto"/>
        </w:rPr>
      </w:pPr>
      <w:r>
        <w:rPr>
          <w:rFonts w:ascii="Arial" w:cs="Arial" w:eastAsia="Arial" w:hAnsi="Arial"/>
          <w:sz w:val="18"/>
          <w:szCs w:val="18"/>
          <w:color w:val="auto"/>
        </w:rPr>
        <w:t>A participant earning cash balance benefits who terminates employment with at least three years of vesting service is entitled to a lump sum benefit equal to his or her cash balance account balance.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SRIP payment dates assume a retirement or termination date of December 31, 2018:</w:t>
      </w:r>
    </w:p>
    <w:p>
      <w:pPr>
        <w:spacing w:after="0" w:line="207" w:lineRule="exact"/>
        <w:rPr>
          <w:sz w:val="20"/>
          <w:szCs w:val="20"/>
          <w:color w:val="auto"/>
        </w:rPr>
      </w:pPr>
    </w:p>
    <w:p>
      <w:pPr>
        <w:ind w:left="340" w:right="340" w:hanging="332"/>
        <w:spacing w:after="0" w:line="245" w:lineRule="auto"/>
        <w:tabs>
          <w:tab w:leader="none" w:pos="340" w:val="left"/>
        </w:tabs>
        <w:numPr>
          <w:ilvl w:val="0"/>
          <w:numId w:val="204"/>
        </w:numPr>
        <w:rPr>
          <w:rFonts w:ascii="Arial" w:cs="Arial" w:eastAsia="Arial" w:hAnsi="Arial"/>
          <w:sz w:val="17"/>
          <w:szCs w:val="17"/>
          <w:color w:val="105EAB"/>
        </w:rPr>
      </w:pPr>
      <w:r>
        <w:rPr>
          <w:rFonts w:ascii="Arial" w:cs="Arial" w:eastAsia="Arial" w:hAnsi="Arial"/>
          <w:sz w:val="18"/>
          <w:szCs w:val="18"/>
          <w:color w:val="auto"/>
        </w:rPr>
        <w:t>Messrs. Shebik’s and Wilson’s SRIP benefits earned prior to 2005 would become payable as early as January 1, 2019. Benefits earned after 2004 would be paid on July 1, 2019, or following death.</w:t>
      </w:r>
    </w:p>
    <w:p>
      <w:pPr>
        <w:spacing w:after="0" w:line="90" w:lineRule="exact"/>
        <w:rPr>
          <w:rFonts w:ascii="Arial" w:cs="Arial" w:eastAsia="Arial" w:hAnsi="Arial"/>
          <w:sz w:val="17"/>
          <w:szCs w:val="17"/>
          <w:color w:val="105EAB"/>
        </w:rPr>
      </w:pPr>
    </w:p>
    <w:p>
      <w:pPr>
        <w:ind w:left="340" w:hanging="332"/>
        <w:spacing w:after="0"/>
        <w:tabs>
          <w:tab w:leader="none" w:pos="340" w:val="left"/>
        </w:tabs>
        <w:numPr>
          <w:ilvl w:val="0"/>
          <w:numId w:val="204"/>
        </w:numPr>
        <w:rPr>
          <w:rFonts w:ascii="Arial" w:cs="Arial" w:eastAsia="Arial" w:hAnsi="Arial"/>
          <w:sz w:val="17"/>
          <w:szCs w:val="17"/>
          <w:color w:val="105EAB"/>
        </w:rPr>
      </w:pPr>
      <w:r>
        <w:rPr>
          <w:rFonts w:ascii="Arial" w:cs="Arial" w:eastAsia="Arial" w:hAnsi="Arial"/>
          <w:sz w:val="18"/>
          <w:szCs w:val="18"/>
          <w:color w:val="auto"/>
        </w:rPr>
        <w:t>Mr. Rizzo’s SRIP benefit would be paid on January 1, 2022, or following death.</w:t>
      </w:r>
    </w:p>
    <w:p>
      <w:pPr>
        <w:spacing w:after="0" w:line="103" w:lineRule="exact"/>
        <w:rPr>
          <w:rFonts w:ascii="Arial" w:cs="Arial" w:eastAsia="Arial" w:hAnsi="Arial"/>
          <w:sz w:val="17"/>
          <w:szCs w:val="17"/>
          <w:color w:val="105EAB"/>
        </w:rPr>
      </w:pPr>
    </w:p>
    <w:p>
      <w:pPr>
        <w:ind w:left="340" w:hanging="332"/>
        <w:spacing w:after="0"/>
        <w:tabs>
          <w:tab w:leader="none" w:pos="340" w:val="left"/>
        </w:tabs>
        <w:numPr>
          <w:ilvl w:val="0"/>
          <w:numId w:val="204"/>
        </w:numPr>
        <w:rPr>
          <w:rFonts w:ascii="Arial" w:cs="Arial" w:eastAsia="Arial" w:hAnsi="Arial"/>
          <w:sz w:val="17"/>
          <w:szCs w:val="17"/>
          <w:color w:val="105EAB"/>
        </w:rPr>
      </w:pPr>
      <w:r>
        <w:rPr>
          <w:rFonts w:ascii="Arial" w:cs="Arial" w:eastAsia="Arial" w:hAnsi="Arial"/>
          <w:sz w:val="18"/>
          <w:szCs w:val="18"/>
          <w:color w:val="auto"/>
        </w:rPr>
        <w:t>Mr. Dugenske’s and Mr. Shapiro’s SRIP benefits are not currently vested but would become payable following death.</w:t>
      </w:r>
    </w:p>
    <w:p>
      <w:pPr>
        <w:spacing w:after="0" w:line="181" w:lineRule="exact"/>
        <w:rPr>
          <w:sz w:val="20"/>
          <w:szCs w:val="20"/>
          <w:color w:val="auto"/>
        </w:rPr>
      </w:pPr>
    </w:p>
    <w:p>
      <w:pPr>
        <w:spacing w:after="0"/>
        <w:rPr>
          <w:sz w:val="20"/>
          <w:szCs w:val="20"/>
          <w:color w:val="auto"/>
        </w:rPr>
      </w:pPr>
      <w:r>
        <w:rPr>
          <w:rFonts w:ascii="Arial" w:cs="Arial" w:eastAsia="Arial" w:hAnsi="Arial"/>
          <w:sz w:val="31"/>
          <w:szCs w:val="31"/>
          <w:b w:val="1"/>
          <w:bCs w:val="1"/>
          <w:color w:val="959595"/>
        </w:rPr>
        <w:t>Non-Qualified Deferred Compensation at Fiscal Year-end 2018</w:t>
      </w:r>
    </w:p>
    <w:p>
      <w:pPr>
        <w:spacing w:after="0" w:line="258"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following table summarizes the non-qualified deferred compensation contributions, earnings, and account balances of our named executives in 2018. All amounts relate to The Allstate Corporation Deferred Compensation Plan.</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60" w:type="dxa"/>
            <w:vAlign w:val="bottom"/>
            <w:vMerge w:val="restart"/>
          </w:tcPr>
          <w:p>
            <w:pPr>
              <w:jc w:val="right"/>
              <w:ind w:right="113"/>
              <w:spacing w:after="0"/>
              <w:rPr>
                <w:sz w:val="20"/>
                <w:szCs w:val="20"/>
                <w:color w:val="auto"/>
              </w:rPr>
            </w:pPr>
            <w:r>
              <w:rPr>
                <w:rFonts w:ascii="Arial" w:cs="Arial" w:eastAsia="Arial" w:hAnsi="Arial"/>
                <w:sz w:val="13"/>
                <w:szCs w:val="13"/>
                <w:b w:val="1"/>
                <w:bCs w:val="1"/>
                <w:color w:val="105EAB"/>
              </w:rPr>
              <w:t>Aggregate</w:t>
            </w:r>
          </w:p>
        </w:tc>
        <w:tc>
          <w:tcPr>
            <w:tcW w:w="1080" w:type="dxa"/>
            <w:vAlign w:val="bottom"/>
          </w:tcPr>
          <w:p>
            <w:pPr>
              <w:jc w:val="right"/>
              <w:ind w:right="33"/>
              <w:spacing w:after="0"/>
              <w:rPr>
                <w:sz w:val="20"/>
                <w:szCs w:val="20"/>
                <w:color w:val="auto"/>
              </w:rPr>
            </w:pPr>
            <w:r>
              <w:rPr>
                <w:rFonts w:ascii="Arial" w:cs="Arial" w:eastAsia="Arial" w:hAnsi="Arial"/>
                <w:sz w:val="13"/>
                <w:szCs w:val="13"/>
                <w:b w:val="1"/>
                <w:bCs w:val="1"/>
                <w:color w:val="105EAB"/>
              </w:rPr>
              <w:t>Aggregate</w:t>
            </w:r>
          </w:p>
        </w:tc>
        <w:tc>
          <w:tcPr>
            <w:tcW w:w="920" w:type="dxa"/>
            <w:vAlign w:val="bottom"/>
            <w:vMerge w:val="restart"/>
          </w:tcPr>
          <w:p>
            <w:pPr>
              <w:jc w:val="right"/>
              <w:ind w:right="13"/>
              <w:spacing w:after="0"/>
              <w:rPr>
                <w:sz w:val="20"/>
                <w:szCs w:val="20"/>
                <w:color w:val="auto"/>
              </w:rPr>
            </w:pPr>
            <w:r>
              <w:rPr>
                <w:rFonts w:ascii="Arial" w:cs="Arial" w:eastAsia="Arial" w:hAnsi="Arial"/>
                <w:sz w:val="13"/>
                <w:szCs w:val="13"/>
                <w:b w:val="1"/>
                <w:bCs w:val="1"/>
                <w:color w:val="105EAB"/>
              </w:rPr>
              <w:t>Aggregate</w:t>
            </w:r>
          </w:p>
        </w:tc>
        <w:tc>
          <w:tcPr>
            <w:tcW w:w="0" w:type="dxa"/>
            <w:vAlign w:val="bottom"/>
          </w:tcPr>
          <w:p>
            <w:pPr>
              <w:spacing w:after="0"/>
              <w:rPr>
                <w:sz w:val="1"/>
                <w:szCs w:val="1"/>
                <w:color w:val="auto"/>
              </w:rPr>
            </w:pPr>
          </w:p>
        </w:tc>
      </w:tr>
      <w:tr>
        <w:trPr>
          <w:trHeight w:val="138"/>
        </w:trPr>
        <w:tc>
          <w:tcPr>
            <w:tcW w:w="3660" w:type="dxa"/>
            <w:vAlign w:val="bottom"/>
          </w:tcPr>
          <w:p>
            <w:pPr>
              <w:spacing w:after="0"/>
              <w:rPr>
                <w:sz w:val="12"/>
                <w:szCs w:val="12"/>
                <w:color w:val="auto"/>
              </w:rPr>
            </w:pPr>
          </w:p>
        </w:tc>
        <w:tc>
          <w:tcPr>
            <w:tcW w:w="3700" w:type="dxa"/>
            <w:vAlign w:val="bottom"/>
          </w:tcPr>
          <w:p>
            <w:pPr>
              <w:jc w:val="right"/>
              <w:ind w:right="33"/>
              <w:spacing w:after="0" w:line="138" w:lineRule="exact"/>
              <w:rPr>
                <w:sz w:val="20"/>
                <w:szCs w:val="20"/>
                <w:color w:val="auto"/>
              </w:rPr>
            </w:pPr>
            <w:r>
              <w:rPr>
                <w:rFonts w:ascii="Arial" w:cs="Arial" w:eastAsia="Arial" w:hAnsi="Arial"/>
                <w:sz w:val="13"/>
                <w:szCs w:val="13"/>
                <w:b w:val="1"/>
                <w:bCs w:val="1"/>
                <w:color w:val="105EAB"/>
              </w:rPr>
              <w:t>Executive</w:t>
            </w:r>
          </w:p>
        </w:tc>
        <w:tc>
          <w:tcPr>
            <w:tcW w:w="1100" w:type="dxa"/>
            <w:vAlign w:val="bottom"/>
          </w:tcPr>
          <w:p>
            <w:pPr>
              <w:jc w:val="right"/>
              <w:ind w:right="33"/>
              <w:spacing w:after="0" w:line="138" w:lineRule="exact"/>
              <w:rPr>
                <w:sz w:val="20"/>
                <w:szCs w:val="20"/>
                <w:color w:val="auto"/>
              </w:rPr>
            </w:pPr>
            <w:r>
              <w:rPr>
                <w:rFonts w:ascii="Arial" w:cs="Arial" w:eastAsia="Arial" w:hAnsi="Arial"/>
                <w:sz w:val="13"/>
                <w:szCs w:val="13"/>
                <w:b w:val="1"/>
                <w:bCs w:val="1"/>
                <w:color w:val="105EAB"/>
              </w:rPr>
              <w:t>Registrant</w:t>
            </w:r>
          </w:p>
        </w:tc>
        <w:tc>
          <w:tcPr>
            <w:tcW w:w="960" w:type="dxa"/>
            <w:vAlign w:val="bottom"/>
            <w:vMerge w:val="continue"/>
          </w:tcPr>
          <w:p>
            <w:pPr>
              <w:spacing w:after="0"/>
              <w:rPr>
                <w:sz w:val="12"/>
                <w:szCs w:val="12"/>
                <w:color w:val="auto"/>
              </w:rPr>
            </w:pPr>
          </w:p>
        </w:tc>
        <w:tc>
          <w:tcPr>
            <w:tcW w:w="1080" w:type="dxa"/>
            <w:vAlign w:val="bottom"/>
          </w:tcPr>
          <w:p>
            <w:pPr>
              <w:jc w:val="right"/>
              <w:ind w:right="33"/>
              <w:spacing w:after="0" w:line="138" w:lineRule="exact"/>
              <w:rPr>
                <w:sz w:val="20"/>
                <w:szCs w:val="20"/>
                <w:color w:val="auto"/>
              </w:rPr>
            </w:pPr>
            <w:r>
              <w:rPr>
                <w:rFonts w:ascii="Arial" w:cs="Arial" w:eastAsia="Arial" w:hAnsi="Arial"/>
                <w:sz w:val="13"/>
                <w:szCs w:val="13"/>
                <w:b w:val="1"/>
                <w:bCs w:val="1"/>
                <w:color w:val="105EAB"/>
              </w:rPr>
              <w:t>Withdrawals/</w:t>
            </w: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3700" w:type="dxa"/>
            <w:vAlign w:val="bottom"/>
          </w:tcPr>
          <w:p>
            <w:pPr>
              <w:jc w:val="right"/>
              <w:ind w:right="33"/>
              <w:spacing w:after="0" w:line="149" w:lineRule="exact"/>
              <w:rPr>
                <w:sz w:val="20"/>
                <w:szCs w:val="20"/>
                <w:color w:val="auto"/>
              </w:rPr>
            </w:pPr>
            <w:r>
              <w:rPr>
                <w:rFonts w:ascii="Arial" w:cs="Arial" w:eastAsia="Arial" w:hAnsi="Arial"/>
                <w:sz w:val="13"/>
                <w:szCs w:val="13"/>
                <w:b w:val="1"/>
                <w:bCs w:val="1"/>
                <w:color w:val="105EAB"/>
              </w:rPr>
              <w:t>Contributions</w:t>
            </w:r>
          </w:p>
        </w:tc>
        <w:tc>
          <w:tcPr>
            <w:tcW w:w="1100" w:type="dxa"/>
            <w:vAlign w:val="bottom"/>
          </w:tcPr>
          <w:p>
            <w:pPr>
              <w:jc w:val="right"/>
              <w:ind w:right="33"/>
              <w:spacing w:after="0" w:line="149" w:lineRule="exact"/>
              <w:rPr>
                <w:sz w:val="20"/>
                <w:szCs w:val="20"/>
                <w:color w:val="auto"/>
              </w:rPr>
            </w:pPr>
            <w:r>
              <w:rPr>
                <w:rFonts w:ascii="Arial" w:cs="Arial" w:eastAsia="Arial" w:hAnsi="Arial"/>
                <w:sz w:val="13"/>
                <w:szCs w:val="13"/>
                <w:b w:val="1"/>
                <w:bCs w:val="1"/>
                <w:color w:val="105EAB"/>
              </w:rPr>
              <w:t>Contributions</w:t>
            </w:r>
          </w:p>
        </w:tc>
        <w:tc>
          <w:tcPr>
            <w:tcW w:w="960" w:type="dxa"/>
            <w:vAlign w:val="bottom"/>
          </w:tcPr>
          <w:p>
            <w:pPr>
              <w:jc w:val="right"/>
              <w:ind w:right="113"/>
              <w:spacing w:after="0" w:line="149" w:lineRule="exact"/>
              <w:rPr>
                <w:sz w:val="20"/>
                <w:szCs w:val="20"/>
                <w:color w:val="auto"/>
              </w:rPr>
            </w:pPr>
            <w:r>
              <w:rPr>
                <w:rFonts w:ascii="Arial" w:cs="Arial" w:eastAsia="Arial" w:hAnsi="Arial"/>
                <w:sz w:val="13"/>
                <w:szCs w:val="13"/>
                <w:b w:val="1"/>
                <w:bCs w:val="1"/>
                <w:color w:val="105EAB"/>
              </w:rPr>
              <w:t>Earnings</w:t>
            </w:r>
          </w:p>
        </w:tc>
        <w:tc>
          <w:tcPr>
            <w:tcW w:w="1080" w:type="dxa"/>
            <w:vAlign w:val="bottom"/>
          </w:tcPr>
          <w:p>
            <w:pPr>
              <w:jc w:val="right"/>
              <w:ind w:right="33"/>
              <w:spacing w:after="0" w:line="149" w:lineRule="exact"/>
              <w:rPr>
                <w:sz w:val="20"/>
                <w:szCs w:val="20"/>
                <w:color w:val="auto"/>
              </w:rPr>
            </w:pPr>
            <w:r>
              <w:rPr>
                <w:rFonts w:ascii="Arial" w:cs="Arial" w:eastAsia="Arial" w:hAnsi="Arial"/>
                <w:sz w:val="13"/>
                <w:szCs w:val="13"/>
                <w:b w:val="1"/>
                <w:bCs w:val="1"/>
                <w:color w:val="105EAB"/>
              </w:rPr>
              <w:t>Distributions</w:t>
            </w:r>
          </w:p>
        </w:tc>
        <w:tc>
          <w:tcPr>
            <w:tcW w:w="920" w:type="dxa"/>
            <w:vAlign w:val="bottom"/>
          </w:tcPr>
          <w:p>
            <w:pPr>
              <w:jc w:val="right"/>
              <w:ind w:right="13"/>
              <w:spacing w:after="0" w:line="149" w:lineRule="exact"/>
              <w:rPr>
                <w:sz w:val="20"/>
                <w:szCs w:val="20"/>
                <w:color w:val="auto"/>
              </w:rPr>
            </w:pPr>
            <w:r>
              <w:rPr>
                <w:rFonts w:ascii="Arial" w:cs="Arial" w:eastAsia="Arial" w:hAnsi="Arial"/>
                <w:sz w:val="13"/>
                <w:szCs w:val="13"/>
                <w:b w:val="1"/>
                <w:bCs w:val="1"/>
                <w:color w:val="105EAB"/>
              </w:rPr>
              <w:t>Balance</w:t>
            </w: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3700" w:type="dxa"/>
            <w:vAlign w:val="bottom"/>
          </w:tcPr>
          <w:p>
            <w:pPr>
              <w:jc w:val="right"/>
              <w:ind w:right="33"/>
              <w:spacing w:after="0" w:line="149" w:lineRule="exact"/>
              <w:rPr>
                <w:sz w:val="20"/>
                <w:szCs w:val="20"/>
                <w:color w:val="auto"/>
              </w:rPr>
            </w:pPr>
            <w:r>
              <w:rPr>
                <w:rFonts w:ascii="Arial" w:cs="Arial" w:eastAsia="Arial" w:hAnsi="Arial"/>
                <w:sz w:val="13"/>
                <w:szCs w:val="13"/>
                <w:b w:val="1"/>
                <w:bCs w:val="1"/>
                <w:color w:val="105EAB"/>
              </w:rPr>
              <w:t>in Last FY</w:t>
            </w:r>
          </w:p>
        </w:tc>
        <w:tc>
          <w:tcPr>
            <w:tcW w:w="1100" w:type="dxa"/>
            <w:vAlign w:val="bottom"/>
          </w:tcPr>
          <w:p>
            <w:pPr>
              <w:jc w:val="right"/>
              <w:ind w:right="33"/>
              <w:spacing w:after="0" w:line="149" w:lineRule="exact"/>
              <w:rPr>
                <w:sz w:val="20"/>
                <w:szCs w:val="20"/>
                <w:color w:val="auto"/>
              </w:rPr>
            </w:pPr>
            <w:r>
              <w:rPr>
                <w:rFonts w:ascii="Arial" w:cs="Arial" w:eastAsia="Arial" w:hAnsi="Arial"/>
                <w:sz w:val="13"/>
                <w:szCs w:val="13"/>
                <w:b w:val="1"/>
                <w:bCs w:val="1"/>
                <w:color w:val="105EAB"/>
              </w:rPr>
              <w:t>in Last FY</w:t>
            </w:r>
          </w:p>
        </w:tc>
        <w:tc>
          <w:tcPr>
            <w:tcW w:w="960" w:type="dxa"/>
            <w:vAlign w:val="bottom"/>
          </w:tcPr>
          <w:p>
            <w:pPr>
              <w:jc w:val="right"/>
              <w:ind w:right="113"/>
              <w:spacing w:after="0" w:line="149" w:lineRule="exact"/>
              <w:rPr>
                <w:sz w:val="20"/>
                <w:szCs w:val="20"/>
                <w:color w:val="auto"/>
              </w:rPr>
            </w:pPr>
            <w:r>
              <w:rPr>
                <w:rFonts w:ascii="Arial" w:cs="Arial" w:eastAsia="Arial" w:hAnsi="Arial"/>
                <w:sz w:val="13"/>
                <w:szCs w:val="13"/>
                <w:b w:val="1"/>
                <w:bCs w:val="1"/>
                <w:color w:val="105EAB"/>
              </w:rPr>
              <w:t>in Last FY</w:t>
            </w:r>
          </w:p>
        </w:tc>
        <w:tc>
          <w:tcPr>
            <w:tcW w:w="1080" w:type="dxa"/>
            <w:vAlign w:val="bottom"/>
          </w:tcPr>
          <w:p>
            <w:pPr>
              <w:jc w:val="right"/>
              <w:ind w:right="33"/>
              <w:spacing w:after="0" w:line="149" w:lineRule="exact"/>
              <w:rPr>
                <w:sz w:val="20"/>
                <w:szCs w:val="20"/>
                <w:color w:val="auto"/>
              </w:rPr>
            </w:pPr>
            <w:r>
              <w:rPr>
                <w:rFonts w:ascii="Arial" w:cs="Arial" w:eastAsia="Arial" w:hAnsi="Arial"/>
                <w:sz w:val="13"/>
                <w:szCs w:val="13"/>
                <w:b w:val="1"/>
                <w:bCs w:val="1"/>
                <w:color w:val="105EAB"/>
              </w:rPr>
              <w:t>in Last FY</w:t>
            </w:r>
          </w:p>
        </w:tc>
        <w:tc>
          <w:tcPr>
            <w:tcW w:w="920" w:type="dxa"/>
            <w:vAlign w:val="bottom"/>
          </w:tcPr>
          <w:p>
            <w:pPr>
              <w:jc w:val="right"/>
              <w:ind w:right="13"/>
              <w:spacing w:after="0" w:line="149" w:lineRule="exact"/>
              <w:rPr>
                <w:sz w:val="20"/>
                <w:szCs w:val="20"/>
                <w:color w:val="auto"/>
              </w:rPr>
            </w:pPr>
            <w:r>
              <w:rPr>
                <w:rFonts w:ascii="Arial" w:cs="Arial" w:eastAsia="Arial" w:hAnsi="Arial"/>
                <w:sz w:val="13"/>
                <w:szCs w:val="13"/>
                <w:b w:val="1"/>
                <w:bCs w:val="1"/>
                <w:color w:val="105EAB"/>
              </w:rPr>
              <w:t>at Last FYE</w:t>
            </w:r>
          </w:p>
        </w:tc>
        <w:tc>
          <w:tcPr>
            <w:tcW w:w="0" w:type="dxa"/>
            <w:vAlign w:val="bottom"/>
          </w:tcPr>
          <w:p>
            <w:pPr>
              <w:spacing w:after="0"/>
              <w:rPr>
                <w:sz w:val="1"/>
                <w:szCs w:val="1"/>
                <w:color w:val="auto"/>
              </w:rPr>
            </w:pPr>
          </w:p>
        </w:tc>
      </w:tr>
      <w:tr>
        <w:trPr>
          <w:trHeight w:val="209"/>
        </w:trPr>
        <w:tc>
          <w:tcPr>
            <w:tcW w:w="3660" w:type="dxa"/>
            <w:vAlign w:val="bottom"/>
            <w:tcBorders>
              <w:bottom w:val="single" w:sz="8" w:color="105EAB"/>
            </w:tcBorders>
          </w:tcPr>
          <w:p>
            <w:pPr>
              <w:ind w:left="80"/>
              <w:spacing w:after="0"/>
              <w:rPr>
                <w:sz w:val="20"/>
                <w:szCs w:val="20"/>
                <w:color w:val="auto"/>
              </w:rPr>
            </w:pPr>
            <w:r>
              <w:rPr>
                <w:rFonts w:ascii="Arial" w:cs="Arial" w:eastAsia="Arial" w:hAnsi="Arial"/>
                <w:sz w:val="13"/>
                <w:szCs w:val="13"/>
                <w:b w:val="1"/>
                <w:bCs w:val="1"/>
                <w:color w:val="105EAB"/>
              </w:rPr>
              <w:t>Name</w:t>
            </w:r>
          </w:p>
        </w:tc>
        <w:tc>
          <w:tcPr>
            <w:tcW w:w="3700" w:type="dxa"/>
            <w:vAlign w:val="bottom"/>
            <w:tcBorders>
              <w:bottom w:val="single" w:sz="8" w:color="105EAB"/>
            </w:tcBorders>
          </w:tcPr>
          <w:p>
            <w:pPr>
              <w:jc w:val="right"/>
              <w:ind w:right="33"/>
              <w:spacing w:after="0"/>
              <w:rPr>
                <w:sz w:val="20"/>
                <w:szCs w:val="20"/>
                <w:color w:val="auto"/>
              </w:rPr>
            </w:pPr>
            <w:r>
              <w:rPr>
                <w:rFonts w:ascii="Arial" w:cs="Arial" w:eastAsia="Arial" w:hAnsi="Arial"/>
                <w:sz w:val="13"/>
                <w:szCs w:val="13"/>
                <w:b w:val="1"/>
                <w:bCs w:val="1"/>
                <w:color w:val="105EAB"/>
              </w:rPr>
              <w:t>($)</w:t>
            </w:r>
          </w:p>
        </w:tc>
        <w:tc>
          <w:tcPr>
            <w:tcW w:w="1100" w:type="dxa"/>
            <w:vAlign w:val="bottom"/>
            <w:tcBorders>
              <w:bottom w:val="single" w:sz="8" w:color="105EAB"/>
            </w:tcBorders>
          </w:tcPr>
          <w:p>
            <w:pPr>
              <w:jc w:val="right"/>
              <w:ind w:right="33"/>
              <w:spacing w:after="0"/>
              <w:rPr>
                <w:sz w:val="20"/>
                <w:szCs w:val="20"/>
                <w:color w:val="auto"/>
              </w:rPr>
            </w:pPr>
            <w:r>
              <w:rPr>
                <w:rFonts w:ascii="Arial" w:cs="Arial" w:eastAsia="Arial" w:hAnsi="Arial"/>
                <w:sz w:val="13"/>
                <w:szCs w:val="13"/>
                <w:b w:val="1"/>
                <w:bCs w:val="1"/>
                <w:color w:val="105EAB"/>
              </w:rPr>
              <w:t>($)</w:t>
            </w:r>
          </w:p>
        </w:tc>
        <w:tc>
          <w:tcPr>
            <w:tcW w:w="960" w:type="dxa"/>
            <w:vAlign w:val="bottom"/>
            <w:tcBorders>
              <w:bottom w:val="single" w:sz="8" w:color="105EAB"/>
            </w:tcBorders>
          </w:tcPr>
          <w:p>
            <w:pPr>
              <w:jc w:val="right"/>
              <w:ind w:right="113"/>
              <w:spacing w:after="0" w:line="202" w:lineRule="exact"/>
              <w:rPr>
                <w:sz w:val="20"/>
                <w:szCs w:val="20"/>
                <w:color w:val="auto"/>
              </w:rPr>
            </w:pPr>
            <w:r>
              <w:rPr>
                <w:rFonts w:ascii="Arial" w:cs="Arial" w:eastAsia="Arial" w:hAnsi="Arial"/>
                <w:sz w:val="13"/>
                <w:szCs w:val="13"/>
                <w:b w:val="1"/>
                <w:bCs w:val="1"/>
                <w:color w:val="105EAB"/>
              </w:rPr>
              <w:t>($)</w:t>
            </w:r>
            <w:r>
              <w:rPr>
                <w:rFonts w:ascii="Arial" w:cs="Arial" w:eastAsia="Arial" w:hAnsi="Arial"/>
                <w:sz w:val="22"/>
                <w:szCs w:val="22"/>
                <w:b w:val="1"/>
                <w:bCs w:val="1"/>
                <w:color w:val="105EAB"/>
                <w:vertAlign w:val="superscript"/>
              </w:rPr>
              <w:t>(1)</w:t>
            </w:r>
          </w:p>
        </w:tc>
        <w:tc>
          <w:tcPr>
            <w:tcW w:w="1080" w:type="dxa"/>
            <w:vAlign w:val="bottom"/>
            <w:tcBorders>
              <w:bottom w:val="single" w:sz="8" w:color="105EAB"/>
            </w:tcBorders>
          </w:tcPr>
          <w:p>
            <w:pPr>
              <w:jc w:val="right"/>
              <w:ind w:right="33"/>
              <w:spacing w:after="0"/>
              <w:rPr>
                <w:sz w:val="20"/>
                <w:szCs w:val="20"/>
                <w:color w:val="auto"/>
              </w:rPr>
            </w:pPr>
            <w:r>
              <w:rPr>
                <w:rFonts w:ascii="Arial" w:cs="Arial" w:eastAsia="Arial" w:hAnsi="Arial"/>
                <w:sz w:val="13"/>
                <w:szCs w:val="13"/>
                <w:b w:val="1"/>
                <w:bCs w:val="1"/>
                <w:color w:val="105EAB"/>
              </w:rPr>
              <w:t>($)</w:t>
            </w:r>
          </w:p>
        </w:tc>
        <w:tc>
          <w:tcPr>
            <w:tcW w:w="920" w:type="dxa"/>
            <w:vAlign w:val="bottom"/>
            <w:tcBorders>
              <w:bottom w:val="single" w:sz="8" w:color="105EAB"/>
            </w:tcBorders>
          </w:tcPr>
          <w:p>
            <w:pPr>
              <w:jc w:val="right"/>
              <w:ind w:right="13"/>
              <w:spacing w:after="0" w:line="202" w:lineRule="exact"/>
              <w:rPr>
                <w:sz w:val="20"/>
                <w:szCs w:val="20"/>
                <w:color w:val="auto"/>
              </w:rPr>
            </w:pPr>
            <w:r>
              <w:rPr>
                <w:rFonts w:ascii="Arial" w:cs="Arial" w:eastAsia="Arial" w:hAnsi="Arial"/>
                <w:sz w:val="13"/>
                <w:szCs w:val="13"/>
                <w:b w:val="1"/>
                <w:bCs w:val="1"/>
                <w:color w:val="105EAB"/>
              </w:rPr>
              <w:t>($)</w:t>
            </w:r>
            <w:r>
              <w:rPr>
                <w:rFonts w:ascii="Arial" w:cs="Arial" w:eastAsia="Arial" w:hAnsi="Arial"/>
                <w:sz w:val="22"/>
                <w:szCs w:val="22"/>
                <w:b w:val="1"/>
                <w:bCs w:val="1"/>
                <w:color w:val="105EAB"/>
                <w:vertAlign w:val="superscript"/>
              </w:rPr>
              <w:t>(2)</w:t>
            </w:r>
          </w:p>
        </w:tc>
        <w:tc>
          <w:tcPr>
            <w:tcW w:w="0" w:type="dxa"/>
            <w:vAlign w:val="bottom"/>
          </w:tcPr>
          <w:p>
            <w:pPr>
              <w:spacing w:after="0"/>
              <w:rPr>
                <w:sz w:val="1"/>
                <w:szCs w:val="1"/>
                <w:color w:val="auto"/>
              </w:rPr>
            </w:pPr>
          </w:p>
        </w:tc>
      </w:tr>
      <w:tr>
        <w:trPr>
          <w:trHeight w:val="202"/>
        </w:trPr>
        <w:tc>
          <w:tcPr>
            <w:tcW w:w="3660" w:type="dxa"/>
            <w:vAlign w:val="bottom"/>
          </w:tcPr>
          <w:p>
            <w:pPr>
              <w:ind w:left="80"/>
              <w:spacing w:after="0"/>
              <w:rPr>
                <w:sz w:val="20"/>
                <w:szCs w:val="20"/>
                <w:color w:val="auto"/>
              </w:rPr>
            </w:pPr>
            <w:r>
              <w:rPr>
                <w:rFonts w:ascii="Arial" w:cs="Arial" w:eastAsia="Arial" w:hAnsi="Arial"/>
                <w:sz w:val="13"/>
                <w:szCs w:val="13"/>
                <w:b w:val="1"/>
                <w:bCs w:val="1"/>
                <w:color w:val="105EAB"/>
              </w:rPr>
              <w:t>Mr. Wilson</w:t>
            </w:r>
          </w:p>
        </w:tc>
        <w:tc>
          <w:tcPr>
            <w:tcW w:w="3700" w:type="dxa"/>
            <w:vAlign w:val="bottom"/>
          </w:tcPr>
          <w:p>
            <w:pPr>
              <w:jc w:val="right"/>
              <w:ind w:right="33"/>
              <w:spacing w:after="0"/>
              <w:rPr>
                <w:sz w:val="20"/>
                <w:szCs w:val="20"/>
                <w:color w:val="auto"/>
              </w:rPr>
            </w:pPr>
            <w:r>
              <w:rPr>
                <w:rFonts w:ascii="Arial" w:cs="Arial" w:eastAsia="Arial" w:hAnsi="Arial"/>
                <w:sz w:val="13"/>
                <w:szCs w:val="13"/>
                <w:color w:val="auto"/>
              </w:rPr>
              <w:t>0</w:t>
            </w:r>
          </w:p>
        </w:tc>
        <w:tc>
          <w:tcPr>
            <w:tcW w:w="1100" w:type="dxa"/>
            <w:vAlign w:val="bottom"/>
          </w:tcPr>
          <w:p>
            <w:pPr>
              <w:jc w:val="right"/>
              <w:ind w:right="33"/>
              <w:spacing w:after="0"/>
              <w:rPr>
                <w:sz w:val="20"/>
                <w:szCs w:val="20"/>
                <w:color w:val="auto"/>
              </w:rPr>
            </w:pPr>
            <w:r>
              <w:rPr>
                <w:rFonts w:ascii="Arial" w:cs="Arial" w:eastAsia="Arial" w:hAnsi="Arial"/>
                <w:sz w:val="13"/>
                <w:szCs w:val="13"/>
                <w:color w:val="auto"/>
              </w:rPr>
              <w:t>0</w:t>
            </w:r>
          </w:p>
        </w:tc>
        <w:tc>
          <w:tcPr>
            <w:tcW w:w="960" w:type="dxa"/>
            <w:vAlign w:val="bottom"/>
          </w:tcPr>
          <w:p>
            <w:pPr>
              <w:jc w:val="right"/>
              <w:ind w:right="53"/>
              <w:spacing w:after="0"/>
              <w:rPr>
                <w:sz w:val="20"/>
                <w:szCs w:val="20"/>
                <w:color w:val="auto"/>
              </w:rPr>
            </w:pPr>
            <w:r>
              <w:rPr>
                <w:rFonts w:ascii="Arial" w:cs="Arial" w:eastAsia="Arial" w:hAnsi="Arial"/>
                <w:sz w:val="13"/>
                <w:szCs w:val="13"/>
                <w:color w:val="auto"/>
              </w:rPr>
              <w:t>(87,006)</w:t>
            </w:r>
          </w:p>
        </w:tc>
        <w:tc>
          <w:tcPr>
            <w:tcW w:w="1080" w:type="dxa"/>
            <w:vAlign w:val="bottom"/>
          </w:tcPr>
          <w:p>
            <w:pPr>
              <w:jc w:val="right"/>
              <w:ind w:right="33"/>
              <w:spacing w:after="0"/>
              <w:rPr>
                <w:sz w:val="20"/>
                <w:szCs w:val="20"/>
                <w:color w:val="auto"/>
              </w:rPr>
            </w:pPr>
            <w:r>
              <w:rPr>
                <w:rFonts w:ascii="Arial" w:cs="Arial" w:eastAsia="Arial" w:hAnsi="Arial"/>
                <w:sz w:val="13"/>
                <w:szCs w:val="13"/>
                <w:color w:val="auto"/>
              </w:rPr>
              <w:t>0</w:t>
            </w:r>
          </w:p>
        </w:tc>
        <w:tc>
          <w:tcPr>
            <w:tcW w:w="920" w:type="dxa"/>
            <w:vAlign w:val="bottom"/>
          </w:tcPr>
          <w:p>
            <w:pPr>
              <w:jc w:val="right"/>
              <w:ind w:right="13"/>
              <w:spacing w:after="0"/>
              <w:rPr>
                <w:sz w:val="20"/>
                <w:szCs w:val="20"/>
                <w:color w:val="auto"/>
              </w:rPr>
            </w:pPr>
            <w:r>
              <w:rPr>
                <w:rFonts w:ascii="Arial" w:cs="Arial" w:eastAsia="Arial" w:hAnsi="Arial"/>
                <w:sz w:val="13"/>
                <w:szCs w:val="13"/>
                <w:color w:val="auto"/>
              </w:rPr>
              <w:t>960,791</w:t>
            </w:r>
          </w:p>
        </w:tc>
        <w:tc>
          <w:tcPr>
            <w:tcW w:w="0" w:type="dxa"/>
            <w:vAlign w:val="bottom"/>
          </w:tcPr>
          <w:p>
            <w:pPr>
              <w:spacing w:after="0"/>
              <w:rPr>
                <w:sz w:val="1"/>
                <w:szCs w:val="1"/>
                <w:color w:val="auto"/>
              </w:rPr>
            </w:pPr>
          </w:p>
        </w:tc>
      </w:tr>
      <w:tr>
        <w:trPr>
          <w:trHeight w:val="41"/>
        </w:trPr>
        <w:tc>
          <w:tcPr>
            <w:tcW w:w="3660" w:type="dxa"/>
            <w:vAlign w:val="bottom"/>
            <w:tcBorders>
              <w:bottom w:val="single" w:sz="8" w:color="DFF1FB"/>
            </w:tcBorders>
          </w:tcPr>
          <w:p>
            <w:pPr>
              <w:spacing w:after="0"/>
              <w:rPr>
                <w:sz w:val="3"/>
                <w:szCs w:val="3"/>
                <w:color w:val="auto"/>
              </w:rPr>
            </w:pPr>
          </w:p>
        </w:tc>
        <w:tc>
          <w:tcPr>
            <w:tcW w:w="3700" w:type="dxa"/>
            <w:vAlign w:val="bottom"/>
            <w:tcBorders>
              <w:bottom w:val="single" w:sz="8" w:color="DFF1FB"/>
            </w:tcBorders>
          </w:tcPr>
          <w:p>
            <w:pPr>
              <w:spacing w:after="0"/>
              <w:rPr>
                <w:sz w:val="3"/>
                <w:szCs w:val="3"/>
                <w:color w:val="auto"/>
              </w:rPr>
            </w:pPr>
          </w:p>
        </w:tc>
        <w:tc>
          <w:tcPr>
            <w:tcW w:w="1100" w:type="dxa"/>
            <w:vAlign w:val="bottom"/>
            <w:tcBorders>
              <w:bottom w:val="single" w:sz="8" w:color="DFF1FB"/>
            </w:tcBorders>
          </w:tcPr>
          <w:p>
            <w:pPr>
              <w:spacing w:after="0"/>
              <w:rPr>
                <w:sz w:val="3"/>
                <w:szCs w:val="3"/>
                <w:color w:val="auto"/>
              </w:rPr>
            </w:pPr>
          </w:p>
        </w:tc>
        <w:tc>
          <w:tcPr>
            <w:tcW w:w="960" w:type="dxa"/>
            <w:vAlign w:val="bottom"/>
            <w:tcBorders>
              <w:bottom w:val="single" w:sz="8" w:color="DFF1FB"/>
            </w:tcBorders>
          </w:tcPr>
          <w:p>
            <w:pPr>
              <w:spacing w:after="0"/>
              <w:rPr>
                <w:sz w:val="3"/>
                <w:szCs w:val="3"/>
                <w:color w:val="auto"/>
              </w:rPr>
            </w:pPr>
          </w:p>
        </w:tc>
        <w:tc>
          <w:tcPr>
            <w:tcW w:w="1080" w:type="dxa"/>
            <w:vAlign w:val="bottom"/>
            <w:tcBorders>
              <w:bottom w:val="single" w:sz="8" w:color="DFF1FB"/>
            </w:tcBorders>
          </w:tcPr>
          <w:p>
            <w:pPr>
              <w:spacing w:after="0"/>
              <w:rPr>
                <w:sz w:val="3"/>
                <w:szCs w:val="3"/>
                <w:color w:val="auto"/>
              </w:rPr>
            </w:pPr>
          </w:p>
        </w:tc>
        <w:tc>
          <w:tcPr>
            <w:tcW w:w="920" w:type="dxa"/>
            <w:vAlign w:val="bottom"/>
            <w:tcBorders>
              <w:bottom w:val="single" w:sz="8" w:color="DFF1FB"/>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3660" w:type="dxa"/>
            <w:vAlign w:val="bottom"/>
          </w:tcPr>
          <w:p>
            <w:pPr>
              <w:ind w:left="80"/>
              <w:spacing w:after="0"/>
              <w:rPr>
                <w:sz w:val="20"/>
                <w:szCs w:val="20"/>
                <w:color w:val="auto"/>
              </w:rPr>
            </w:pPr>
            <w:r>
              <w:rPr>
                <w:rFonts w:ascii="Arial" w:cs="Arial" w:eastAsia="Arial" w:hAnsi="Arial"/>
                <w:sz w:val="13"/>
                <w:szCs w:val="13"/>
                <w:b w:val="1"/>
                <w:bCs w:val="1"/>
                <w:color w:val="105EAB"/>
              </w:rPr>
              <w:t>Mr. Rizzo</w:t>
            </w:r>
          </w:p>
        </w:tc>
        <w:tc>
          <w:tcPr>
            <w:tcW w:w="3700" w:type="dxa"/>
            <w:vAlign w:val="bottom"/>
          </w:tcPr>
          <w:p>
            <w:pPr>
              <w:jc w:val="right"/>
              <w:ind w:right="33"/>
              <w:spacing w:after="0"/>
              <w:rPr>
                <w:sz w:val="20"/>
                <w:szCs w:val="20"/>
                <w:color w:val="auto"/>
              </w:rPr>
            </w:pPr>
            <w:r>
              <w:rPr>
                <w:rFonts w:ascii="Arial" w:cs="Arial" w:eastAsia="Arial" w:hAnsi="Arial"/>
                <w:sz w:val="13"/>
                <w:szCs w:val="13"/>
                <w:color w:val="auto"/>
              </w:rPr>
              <w:t>150,289</w:t>
            </w:r>
          </w:p>
        </w:tc>
        <w:tc>
          <w:tcPr>
            <w:tcW w:w="1100" w:type="dxa"/>
            <w:vAlign w:val="bottom"/>
          </w:tcPr>
          <w:p>
            <w:pPr>
              <w:jc w:val="right"/>
              <w:ind w:right="33"/>
              <w:spacing w:after="0"/>
              <w:rPr>
                <w:sz w:val="20"/>
                <w:szCs w:val="20"/>
                <w:color w:val="auto"/>
              </w:rPr>
            </w:pPr>
            <w:r>
              <w:rPr>
                <w:rFonts w:ascii="Arial" w:cs="Arial" w:eastAsia="Arial" w:hAnsi="Arial"/>
                <w:sz w:val="13"/>
                <w:szCs w:val="13"/>
                <w:color w:val="auto"/>
              </w:rPr>
              <w:t>0</w:t>
            </w:r>
          </w:p>
        </w:tc>
        <w:tc>
          <w:tcPr>
            <w:tcW w:w="960" w:type="dxa"/>
            <w:vAlign w:val="bottom"/>
          </w:tcPr>
          <w:p>
            <w:pPr>
              <w:jc w:val="right"/>
              <w:ind w:right="53"/>
              <w:spacing w:after="0"/>
              <w:rPr>
                <w:sz w:val="20"/>
                <w:szCs w:val="20"/>
                <w:color w:val="auto"/>
              </w:rPr>
            </w:pPr>
            <w:r>
              <w:rPr>
                <w:rFonts w:ascii="Arial" w:cs="Arial" w:eastAsia="Arial" w:hAnsi="Arial"/>
                <w:sz w:val="13"/>
                <w:szCs w:val="13"/>
                <w:color w:val="auto"/>
              </w:rPr>
              <w:t>(7,782)</w:t>
            </w:r>
          </w:p>
        </w:tc>
        <w:tc>
          <w:tcPr>
            <w:tcW w:w="1080" w:type="dxa"/>
            <w:vAlign w:val="bottom"/>
          </w:tcPr>
          <w:p>
            <w:pPr>
              <w:jc w:val="right"/>
              <w:ind w:right="33"/>
              <w:spacing w:after="0"/>
              <w:rPr>
                <w:sz w:val="20"/>
                <w:szCs w:val="20"/>
                <w:color w:val="auto"/>
              </w:rPr>
            </w:pPr>
            <w:r>
              <w:rPr>
                <w:rFonts w:ascii="Arial" w:cs="Arial" w:eastAsia="Arial" w:hAnsi="Arial"/>
                <w:sz w:val="13"/>
                <w:szCs w:val="13"/>
                <w:color w:val="auto"/>
              </w:rPr>
              <w:t>0</w:t>
            </w:r>
          </w:p>
        </w:tc>
        <w:tc>
          <w:tcPr>
            <w:tcW w:w="920" w:type="dxa"/>
            <w:vAlign w:val="bottom"/>
          </w:tcPr>
          <w:p>
            <w:pPr>
              <w:jc w:val="right"/>
              <w:ind w:right="13"/>
              <w:spacing w:after="0"/>
              <w:rPr>
                <w:sz w:val="20"/>
                <w:szCs w:val="20"/>
                <w:color w:val="auto"/>
              </w:rPr>
            </w:pPr>
            <w:r>
              <w:rPr>
                <w:rFonts w:ascii="Arial" w:cs="Arial" w:eastAsia="Arial" w:hAnsi="Arial"/>
                <w:sz w:val="13"/>
                <w:szCs w:val="13"/>
                <w:color w:val="auto"/>
              </w:rPr>
              <w:t>242,135</w:t>
            </w:r>
          </w:p>
        </w:tc>
        <w:tc>
          <w:tcPr>
            <w:tcW w:w="0" w:type="dxa"/>
            <w:vAlign w:val="bottom"/>
          </w:tcPr>
          <w:p>
            <w:pPr>
              <w:spacing w:after="0"/>
              <w:rPr>
                <w:sz w:val="1"/>
                <w:szCs w:val="1"/>
                <w:color w:val="auto"/>
              </w:rPr>
            </w:pPr>
          </w:p>
        </w:tc>
      </w:tr>
      <w:tr>
        <w:trPr>
          <w:trHeight w:val="41"/>
        </w:trPr>
        <w:tc>
          <w:tcPr>
            <w:tcW w:w="3660" w:type="dxa"/>
            <w:vAlign w:val="bottom"/>
            <w:tcBorders>
              <w:bottom w:val="single" w:sz="8" w:color="DFF1FB"/>
            </w:tcBorders>
          </w:tcPr>
          <w:p>
            <w:pPr>
              <w:spacing w:after="0"/>
              <w:rPr>
                <w:sz w:val="3"/>
                <w:szCs w:val="3"/>
                <w:color w:val="auto"/>
              </w:rPr>
            </w:pPr>
          </w:p>
        </w:tc>
        <w:tc>
          <w:tcPr>
            <w:tcW w:w="3700" w:type="dxa"/>
            <w:vAlign w:val="bottom"/>
            <w:tcBorders>
              <w:bottom w:val="single" w:sz="8" w:color="DFF1FB"/>
            </w:tcBorders>
          </w:tcPr>
          <w:p>
            <w:pPr>
              <w:spacing w:after="0"/>
              <w:rPr>
                <w:sz w:val="3"/>
                <w:szCs w:val="3"/>
                <w:color w:val="auto"/>
              </w:rPr>
            </w:pPr>
          </w:p>
        </w:tc>
        <w:tc>
          <w:tcPr>
            <w:tcW w:w="1100" w:type="dxa"/>
            <w:vAlign w:val="bottom"/>
            <w:tcBorders>
              <w:bottom w:val="single" w:sz="8" w:color="DFF1FB"/>
            </w:tcBorders>
          </w:tcPr>
          <w:p>
            <w:pPr>
              <w:spacing w:after="0"/>
              <w:rPr>
                <w:sz w:val="3"/>
                <w:szCs w:val="3"/>
                <w:color w:val="auto"/>
              </w:rPr>
            </w:pPr>
          </w:p>
        </w:tc>
        <w:tc>
          <w:tcPr>
            <w:tcW w:w="960" w:type="dxa"/>
            <w:vAlign w:val="bottom"/>
            <w:tcBorders>
              <w:bottom w:val="single" w:sz="8" w:color="DFF1FB"/>
            </w:tcBorders>
          </w:tcPr>
          <w:p>
            <w:pPr>
              <w:spacing w:after="0"/>
              <w:rPr>
                <w:sz w:val="3"/>
                <w:szCs w:val="3"/>
                <w:color w:val="auto"/>
              </w:rPr>
            </w:pPr>
          </w:p>
        </w:tc>
        <w:tc>
          <w:tcPr>
            <w:tcW w:w="1080" w:type="dxa"/>
            <w:vAlign w:val="bottom"/>
            <w:tcBorders>
              <w:bottom w:val="single" w:sz="8" w:color="DFF1FB"/>
            </w:tcBorders>
          </w:tcPr>
          <w:p>
            <w:pPr>
              <w:spacing w:after="0"/>
              <w:rPr>
                <w:sz w:val="3"/>
                <w:szCs w:val="3"/>
                <w:color w:val="auto"/>
              </w:rPr>
            </w:pPr>
          </w:p>
        </w:tc>
        <w:tc>
          <w:tcPr>
            <w:tcW w:w="920" w:type="dxa"/>
            <w:vAlign w:val="bottom"/>
            <w:tcBorders>
              <w:bottom w:val="single" w:sz="8" w:color="DFF1FB"/>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3660" w:type="dxa"/>
            <w:vAlign w:val="bottom"/>
          </w:tcPr>
          <w:p>
            <w:pPr>
              <w:ind w:left="80"/>
              <w:spacing w:after="0"/>
              <w:rPr>
                <w:sz w:val="20"/>
                <w:szCs w:val="20"/>
                <w:color w:val="auto"/>
              </w:rPr>
            </w:pPr>
            <w:r>
              <w:rPr>
                <w:rFonts w:ascii="Arial" w:cs="Arial" w:eastAsia="Arial" w:hAnsi="Arial"/>
                <w:sz w:val="13"/>
                <w:szCs w:val="13"/>
                <w:b w:val="1"/>
                <w:bCs w:val="1"/>
                <w:color w:val="105EAB"/>
              </w:rPr>
              <w:t>Mr. Dugenske</w:t>
            </w:r>
          </w:p>
        </w:tc>
        <w:tc>
          <w:tcPr>
            <w:tcW w:w="3700" w:type="dxa"/>
            <w:vAlign w:val="bottom"/>
          </w:tcPr>
          <w:p>
            <w:pPr>
              <w:jc w:val="right"/>
              <w:ind w:right="33"/>
              <w:spacing w:after="0"/>
              <w:rPr>
                <w:sz w:val="20"/>
                <w:szCs w:val="20"/>
                <w:color w:val="auto"/>
              </w:rPr>
            </w:pPr>
            <w:r>
              <w:rPr>
                <w:rFonts w:ascii="Arial" w:cs="Arial" w:eastAsia="Arial" w:hAnsi="Arial"/>
                <w:sz w:val="13"/>
                <w:szCs w:val="13"/>
                <w:color w:val="auto"/>
              </w:rPr>
              <w:t>0</w:t>
            </w:r>
          </w:p>
        </w:tc>
        <w:tc>
          <w:tcPr>
            <w:tcW w:w="1100" w:type="dxa"/>
            <w:vAlign w:val="bottom"/>
          </w:tcPr>
          <w:p>
            <w:pPr>
              <w:jc w:val="right"/>
              <w:ind w:right="33"/>
              <w:spacing w:after="0"/>
              <w:rPr>
                <w:sz w:val="20"/>
                <w:szCs w:val="20"/>
                <w:color w:val="auto"/>
              </w:rPr>
            </w:pPr>
            <w:r>
              <w:rPr>
                <w:rFonts w:ascii="Arial" w:cs="Arial" w:eastAsia="Arial" w:hAnsi="Arial"/>
                <w:sz w:val="13"/>
                <w:szCs w:val="13"/>
                <w:color w:val="auto"/>
              </w:rPr>
              <w:t>0</w:t>
            </w:r>
          </w:p>
        </w:tc>
        <w:tc>
          <w:tcPr>
            <w:tcW w:w="960" w:type="dxa"/>
            <w:vAlign w:val="bottom"/>
          </w:tcPr>
          <w:p>
            <w:pPr>
              <w:jc w:val="right"/>
              <w:ind w:right="113"/>
              <w:spacing w:after="0"/>
              <w:rPr>
                <w:sz w:val="20"/>
                <w:szCs w:val="20"/>
                <w:color w:val="auto"/>
              </w:rPr>
            </w:pPr>
            <w:r>
              <w:rPr>
                <w:rFonts w:ascii="Arial" w:cs="Arial" w:eastAsia="Arial" w:hAnsi="Arial"/>
                <w:sz w:val="13"/>
                <w:szCs w:val="13"/>
                <w:color w:val="auto"/>
              </w:rPr>
              <w:t>0</w:t>
            </w:r>
          </w:p>
        </w:tc>
        <w:tc>
          <w:tcPr>
            <w:tcW w:w="1080" w:type="dxa"/>
            <w:vAlign w:val="bottom"/>
          </w:tcPr>
          <w:p>
            <w:pPr>
              <w:jc w:val="right"/>
              <w:ind w:right="33"/>
              <w:spacing w:after="0"/>
              <w:rPr>
                <w:sz w:val="20"/>
                <w:szCs w:val="20"/>
                <w:color w:val="auto"/>
              </w:rPr>
            </w:pPr>
            <w:r>
              <w:rPr>
                <w:rFonts w:ascii="Arial" w:cs="Arial" w:eastAsia="Arial" w:hAnsi="Arial"/>
                <w:sz w:val="13"/>
                <w:szCs w:val="13"/>
                <w:color w:val="auto"/>
              </w:rPr>
              <w:t>0</w:t>
            </w:r>
          </w:p>
        </w:tc>
        <w:tc>
          <w:tcPr>
            <w:tcW w:w="920" w:type="dxa"/>
            <w:vAlign w:val="bottom"/>
          </w:tcPr>
          <w:p>
            <w:pPr>
              <w:jc w:val="right"/>
              <w:ind w:right="13"/>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41"/>
        </w:trPr>
        <w:tc>
          <w:tcPr>
            <w:tcW w:w="3660" w:type="dxa"/>
            <w:vAlign w:val="bottom"/>
            <w:tcBorders>
              <w:bottom w:val="single" w:sz="8" w:color="DFF1FB"/>
            </w:tcBorders>
          </w:tcPr>
          <w:p>
            <w:pPr>
              <w:spacing w:after="0"/>
              <w:rPr>
                <w:sz w:val="3"/>
                <w:szCs w:val="3"/>
                <w:color w:val="auto"/>
              </w:rPr>
            </w:pPr>
          </w:p>
        </w:tc>
        <w:tc>
          <w:tcPr>
            <w:tcW w:w="3700" w:type="dxa"/>
            <w:vAlign w:val="bottom"/>
            <w:tcBorders>
              <w:bottom w:val="single" w:sz="8" w:color="DFF1FB"/>
            </w:tcBorders>
          </w:tcPr>
          <w:p>
            <w:pPr>
              <w:spacing w:after="0"/>
              <w:rPr>
                <w:sz w:val="3"/>
                <w:szCs w:val="3"/>
                <w:color w:val="auto"/>
              </w:rPr>
            </w:pPr>
          </w:p>
        </w:tc>
        <w:tc>
          <w:tcPr>
            <w:tcW w:w="1100" w:type="dxa"/>
            <w:vAlign w:val="bottom"/>
            <w:tcBorders>
              <w:bottom w:val="single" w:sz="8" w:color="DFF1FB"/>
            </w:tcBorders>
          </w:tcPr>
          <w:p>
            <w:pPr>
              <w:spacing w:after="0"/>
              <w:rPr>
                <w:sz w:val="3"/>
                <w:szCs w:val="3"/>
                <w:color w:val="auto"/>
              </w:rPr>
            </w:pPr>
          </w:p>
        </w:tc>
        <w:tc>
          <w:tcPr>
            <w:tcW w:w="960" w:type="dxa"/>
            <w:vAlign w:val="bottom"/>
            <w:tcBorders>
              <w:bottom w:val="single" w:sz="8" w:color="DFF1FB"/>
            </w:tcBorders>
          </w:tcPr>
          <w:p>
            <w:pPr>
              <w:spacing w:after="0"/>
              <w:rPr>
                <w:sz w:val="3"/>
                <w:szCs w:val="3"/>
                <w:color w:val="auto"/>
              </w:rPr>
            </w:pPr>
          </w:p>
        </w:tc>
        <w:tc>
          <w:tcPr>
            <w:tcW w:w="1080" w:type="dxa"/>
            <w:vAlign w:val="bottom"/>
            <w:tcBorders>
              <w:bottom w:val="single" w:sz="8" w:color="DFF1FB"/>
            </w:tcBorders>
          </w:tcPr>
          <w:p>
            <w:pPr>
              <w:spacing w:after="0"/>
              <w:rPr>
                <w:sz w:val="3"/>
                <w:szCs w:val="3"/>
                <w:color w:val="auto"/>
              </w:rPr>
            </w:pPr>
          </w:p>
        </w:tc>
        <w:tc>
          <w:tcPr>
            <w:tcW w:w="920" w:type="dxa"/>
            <w:vAlign w:val="bottom"/>
            <w:tcBorders>
              <w:bottom w:val="single" w:sz="8" w:color="DFF1FB"/>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3660" w:type="dxa"/>
            <w:vAlign w:val="bottom"/>
          </w:tcPr>
          <w:p>
            <w:pPr>
              <w:ind w:left="80"/>
              <w:spacing w:after="0"/>
              <w:rPr>
                <w:sz w:val="20"/>
                <w:szCs w:val="20"/>
                <w:color w:val="auto"/>
              </w:rPr>
            </w:pPr>
            <w:r>
              <w:rPr>
                <w:rFonts w:ascii="Arial" w:cs="Arial" w:eastAsia="Arial" w:hAnsi="Arial"/>
                <w:sz w:val="13"/>
                <w:szCs w:val="13"/>
                <w:b w:val="1"/>
                <w:bCs w:val="1"/>
                <w:color w:val="105EAB"/>
              </w:rPr>
              <w:t>Mr. Shapiro</w:t>
            </w:r>
          </w:p>
        </w:tc>
        <w:tc>
          <w:tcPr>
            <w:tcW w:w="3700" w:type="dxa"/>
            <w:vAlign w:val="bottom"/>
          </w:tcPr>
          <w:p>
            <w:pPr>
              <w:jc w:val="right"/>
              <w:ind w:right="33"/>
              <w:spacing w:after="0"/>
              <w:rPr>
                <w:sz w:val="20"/>
                <w:szCs w:val="20"/>
                <w:color w:val="auto"/>
              </w:rPr>
            </w:pPr>
            <w:r>
              <w:rPr>
                <w:rFonts w:ascii="Arial" w:cs="Arial" w:eastAsia="Arial" w:hAnsi="Arial"/>
                <w:sz w:val="13"/>
                <w:szCs w:val="13"/>
                <w:color w:val="auto"/>
              </w:rPr>
              <w:t>1,000,000</w:t>
            </w:r>
          </w:p>
        </w:tc>
        <w:tc>
          <w:tcPr>
            <w:tcW w:w="1100" w:type="dxa"/>
            <w:vAlign w:val="bottom"/>
          </w:tcPr>
          <w:p>
            <w:pPr>
              <w:jc w:val="right"/>
              <w:ind w:right="33"/>
              <w:spacing w:after="0"/>
              <w:rPr>
                <w:sz w:val="20"/>
                <w:szCs w:val="20"/>
                <w:color w:val="auto"/>
              </w:rPr>
            </w:pPr>
            <w:r>
              <w:rPr>
                <w:rFonts w:ascii="Arial" w:cs="Arial" w:eastAsia="Arial" w:hAnsi="Arial"/>
                <w:sz w:val="13"/>
                <w:szCs w:val="13"/>
                <w:color w:val="auto"/>
              </w:rPr>
              <w:t>0</w:t>
            </w:r>
          </w:p>
        </w:tc>
        <w:tc>
          <w:tcPr>
            <w:tcW w:w="960" w:type="dxa"/>
            <w:vAlign w:val="bottom"/>
          </w:tcPr>
          <w:p>
            <w:pPr>
              <w:jc w:val="right"/>
              <w:ind w:right="113"/>
              <w:spacing w:after="0"/>
              <w:rPr>
                <w:sz w:val="20"/>
                <w:szCs w:val="20"/>
                <w:color w:val="auto"/>
              </w:rPr>
            </w:pPr>
            <w:r>
              <w:rPr>
                <w:rFonts w:ascii="Arial" w:cs="Arial" w:eastAsia="Arial" w:hAnsi="Arial"/>
                <w:sz w:val="13"/>
                <w:szCs w:val="13"/>
                <w:color w:val="auto"/>
              </w:rPr>
              <w:t>28,348</w:t>
            </w:r>
          </w:p>
        </w:tc>
        <w:tc>
          <w:tcPr>
            <w:tcW w:w="1080" w:type="dxa"/>
            <w:vAlign w:val="bottom"/>
          </w:tcPr>
          <w:p>
            <w:pPr>
              <w:jc w:val="right"/>
              <w:ind w:right="33"/>
              <w:spacing w:after="0"/>
              <w:rPr>
                <w:sz w:val="20"/>
                <w:szCs w:val="20"/>
                <w:color w:val="auto"/>
              </w:rPr>
            </w:pPr>
            <w:r>
              <w:rPr>
                <w:rFonts w:ascii="Arial" w:cs="Arial" w:eastAsia="Arial" w:hAnsi="Arial"/>
                <w:sz w:val="13"/>
                <w:szCs w:val="13"/>
                <w:color w:val="auto"/>
              </w:rPr>
              <w:t>0</w:t>
            </w:r>
          </w:p>
        </w:tc>
        <w:tc>
          <w:tcPr>
            <w:tcW w:w="920" w:type="dxa"/>
            <w:vAlign w:val="bottom"/>
          </w:tcPr>
          <w:p>
            <w:pPr>
              <w:jc w:val="right"/>
              <w:ind w:right="13"/>
              <w:spacing w:after="0"/>
              <w:rPr>
                <w:sz w:val="20"/>
                <w:szCs w:val="20"/>
                <w:color w:val="auto"/>
              </w:rPr>
            </w:pPr>
            <w:r>
              <w:rPr>
                <w:rFonts w:ascii="Arial" w:cs="Arial" w:eastAsia="Arial" w:hAnsi="Arial"/>
                <w:sz w:val="13"/>
                <w:szCs w:val="13"/>
                <w:color w:val="auto"/>
              </w:rPr>
              <w:t>1,371,708</w:t>
            </w:r>
          </w:p>
        </w:tc>
        <w:tc>
          <w:tcPr>
            <w:tcW w:w="0" w:type="dxa"/>
            <w:vAlign w:val="bottom"/>
          </w:tcPr>
          <w:p>
            <w:pPr>
              <w:spacing w:after="0"/>
              <w:rPr>
                <w:sz w:val="1"/>
                <w:szCs w:val="1"/>
                <w:color w:val="auto"/>
              </w:rPr>
            </w:pPr>
          </w:p>
        </w:tc>
      </w:tr>
      <w:tr>
        <w:trPr>
          <w:trHeight w:val="41"/>
        </w:trPr>
        <w:tc>
          <w:tcPr>
            <w:tcW w:w="3660" w:type="dxa"/>
            <w:vAlign w:val="bottom"/>
            <w:tcBorders>
              <w:bottom w:val="single" w:sz="8" w:color="DFF1FB"/>
            </w:tcBorders>
          </w:tcPr>
          <w:p>
            <w:pPr>
              <w:spacing w:after="0"/>
              <w:rPr>
                <w:sz w:val="3"/>
                <w:szCs w:val="3"/>
                <w:color w:val="auto"/>
              </w:rPr>
            </w:pPr>
          </w:p>
        </w:tc>
        <w:tc>
          <w:tcPr>
            <w:tcW w:w="3700" w:type="dxa"/>
            <w:vAlign w:val="bottom"/>
            <w:tcBorders>
              <w:bottom w:val="single" w:sz="8" w:color="DFF1FB"/>
            </w:tcBorders>
          </w:tcPr>
          <w:p>
            <w:pPr>
              <w:spacing w:after="0"/>
              <w:rPr>
                <w:sz w:val="3"/>
                <w:szCs w:val="3"/>
                <w:color w:val="auto"/>
              </w:rPr>
            </w:pPr>
          </w:p>
        </w:tc>
        <w:tc>
          <w:tcPr>
            <w:tcW w:w="1100" w:type="dxa"/>
            <w:vAlign w:val="bottom"/>
            <w:tcBorders>
              <w:bottom w:val="single" w:sz="8" w:color="DFF1FB"/>
            </w:tcBorders>
          </w:tcPr>
          <w:p>
            <w:pPr>
              <w:spacing w:after="0"/>
              <w:rPr>
                <w:sz w:val="3"/>
                <w:szCs w:val="3"/>
                <w:color w:val="auto"/>
              </w:rPr>
            </w:pPr>
          </w:p>
        </w:tc>
        <w:tc>
          <w:tcPr>
            <w:tcW w:w="960" w:type="dxa"/>
            <w:vAlign w:val="bottom"/>
            <w:tcBorders>
              <w:bottom w:val="single" w:sz="8" w:color="DFF1FB"/>
            </w:tcBorders>
          </w:tcPr>
          <w:p>
            <w:pPr>
              <w:spacing w:after="0"/>
              <w:rPr>
                <w:sz w:val="3"/>
                <w:szCs w:val="3"/>
                <w:color w:val="auto"/>
              </w:rPr>
            </w:pPr>
          </w:p>
        </w:tc>
        <w:tc>
          <w:tcPr>
            <w:tcW w:w="1080" w:type="dxa"/>
            <w:vAlign w:val="bottom"/>
            <w:tcBorders>
              <w:bottom w:val="single" w:sz="8" w:color="DFF1FB"/>
            </w:tcBorders>
          </w:tcPr>
          <w:p>
            <w:pPr>
              <w:spacing w:after="0"/>
              <w:rPr>
                <w:sz w:val="3"/>
                <w:szCs w:val="3"/>
                <w:color w:val="auto"/>
              </w:rPr>
            </w:pPr>
          </w:p>
        </w:tc>
        <w:tc>
          <w:tcPr>
            <w:tcW w:w="920" w:type="dxa"/>
            <w:vAlign w:val="bottom"/>
            <w:tcBorders>
              <w:bottom w:val="single" w:sz="8" w:color="DFF1FB"/>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3660" w:type="dxa"/>
            <w:vAlign w:val="bottom"/>
          </w:tcPr>
          <w:p>
            <w:pPr>
              <w:ind w:left="80"/>
              <w:spacing w:after="0"/>
              <w:rPr>
                <w:sz w:val="20"/>
                <w:szCs w:val="20"/>
                <w:color w:val="auto"/>
              </w:rPr>
            </w:pPr>
            <w:r>
              <w:rPr>
                <w:rFonts w:ascii="Arial" w:cs="Arial" w:eastAsia="Arial" w:hAnsi="Arial"/>
                <w:sz w:val="13"/>
                <w:szCs w:val="13"/>
                <w:b w:val="1"/>
                <w:bCs w:val="1"/>
                <w:color w:val="105EAB"/>
              </w:rPr>
              <w:t>Mr. Shebik</w:t>
            </w:r>
          </w:p>
        </w:tc>
        <w:tc>
          <w:tcPr>
            <w:tcW w:w="3700" w:type="dxa"/>
            <w:vAlign w:val="bottom"/>
          </w:tcPr>
          <w:p>
            <w:pPr>
              <w:jc w:val="right"/>
              <w:ind w:right="33"/>
              <w:spacing w:after="0"/>
              <w:rPr>
                <w:sz w:val="20"/>
                <w:szCs w:val="20"/>
                <w:color w:val="auto"/>
              </w:rPr>
            </w:pPr>
            <w:r>
              <w:rPr>
                <w:rFonts w:ascii="Arial" w:cs="Arial" w:eastAsia="Arial" w:hAnsi="Arial"/>
                <w:sz w:val="13"/>
                <w:szCs w:val="13"/>
                <w:color w:val="auto"/>
              </w:rPr>
              <w:t>0</w:t>
            </w:r>
          </w:p>
        </w:tc>
        <w:tc>
          <w:tcPr>
            <w:tcW w:w="1100" w:type="dxa"/>
            <w:vAlign w:val="bottom"/>
          </w:tcPr>
          <w:p>
            <w:pPr>
              <w:jc w:val="right"/>
              <w:ind w:right="33"/>
              <w:spacing w:after="0"/>
              <w:rPr>
                <w:sz w:val="20"/>
                <w:szCs w:val="20"/>
                <w:color w:val="auto"/>
              </w:rPr>
            </w:pPr>
            <w:r>
              <w:rPr>
                <w:rFonts w:ascii="Arial" w:cs="Arial" w:eastAsia="Arial" w:hAnsi="Arial"/>
                <w:sz w:val="13"/>
                <w:szCs w:val="13"/>
                <w:color w:val="auto"/>
              </w:rPr>
              <w:t>0</w:t>
            </w:r>
          </w:p>
        </w:tc>
        <w:tc>
          <w:tcPr>
            <w:tcW w:w="960" w:type="dxa"/>
            <w:vAlign w:val="bottom"/>
          </w:tcPr>
          <w:p>
            <w:pPr>
              <w:jc w:val="right"/>
              <w:ind w:right="53"/>
              <w:spacing w:after="0"/>
              <w:rPr>
                <w:sz w:val="20"/>
                <w:szCs w:val="20"/>
                <w:color w:val="auto"/>
              </w:rPr>
            </w:pPr>
            <w:r>
              <w:rPr>
                <w:rFonts w:ascii="Arial" w:cs="Arial" w:eastAsia="Arial" w:hAnsi="Arial"/>
                <w:sz w:val="13"/>
                <w:szCs w:val="13"/>
                <w:color w:val="auto"/>
              </w:rPr>
              <w:t>(20,217)</w:t>
            </w:r>
          </w:p>
        </w:tc>
        <w:tc>
          <w:tcPr>
            <w:tcW w:w="1080" w:type="dxa"/>
            <w:vAlign w:val="bottom"/>
          </w:tcPr>
          <w:p>
            <w:pPr>
              <w:jc w:val="right"/>
              <w:ind w:right="33"/>
              <w:spacing w:after="0"/>
              <w:rPr>
                <w:sz w:val="20"/>
                <w:szCs w:val="20"/>
                <w:color w:val="auto"/>
              </w:rPr>
            </w:pPr>
            <w:r>
              <w:rPr>
                <w:rFonts w:ascii="Arial" w:cs="Arial" w:eastAsia="Arial" w:hAnsi="Arial"/>
                <w:sz w:val="13"/>
                <w:szCs w:val="13"/>
                <w:color w:val="auto"/>
              </w:rPr>
              <w:t>0</w:t>
            </w:r>
          </w:p>
        </w:tc>
        <w:tc>
          <w:tcPr>
            <w:tcW w:w="920" w:type="dxa"/>
            <w:vAlign w:val="bottom"/>
          </w:tcPr>
          <w:p>
            <w:pPr>
              <w:jc w:val="right"/>
              <w:ind w:right="13"/>
              <w:spacing w:after="0"/>
              <w:rPr>
                <w:sz w:val="20"/>
                <w:szCs w:val="20"/>
                <w:color w:val="auto"/>
              </w:rPr>
            </w:pPr>
            <w:r>
              <w:rPr>
                <w:rFonts w:ascii="Arial" w:cs="Arial" w:eastAsia="Arial" w:hAnsi="Arial"/>
                <w:sz w:val="13"/>
                <w:szCs w:val="13"/>
                <w:color w:val="auto"/>
              </w:rPr>
              <w:t>165,921</w:t>
            </w:r>
          </w:p>
        </w:tc>
        <w:tc>
          <w:tcPr>
            <w:tcW w:w="0" w:type="dxa"/>
            <w:vAlign w:val="bottom"/>
          </w:tcPr>
          <w:p>
            <w:pPr>
              <w:spacing w:after="0"/>
              <w:rPr>
                <w:sz w:val="1"/>
                <w:szCs w:val="1"/>
                <w:color w:val="auto"/>
              </w:rPr>
            </w:pPr>
          </w:p>
        </w:tc>
      </w:tr>
      <w:tr>
        <w:trPr>
          <w:trHeight w:val="48"/>
        </w:trPr>
        <w:tc>
          <w:tcPr>
            <w:tcW w:w="3660" w:type="dxa"/>
            <w:vAlign w:val="bottom"/>
            <w:tcBorders>
              <w:bottom w:val="single" w:sz="8" w:color="105EAB"/>
            </w:tcBorders>
          </w:tcPr>
          <w:p>
            <w:pPr>
              <w:spacing w:after="0"/>
              <w:rPr>
                <w:sz w:val="4"/>
                <w:szCs w:val="4"/>
                <w:color w:val="auto"/>
              </w:rPr>
            </w:pPr>
          </w:p>
        </w:tc>
        <w:tc>
          <w:tcPr>
            <w:tcW w:w="3700" w:type="dxa"/>
            <w:vAlign w:val="bottom"/>
            <w:tcBorders>
              <w:bottom w:val="single" w:sz="8" w:color="105EAB"/>
            </w:tcBorders>
          </w:tcPr>
          <w:p>
            <w:pPr>
              <w:spacing w:after="0"/>
              <w:rPr>
                <w:sz w:val="4"/>
                <w:szCs w:val="4"/>
                <w:color w:val="auto"/>
              </w:rPr>
            </w:pPr>
          </w:p>
        </w:tc>
        <w:tc>
          <w:tcPr>
            <w:tcW w:w="1100" w:type="dxa"/>
            <w:vAlign w:val="bottom"/>
            <w:tcBorders>
              <w:bottom w:val="single" w:sz="8" w:color="105EAB"/>
            </w:tcBorders>
          </w:tcPr>
          <w:p>
            <w:pPr>
              <w:spacing w:after="0"/>
              <w:rPr>
                <w:sz w:val="4"/>
                <w:szCs w:val="4"/>
                <w:color w:val="auto"/>
              </w:rPr>
            </w:pPr>
          </w:p>
        </w:tc>
        <w:tc>
          <w:tcPr>
            <w:tcW w:w="960" w:type="dxa"/>
            <w:vAlign w:val="bottom"/>
            <w:tcBorders>
              <w:bottom w:val="single" w:sz="8" w:color="105EAB"/>
            </w:tcBorders>
          </w:tcPr>
          <w:p>
            <w:pPr>
              <w:spacing w:after="0"/>
              <w:rPr>
                <w:sz w:val="4"/>
                <w:szCs w:val="4"/>
                <w:color w:val="auto"/>
              </w:rPr>
            </w:pPr>
          </w:p>
        </w:tc>
        <w:tc>
          <w:tcPr>
            <w:tcW w:w="1080" w:type="dxa"/>
            <w:vAlign w:val="bottom"/>
            <w:tcBorders>
              <w:bottom w:val="single" w:sz="8" w:color="105EAB"/>
            </w:tcBorders>
          </w:tcPr>
          <w:p>
            <w:pPr>
              <w:spacing w:after="0"/>
              <w:rPr>
                <w:sz w:val="4"/>
                <w:szCs w:val="4"/>
                <w:color w:val="auto"/>
              </w:rPr>
            </w:pPr>
          </w:p>
        </w:tc>
        <w:tc>
          <w:tcPr>
            <w:tcW w:w="920" w:type="dxa"/>
            <w:vAlign w:val="bottom"/>
            <w:tcBorders>
              <w:bottom w:val="single" w:sz="8" w:color="105EAB"/>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300" w:hanging="292"/>
        <w:spacing w:after="0"/>
        <w:tabs>
          <w:tab w:leader="none" w:pos="300" w:val="left"/>
        </w:tabs>
        <w:numPr>
          <w:ilvl w:val="0"/>
          <w:numId w:val="205"/>
        </w:numPr>
        <w:rPr>
          <w:rFonts w:ascii="Arial" w:cs="Arial" w:eastAsia="Arial" w:hAnsi="Arial"/>
          <w:sz w:val="22"/>
          <w:szCs w:val="22"/>
          <w:color w:val="auto"/>
          <w:vertAlign w:val="superscript"/>
        </w:rPr>
      </w:pPr>
      <w:r>
        <w:rPr>
          <w:rFonts w:ascii="Arial" w:cs="Arial" w:eastAsia="Arial" w:hAnsi="Arial"/>
          <w:sz w:val="13"/>
          <w:szCs w:val="13"/>
          <w:color w:val="auto"/>
        </w:rPr>
        <w:t xml:space="preserve">Aggregate earnings were not included in the named executive’s compensation in the last completed fiscal year in the </w:t>
      </w:r>
      <w:r>
        <w:rPr>
          <w:rFonts w:ascii="Arial" w:cs="Arial" w:eastAsia="Arial" w:hAnsi="Arial"/>
          <w:sz w:val="13"/>
          <w:szCs w:val="13"/>
          <w:i w:val="1"/>
          <w:iCs w:val="1"/>
          <w:color w:val="auto"/>
        </w:rPr>
        <w:t>Summary Compensation Table.</w:t>
      </w:r>
    </w:p>
    <w:p>
      <w:pPr>
        <w:ind w:left="300" w:hanging="292"/>
        <w:spacing w:after="0" w:line="187" w:lineRule="auto"/>
        <w:tabs>
          <w:tab w:leader="none" w:pos="300" w:val="left"/>
        </w:tabs>
        <w:numPr>
          <w:ilvl w:val="0"/>
          <w:numId w:val="205"/>
        </w:numPr>
        <w:rPr>
          <w:rFonts w:ascii="Arial" w:cs="Arial" w:eastAsia="Arial" w:hAnsi="Arial"/>
          <w:sz w:val="18"/>
          <w:szCs w:val="18"/>
          <w:color w:val="auto"/>
          <w:vertAlign w:val="superscript"/>
        </w:rPr>
      </w:pPr>
      <w:r>
        <w:rPr>
          <w:rFonts w:ascii="Arial" w:cs="Arial" w:eastAsia="Arial" w:hAnsi="Arial"/>
          <w:sz w:val="11"/>
          <w:szCs w:val="11"/>
          <w:color w:val="auto"/>
        </w:rPr>
        <w:t xml:space="preserve">There are no amounts reported in the Aggregate Balance at Last FYE column that previously were reported as compensation in the </w:t>
      </w:r>
      <w:r>
        <w:rPr>
          <w:rFonts w:ascii="Arial" w:cs="Arial" w:eastAsia="Arial" w:hAnsi="Arial"/>
          <w:sz w:val="11"/>
          <w:szCs w:val="11"/>
          <w:i w:val="1"/>
          <w:iCs w:val="1"/>
          <w:color w:val="auto"/>
        </w:rPr>
        <w:t>Summary Compensation Table</w:t>
      </w:r>
      <w:r>
        <w:rPr>
          <w:rFonts w:ascii="Arial" w:cs="Arial" w:eastAsia="Arial" w:hAnsi="Arial"/>
          <w:sz w:val="11"/>
          <w:szCs w:val="11"/>
          <w:color w:val="auto"/>
        </w:rPr>
        <w:t>.</w:t>
      </w:r>
    </w:p>
    <w:p>
      <w:pPr>
        <w:spacing w:after="0" w:line="203" w:lineRule="exact"/>
        <w:rPr>
          <w:sz w:val="20"/>
          <w:szCs w:val="20"/>
          <w:color w:val="auto"/>
        </w:rPr>
      </w:pPr>
    </w:p>
    <w:p>
      <w:pPr>
        <w:ind w:left="460" w:hanging="452"/>
        <w:spacing w:after="0"/>
        <w:tabs>
          <w:tab w:leader="none" w:pos="460" w:val="left"/>
        </w:tabs>
        <w:numPr>
          <w:ilvl w:val="0"/>
          <w:numId w:val="206"/>
        </w:numPr>
        <w:rPr>
          <w:rFonts w:ascii="Arial" w:cs="Arial" w:eastAsia="Arial" w:hAnsi="Arial"/>
          <w:sz w:val="13"/>
          <w:szCs w:val="13"/>
          <w:b w:val="1"/>
          <w:bCs w:val="1"/>
          <w:color w:val="105EAB"/>
        </w:rPr>
      </w:pPr>
      <w:r>
        <w:rPr>
          <w:rFonts w:ascii="Arial" w:cs="Arial" w:eastAsia="Arial" w:hAnsi="Arial"/>
          <w:sz w:val="13"/>
          <w:szCs w:val="13"/>
          <w:color w:val="105EAB"/>
        </w:rPr>
        <w:t>www.allstateproxy.com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134620</wp:posOffset>
            </wp:positionV>
            <wp:extent cx="7268210" cy="209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ind w:left="4800"/>
        <w:spacing w:after="0"/>
        <w:rPr>
          <w:sz w:val="20"/>
          <w:szCs w:val="20"/>
          <w:color w:val="auto"/>
        </w:rPr>
      </w:pPr>
      <w:r>
        <w:rPr>
          <w:rFonts w:ascii="Arial" w:cs="Arial" w:eastAsia="Arial" w:hAnsi="Arial"/>
          <w:sz w:val="13"/>
          <w:szCs w:val="13"/>
          <w:b w:val="1"/>
          <w:bCs w:val="1"/>
          <w:color w:val="auto"/>
        </w:rPr>
        <w:t xml:space="preserve">Potential Payments as a Result of Termination or Change in Control (“CIC”) </w:t>
      </w:r>
      <w:r>
        <w:rPr>
          <w:rFonts w:ascii="Arial" w:cs="Arial" w:eastAsia="Arial" w:hAnsi="Arial"/>
          <w:sz w:val="13"/>
          <w:szCs w:val="13"/>
          <w:b w:val="1"/>
          <w:bCs w:val="1"/>
          <w:color w:val="105EAB"/>
        </w:rPr>
        <w:t>| Executive Compensation</w:t>
      </w:r>
    </w:p>
    <w:p>
      <w:pPr>
        <w:spacing w:after="0" w:line="235"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In order to remain competitive with other employers, we allow the named executives and other employees whose annual compensation exceeds the amount specified in the Internal Revenue Code ($</w:t>
      </w:r>
      <w:r>
        <w:rPr>
          <w:rFonts w:ascii="Arial" w:cs="Arial" w:eastAsia="Arial" w:hAnsi="Arial"/>
          <w:sz w:val="13"/>
          <w:szCs w:val="13"/>
          <w:color w:val="auto"/>
        </w:rPr>
        <w:t>275,000</w:t>
      </w:r>
      <w:r>
        <w:rPr>
          <w:rFonts w:ascii="Arial" w:cs="Arial" w:eastAsia="Arial" w:hAnsi="Arial"/>
          <w:sz w:val="18"/>
          <w:szCs w:val="18"/>
          <w:color w:val="auto"/>
        </w:rPr>
        <w:t xml:space="preserve"> in 2018), to defer under the Deferred Compensation Plan up to 80% of their salary and/or up to 100% of their annual cash incentive award that exceeds the Internal Revenue Code limit. Allstate does not match participant deferrals and does not guarantee a stated rate of return.</w:t>
      </w:r>
    </w:p>
    <w:p>
      <w:pPr>
        <w:spacing w:after="0" w:line="208" w:lineRule="exact"/>
        <w:rPr>
          <w:sz w:val="20"/>
          <w:szCs w:val="20"/>
          <w:color w:val="auto"/>
        </w:rPr>
      </w:pPr>
    </w:p>
    <w:p>
      <w:pPr>
        <w:ind w:right="60"/>
        <w:spacing w:after="0" w:line="270" w:lineRule="auto"/>
        <w:rPr>
          <w:sz w:val="20"/>
          <w:szCs w:val="20"/>
          <w:color w:val="auto"/>
        </w:rPr>
      </w:pPr>
      <w:r>
        <w:rPr>
          <w:rFonts w:ascii="Arial" w:cs="Arial" w:eastAsia="Arial" w:hAnsi="Arial"/>
          <w:sz w:val="16"/>
          <w:szCs w:val="16"/>
          <w:color w:val="auto"/>
        </w:rPr>
        <w:t>Deferrals under the Deferred Compensation Plan are credited with earnings or debited for losses based on the results of the notional investment option or options selected by the participants. The notional investment options available in 2018 under the Deferred Compensation Plan are: stable value, S&amp;P 500, international equity, Russell 2000, mid-cap, and bond funds. Under the Deferred Compensation Plan, deferrals are not actually invested in these funds, but instead are credited with earnings or debited for losses based on the funds’ investment returns. Because the rate of return is based on actual investment measures in our 401(k) plan, no above-market earnings are credited, recorded, or paid. Our Deferred Compensation Plan and 401(k) plan allow participants to change their investment elections daily, subject to certain trading restrictions.</w:t>
      </w:r>
    </w:p>
    <w:p>
      <w:pPr>
        <w:spacing w:after="0" w:line="188" w:lineRule="exact"/>
        <w:rPr>
          <w:sz w:val="20"/>
          <w:szCs w:val="20"/>
          <w:color w:val="auto"/>
        </w:rPr>
      </w:pPr>
    </w:p>
    <w:p>
      <w:pPr>
        <w:jc w:val="both"/>
        <w:ind w:right="260"/>
        <w:spacing w:after="0" w:line="237" w:lineRule="auto"/>
        <w:rPr>
          <w:sz w:val="20"/>
          <w:szCs w:val="20"/>
          <w:color w:val="auto"/>
        </w:rPr>
      </w:pPr>
      <w:r>
        <w:rPr>
          <w:rFonts w:ascii="Arial" w:cs="Arial" w:eastAsia="Arial" w:hAnsi="Arial"/>
          <w:sz w:val="18"/>
          <w:szCs w:val="18"/>
          <w:color w:val="auto"/>
        </w:rPr>
        <w:t>The Deferred Compensation Plan is unfunded. This means that Allstate does not set aside funds for the plan in a trust or otherwise. Participants have only the rights of general unsecured creditors and may lose their balances in the event of the company’s bankruptcy. Account balances are 100% vested at all times.</w:t>
      </w:r>
    </w:p>
    <w:p>
      <w:pPr>
        <w:spacing w:after="0" w:line="210" w:lineRule="exact"/>
        <w:rPr>
          <w:sz w:val="20"/>
          <w:szCs w:val="20"/>
          <w:color w:val="auto"/>
        </w:rPr>
      </w:pPr>
    </w:p>
    <w:p>
      <w:pPr>
        <w:ind w:right="80"/>
        <w:spacing w:after="0" w:line="268" w:lineRule="auto"/>
        <w:rPr>
          <w:sz w:val="20"/>
          <w:szCs w:val="20"/>
          <w:color w:val="auto"/>
        </w:rPr>
      </w:pPr>
      <w:r>
        <w:rPr>
          <w:rFonts w:ascii="Arial" w:cs="Arial" w:eastAsia="Arial" w:hAnsi="Arial"/>
          <w:sz w:val="16"/>
          <w:szCs w:val="16"/>
          <w:color w:val="auto"/>
        </w:rPr>
        <w:t>An irrevocable distribution election is required before making any deferrals into the Deferred Compensation Plan. Generally, a named executive may elect to begin receiving a distribution of his or her account balance immediately upon separation from service or in one of the first through fifth years after separation from service or, for amounts deferred on or after January 1, 2018, in the fifth year after separation from service. The earliest distribution date for deferrals made on or after January 1, 2005, and earnings and losses on these amounts, is six months following separation from service. The named executive may elect to receive payment in a lump sum or in annual cash installment payments over a period of two to ten years, or, for amounts deferred on or after January 1, 2018, over a period of up to five years. In addition, a named executive may elect an in-service withdrawal of his or her entire balance earned and vested prior to January 1, 2005, and earnings and losses on these amounts, subject to forfeiture of 10% of such balance. A named executive may also elect an in-service withdrawal of all or a portion of the deferrals he or she made on or after January 1, 2018, together with earnings and losses on those amounts. Upon proof of an unforeseen emergency, a plan participant may be allowed to access certain funds in a deferred compensation account earlier than the dates specified above.</w:t>
      </w:r>
    </w:p>
    <w:p>
      <w:pPr>
        <w:spacing w:after="0" w:line="356" w:lineRule="exact"/>
        <w:rPr>
          <w:sz w:val="20"/>
          <w:szCs w:val="20"/>
          <w:color w:val="auto"/>
        </w:rPr>
      </w:pPr>
    </w:p>
    <w:p>
      <w:pPr>
        <w:spacing w:after="0"/>
        <w:rPr>
          <w:sz w:val="20"/>
          <w:szCs w:val="20"/>
          <w:color w:val="auto"/>
        </w:rPr>
      </w:pPr>
      <w:r>
        <w:rPr>
          <w:rFonts w:ascii="Arial" w:cs="Arial" w:eastAsia="Arial" w:hAnsi="Arial"/>
          <w:sz w:val="31"/>
          <w:szCs w:val="31"/>
          <w:b w:val="1"/>
          <w:bCs w:val="1"/>
          <w:color w:val="959595"/>
        </w:rPr>
        <w:t>Potential Payments as a Result of Termination or Change in Control (“CIC”)</w:t>
      </w:r>
    </w:p>
    <w:p>
      <w:pPr>
        <w:spacing w:after="0" w:line="258" w:lineRule="exact"/>
        <w:rPr>
          <w:sz w:val="20"/>
          <w:szCs w:val="20"/>
          <w:color w:val="auto"/>
        </w:rPr>
      </w:pPr>
    </w:p>
    <w:p>
      <w:pPr>
        <w:jc w:val="both"/>
        <w:ind w:right="40"/>
        <w:spacing w:after="0" w:line="237" w:lineRule="auto"/>
        <w:rPr>
          <w:sz w:val="20"/>
          <w:szCs w:val="20"/>
          <w:color w:val="auto"/>
        </w:rPr>
      </w:pPr>
      <w:r>
        <w:rPr>
          <w:rFonts w:ascii="Arial" w:cs="Arial" w:eastAsia="Arial" w:hAnsi="Arial"/>
          <w:sz w:val="18"/>
          <w:szCs w:val="18"/>
          <w:color w:val="auto"/>
        </w:rPr>
        <w:t>The following table lists the compensation and benefits that Allstate would generally provide to the named executives in various scenarios involving a termination of employment, other than compensation and benefits generally available to salaried employees. The table describes equity granting practices for the 2018 equity incentive awards. Relevant prior practices are described in the footnotes.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960" w:type="dxa"/>
            <w:vAlign w:val="bottom"/>
          </w:tcPr>
          <w:p>
            <w:pPr>
              <w:spacing w:after="0"/>
              <w:rPr>
                <w:sz w:val="17"/>
                <w:szCs w:val="17"/>
                <w:color w:val="auto"/>
              </w:rPr>
            </w:pPr>
          </w:p>
        </w:tc>
        <w:tc>
          <w:tcPr>
            <w:tcW w:w="1940" w:type="dxa"/>
            <w:vAlign w:val="bottom"/>
            <w:tcBorders>
              <w:bottom w:val="single" w:sz="8" w:color="105EAB"/>
            </w:tcBorders>
          </w:tcPr>
          <w:p>
            <w:pPr>
              <w:spacing w:after="0"/>
              <w:rPr>
                <w:sz w:val="17"/>
                <w:szCs w:val="17"/>
                <w:color w:val="auto"/>
              </w:rPr>
            </w:pPr>
          </w:p>
        </w:tc>
        <w:tc>
          <w:tcPr>
            <w:tcW w:w="1940" w:type="dxa"/>
            <w:vAlign w:val="bottom"/>
            <w:tcBorders>
              <w:bottom w:val="single" w:sz="8" w:color="105EAB"/>
            </w:tcBorders>
          </w:tcPr>
          <w:p>
            <w:pPr>
              <w:spacing w:after="0"/>
              <w:rPr>
                <w:sz w:val="17"/>
                <w:szCs w:val="17"/>
                <w:color w:val="auto"/>
              </w:rPr>
            </w:pPr>
          </w:p>
        </w:tc>
        <w:tc>
          <w:tcPr>
            <w:tcW w:w="1940" w:type="dxa"/>
            <w:vAlign w:val="bottom"/>
            <w:tcBorders>
              <w:bottom w:val="single" w:sz="8" w:color="105EAB"/>
            </w:tcBorders>
          </w:tcPr>
          <w:p>
            <w:pPr>
              <w:ind w:left="120"/>
              <w:spacing w:after="0"/>
              <w:rPr>
                <w:sz w:val="20"/>
                <w:szCs w:val="20"/>
                <w:color w:val="auto"/>
              </w:rPr>
            </w:pPr>
            <w:r>
              <w:rPr>
                <w:rFonts w:ascii="Arial" w:cs="Arial" w:eastAsia="Arial" w:hAnsi="Arial"/>
                <w:sz w:val="13"/>
                <w:szCs w:val="13"/>
                <w:b w:val="1"/>
                <w:bCs w:val="1"/>
                <w:color w:val="105EAB"/>
              </w:rPr>
              <w:t>Termination Scenarios</w:t>
            </w:r>
          </w:p>
        </w:tc>
        <w:tc>
          <w:tcPr>
            <w:tcW w:w="1820" w:type="dxa"/>
            <w:vAlign w:val="bottom"/>
            <w:tcBorders>
              <w:bottom w:val="single" w:sz="8" w:color="105EAB"/>
            </w:tcBorders>
          </w:tcPr>
          <w:p>
            <w:pPr>
              <w:spacing w:after="0"/>
              <w:rPr>
                <w:sz w:val="17"/>
                <w:szCs w:val="17"/>
                <w:color w:val="auto"/>
              </w:rPr>
            </w:pPr>
          </w:p>
        </w:tc>
        <w:tc>
          <w:tcPr>
            <w:tcW w:w="1660" w:type="dxa"/>
            <w:vAlign w:val="bottom"/>
            <w:tcBorders>
              <w:bottom w:val="single" w:sz="8" w:color="105EAB"/>
            </w:tcBorders>
          </w:tcPr>
          <w:p>
            <w:pPr>
              <w:spacing w:after="0"/>
              <w:rPr>
                <w:sz w:val="17"/>
                <w:szCs w:val="17"/>
                <w:color w:val="auto"/>
              </w:rPr>
            </w:pPr>
          </w:p>
        </w:tc>
        <w:tc>
          <w:tcPr>
            <w:tcW w:w="160" w:type="dxa"/>
            <w:vAlign w:val="bottom"/>
            <w:tcBorders>
              <w:bottom w:val="single" w:sz="8" w:color="105EAB"/>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960" w:type="dxa"/>
            <w:vAlign w:val="bottom"/>
          </w:tcPr>
          <w:p>
            <w:pPr>
              <w:ind w:left="80"/>
              <w:spacing w:after="0"/>
              <w:rPr>
                <w:sz w:val="20"/>
                <w:szCs w:val="20"/>
                <w:color w:val="auto"/>
              </w:rPr>
            </w:pPr>
            <w:r>
              <w:rPr>
                <w:rFonts w:ascii="Arial" w:cs="Arial" w:eastAsia="Arial" w:hAnsi="Arial"/>
                <w:sz w:val="13"/>
                <w:szCs w:val="13"/>
                <w:b w:val="1"/>
                <w:bCs w:val="1"/>
                <w:color w:val="105EAB"/>
              </w:rPr>
              <w:t>Compensation</w:t>
            </w:r>
          </w:p>
        </w:tc>
        <w:tc>
          <w:tcPr>
            <w:tcW w:w="1940" w:type="dxa"/>
            <w:vAlign w:val="bottom"/>
            <w:vMerge w:val="restart"/>
            <w:shd w:val="clear" w:color="auto" w:fill="EFF8FA"/>
          </w:tcPr>
          <w:p>
            <w:pPr>
              <w:ind w:left="60"/>
              <w:spacing w:after="0"/>
              <w:rPr>
                <w:sz w:val="20"/>
                <w:szCs w:val="20"/>
                <w:color w:val="auto"/>
              </w:rPr>
            </w:pPr>
            <w:r>
              <w:rPr>
                <w:rFonts w:ascii="Arial" w:cs="Arial" w:eastAsia="Arial" w:hAnsi="Arial"/>
                <w:sz w:val="13"/>
                <w:szCs w:val="13"/>
                <w:b w:val="1"/>
                <w:bCs w:val="1"/>
                <w:color w:val="105EAB"/>
              </w:rPr>
              <w:t>Termination</w:t>
            </w:r>
            <w:r>
              <w:rPr>
                <w:rFonts w:ascii="Arial" w:cs="Arial" w:eastAsia="Arial" w:hAnsi="Arial"/>
                <w:sz w:val="22"/>
                <w:szCs w:val="22"/>
                <w:b w:val="1"/>
                <w:bCs w:val="1"/>
                <w:color w:val="105EAB"/>
                <w:vertAlign w:val="superscript"/>
              </w:rPr>
              <w:t>(1)</w:t>
            </w:r>
          </w:p>
        </w:tc>
        <w:tc>
          <w:tcPr>
            <w:tcW w:w="1940" w:type="dxa"/>
            <w:vAlign w:val="bottom"/>
          </w:tcPr>
          <w:p>
            <w:pPr>
              <w:spacing w:after="0"/>
              <w:rPr>
                <w:sz w:val="16"/>
                <w:szCs w:val="16"/>
                <w:color w:val="auto"/>
              </w:rPr>
            </w:pPr>
          </w:p>
        </w:tc>
        <w:tc>
          <w:tcPr>
            <w:tcW w:w="1940" w:type="dxa"/>
            <w:vAlign w:val="bottom"/>
            <w:shd w:val="clear" w:color="auto" w:fill="EFF8FA"/>
          </w:tcPr>
          <w:p>
            <w:pPr>
              <w:ind w:left="60"/>
              <w:spacing w:after="0"/>
              <w:rPr>
                <w:sz w:val="20"/>
                <w:szCs w:val="20"/>
                <w:color w:val="auto"/>
              </w:rPr>
            </w:pPr>
            <w:r>
              <w:rPr>
                <w:rFonts w:ascii="Arial" w:cs="Arial" w:eastAsia="Arial" w:hAnsi="Arial"/>
                <w:sz w:val="13"/>
                <w:szCs w:val="13"/>
                <w:b w:val="1"/>
                <w:bCs w:val="1"/>
                <w:color w:val="105EAB"/>
              </w:rPr>
              <w:t>Termination due to</w:t>
            </w:r>
          </w:p>
        </w:tc>
        <w:tc>
          <w:tcPr>
            <w:tcW w:w="1820" w:type="dxa"/>
            <w:vAlign w:val="bottom"/>
          </w:tcPr>
          <w:p>
            <w:pPr>
              <w:spacing w:after="0"/>
              <w:rPr>
                <w:sz w:val="16"/>
                <w:szCs w:val="16"/>
                <w:color w:val="auto"/>
              </w:rPr>
            </w:pPr>
          </w:p>
        </w:tc>
        <w:tc>
          <w:tcPr>
            <w:tcW w:w="1660" w:type="dxa"/>
            <w:vAlign w:val="bottom"/>
            <w:shd w:val="clear" w:color="auto" w:fill="EFF8FA"/>
          </w:tcPr>
          <w:p>
            <w:pPr>
              <w:spacing w:after="0"/>
              <w:rPr>
                <w:sz w:val="16"/>
                <w:szCs w:val="16"/>
                <w:color w:val="auto"/>
              </w:rPr>
            </w:pPr>
          </w:p>
        </w:tc>
        <w:tc>
          <w:tcPr>
            <w:tcW w:w="160" w:type="dxa"/>
            <w:vAlign w:val="bottom"/>
            <w:shd w:val="clear" w:color="auto" w:fill="EFF8FA"/>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960" w:type="dxa"/>
            <w:vAlign w:val="bottom"/>
            <w:tcBorders>
              <w:bottom w:val="single" w:sz="8" w:color="105EAB"/>
            </w:tcBorders>
          </w:tcPr>
          <w:p>
            <w:pPr>
              <w:ind w:left="80"/>
              <w:spacing w:after="0"/>
              <w:rPr>
                <w:sz w:val="20"/>
                <w:szCs w:val="20"/>
                <w:color w:val="auto"/>
              </w:rPr>
            </w:pPr>
            <w:r>
              <w:rPr>
                <w:rFonts w:ascii="Arial" w:cs="Arial" w:eastAsia="Arial" w:hAnsi="Arial"/>
                <w:sz w:val="13"/>
                <w:szCs w:val="13"/>
                <w:b w:val="1"/>
                <w:bCs w:val="1"/>
                <w:color w:val="105EAB"/>
              </w:rPr>
              <w:t>Elements</w:t>
            </w:r>
          </w:p>
        </w:tc>
        <w:tc>
          <w:tcPr>
            <w:tcW w:w="1940" w:type="dxa"/>
            <w:vAlign w:val="bottom"/>
            <w:tcBorders>
              <w:bottom w:val="single" w:sz="8" w:color="105EAB"/>
            </w:tcBorders>
            <w:vMerge w:val="continue"/>
            <w:shd w:val="clear" w:color="auto" w:fill="EFF8FA"/>
          </w:tcPr>
          <w:p>
            <w:pPr>
              <w:spacing w:after="0"/>
              <w:rPr>
                <w:sz w:val="18"/>
                <w:szCs w:val="18"/>
                <w:color w:val="auto"/>
              </w:rPr>
            </w:pPr>
          </w:p>
        </w:tc>
        <w:tc>
          <w:tcPr>
            <w:tcW w:w="1940" w:type="dxa"/>
            <w:vAlign w:val="bottom"/>
            <w:tcBorders>
              <w:bottom w:val="single" w:sz="8" w:color="105EAB"/>
            </w:tcBorders>
          </w:tcPr>
          <w:p>
            <w:pPr>
              <w:ind w:left="60"/>
              <w:spacing w:after="0"/>
              <w:rPr>
                <w:sz w:val="20"/>
                <w:szCs w:val="20"/>
                <w:color w:val="auto"/>
              </w:rPr>
            </w:pPr>
            <w:r>
              <w:rPr>
                <w:rFonts w:ascii="Arial" w:cs="Arial" w:eastAsia="Arial" w:hAnsi="Arial"/>
                <w:sz w:val="13"/>
                <w:szCs w:val="13"/>
                <w:b w:val="1"/>
                <w:bCs w:val="1"/>
                <w:color w:val="105EAB"/>
              </w:rPr>
              <w:t>Retirement</w:t>
            </w:r>
          </w:p>
        </w:tc>
        <w:tc>
          <w:tcPr>
            <w:tcW w:w="1940" w:type="dxa"/>
            <w:vAlign w:val="bottom"/>
            <w:tcBorders>
              <w:bottom w:val="single" w:sz="8" w:color="105EAB"/>
            </w:tcBorders>
            <w:shd w:val="clear" w:color="auto" w:fill="EFF8FA"/>
          </w:tcPr>
          <w:p>
            <w:pPr>
              <w:ind w:left="60"/>
              <w:spacing w:after="0" w:line="202" w:lineRule="exact"/>
              <w:rPr>
                <w:sz w:val="20"/>
                <w:szCs w:val="20"/>
                <w:color w:val="auto"/>
              </w:rPr>
            </w:pPr>
            <w:r>
              <w:rPr>
                <w:rFonts w:ascii="Arial" w:cs="Arial" w:eastAsia="Arial" w:hAnsi="Arial"/>
                <w:sz w:val="13"/>
                <w:szCs w:val="13"/>
                <w:b w:val="1"/>
                <w:bCs w:val="1"/>
                <w:color w:val="105EAB"/>
              </w:rPr>
              <w:t>Change in Control</w:t>
            </w:r>
            <w:r>
              <w:rPr>
                <w:rFonts w:ascii="Arial" w:cs="Arial" w:eastAsia="Arial" w:hAnsi="Arial"/>
                <w:sz w:val="22"/>
                <w:szCs w:val="22"/>
                <w:b w:val="1"/>
                <w:bCs w:val="1"/>
                <w:color w:val="105EAB"/>
                <w:vertAlign w:val="superscript"/>
              </w:rPr>
              <w:t>(2)</w:t>
            </w:r>
          </w:p>
        </w:tc>
        <w:tc>
          <w:tcPr>
            <w:tcW w:w="1820" w:type="dxa"/>
            <w:vAlign w:val="bottom"/>
            <w:tcBorders>
              <w:bottom w:val="single" w:sz="8" w:color="105EAB"/>
            </w:tcBorders>
          </w:tcPr>
          <w:p>
            <w:pPr>
              <w:ind w:left="60"/>
              <w:spacing w:after="0"/>
              <w:rPr>
                <w:sz w:val="20"/>
                <w:szCs w:val="20"/>
                <w:color w:val="auto"/>
              </w:rPr>
            </w:pPr>
            <w:r>
              <w:rPr>
                <w:rFonts w:ascii="Arial" w:cs="Arial" w:eastAsia="Arial" w:hAnsi="Arial"/>
                <w:sz w:val="13"/>
                <w:szCs w:val="13"/>
                <w:b w:val="1"/>
                <w:bCs w:val="1"/>
                <w:color w:val="105EAB"/>
              </w:rPr>
              <w:t>Death</w:t>
            </w:r>
          </w:p>
        </w:tc>
        <w:tc>
          <w:tcPr>
            <w:tcW w:w="1660" w:type="dxa"/>
            <w:vAlign w:val="bottom"/>
            <w:tcBorders>
              <w:bottom w:val="single" w:sz="8" w:color="105EAB"/>
            </w:tcBorders>
            <w:shd w:val="clear" w:color="auto" w:fill="EFF8FA"/>
          </w:tcPr>
          <w:p>
            <w:pPr>
              <w:ind w:left="80"/>
              <w:spacing w:after="0"/>
              <w:rPr>
                <w:sz w:val="20"/>
                <w:szCs w:val="20"/>
                <w:color w:val="auto"/>
              </w:rPr>
            </w:pPr>
            <w:r>
              <w:rPr>
                <w:rFonts w:ascii="Arial" w:cs="Arial" w:eastAsia="Arial" w:hAnsi="Arial"/>
                <w:sz w:val="13"/>
                <w:szCs w:val="13"/>
                <w:b w:val="1"/>
                <w:bCs w:val="1"/>
                <w:color w:val="105EAB"/>
              </w:rPr>
              <w:t>Disability</w:t>
            </w:r>
          </w:p>
        </w:tc>
        <w:tc>
          <w:tcPr>
            <w:tcW w:w="160" w:type="dxa"/>
            <w:vAlign w:val="bottom"/>
            <w:tcBorders>
              <w:bottom w:val="single" w:sz="8" w:color="105EAB"/>
            </w:tcBorders>
            <w:shd w:val="clear" w:color="auto" w:fill="EFF8FA"/>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960" w:type="dxa"/>
            <w:vAlign w:val="bottom"/>
            <w:tcBorders>
              <w:bottom w:val="single" w:sz="8" w:color="DFF1FB"/>
            </w:tcBorders>
          </w:tcPr>
          <w:p>
            <w:pPr>
              <w:ind w:left="80"/>
              <w:spacing w:after="0"/>
              <w:rPr>
                <w:sz w:val="20"/>
                <w:szCs w:val="20"/>
                <w:color w:val="auto"/>
              </w:rPr>
            </w:pPr>
            <w:r>
              <w:rPr>
                <w:rFonts w:ascii="Arial" w:cs="Arial" w:eastAsia="Arial" w:hAnsi="Arial"/>
                <w:sz w:val="18"/>
                <w:szCs w:val="18"/>
                <w:b w:val="1"/>
                <w:bCs w:val="1"/>
                <w:color w:val="auto"/>
              </w:rPr>
              <w:t>Base Salary</w:t>
            </w:r>
          </w:p>
        </w:tc>
        <w:tc>
          <w:tcPr>
            <w:tcW w:w="1940" w:type="dxa"/>
            <w:vAlign w:val="bottom"/>
            <w:tcBorders>
              <w:bottom w:val="single" w:sz="8" w:color="DFF1FB"/>
            </w:tcBorders>
            <w:shd w:val="clear" w:color="auto" w:fill="EFF8FA"/>
          </w:tcPr>
          <w:p>
            <w:pPr>
              <w:ind w:left="60"/>
              <w:spacing w:after="0"/>
              <w:rPr>
                <w:sz w:val="20"/>
                <w:szCs w:val="20"/>
                <w:color w:val="auto"/>
              </w:rPr>
            </w:pPr>
            <w:r>
              <w:rPr>
                <w:rFonts w:ascii="Arial" w:cs="Arial" w:eastAsia="Arial" w:hAnsi="Arial"/>
                <w:sz w:val="18"/>
                <w:szCs w:val="18"/>
                <w:color w:val="auto"/>
              </w:rPr>
              <w:t>Ceases immediately</w:t>
            </w:r>
          </w:p>
        </w:tc>
        <w:tc>
          <w:tcPr>
            <w:tcW w:w="1940" w:type="dxa"/>
            <w:vAlign w:val="bottom"/>
            <w:tcBorders>
              <w:bottom w:val="single" w:sz="8" w:color="DFF1FB"/>
            </w:tcBorders>
          </w:tcPr>
          <w:p>
            <w:pPr>
              <w:ind w:left="60"/>
              <w:spacing w:after="0"/>
              <w:rPr>
                <w:sz w:val="20"/>
                <w:szCs w:val="20"/>
                <w:color w:val="auto"/>
              </w:rPr>
            </w:pPr>
            <w:r>
              <w:rPr>
                <w:rFonts w:ascii="Arial" w:cs="Arial" w:eastAsia="Arial" w:hAnsi="Arial"/>
                <w:sz w:val="18"/>
                <w:szCs w:val="18"/>
                <w:color w:val="auto"/>
              </w:rPr>
              <w:t>Ceases immediately</w:t>
            </w:r>
          </w:p>
        </w:tc>
        <w:tc>
          <w:tcPr>
            <w:tcW w:w="1940" w:type="dxa"/>
            <w:vAlign w:val="bottom"/>
            <w:tcBorders>
              <w:bottom w:val="single" w:sz="8" w:color="DFF1FB"/>
            </w:tcBorders>
            <w:shd w:val="clear" w:color="auto" w:fill="EFF8FA"/>
          </w:tcPr>
          <w:p>
            <w:pPr>
              <w:ind w:left="60"/>
              <w:spacing w:after="0"/>
              <w:rPr>
                <w:sz w:val="20"/>
                <w:szCs w:val="20"/>
                <w:color w:val="auto"/>
              </w:rPr>
            </w:pPr>
            <w:r>
              <w:rPr>
                <w:rFonts w:ascii="Arial" w:cs="Arial" w:eastAsia="Arial" w:hAnsi="Arial"/>
                <w:sz w:val="18"/>
                <w:szCs w:val="18"/>
                <w:color w:val="auto"/>
              </w:rPr>
              <w:t>Ceases immediately</w:t>
            </w:r>
          </w:p>
        </w:tc>
        <w:tc>
          <w:tcPr>
            <w:tcW w:w="1820" w:type="dxa"/>
            <w:vAlign w:val="bottom"/>
            <w:tcBorders>
              <w:bottom w:val="single" w:sz="8" w:color="DFF1FB"/>
            </w:tcBorders>
          </w:tcPr>
          <w:p>
            <w:pPr>
              <w:ind w:left="60"/>
              <w:spacing w:after="0"/>
              <w:rPr>
                <w:sz w:val="20"/>
                <w:szCs w:val="20"/>
                <w:color w:val="auto"/>
              </w:rPr>
            </w:pPr>
            <w:r>
              <w:rPr>
                <w:rFonts w:ascii="Arial" w:cs="Arial" w:eastAsia="Arial" w:hAnsi="Arial"/>
                <w:sz w:val="18"/>
                <w:szCs w:val="18"/>
                <w:color w:val="auto"/>
              </w:rPr>
              <w:t>Ceases immediately</w:t>
            </w:r>
          </w:p>
        </w:tc>
        <w:tc>
          <w:tcPr>
            <w:tcW w:w="1660" w:type="dxa"/>
            <w:vAlign w:val="bottom"/>
            <w:tcBorders>
              <w:bottom w:val="single" w:sz="8" w:color="DFF1FB"/>
            </w:tcBorders>
            <w:shd w:val="clear" w:color="auto" w:fill="EFF8FA"/>
          </w:tcPr>
          <w:p>
            <w:pPr>
              <w:ind w:left="80"/>
              <w:spacing w:after="0"/>
              <w:rPr>
                <w:sz w:val="20"/>
                <w:szCs w:val="20"/>
                <w:color w:val="auto"/>
              </w:rPr>
            </w:pPr>
            <w:r>
              <w:rPr>
                <w:rFonts w:ascii="Arial" w:cs="Arial" w:eastAsia="Arial" w:hAnsi="Arial"/>
                <w:sz w:val="18"/>
                <w:szCs w:val="18"/>
                <w:color w:val="auto"/>
                <w:w w:val="96"/>
              </w:rPr>
              <w:t>Ceases immediately</w:t>
            </w:r>
          </w:p>
        </w:tc>
        <w:tc>
          <w:tcPr>
            <w:tcW w:w="160" w:type="dxa"/>
            <w:vAlign w:val="bottom"/>
            <w:tcBorders>
              <w:bottom w:val="single" w:sz="8" w:color="DFF1FB"/>
            </w:tcBorders>
            <w:shd w:val="clear" w:color="auto" w:fill="EFF8FA"/>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1960" w:type="dxa"/>
            <w:vAlign w:val="bottom"/>
          </w:tcPr>
          <w:p>
            <w:pPr>
              <w:ind w:left="80"/>
              <w:spacing w:after="0"/>
              <w:rPr>
                <w:sz w:val="20"/>
                <w:szCs w:val="20"/>
                <w:color w:val="auto"/>
              </w:rPr>
            </w:pPr>
            <w:r>
              <w:rPr>
                <w:rFonts w:ascii="Arial" w:cs="Arial" w:eastAsia="Arial" w:hAnsi="Arial"/>
                <w:sz w:val="18"/>
                <w:szCs w:val="18"/>
                <w:b w:val="1"/>
                <w:bCs w:val="1"/>
                <w:color w:val="auto"/>
              </w:rPr>
              <w:t>Severance Pay</w:t>
            </w:r>
          </w:p>
        </w:tc>
        <w:tc>
          <w:tcPr>
            <w:tcW w:w="1940" w:type="dxa"/>
            <w:vAlign w:val="bottom"/>
            <w:shd w:val="clear" w:color="auto" w:fill="EFF8FA"/>
          </w:tcPr>
          <w:p>
            <w:pPr>
              <w:ind w:left="60"/>
              <w:spacing w:after="0"/>
              <w:rPr>
                <w:sz w:val="20"/>
                <w:szCs w:val="20"/>
                <w:color w:val="auto"/>
              </w:rPr>
            </w:pPr>
            <w:r>
              <w:rPr>
                <w:rFonts w:ascii="Arial" w:cs="Arial" w:eastAsia="Arial" w:hAnsi="Arial"/>
                <w:sz w:val="18"/>
                <w:szCs w:val="18"/>
                <w:color w:val="auto"/>
              </w:rPr>
              <w:t>None</w:t>
            </w:r>
          </w:p>
        </w:tc>
        <w:tc>
          <w:tcPr>
            <w:tcW w:w="1940" w:type="dxa"/>
            <w:vAlign w:val="bottom"/>
          </w:tcPr>
          <w:p>
            <w:pPr>
              <w:ind w:left="60"/>
              <w:spacing w:after="0"/>
              <w:rPr>
                <w:sz w:val="20"/>
                <w:szCs w:val="20"/>
                <w:color w:val="auto"/>
              </w:rPr>
            </w:pPr>
            <w:r>
              <w:rPr>
                <w:rFonts w:ascii="Arial" w:cs="Arial" w:eastAsia="Arial" w:hAnsi="Arial"/>
                <w:sz w:val="18"/>
                <w:szCs w:val="18"/>
                <w:color w:val="auto"/>
              </w:rPr>
              <w:t>None</w:t>
            </w:r>
          </w:p>
        </w:tc>
        <w:tc>
          <w:tcPr>
            <w:tcW w:w="1940" w:type="dxa"/>
            <w:vAlign w:val="bottom"/>
            <w:shd w:val="clear" w:color="auto" w:fill="EFF8FA"/>
          </w:tcPr>
          <w:p>
            <w:pPr>
              <w:ind w:left="60"/>
              <w:spacing w:after="0"/>
              <w:rPr>
                <w:sz w:val="20"/>
                <w:szCs w:val="20"/>
                <w:color w:val="auto"/>
              </w:rPr>
            </w:pPr>
            <w:r>
              <w:rPr>
                <w:rFonts w:ascii="Arial" w:cs="Arial" w:eastAsia="Arial" w:hAnsi="Arial"/>
                <w:sz w:val="18"/>
                <w:szCs w:val="18"/>
                <w:color w:val="auto"/>
                <w:w w:val="99"/>
              </w:rPr>
              <w:t>Lump sum equal to two</w:t>
            </w:r>
          </w:p>
        </w:tc>
        <w:tc>
          <w:tcPr>
            <w:tcW w:w="1820" w:type="dxa"/>
            <w:vAlign w:val="bottom"/>
          </w:tcPr>
          <w:p>
            <w:pPr>
              <w:ind w:left="60"/>
              <w:spacing w:after="0"/>
              <w:rPr>
                <w:sz w:val="20"/>
                <w:szCs w:val="20"/>
                <w:color w:val="auto"/>
              </w:rPr>
            </w:pPr>
            <w:r>
              <w:rPr>
                <w:rFonts w:ascii="Arial" w:cs="Arial" w:eastAsia="Arial" w:hAnsi="Arial"/>
                <w:sz w:val="18"/>
                <w:szCs w:val="18"/>
                <w:color w:val="auto"/>
              </w:rPr>
              <w:t>None</w:t>
            </w:r>
          </w:p>
        </w:tc>
        <w:tc>
          <w:tcPr>
            <w:tcW w:w="1660" w:type="dxa"/>
            <w:vAlign w:val="bottom"/>
            <w:shd w:val="clear" w:color="auto" w:fill="EFF8FA"/>
          </w:tcPr>
          <w:p>
            <w:pPr>
              <w:ind w:left="80"/>
              <w:spacing w:after="0"/>
              <w:rPr>
                <w:sz w:val="20"/>
                <w:szCs w:val="20"/>
                <w:color w:val="auto"/>
              </w:rPr>
            </w:pPr>
            <w:r>
              <w:rPr>
                <w:rFonts w:ascii="Arial" w:cs="Arial" w:eastAsia="Arial" w:hAnsi="Arial"/>
                <w:sz w:val="18"/>
                <w:szCs w:val="18"/>
                <w:color w:val="auto"/>
              </w:rPr>
              <w:t>None</w:t>
            </w:r>
          </w:p>
        </w:tc>
        <w:tc>
          <w:tcPr>
            <w:tcW w:w="160" w:type="dxa"/>
            <w:vAlign w:val="bottom"/>
            <w:shd w:val="clear" w:color="auto" w:fill="EFF8FA"/>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960" w:type="dxa"/>
            <w:vAlign w:val="bottom"/>
          </w:tcPr>
          <w:p>
            <w:pPr>
              <w:spacing w:after="0"/>
              <w:rPr>
                <w:sz w:val="17"/>
                <w:szCs w:val="17"/>
                <w:color w:val="auto"/>
              </w:rPr>
            </w:pPr>
          </w:p>
        </w:tc>
        <w:tc>
          <w:tcPr>
            <w:tcW w:w="1940" w:type="dxa"/>
            <w:vAlign w:val="bottom"/>
            <w:shd w:val="clear" w:color="auto" w:fill="EFF8FA"/>
          </w:tcPr>
          <w:p>
            <w:pPr>
              <w:spacing w:after="0"/>
              <w:rPr>
                <w:sz w:val="17"/>
                <w:szCs w:val="17"/>
                <w:color w:val="auto"/>
              </w:rPr>
            </w:pPr>
          </w:p>
        </w:tc>
        <w:tc>
          <w:tcPr>
            <w:tcW w:w="1940" w:type="dxa"/>
            <w:vAlign w:val="bottom"/>
          </w:tcPr>
          <w:p>
            <w:pPr>
              <w:spacing w:after="0"/>
              <w:rPr>
                <w:sz w:val="17"/>
                <w:szCs w:val="17"/>
                <w:color w:val="auto"/>
              </w:rPr>
            </w:pPr>
          </w:p>
        </w:tc>
        <w:tc>
          <w:tcPr>
            <w:tcW w:w="1940" w:type="dxa"/>
            <w:vAlign w:val="bottom"/>
            <w:shd w:val="clear" w:color="auto" w:fill="EFF8FA"/>
          </w:tcPr>
          <w:p>
            <w:pPr>
              <w:ind w:left="60"/>
              <w:spacing w:after="0" w:line="202" w:lineRule="exact"/>
              <w:rPr>
                <w:sz w:val="20"/>
                <w:szCs w:val="20"/>
                <w:color w:val="auto"/>
              </w:rPr>
            </w:pPr>
            <w:r>
              <w:rPr>
                <w:rFonts w:ascii="Arial" w:cs="Arial" w:eastAsia="Arial" w:hAnsi="Arial"/>
                <w:sz w:val="18"/>
                <w:szCs w:val="18"/>
                <w:color w:val="auto"/>
              </w:rPr>
              <w:t>times salary and</w:t>
            </w:r>
          </w:p>
        </w:tc>
        <w:tc>
          <w:tcPr>
            <w:tcW w:w="1820" w:type="dxa"/>
            <w:vAlign w:val="bottom"/>
          </w:tcPr>
          <w:p>
            <w:pPr>
              <w:spacing w:after="0"/>
              <w:rPr>
                <w:sz w:val="17"/>
                <w:szCs w:val="17"/>
                <w:color w:val="auto"/>
              </w:rPr>
            </w:pPr>
          </w:p>
        </w:tc>
        <w:tc>
          <w:tcPr>
            <w:tcW w:w="1660" w:type="dxa"/>
            <w:vAlign w:val="bottom"/>
            <w:shd w:val="clear" w:color="auto" w:fill="EFF8FA"/>
          </w:tcPr>
          <w:p>
            <w:pPr>
              <w:spacing w:after="0"/>
              <w:rPr>
                <w:sz w:val="17"/>
                <w:szCs w:val="17"/>
                <w:color w:val="auto"/>
              </w:rPr>
            </w:pPr>
          </w:p>
        </w:tc>
        <w:tc>
          <w:tcPr>
            <w:tcW w:w="160" w:type="dxa"/>
            <w:vAlign w:val="bottom"/>
            <w:shd w:val="clear" w:color="auto" w:fill="EFF8FA"/>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960" w:type="dxa"/>
            <w:vAlign w:val="bottom"/>
          </w:tcPr>
          <w:p>
            <w:pPr>
              <w:spacing w:after="0"/>
              <w:rPr>
                <w:sz w:val="17"/>
                <w:szCs w:val="17"/>
                <w:color w:val="auto"/>
              </w:rPr>
            </w:pPr>
          </w:p>
        </w:tc>
        <w:tc>
          <w:tcPr>
            <w:tcW w:w="1940" w:type="dxa"/>
            <w:vAlign w:val="bottom"/>
            <w:shd w:val="clear" w:color="auto" w:fill="EFF8FA"/>
          </w:tcPr>
          <w:p>
            <w:pPr>
              <w:spacing w:after="0"/>
              <w:rPr>
                <w:sz w:val="17"/>
                <w:szCs w:val="17"/>
                <w:color w:val="auto"/>
              </w:rPr>
            </w:pPr>
          </w:p>
        </w:tc>
        <w:tc>
          <w:tcPr>
            <w:tcW w:w="1940" w:type="dxa"/>
            <w:vAlign w:val="bottom"/>
          </w:tcPr>
          <w:p>
            <w:pPr>
              <w:spacing w:after="0"/>
              <w:rPr>
                <w:sz w:val="17"/>
                <w:szCs w:val="17"/>
                <w:color w:val="auto"/>
              </w:rPr>
            </w:pPr>
          </w:p>
        </w:tc>
        <w:tc>
          <w:tcPr>
            <w:tcW w:w="1940" w:type="dxa"/>
            <w:vAlign w:val="bottom"/>
            <w:shd w:val="clear" w:color="auto" w:fill="EFF8FA"/>
          </w:tcPr>
          <w:p>
            <w:pPr>
              <w:ind w:left="60"/>
              <w:spacing w:after="0" w:line="202" w:lineRule="exact"/>
              <w:rPr>
                <w:sz w:val="20"/>
                <w:szCs w:val="20"/>
                <w:color w:val="auto"/>
              </w:rPr>
            </w:pPr>
            <w:r>
              <w:rPr>
                <w:rFonts w:ascii="Arial" w:cs="Arial" w:eastAsia="Arial" w:hAnsi="Arial"/>
                <w:sz w:val="18"/>
                <w:szCs w:val="18"/>
                <w:color w:val="auto"/>
              </w:rPr>
              <w:t>annual incentive at</w:t>
            </w:r>
          </w:p>
        </w:tc>
        <w:tc>
          <w:tcPr>
            <w:tcW w:w="1820" w:type="dxa"/>
            <w:vAlign w:val="bottom"/>
          </w:tcPr>
          <w:p>
            <w:pPr>
              <w:spacing w:after="0"/>
              <w:rPr>
                <w:sz w:val="17"/>
                <w:szCs w:val="17"/>
                <w:color w:val="auto"/>
              </w:rPr>
            </w:pPr>
          </w:p>
        </w:tc>
        <w:tc>
          <w:tcPr>
            <w:tcW w:w="1660" w:type="dxa"/>
            <w:vAlign w:val="bottom"/>
            <w:shd w:val="clear" w:color="auto" w:fill="EFF8FA"/>
          </w:tcPr>
          <w:p>
            <w:pPr>
              <w:spacing w:after="0"/>
              <w:rPr>
                <w:sz w:val="17"/>
                <w:szCs w:val="17"/>
                <w:color w:val="auto"/>
              </w:rPr>
            </w:pPr>
          </w:p>
        </w:tc>
        <w:tc>
          <w:tcPr>
            <w:tcW w:w="160" w:type="dxa"/>
            <w:vAlign w:val="bottom"/>
            <w:shd w:val="clear" w:color="auto" w:fill="EFF8FA"/>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960" w:type="dxa"/>
            <w:vAlign w:val="bottom"/>
          </w:tcPr>
          <w:p>
            <w:pPr>
              <w:spacing w:after="0"/>
              <w:rPr>
                <w:sz w:val="17"/>
                <w:szCs w:val="17"/>
                <w:color w:val="auto"/>
              </w:rPr>
            </w:pPr>
          </w:p>
        </w:tc>
        <w:tc>
          <w:tcPr>
            <w:tcW w:w="1940" w:type="dxa"/>
            <w:vAlign w:val="bottom"/>
            <w:shd w:val="clear" w:color="auto" w:fill="EFF8FA"/>
          </w:tcPr>
          <w:p>
            <w:pPr>
              <w:spacing w:after="0"/>
              <w:rPr>
                <w:sz w:val="17"/>
                <w:szCs w:val="17"/>
                <w:color w:val="auto"/>
              </w:rPr>
            </w:pPr>
          </w:p>
        </w:tc>
        <w:tc>
          <w:tcPr>
            <w:tcW w:w="1940" w:type="dxa"/>
            <w:vAlign w:val="bottom"/>
          </w:tcPr>
          <w:p>
            <w:pPr>
              <w:spacing w:after="0"/>
              <w:rPr>
                <w:sz w:val="17"/>
                <w:szCs w:val="17"/>
                <w:color w:val="auto"/>
              </w:rPr>
            </w:pPr>
          </w:p>
        </w:tc>
        <w:tc>
          <w:tcPr>
            <w:tcW w:w="1940" w:type="dxa"/>
            <w:vAlign w:val="bottom"/>
            <w:shd w:val="clear" w:color="auto" w:fill="EFF8FA"/>
          </w:tcPr>
          <w:p>
            <w:pPr>
              <w:ind w:left="60"/>
              <w:spacing w:after="0" w:line="202" w:lineRule="exact"/>
              <w:rPr>
                <w:sz w:val="20"/>
                <w:szCs w:val="20"/>
                <w:color w:val="auto"/>
              </w:rPr>
            </w:pPr>
            <w:r>
              <w:rPr>
                <w:rFonts w:ascii="Arial" w:cs="Arial" w:eastAsia="Arial" w:hAnsi="Arial"/>
                <w:sz w:val="18"/>
                <w:szCs w:val="18"/>
                <w:color w:val="auto"/>
              </w:rPr>
              <w:t>target, except for CEO,</w:t>
            </w:r>
          </w:p>
        </w:tc>
        <w:tc>
          <w:tcPr>
            <w:tcW w:w="1820" w:type="dxa"/>
            <w:vAlign w:val="bottom"/>
          </w:tcPr>
          <w:p>
            <w:pPr>
              <w:spacing w:after="0"/>
              <w:rPr>
                <w:sz w:val="17"/>
                <w:szCs w:val="17"/>
                <w:color w:val="auto"/>
              </w:rPr>
            </w:pPr>
          </w:p>
        </w:tc>
        <w:tc>
          <w:tcPr>
            <w:tcW w:w="1660" w:type="dxa"/>
            <w:vAlign w:val="bottom"/>
            <w:shd w:val="clear" w:color="auto" w:fill="EFF8FA"/>
          </w:tcPr>
          <w:p>
            <w:pPr>
              <w:spacing w:after="0"/>
              <w:rPr>
                <w:sz w:val="17"/>
                <w:szCs w:val="17"/>
                <w:color w:val="auto"/>
              </w:rPr>
            </w:pPr>
          </w:p>
        </w:tc>
        <w:tc>
          <w:tcPr>
            <w:tcW w:w="160" w:type="dxa"/>
            <w:vAlign w:val="bottom"/>
            <w:shd w:val="clear" w:color="auto" w:fill="EFF8FA"/>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960" w:type="dxa"/>
            <w:vAlign w:val="bottom"/>
          </w:tcPr>
          <w:p>
            <w:pPr>
              <w:spacing w:after="0"/>
              <w:rPr>
                <w:sz w:val="17"/>
                <w:szCs w:val="17"/>
                <w:color w:val="auto"/>
              </w:rPr>
            </w:pPr>
          </w:p>
        </w:tc>
        <w:tc>
          <w:tcPr>
            <w:tcW w:w="1940" w:type="dxa"/>
            <w:vAlign w:val="bottom"/>
            <w:shd w:val="clear" w:color="auto" w:fill="EFF8FA"/>
          </w:tcPr>
          <w:p>
            <w:pPr>
              <w:spacing w:after="0"/>
              <w:rPr>
                <w:sz w:val="17"/>
                <w:szCs w:val="17"/>
                <w:color w:val="auto"/>
              </w:rPr>
            </w:pPr>
          </w:p>
        </w:tc>
        <w:tc>
          <w:tcPr>
            <w:tcW w:w="1940" w:type="dxa"/>
            <w:vAlign w:val="bottom"/>
          </w:tcPr>
          <w:p>
            <w:pPr>
              <w:spacing w:after="0"/>
              <w:rPr>
                <w:sz w:val="17"/>
                <w:szCs w:val="17"/>
                <w:color w:val="auto"/>
              </w:rPr>
            </w:pPr>
          </w:p>
        </w:tc>
        <w:tc>
          <w:tcPr>
            <w:tcW w:w="1940" w:type="dxa"/>
            <w:vAlign w:val="bottom"/>
            <w:shd w:val="clear" w:color="auto" w:fill="EFF8FA"/>
          </w:tcPr>
          <w:p>
            <w:pPr>
              <w:ind w:left="60"/>
              <w:spacing w:after="0" w:line="202" w:lineRule="exact"/>
              <w:rPr>
                <w:sz w:val="20"/>
                <w:szCs w:val="20"/>
                <w:color w:val="auto"/>
              </w:rPr>
            </w:pPr>
            <w:r>
              <w:rPr>
                <w:rFonts w:ascii="Arial" w:cs="Arial" w:eastAsia="Arial" w:hAnsi="Arial"/>
                <w:sz w:val="18"/>
                <w:szCs w:val="18"/>
                <w:color w:val="auto"/>
              </w:rPr>
              <w:t>who receives three</w:t>
            </w:r>
          </w:p>
        </w:tc>
        <w:tc>
          <w:tcPr>
            <w:tcW w:w="1820" w:type="dxa"/>
            <w:vAlign w:val="bottom"/>
          </w:tcPr>
          <w:p>
            <w:pPr>
              <w:spacing w:after="0"/>
              <w:rPr>
                <w:sz w:val="17"/>
                <w:szCs w:val="17"/>
                <w:color w:val="auto"/>
              </w:rPr>
            </w:pPr>
          </w:p>
        </w:tc>
        <w:tc>
          <w:tcPr>
            <w:tcW w:w="1660" w:type="dxa"/>
            <w:vAlign w:val="bottom"/>
            <w:shd w:val="clear" w:color="auto" w:fill="EFF8FA"/>
          </w:tcPr>
          <w:p>
            <w:pPr>
              <w:spacing w:after="0"/>
              <w:rPr>
                <w:sz w:val="17"/>
                <w:szCs w:val="17"/>
                <w:color w:val="auto"/>
              </w:rPr>
            </w:pPr>
          </w:p>
        </w:tc>
        <w:tc>
          <w:tcPr>
            <w:tcW w:w="160" w:type="dxa"/>
            <w:vAlign w:val="bottom"/>
            <w:shd w:val="clear" w:color="auto" w:fill="EFF8FA"/>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960" w:type="dxa"/>
            <w:vAlign w:val="bottom"/>
          </w:tcPr>
          <w:p>
            <w:pPr>
              <w:spacing w:after="0"/>
              <w:rPr>
                <w:sz w:val="17"/>
                <w:szCs w:val="17"/>
                <w:color w:val="auto"/>
              </w:rPr>
            </w:pPr>
          </w:p>
        </w:tc>
        <w:tc>
          <w:tcPr>
            <w:tcW w:w="1940" w:type="dxa"/>
            <w:vAlign w:val="bottom"/>
            <w:shd w:val="clear" w:color="auto" w:fill="EFF8FA"/>
          </w:tcPr>
          <w:p>
            <w:pPr>
              <w:spacing w:after="0"/>
              <w:rPr>
                <w:sz w:val="17"/>
                <w:szCs w:val="17"/>
                <w:color w:val="auto"/>
              </w:rPr>
            </w:pPr>
          </w:p>
        </w:tc>
        <w:tc>
          <w:tcPr>
            <w:tcW w:w="1940" w:type="dxa"/>
            <w:vAlign w:val="bottom"/>
          </w:tcPr>
          <w:p>
            <w:pPr>
              <w:spacing w:after="0"/>
              <w:rPr>
                <w:sz w:val="17"/>
                <w:szCs w:val="17"/>
                <w:color w:val="auto"/>
              </w:rPr>
            </w:pPr>
          </w:p>
        </w:tc>
        <w:tc>
          <w:tcPr>
            <w:tcW w:w="1940" w:type="dxa"/>
            <w:vAlign w:val="bottom"/>
            <w:shd w:val="clear" w:color="auto" w:fill="EFF8FA"/>
          </w:tcPr>
          <w:p>
            <w:pPr>
              <w:ind w:left="60"/>
              <w:spacing w:after="0" w:line="202" w:lineRule="exact"/>
              <w:rPr>
                <w:sz w:val="20"/>
                <w:szCs w:val="20"/>
                <w:color w:val="auto"/>
              </w:rPr>
            </w:pPr>
            <w:r>
              <w:rPr>
                <w:rFonts w:ascii="Arial" w:cs="Arial" w:eastAsia="Arial" w:hAnsi="Arial"/>
                <w:sz w:val="18"/>
                <w:szCs w:val="18"/>
                <w:color w:val="auto"/>
              </w:rPr>
              <w:t>times salary and</w:t>
            </w:r>
          </w:p>
        </w:tc>
        <w:tc>
          <w:tcPr>
            <w:tcW w:w="1820" w:type="dxa"/>
            <w:vAlign w:val="bottom"/>
          </w:tcPr>
          <w:p>
            <w:pPr>
              <w:spacing w:after="0"/>
              <w:rPr>
                <w:sz w:val="17"/>
                <w:szCs w:val="17"/>
                <w:color w:val="auto"/>
              </w:rPr>
            </w:pPr>
          </w:p>
        </w:tc>
        <w:tc>
          <w:tcPr>
            <w:tcW w:w="1660" w:type="dxa"/>
            <w:vAlign w:val="bottom"/>
            <w:shd w:val="clear" w:color="auto" w:fill="EFF8FA"/>
          </w:tcPr>
          <w:p>
            <w:pPr>
              <w:spacing w:after="0"/>
              <w:rPr>
                <w:sz w:val="17"/>
                <w:szCs w:val="17"/>
                <w:color w:val="auto"/>
              </w:rPr>
            </w:pPr>
          </w:p>
        </w:tc>
        <w:tc>
          <w:tcPr>
            <w:tcW w:w="160" w:type="dxa"/>
            <w:vAlign w:val="bottom"/>
            <w:shd w:val="clear" w:color="auto" w:fill="EFF8FA"/>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960" w:type="dxa"/>
            <w:vAlign w:val="bottom"/>
          </w:tcPr>
          <w:p>
            <w:pPr>
              <w:spacing w:after="0"/>
              <w:rPr>
                <w:sz w:val="17"/>
                <w:szCs w:val="17"/>
                <w:color w:val="auto"/>
              </w:rPr>
            </w:pPr>
          </w:p>
        </w:tc>
        <w:tc>
          <w:tcPr>
            <w:tcW w:w="1940" w:type="dxa"/>
            <w:vAlign w:val="bottom"/>
            <w:shd w:val="clear" w:color="auto" w:fill="EFF8FA"/>
          </w:tcPr>
          <w:p>
            <w:pPr>
              <w:spacing w:after="0"/>
              <w:rPr>
                <w:sz w:val="17"/>
                <w:szCs w:val="17"/>
                <w:color w:val="auto"/>
              </w:rPr>
            </w:pPr>
          </w:p>
        </w:tc>
        <w:tc>
          <w:tcPr>
            <w:tcW w:w="1940" w:type="dxa"/>
            <w:vAlign w:val="bottom"/>
          </w:tcPr>
          <w:p>
            <w:pPr>
              <w:spacing w:after="0"/>
              <w:rPr>
                <w:sz w:val="17"/>
                <w:szCs w:val="17"/>
                <w:color w:val="auto"/>
              </w:rPr>
            </w:pPr>
          </w:p>
        </w:tc>
        <w:tc>
          <w:tcPr>
            <w:tcW w:w="1940" w:type="dxa"/>
            <w:vAlign w:val="bottom"/>
            <w:shd w:val="clear" w:color="auto" w:fill="EFF8FA"/>
          </w:tcPr>
          <w:p>
            <w:pPr>
              <w:ind w:left="60"/>
              <w:spacing w:after="0" w:line="202" w:lineRule="exact"/>
              <w:rPr>
                <w:sz w:val="20"/>
                <w:szCs w:val="20"/>
                <w:color w:val="auto"/>
              </w:rPr>
            </w:pPr>
            <w:r>
              <w:rPr>
                <w:rFonts w:ascii="Arial" w:cs="Arial" w:eastAsia="Arial" w:hAnsi="Arial"/>
                <w:sz w:val="18"/>
                <w:szCs w:val="18"/>
                <w:color w:val="auto"/>
              </w:rPr>
              <w:t>annual incentive at</w:t>
            </w:r>
          </w:p>
        </w:tc>
        <w:tc>
          <w:tcPr>
            <w:tcW w:w="1820" w:type="dxa"/>
            <w:vAlign w:val="bottom"/>
          </w:tcPr>
          <w:p>
            <w:pPr>
              <w:spacing w:after="0"/>
              <w:rPr>
                <w:sz w:val="17"/>
                <w:szCs w:val="17"/>
                <w:color w:val="auto"/>
              </w:rPr>
            </w:pPr>
          </w:p>
        </w:tc>
        <w:tc>
          <w:tcPr>
            <w:tcW w:w="1660" w:type="dxa"/>
            <w:vAlign w:val="bottom"/>
            <w:shd w:val="clear" w:color="auto" w:fill="EFF8FA"/>
          </w:tcPr>
          <w:p>
            <w:pPr>
              <w:spacing w:after="0"/>
              <w:rPr>
                <w:sz w:val="17"/>
                <w:szCs w:val="17"/>
                <w:color w:val="auto"/>
              </w:rPr>
            </w:pPr>
          </w:p>
        </w:tc>
        <w:tc>
          <w:tcPr>
            <w:tcW w:w="160" w:type="dxa"/>
            <w:vAlign w:val="bottom"/>
            <w:shd w:val="clear" w:color="auto" w:fill="EFF8FA"/>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1960" w:type="dxa"/>
            <w:vAlign w:val="bottom"/>
            <w:tcBorders>
              <w:bottom w:val="single" w:sz="8" w:color="DFF1FB"/>
            </w:tcBorders>
          </w:tcPr>
          <w:p>
            <w:pPr>
              <w:spacing w:after="0"/>
              <w:rPr>
                <w:sz w:val="23"/>
                <w:szCs w:val="23"/>
                <w:color w:val="auto"/>
              </w:rPr>
            </w:pPr>
          </w:p>
        </w:tc>
        <w:tc>
          <w:tcPr>
            <w:tcW w:w="1940" w:type="dxa"/>
            <w:vAlign w:val="bottom"/>
            <w:tcBorders>
              <w:bottom w:val="single" w:sz="8" w:color="DFF1FB"/>
            </w:tcBorders>
            <w:shd w:val="clear" w:color="auto" w:fill="EFF8FA"/>
          </w:tcPr>
          <w:p>
            <w:pPr>
              <w:spacing w:after="0"/>
              <w:rPr>
                <w:sz w:val="23"/>
                <w:szCs w:val="23"/>
                <w:color w:val="auto"/>
              </w:rPr>
            </w:pPr>
          </w:p>
        </w:tc>
        <w:tc>
          <w:tcPr>
            <w:tcW w:w="1940" w:type="dxa"/>
            <w:vAlign w:val="bottom"/>
            <w:tcBorders>
              <w:bottom w:val="single" w:sz="8" w:color="DFF1FB"/>
            </w:tcBorders>
          </w:tcPr>
          <w:p>
            <w:pPr>
              <w:spacing w:after="0"/>
              <w:rPr>
                <w:sz w:val="23"/>
                <w:szCs w:val="23"/>
                <w:color w:val="auto"/>
              </w:rPr>
            </w:pPr>
          </w:p>
        </w:tc>
        <w:tc>
          <w:tcPr>
            <w:tcW w:w="1940" w:type="dxa"/>
            <w:vAlign w:val="bottom"/>
            <w:tcBorders>
              <w:bottom w:val="single" w:sz="8" w:color="DFF1FB"/>
            </w:tcBorders>
            <w:shd w:val="clear" w:color="auto" w:fill="EFF8FA"/>
          </w:tcPr>
          <w:p>
            <w:pPr>
              <w:ind w:left="60"/>
              <w:spacing w:after="0" w:line="267" w:lineRule="exact"/>
              <w:rPr>
                <w:sz w:val="20"/>
                <w:szCs w:val="20"/>
                <w:color w:val="auto"/>
              </w:rPr>
            </w:pPr>
            <w:r>
              <w:rPr>
                <w:rFonts w:ascii="Arial" w:cs="Arial" w:eastAsia="Arial" w:hAnsi="Arial"/>
                <w:sz w:val="18"/>
                <w:szCs w:val="18"/>
                <w:color w:val="auto"/>
              </w:rPr>
              <w:t>target</w:t>
            </w:r>
            <w:r>
              <w:rPr>
                <w:rFonts w:ascii="Arial" w:cs="Arial" w:eastAsia="Arial" w:hAnsi="Arial"/>
                <w:sz w:val="29"/>
                <w:szCs w:val="29"/>
                <w:color w:val="auto"/>
                <w:vertAlign w:val="superscript"/>
              </w:rPr>
              <w:t>(3)</w:t>
            </w:r>
          </w:p>
        </w:tc>
        <w:tc>
          <w:tcPr>
            <w:tcW w:w="1820" w:type="dxa"/>
            <w:vAlign w:val="bottom"/>
            <w:tcBorders>
              <w:bottom w:val="single" w:sz="8" w:color="DFF1FB"/>
            </w:tcBorders>
          </w:tcPr>
          <w:p>
            <w:pPr>
              <w:spacing w:after="0"/>
              <w:rPr>
                <w:sz w:val="23"/>
                <w:szCs w:val="23"/>
                <w:color w:val="auto"/>
              </w:rPr>
            </w:pPr>
          </w:p>
        </w:tc>
        <w:tc>
          <w:tcPr>
            <w:tcW w:w="1660" w:type="dxa"/>
            <w:vAlign w:val="bottom"/>
            <w:tcBorders>
              <w:bottom w:val="single" w:sz="8" w:color="DFF1FB"/>
            </w:tcBorders>
            <w:shd w:val="clear" w:color="auto" w:fill="EFF8FA"/>
          </w:tcPr>
          <w:p>
            <w:pPr>
              <w:spacing w:after="0"/>
              <w:rPr>
                <w:sz w:val="23"/>
                <w:szCs w:val="23"/>
                <w:color w:val="auto"/>
              </w:rPr>
            </w:pPr>
          </w:p>
        </w:tc>
        <w:tc>
          <w:tcPr>
            <w:tcW w:w="160" w:type="dxa"/>
            <w:vAlign w:val="bottom"/>
            <w:tcBorders>
              <w:bottom w:val="single" w:sz="8" w:color="DFF1FB"/>
            </w:tcBorders>
            <w:shd w:val="clear" w:color="auto" w:fill="EFF8FA"/>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1"/>
        </w:trPr>
        <w:tc>
          <w:tcPr>
            <w:tcW w:w="19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660" w:type="dxa"/>
            <w:vAlign w:val="bottom"/>
          </w:tcPr>
          <w:p>
            <w:pPr>
              <w:ind w:left="40"/>
              <w:spacing w:after="0"/>
              <w:rPr>
                <w:sz w:val="20"/>
                <w:szCs w:val="20"/>
                <w:color w:val="auto"/>
              </w:rPr>
            </w:pPr>
            <w:r>
              <w:rPr>
                <w:rFonts w:ascii="Arial" w:cs="Arial" w:eastAsia="Arial" w:hAnsi="Arial"/>
                <w:sz w:val="13"/>
                <w:szCs w:val="13"/>
                <w:color w:val="105EAB"/>
              </w:rPr>
              <w:t>2019 Proxy Statement</w:t>
            </w:r>
          </w:p>
        </w:tc>
        <w:tc>
          <w:tcPr>
            <w:tcW w:w="180" w:type="dxa"/>
            <w:vAlign w:val="bottom"/>
            <w:gridSpan w:val="2"/>
          </w:tcPr>
          <w:p>
            <w:pPr>
              <w:jc w:val="right"/>
              <w:ind w:right="20"/>
              <w:spacing w:after="0"/>
              <w:rPr>
                <w:sz w:val="20"/>
                <w:szCs w:val="20"/>
                <w:color w:val="auto"/>
              </w:rPr>
            </w:pPr>
            <w:r>
              <w:rPr>
                <w:rFonts w:ascii="Arial" w:cs="Arial" w:eastAsia="Arial" w:hAnsi="Arial"/>
                <w:sz w:val="13"/>
                <w:szCs w:val="13"/>
                <w:b w:val="1"/>
                <w:bCs w:val="1"/>
                <w:color w:val="105EAB"/>
                <w:w w:val="96"/>
              </w:rPr>
              <w:t>63</w:t>
            </w:r>
          </w:p>
        </w:tc>
        <w:tc>
          <w:tcPr>
            <w:tcW w:w="0" w:type="dxa"/>
            <w:vAlign w:val="bottom"/>
          </w:tcPr>
          <w:p>
            <w:pPr>
              <w:spacing w:after="0"/>
              <w:rPr>
                <w:sz w:val="1"/>
                <w:szCs w:val="1"/>
                <w:color w:val="auto"/>
              </w:rPr>
            </w:pPr>
          </w:p>
        </w:tc>
      </w:tr>
      <w:tr>
        <w:trPr>
          <w:trHeight w:val="213"/>
        </w:trPr>
        <w:tc>
          <w:tcPr>
            <w:tcW w:w="1960" w:type="dxa"/>
            <w:vAlign w:val="bottom"/>
            <w:tcBorders>
              <w:bottom w:val="single" w:sz="8" w:color="808080"/>
            </w:tcBorders>
          </w:tcPr>
          <w:p>
            <w:pPr>
              <w:spacing w:after="0"/>
              <w:rPr>
                <w:sz w:val="18"/>
                <w:szCs w:val="18"/>
                <w:color w:val="auto"/>
              </w:rPr>
            </w:pPr>
          </w:p>
        </w:tc>
        <w:tc>
          <w:tcPr>
            <w:tcW w:w="1940" w:type="dxa"/>
            <w:vAlign w:val="bottom"/>
            <w:tcBorders>
              <w:bottom w:val="single" w:sz="8" w:color="808080"/>
            </w:tcBorders>
          </w:tcPr>
          <w:p>
            <w:pPr>
              <w:spacing w:after="0"/>
              <w:rPr>
                <w:sz w:val="18"/>
                <w:szCs w:val="18"/>
                <w:color w:val="auto"/>
              </w:rPr>
            </w:pPr>
          </w:p>
        </w:tc>
        <w:tc>
          <w:tcPr>
            <w:tcW w:w="1940" w:type="dxa"/>
            <w:vAlign w:val="bottom"/>
            <w:tcBorders>
              <w:bottom w:val="single" w:sz="8" w:color="808080"/>
            </w:tcBorders>
          </w:tcPr>
          <w:p>
            <w:pPr>
              <w:spacing w:after="0"/>
              <w:rPr>
                <w:sz w:val="18"/>
                <w:szCs w:val="18"/>
                <w:color w:val="auto"/>
              </w:rPr>
            </w:pPr>
          </w:p>
        </w:tc>
        <w:tc>
          <w:tcPr>
            <w:tcW w:w="1940" w:type="dxa"/>
            <w:vAlign w:val="bottom"/>
            <w:tcBorders>
              <w:bottom w:val="single" w:sz="8" w:color="808080"/>
            </w:tcBorders>
          </w:tcPr>
          <w:p>
            <w:pPr>
              <w:spacing w:after="0"/>
              <w:rPr>
                <w:sz w:val="18"/>
                <w:szCs w:val="18"/>
                <w:color w:val="auto"/>
              </w:rPr>
            </w:pPr>
          </w:p>
        </w:tc>
        <w:tc>
          <w:tcPr>
            <w:tcW w:w="1820" w:type="dxa"/>
            <w:vAlign w:val="bottom"/>
            <w:tcBorders>
              <w:bottom w:val="single" w:sz="8" w:color="808080"/>
            </w:tcBorders>
          </w:tcPr>
          <w:p>
            <w:pPr>
              <w:spacing w:after="0"/>
              <w:rPr>
                <w:sz w:val="18"/>
                <w:szCs w:val="18"/>
                <w:color w:val="auto"/>
              </w:rPr>
            </w:pPr>
          </w:p>
        </w:tc>
        <w:tc>
          <w:tcPr>
            <w:tcW w:w="16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-13970</wp:posOffset>
            </wp:positionV>
            <wp:extent cx="1270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780" w:type="dxa"/>
            <w:vAlign w:val="bottom"/>
            <w:gridSpan w:val="4"/>
          </w:tcPr>
          <w:p>
            <w:pPr>
              <w:spacing w:after="0"/>
              <w:rPr>
                <w:sz w:val="20"/>
                <w:szCs w:val="20"/>
                <w:color w:val="auto"/>
              </w:rPr>
            </w:pPr>
            <w:r>
              <w:rPr>
                <w:rFonts w:ascii="Arial" w:cs="Arial" w:eastAsia="Arial" w:hAnsi="Arial"/>
                <w:sz w:val="13"/>
                <w:szCs w:val="13"/>
                <w:b w:val="1"/>
                <w:bCs w:val="1"/>
                <w:color w:val="105EAB"/>
              </w:rPr>
              <w:t xml:space="preserve">Executive Compensation | </w:t>
            </w:r>
            <w:r>
              <w:rPr>
                <w:rFonts w:ascii="Arial" w:cs="Arial" w:eastAsia="Arial" w:hAnsi="Arial"/>
                <w:sz w:val="13"/>
                <w:szCs w:val="13"/>
                <w:b w:val="1"/>
                <w:bCs w:val="1"/>
                <w:color w:val="000000"/>
              </w:rPr>
              <w:t>Potential Payments as a Result of Termination or Change in Control (“CIC”)</w:t>
            </w:r>
          </w:p>
        </w:tc>
        <w:tc>
          <w:tcPr>
            <w:tcW w:w="18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960" w:type="dxa"/>
            <w:vAlign w:val="bottom"/>
          </w:tcPr>
          <w:p>
            <w:pPr>
              <w:spacing w:after="0"/>
              <w:rPr>
                <w:sz w:val="24"/>
                <w:szCs w:val="24"/>
                <w:color w:val="auto"/>
              </w:rPr>
            </w:pPr>
          </w:p>
        </w:tc>
        <w:tc>
          <w:tcPr>
            <w:tcW w:w="1940" w:type="dxa"/>
            <w:vAlign w:val="bottom"/>
            <w:tcBorders>
              <w:bottom w:val="single" w:sz="8" w:color="105EAB"/>
            </w:tcBorders>
          </w:tcPr>
          <w:p>
            <w:pPr>
              <w:spacing w:after="0"/>
              <w:rPr>
                <w:sz w:val="24"/>
                <w:szCs w:val="24"/>
                <w:color w:val="auto"/>
              </w:rPr>
            </w:pPr>
          </w:p>
        </w:tc>
        <w:tc>
          <w:tcPr>
            <w:tcW w:w="1940" w:type="dxa"/>
            <w:vAlign w:val="bottom"/>
            <w:tcBorders>
              <w:bottom w:val="single" w:sz="8" w:color="105EAB"/>
            </w:tcBorders>
          </w:tcPr>
          <w:p>
            <w:pPr>
              <w:spacing w:after="0"/>
              <w:rPr>
                <w:sz w:val="24"/>
                <w:szCs w:val="24"/>
                <w:color w:val="auto"/>
              </w:rPr>
            </w:pPr>
          </w:p>
        </w:tc>
        <w:tc>
          <w:tcPr>
            <w:tcW w:w="1940" w:type="dxa"/>
            <w:vAlign w:val="bottom"/>
            <w:tcBorders>
              <w:bottom w:val="single" w:sz="8" w:color="105EAB"/>
            </w:tcBorders>
          </w:tcPr>
          <w:p>
            <w:pPr>
              <w:ind w:left="120"/>
              <w:spacing w:after="0"/>
              <w:rPr>
                <w:sz w:val="20"/>
                <w:szCs w:val="20"/>
                <w:color w:val="auto"/>
              </w:rPr>
            </w:pPr>
            <w:r>
              <w:rPr>
                <w:rFonts w:ascii="Arial" w:cs="Arial" w:eastAsia="Arial" w:hAnsi="Arial"/>
                <w:sz w:val="13"/>
                <w:szCs w:val="13"/>
                <w:b w:val="1"/>
                <w:bCs w:val="1"/>
                <w:color w:val="105EAB"/>
              </w:rPr>
              <w:t>Termination Scenarios</w:t>
            </w:r>
          </w:p>
        </w:tc>
        <w:tc>
          <w:tcPr>
            <w:tcW w:w="1820" w:type="dxa"/>
            <w:vAlign w:val="bottom"/>
            <w:tcBorders>
              <w:bottom w:val="single" w:sz="8" w:color="105EAB"/>
            </w:tcBorders>
          </w:tcPr>
          <w:p>
            <w:pPr>
              <w:spacing w:after="0"/>
              <w:rPr>
                <w:sz w:val="24"/>
                <w:szCs w:val="24"/>
                <w:color w:val="auto"/>
              </w:rPr>
            </w:pPr>
          </w:p>
        </w:tc>
        <w:tc>
          <w:tcPr>
            <w:tcW w:w="1820" w:type="dxa"/>
            <w:vAlign w:val="bottom"/>
            <w:tcBorders>
              <w:bottom w:val="single" w:sz="8" w:color="105EAB"/>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960" w:type="dxa"/>
            <w:vAlign w:val="bottom"/>
          </w:tcPr>
          <w:p>
            <w:pPr>
              <w:ind w:left="80"/>
              <w:spacing w:after="0"/>
              <w:rPr>
                <w:sz w:val="20"/>
                <w:szCs w:val="20"/>
                <w:color w:val="auto"/>
              </w:rPr>
            </w:pPr>
            <w:r>
              <w:rPr>
                <w:rFonts w:ascii="Arial" w:cs="Arial" w:eastAsia="Arial" w:hAnsi="Arial"/>
                <w:sz w:val="13"/>
                <w:szCs w:val="13"/>
                <w:b w:val="1"/>
                <w:bCs w:val="1"/>
                <w:color w:val="105EAB"/>
              </w:rPr>
              <w:t>Compensation</w:t>
            </w:r>
          </w:p>
        </w:tc>
        <w:tc>
          <w:tcPr>
            <w:tcW w:w="1940" w:type="dxa"/>
            <w:vAlign w:val="bottom"/>
            <w:vMerge w:val="restart"/>
            <w:shd w:val="clear" w:color="auto" w:fill="EFF8FA"/>
          </w:tcPr>
          <w:p>
            <w:pPr>
              <w:ind w:left="60"/>
              <w:spacing w:after="0"/>
              <w:rPr>
                <w:sz w:val="20"/>
                <w:szCs w:val="20"/>
                <w:color w:val="auto"/>
              </w:rPr>
            </w:pPr>
            <w:r>
              <w:rPr>
                <w:rFonts w:ascii="Arial" w:cs="Arial" w:eastAsia="Arial" w:hAnsi="Arial"/>
                <w:sz w:val="13"/>
                <w:szCs w:val="13"/>
                <w:b w:val="1"/>
                <w:bCs w:val="1"/>
                <w:color w:val="105EAB"/>
              </w:rPr>
              <w:t>Termination</w:t>
            </w:r>
            <w:r>
              <w:rPr>
                <w:rFonts w:ascii="Arial" w:cs="Arial" w:eastAsia="Arial" w:hAnsi="Arial"/>
                <w:sz w:val="22"/>
                <w:szCs w:val="22"/>
                <w:b w:val="1"/>
                <w:bCs w:val="1"/>
                <w:color w:val="105EAB"/>
                <w:vertAlign w:val="superscript"/>
              </w:rPr>
              <w:t>(1)</w:t>
            </w:r>
          </w:p>
        </w:tc>
        <w:tc>
          <w:tcPr>
            <w:tcW w:w="1940" w:type="dxa"/>
            <w:vAlign w:val="bottom"/>
          </w:tcPr>
          <w:p>
            <w:pPr>
              <w:spacing w:after="0"/>
              <w:rPr>
                <w:sz w:val="16"/>
                <w:szCs w:val="16"/>
                <w:color w:val="auto"/>
              </w:rPr>
            </w:pPr>
          </w:p>
        </w:tc>
        <w:tc>
          <w:tcPr>
            <w:tcW w:w="1940" w:type="dxa"/>
            <w:vAlign w:val="bottom"/>
            <w:shd w:val="clear" w:color="auto" w:fill="EFF8FA"/>
          </w:tcPr>
          <w:p>
            <w:pPr>
              <w:ind w:left="60"/>
              <w:spacing w:after="0"/>
              <w:rPr>
                <w:sz w:val="20"/>
                <w:szCs w:val="20"/>
                <w:color w:val="auto"/>
              </w:rPr>
            </w:pPr>
            <w:r>
              <w:rPr>
                <w:rFonts w:ascii="Arial" w:cs="Arial" w:eastAsia="Arial" w:hAnsi="Arial"/>
                <w:sz w:val="13"/>
                <w:szCs w:val="13"/>
                <w:b w:val="1"/>
                <w:bCs w:val="1"/>
                <w:color w:val="105EAB"/>
              </w:rPr>
              <w:t>Termination due to</w:t>
            </w:r>
          </w:p>
        </w:tc>
        <w:tc>
          <w:tcPr>
            <w:tcW w:w="1820" w:type="dxa"/>
            <w:vAlign w:val="bottom"/>
          </w:tcPr>
          <w:p>
            <w:pPr>
              <w:spacing w:after="0"/>
              <w:rPr>
                <w:sz w:val="16"/>
                <w:szCs w:val="16"/>
                <w:color w:val="auto"/>
              </w:rPr>
            </w:pPr>
          </w:p>
        </w:tc>
        <w:tc>
          <w:tcPr>
            <w:tcW w:w="1820" w:type="dxa"/>
            <w:vAlign w:val="bottom"/>
            <w:shd w:val="clear" w:color="auto" w:fill="EFF8FA"/>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960" w:type="dxa"/>
            <w:vAlign w:val="bottom"/>
            <w:tcBorders>
              <w:bottom w:val="single" w:sz="8" w:color="105EAB"/>
            </w:tcBorders>
          </w:tcPr>
          <w:p>
            <w:pPr>
              <w:ind w:left="80"/>
              <w:spacing w:after="0"/>
              <w:rPr>
                <w:sz w:val="20"/>
                <w:szCs w:val="20"/>
                <w:color w:val="auto"/>
              </w:rPr>
            </w:pPr>
            <w:r>
              <w:rPr>
                <w:rFonts w:ascii="Arial" w:cs="Arial" w:eastAsia="Arial" w:hAnsi="Arial"/>
                <w:sz w:val="13"/>
                <w:szCs w:val="13"/>
                <w:b w:val="1"/>
                <w:bCs w:val="1"/>
                <w:color w:val="105EAB"/>
              </w:rPr>
              <w:t>Elements</w:t>
            </w:r>
          </w:p>
        </w:tc>
        <w:tc>
          <w:tcPr>
            <w:tcW w:w="1940" w:type="dxa"/>
            <w:vAlign w:val="bottom"/>
            <w:tcBorders>
              <w:bottom w:val="single" w:sz="8" w:color="105EAB"/>
            </w:tcBorders>
            <w:vMerge w:val="continue"/>
            <w:shd w:val="clear" w:color="auto" w:fill="EFF8FA"/>
          </w:tcPr>
          <w:p>
            <w:pPr>
              <w:spacing w:after="0"/>
              <w:rPr>
                <w:sz w:val="18"/>
                <w:szCs w:val="18"/>
                <w:color w:val="auto"/>
              </w:rPr>
            </w:pPr>
          </w:p>
        </w:tc>
        <w:tc>
          <w:tcPr>
            <w:tcW w:w="1940" w:type="dxa"/>
            <w:vAlign w:val="bottom"/>
            <w:tcBorders>
              <w:bottom w:val="single" w:sz="8" w:color="105EAB"/>
            </w:tcBorders>
          </w:tcPr>
          <w:p>
            <w:pPr>
              <w:ind w:left="60"/>
              <w:spacing w:after="0"/>
              <w:rPr>
                <w:sz w:val="20"/>
                <w:szCs w:val="20"/>
                <w:color w:val="auto"/>
              </w:rPr>
            </w:pPr>
            <w:r>
              <w:rPr>
                <w:rFonts w:ascii="Arial" w:cs="Arial" w:eastAsia="Arial" w:hAnsi="Arial"/>
                <w:sz w:val="13"/>
                <w:szCs w:val="13"/>
                <w:b w:val="1"/>
                <w:bCs w:val="1"/>
                <w:color w:val="105EAB"/>
              </w:rPr>
              <w:t>Retirement</w:t>
            </w:r>
          </w:p>
        </w:tc>
        <w:tc>
          <w:tcPr>
            <w:tcW w:w="1940" w:type="dxa"/>
            <w:vAlign w:val="bottom"/>
            <w:tcBorders>
              <w:bottom w:val="single" w:sz="8" w:color="105EAB"/>
            </w:tcBorders>
            <w:shd w:val="clear" w:color="auto" w:fill="EFF8FA"/>
          </w:tcPr>
          <w:p>
            <w:pPr>
              <w:ind w:left="60"/>
              <w:spacing w:after="0" w:line="202" w:lineRule="exact"/>
              <w:rPr>
                <w:sz w:val="20"/>
                <w:szCs w:val="20"/>
                <w:color w:val="auto"/>
              </w:rPr>
            </w:pPr>
            <w:r>
              <w:rPr>
                <w:rFonts w:ascii="Arial" w:cs="Arial" w:eastAsia="Arial" w:hAnsi="Arial"/>
                <w:sz w:val="13"/>
                <w:szCs w:val="13"/>
                <w:b w:val="1"/>
                <w:bCs w:val="1"/>
                <w:color w:val="105EAB"/>
              </w:rPr>
              <w:t>Change in Control</w:t>
            </w:r>
            <w:r>
              <w:rPr>
                <w:rFonts w:ascii="Arial" w:cs="Arial" w:eastAsia="Arial" w:hAnsi="Arial"/>
                <w:sz w:val="22"/>
                <w:szCs w:val="22"/>
                <w:b w:val="1"/>
                <w:bCs w:val="1"/>
                <w:color w:val="105EAB"/>
                <w:vertAlign w:val="superscript"/>
              </w:rPr>
              <w:t>(2)</w:t>
            </w:r>
          </w:p>
        </w:tc>
        <w:tc>
          <w:tcPr>
            <w:tcW w:w="1820" w:type="dxa"/>
            <w:vAlign w:val="bottom"/>
            <w:tcBorders>
              <w:bottom w:val="single" w:sz="8" w:color="105EAB"/>
            </w:tcBorders>
          </w:tcPr>
          <w:p>
            <w:pPr>
              <w:ind w:left="60"/>
              <w:spacing w:after="0"/>
              <w:rPr>
                <w:sz w:val="20"/>
                <w:szCs w:val="20"/>
                <w:color w:val="auto"/>
              </w:rPr>
            </w:pPr>
            <w:r>
              <w:rPr>
                <w:rFonts w:ascii="Arial" w:cs="Arial" w:eastAsia="Arial" w:hAnsi="Arial"/>
                <w:sz w:val="13"/>
                <w:szCs w:val="13"/>
                <w:b w:val="1"/>
                <w:bCs w:val="1"/>
                <w:color w:val="105EAB"/>
              </w:rPr>
              <w:t>Death</w:t>
            </w:r>
          </w:p>
        </w:tc>
        <w:tc>
          <w:tcPr>
            <w:tcW w:w="1820" w:type="dxa"/>
            <w:vAlign w:val="bottom"/>
            <w:tcBorders>
              <w:bottom w:val="single" w:sz="8" w:color="105EAB"/>
            </w:tcBorders>
            <w:shd w:val="clear" w:color="auto" w:fill="EFF8FA"/>
          </w:tcPr>
          <w:p>
            <w:pPr>
              <w:ind w:left="80"/>
              <w:spacing w:after="0"/>
              <w:rPr>
                <w:sz w:val="20"/>
                <w:szCs w:val="20"/>
                <w:color w:val="auto"/>
              </w:rPr>
            </w:pPr>
            <w:r>
              <w:rPr>
                <w:rFonts w:ascii="Arial" w:cs="Arial" w:eastAsia="Arial" w:hAnsi="Arial"/>
                <w:sz w:val="13"/>
                <w:szCs w:val="13"/>
                <w:b w:val="1"/>
                <w:bCs w:val="1"/>
                <w:color w:val="105EAB"/>
              </w:rPr>
              <w:t>Disability</w:t>
            </w:r>
          </w:p>
        </w:tc>
        <w:tc>
          <w:tcPr>
            <w:tcW w:w="0" w:type="dxa"/>
            <w:vAlign w:val="bottom"/>
          </w:tcPr>
          <w:p>
            <w:pPr>
              <w:spacing w:after="0"/>
              <w:rPr>
                <w:sz w:val="1"/>
                <w:szCs w:val="1"/>
                <w:color w:val="auto"/>
              </w:rPr>
            </w:pPr>
          </w:p>
        </w:tc>
      </w:tr>
      <w:tr>
        <w:trPr>
          <w:trHeight w:val="232"/>
        </w:trPr>
        <w:tc>
          <w:tcPr>
            <w:tcW w:w="1960" w:type="dxa"/>
            <w:vAlign w:val="bottom"/>
          </w:tcPr>
          <w:p>
            <w:pPr>
              <w:ind w:left="80"/>
              <w:spacing w:after="0" w:line="232" w:lineRule="exact"/>
              <w:rPr>
                <w:sz w:val="20"/>
                <w:szCs w:val="20"/>
                <w:color w:val="auto"/>
              </w:rPr>
            </w:pPr>
            <w:r>
              <w:rPr>
                <w:rFonts w:ascii="Arial" w:cs="Arial" w:eastAsia="Arial" w:hAnsi="Arial"/>
                <w:sz w:val="16"/>
                <w:szCs w:val="16"/>
                <w:b w:val="1"/>
                <w:bCs w:val="1"/>
                <w:color w:val="auto"/>
              </w:rPr>
              <w:t>Annual Incentive</w:t>
            </w:r>
            <w:r>
              <w:rPr>
                <w:rFonts w:ascii="Arial" w:cs="Arial" w:eastAsia="Arial" w:hAnsi="Arial"/>
                <w:sz w:val="26"/>
                <w:szCs w:val="26"/>
                <w:color w:val="auto"/>
                <w:vertAlign w:val="superscript"/>
              </w:rPr>
              <w:t>(4)</w:t>
            </w:r>
          </w:p>
        </w:tc>
        <w:tc>
          <w:tcPr>
            <w:tcW w:w="1940" w:type="dxa"/>
            <w:vAlign w:val="bottom"/>
            <w:shd w:val="clear" w:color="auto" w:fill="EFF8FA"/>
          </w:tcPr>
          <w:p>
            <w:pPr>
              <w:ind w:left="60"/>
              <w:spacing w:after="0"/>
              <w:rPr>
                <w:sz w:val="20"/>
                <w:szCs w:val="20"/>
                <w:color w:val="auto"/>
              </w:rPr>
            </w:pPr>
            <w:r>
              <w:rPr>
                <w:rFonts w:ascii="Arial" w:cs="Arial" w:eastAsia="Arial" w:hAnsi="Arial"/>
                <w:sz w:val="18"/>
                <w:szCs w:val="18"/>
                <w:color w:val="auto"/>
              </w:rPr>
              <w:t>Forfeited</w:t>
            </w:r>
          </w:p>
        </w:tc>
        <w:tc>
          <w:tcPr>
            <w:tcW w:w="1940" w:type="dxa"/>
            <w:vAlign w:val="bottom"/>
          </w:tcPr>
          <w:p>
            <w:pPr>
              <w:ind w:left="60"/>
              <w:spacing w:after="0"/>
              <w:rPr>
                <w:sz w:val="20"/>
                <w:szCs w:val="20"/>
                <w:color w:val="auto"/>
              </w:rPr>
            </w:pPr>
            <w:r>
              <w:rPr>
                <w:rFonts w:ascii="Arial" w:cs="Arial" w:eastAsia="Arial" w:hAnsi="Arial"/>
                <w:sz w:val="18"/>
                <w:szCs w:val="18"/>
                <w:color w:val="auto"/>
              </w:rPr>
              <w:t>Prorated for the year</w:t>
            </w:r>
          </w:p>
        </w:tc>
        <w:tc>
          <w:tcPr>
            <w:tcW w:w="1940" w:type="dxa"/>
            <w:vAlign w:val="bottom"/>
            <w:shd w:val="clear" w:color="auto" w:fill="EFF8FA"/>
          </w:tcPr>
          <w:p>
            <w:pPr>
              <w:ind w:left="60"/>
              <w:spacing w:after="0"/>
              <w:rPr>
                <w:sz w:val="20"/>
                <w:szCs w:val="20"/>
                <w:color w:val="auto"/>
              </w:rPr>
            </w:pPr>
            <w:r>
              <w:rPr>
                <w:rFonts w:ascii="Arial" w:cs="Arial" w:eastAsia="Arial" w:hAnsi="Arial"/>
                <w:sz w:val="18"/>
                <w:szCs w:val="18"/>
                <w:color w:val="auto"/>
              </w:rPr>
              <w:t>Prorated at target</w:t>
            </w:r>
          </w:p>
        </w:tc>
        <w:tc>
          <w:tcPr>
            <w:tcW w:w="1820" w:type="dxa"/>
            <w:vAlign w:val="bottom"/>
          </w:tcPr>
          <w:p>
            <w:pPr>
              <w:ind w:left="60"/>
              <w:spacing w:after="0"/>
              <w:rPr>
                <w:sz w:val="20"/>
                <w:szCs w:val="20"/>
                <w:color w:val="auto"/>
              </w:rPr>
            </w:pPr>
            <w:r>
              <w:rPr>
                <w:rFonts w:ascii="Arial" w:cs="Arial" w:eastAsia="Arial" w:hAnsi="Arial"/>
                <w:sz w:val="18"/>
                <w:szCs w:val="18"/>
                <w:color w:val="auto"/>
              </w:rPr>
              <w:t>Prorated for the year</w:t>
            </w:r>
          </w:p>
        </w:tc>
        <w:tc>
          <w:tcPr>
            <w:tcW w:w="1820" w:type="dxa"/>
            <w:vAlign w:val="bottom"/>
            <w:shd w:val="clear" w:color="auto" w:fill="EFF8FA"/>
          </w:tcPr>
          <w:p>
            <w:pPr>
              <w:ind w:left="80"/>
              <w:spacing w:after="0"/>
              <w:rPr>
                <w:sz w:val="20"/>
                <w:szCs w:val="20"/>
                <w:color w:val="auto"/>
              </w:rPr>
            </w:pPr>
            <w:r>
              <w:rPr>
                <w:rFonts w:ascii="Arial" w:cs="Arial" w:eastAsia="Arial" w:hAnsi="Arial"/>
                <w:sz w:val="18"/>
                <w:szCs w:val="18"/>
                <w:color w:val="auto"/>
              </w:rPr>
              <w:t>Prorated for the year</w:t>
            </w:r>
          </w:p>
        </w:tc>
        <w:tc>
          <w:tcPr>
            <w:tcW w:w="0" w:type="dxa"/>
            <w:vAlign w:val="bottom"/>
          </w:tcPr>
          <w:p>
            <w:pPr>
              <w:spacing w:after="0"/>
              <w:rPr>
                <w:sz w:val="1"/>
                <w:szCs w:val="1"/>
                <w:color w:val="auto"/>
              </w:rPr>
            </w:pPr>
          </w:p>
        </w:tc>
      </w:tr>
      <w:tr>
        <w:trPr>
          <w:trHeight w:val="202"/>
        </w:trPr>
        <w:tc>
          <w:tcPr>
            <w:tcW w:w="1960" w:type="dxa"/>
            <w:vAlign w:val="bottom"/>
          </w:tcPr>
          <w:p>
            <w:pPr>
              <w:spacing w:after="0"/>
              <w:rPr>
                <w:sz w:val="17"/>
                <w:szCs w:val="17"/>
                <w:color w:val="auto"/>
              </w:rPr>
            </w:pPr>
          </w:p>
        </w:tc>
        <w:tc>
          <w:tcPr>
            <w:tcW w:w="1940" w:type="dxa"/>
            <w:vAlign w:val="bottom"/>
            <w:shd w:val="clear" w:color="auto" w:fill="EFF8FA"/>
          </w:tcPr>
          <w:p>
            <w:pPr>
              <w:spacing w:after="0"/>
              <w:rPr>
                <w:sz w:val="17"/>
                <w:szCs w:val="17"/>
                <w:color w:val="auto"/>
              </w:rPr>
            </w:pPr>
          </w:p>
        </w:tc>
        <w:tc>
          <w:tcPr>
            <w:tcW w:w="1940" w:type="dxa"/>
            <w:vAlign w:val="bottom"/>
          </w:tcPr>
          <w:p>
            <w:pPr>
              <w:ind w:left="60"/>
              <w:spacing w:after="0" w:line="202" w:lineRule="exact"/>
              <w:rPr>
                <w:sz w:val="20"/>
                <w:szCs w:val="20"/>
                <w:color w:val="auto"/>
              </w:rPr>
            </w:pPr>
            <w:r>
              <w:rPr>
                <w:rFonts w:ascii="Arial" w:cs="Arial" w:eastAsia="Arial" w:hAnsi="Arial"/>
                <w:sz w:val="18"/>
                <w:szCs w:val="18"/>
                <w:color w:val="auto"/>
              </w:rPr>
              <w:t>and subject to</w:t>
            </w:r>
          </w:p>
        </w:tc>
        <w:tc>
          <w:tcPr>
            <w:tcW w:w="1940" w:type="dxa"/>
            <w:vAlign w:val="bottom"/>
            <w:shd w:val="clear" w:color="auto" w:fill="EFF8FA"/>
          </w:tcPr>
          <w:p>
            <w:pPr>
              <w:ind w:left="60"/>
              <w:spacing w:after="0" w:line="202" w:lineRule="exact"/>
              <w:rPr>
                <w:sz w:val="20"/>
                <w:szCs w:val="20"/>
                <w:color w:val="auto"/>
              </w:rPr>
            </w:pPr>
            <w:r>
              <w:rPr>
                <w:rFonts w:ascii="Arial" w:cs="Arial" w:eastAsia="Arial" w:hAnsi="Arial"/>
                <w:sz w:val="18"/>
                <w:szCs w:val="18"/>
                <w:color w:val="auto"/>
              </w:rPr>
              <w:t>(reduced by any</w:t>
            </w:r>
          </w:p>
        </w:tc>
        <w:tc>
          <w:tcPr>
            <w:tcW w:w="1820" w:type="dxa"/>
            <w:vAlign w:val="bottom"/>
          </w:tcPr>
          <w:p>
            <w:pPr>
              <w:ind w:left="60"/>
              <w:spacing w:after="0" w:line="202" w:lineRule="exact"/>
              <w:rPr>
                <w:sz w:val="20"/>
                <w:szCs w:val="20"/>
                <w:color w:val="auto"/>
              </w:rPr>
            </w:pPr>
            <w:r>
              <w:rPr>
                <w:rFonts w:ascii="Arial" w:cs="Arial" w:eastAsia="Arial" w:hAnsi="Arial"/>
                <w:sz w:val="18"/>
                <w:szCs w:val="18"/>
                <w:color w:val="auto"/>
              </w:rPr>
              <w:t>and subject to</w:t>
            </w:r>
          </w:p>
        </w:tc>
        <w:tc>
          <w:tcPr>
            <w:tcW w:w="1820" w:type="dxa"/>
            <w:vAlign w:val="bottom"/>
            <w:shd w:val="clear" w:color="auto" w:fill="EFF8FA"/>
          </w:tcPr>
          <w:p>
            <w:pPr>
              <w:ind w:left="80"/>
              <w:spacing w:after="0" w:line="202" w:lineRule="exact"/>
              <w:rPr>
                <w:sz w:val="20"/>
                <w:szCs w:val="20"/>
                <w:color w:val="auto"/>
              </w:rPr>
            </w:pPr>
            <w:r>
              <w:rPr>
                <w:rFonts w:ascii="Arial" w:cs="Arial" w:eastAsia="Arial" w:hAnsi="Arial"/>
                <w:sz w:val="18"/>
                <w:szCs w:val="18"/>
                <w:color w:val="auto"/>
              </w:rPr>
              <w:t>and subject to</w:t>
            </w:r>
          </w:p>
        </w:tc>
        <w:tc>
          <w:tcPr>
            <w:tcW w:w="0" w:type="dxa"/>
            <w:vAlign w:val="bottom"/>
          </w:tcPr>
          <w:p>
            <w:pPr>
              <w:spacing w:after="0"/>
              <w:rPr>
                <w:sz w:val="1"/>
                <w:szCs w:val="1"/>
                <w:color w:val="auto"/>
              </w:rPr>
            </w:pPr>
          </w:p>
        </w:tc>
      </w:tr>
      <w:tr>
        <w:trPr>
          <w:trHeight w:val="202"/>
        </w:trPr>
        <w:tc>
          <w:tcPr>
            <w:tcW w:w="1960" w:type="dxa"/>
            <w:vAlign w:val="bottom"/>
          </w:tcPr>
          <w:p>
            <w:pPr>
              <w:spacing w:after="0"/>
              <w:rPr>
                <w:sz w:val="17"/>
                <w:szCs w:val="17"/>
                <w:color w:val="auto"/>
              </w:rPr>
            </w:pPr>
          </w:p>
        </w:tc>
        <w:tc>
          <w:tcPr>
            <w:tcW w:w="1940" w:type="dxa"/>
            <w:vAlign w:val="bottom"/>
            <w:shd w:val="clear" w:color="auto" w:fill="EFF8FA"/>
          </w:tcPr>
          <w:p>
            <w:pPr>
              <w:spacing w:after="0"/>
              <w:rPr>
                <w:sz w:val="17"/>
                <w:szCs w:val="17"/>
                <w:color w:val="auto"/>
              </w:rPr>
            </w:pPr>
          </w:p>
        </w:tc>
        <w:tc>
          <w:tcPr>
            <w:tcW w:w="1940" w:type="dxa"/>
            <w:vAlign w:val="bottom"/>
          </w:tcPr>
          <w:p>
            <w:pPr>
              <w:ind w:left="60"/>
              <w:spacing w:after="0" w:line="202" w:lineRule="exact"/>
              <w:rPr>
                <w:sz w:val="20"/>
                <w:szCs w:val="20"/>
                <w:color w:val="auto"/>
              </w:rPr>
            </w:pPr>
            <w:r>
              <w:rPr>
                <w:rFonts w:ascii="Arial" w:cs="Arial" w:eastAsia="Arial" w:hAnsi="Arial"/>
                <w:sz w:val="18"/>
                <w:szCs w:val="18"/>
                <w:color w:val="auto"/>
              </w:rPr>
              <w:t>discretionary</w:t>
            </w:r>
          </w:p>
        </w:tc>
        <w:tc>
          <w:tcPr>
            <w:tcW w:w="1940" w:type="dxa"/>
            <w:vAlign w:val="bottom"/>
            <w:shd w:val="clear" w:color="auto" w:fill="EFF8FA"/>
          </w:tcPr>
          <w:p>
            <w:pPr>
              <w:ind w:left="60"/>
              <w:spacing w:after="0" w:line="202" w:lineRule="exact"/>
              <w:rPr>
                <w:sz w:val="20"/>
                <w:szCs w:val="20"/>
                <w:color w:val="auto"/>
              </w:rPr>
            </w:pPr>
            <w:r>
              <w:rPr>
                <w:rFonts w:ascii="Arial" w:cs="Arial" w:eastAsia="Arial" w:hAnsi="Arial"/>
                <w:sz w:val="18"/>
                <w:szCs w:val="18"/>
                <w:color w:val="auto"/>
              </w:rPr>
              <w:t>amounts actually paid)</w:t>
            </w:r>
          </w:p>
        </w:tc>
        <w:tc>
          <w:tcPr>
            <w:tcW w:w="1820" w:type="dxa"/>
            <w:vAlign w:val="bottom"/>
          </w:tcPr>
          <w:p>
            <w:pPr>
              <w:ind w:left="60"/>
              <w:spacing w:after="0" w:line="202" w:lineRule="exact"/>
              <w:rPr>
                <w:sz w:val="20"/>
                <w:szCs w:val="20"/>
                <w:color w:val="auto"/>
              </w:rPr>
            </w:pPr>
            <w:r>
              <w:rPr>
                <w:rFonts w:ascii="Arial" w:cs="Arial" w:eastAsia="Arial" w:hAnsi="Arial"/>
                <w:sz w:val="18"/>
                <w:szCs w:val="18"/>
                <w:color w:val="auto"/>
              </w:rPr>
              <w:t>discretionary</w:t>
            </w:r>
          </w:p>
        </w:tc>
        <w:tc>
          <w:tcPr>
            <w:tcW w:w="1820" w:type="dxa"/>
            <w:vAlign w:val="bottom"/>
            <w:shd w:val="clear" w:color="auto" w:fill="EFF8FA"/>
          </w:tcPr>
          <w:p>
            <w:pPr>
              <w:ind w:left="80"/>
              <w:spacing w:after="0" w:line="202" w:lineRule="exact"/>
              <w:rPr>
                <w:sz w:val="20"/>
                <w:szCs w:val="20"/>
                <w:color w:val="auto"/>
              </w:rPr>
            </w:pPr>
            <w:r>
              <w:rPr>
                <w:rFonts w:ascii="Arial" w:cs="Arial" w:eastAsia="Arial" w:hAnsi="Arial"/>
                <w:sz w:val="18"/>
                <w:szCs w:val="18"/>
                <w:color w:val="auto"/>
              </w:rPr>
              <w:t>discretionary</w:t>
            </w:r>
          </w:p>
        </w:tc>
        <w:tc>
          <w:tcPr>
            <w:tcW w:w="0" w:type="dxa"/>
            <w:vAlign w:val="bottom"/>
          </w:tcPr>
          <w:p>
            <w:pPr>
              <w:spacing w:after="0"/>
              <w:rPr>
                <w:sz w:val="1"/>
                <w:szCs w:val="1"/>
                <w:color w:val="auto"/>
              </w:rPr>
            </w:pPr>
          </w:p>
        </w:tc>
      </w:tr>
      <w:tr>
        <w:trPr>
          <w:trHeight w:val="267"/>
        </w:trPr>
        <w:tc>
          <w:tcPr>
            <w:tcW w:w="1960" w:type="dxa"/>
            <w:vAlign w:val="bottom"/>
            <w:tcBorders>
              <w:bottom w:val="single" w:sz="8" w:color="DFF1FB"/>
            </w:tcBorders>
          </w:tcPr>
          <w:p>
            <w:pPr>
              <w:spacing w:after="0"/>
              <w:rPr>
                <w:sz w:val="23"/>
                <w:szCs w:val="23"/>
                <w:color w:val="auto"/>
              </w:rPr>
            </w:pPr>
          </w:p>
        </w:tc>
        <w:tc>
          <w:tcPr>
            <w:tcW w:w="1940" w:type="dxa"/>
            <w:vAlign w:val="bottom"/>
            <w:tcBorders>
              <w:bottom w:val="single" w:sz="8" w:color="DFF1FB"/>
            </w:tcBorders>
            <w:shd w:val="clear" w:color="auto" w:fill="EFF8FA"/>
          </w:tcPr>
          <w:p>
            <w:pPr>
              <w:spacing w:after="0"/>
              <w:rPr>
                <w:sz w:val="23"/>
                <w:szCs w:val="23"/>
                <w:color w:val="auto"/>
              </w:rPr>
            </w:pPr>
          </w:p>
        </w:tc>
        <w:tc>
          <w:tcPr>
            <w:tcW w:w="1940" w:type="dxa"/>
            <w:vAlign w:val="bottom"/>
            <w:tcBorders>
              <w:bottom w:val="single" w:sz="8" w:color="DFF1FB"/>
            </w:tcBorders>
          </w:tcPr>
          <w:p>
            <w:pPr>
              <w:ind w:left="60"/>
              <w:spacing w:after="0" w:line="267" w:lineRule="exact"/>
              <w:rPr>
                <w:sz w:val="20"/>
                <w:szCs w:val="20"/>
                <w:color w:val="auto"/>
              </w:rPr>
            </w:pPr>
            <w:r>
              <w:rPr>
                <w:rFonts w:ascii="Arial" w:cs="Arial" w:eastAsia="Arial" w:hAnsi="Arial"/>
                <w:sz w:val="18"/>
                <w:szCs w:val="18"/>
                <w:color w:val="auto"/>
              </w:rPr>
              <w:t>adjustments</w:t>
            </w:r>
            <w:r>
              <w:rPr>
                <w:rFonts w:ascii="Arial" w:cs="Arial" w:eastAsia="Arial" w:hAnsi="Arial"/>
                <w:sz w:val="29"/>
                <w:szCs w:val="29"/>
                <w:color w:val="auto"/>
                <w:vertAlign w:val="superscript"/>
              </w:rPr>
              <w:t>(5)</w:t>
            </w:r>
          </w:p>
        </w:tc>
        <w:tc>
          <w:tcPr>
            <w:tcW w:w="1940" w:type="dxa"/>
            <w:vAlign w:val="bottom"/>
            <w:tcBorders>
              <w:bottom w:val="single" w:sz="8" w:color="DFF1FB"/>
            </w:tcBorders>
            <w:shd w:val="clear" w:color="auto" w:fill="EFF8FA"/>
          </w:tcPr>
          <w:p>
            <w:pPr>
              <w:spacing w:after="0"/>
              <w:rPr>
                <w:sz w:val="23"/>
                <w:szCs w:val="23"/>
                <w:color w:val="auto"/>
              </w:rPr>
            </w:pPr>
          </w:p>
        </w:tc>
        <w:tc>
          <w:tcPr>
            <w:tcW w:w="1820" w:type="dxa"/>
            <w:vAlign w:val="bottom"/>
            <w:tcBorders>
              <w:bottom w:val="single" w:sz="8" w:color="DFF1FB"/>
            </w:tcBorders>
          </w:tcPr>
          <w:p>
            <w:pPr>
              <w:ind w:left="60"/>
              <w:spacing w:after="0"/>
              <w:rPr>
                <w:sz w:val="20"/>
                <w:szCs w:val="20"/>
                <w:color w:val="auto"/>
              </w:rPr>
            </w:pPr>
            <w:r>
              <w:rPr>
                <w:rFonts w:ascii="Arial" w:cs="Arial" w:eastAsia="Arial" w:hAnsi="Arial"/>
                <w:sz w:val="18"/>
                <w:szCs w:val="18"/>
                <w:color w:val="auto"/>
              </w:rPr>
              <w:t>adjustments</w:t>
            </w:r>
          </w:p>
        </w:tc>
        <w:tc>
          <w:tcPr>
            <w:tcW w:w="1820" w:type="dxa"/>
            <w:vAlign w:val="bottom"/>
            <w:tcBorders>
              <w:bottom w:val="single" w:sz="8" w:color="DFF1FB"/>
            </w:tcBorders>
            <w:shd w:val="clear" w:color="auto" w:fill="EFF8FA"/>
          </w:tcPr>
          <w:p>
            <w:pPr>
              <w:ind w:left="80"/>
              <w:spacing w:after="0"/>
              <w:rPr>
                <w:sz w:val="20"/>
                <w:szCs w:val="20"/>
                <w:color w:val="auto"/>
              </w:rPr>
            </w:pPr>
            <w:r>
              <w:rPr>
                <w:rFonts w:ascii="Arial" w:cs="Arial" w:eastAsia="Arial" w:hAnsi="Arial"/>
                <w:sz w:val="18"/>
                <w:szCs w:val="18"/>
                <w:color w:val="auto"/>
              </w:rPr>
              <w:t>adjustments</w:t>
            </w:r>
          </w:p>
        </w:tc>
        <w:tc>
          <w:tcPr>
            <w:tcW w:w="0" w:type="dxa"/>
            <w:vAlign w:val="bottom"/>
          </w:tcPr>
          <w:p>
            <w:pPr>
              <w:spacing w:after="0"/>
              <w:rPr>
                <w:sz w:val="1"/>
                <w:szCs w:val="1"/>
                <w:color w:val="auto"/>
              </w:rPr>
            </w:pPr>
          </w:p>
        </w:tc>
      </w:tr>
      <w:tr>
        <w:trPr>
          <w:trHeight w:val="226"/>
        </w:trPr>
        <w:tc>
          <w:tcPr>
            <w:tcW w:w="1960" w:type="dxa"/>
            <w:vAlign w:val="bottom"/>
          </w:tcPr>
          <w:p>
            <w:pPr>
              <w:ind w:left="80"/>
              <w:spacing w:after="0" w:line="226" w:lineRule="exact"/>
              <w:rPr>
                <w:sz w:val="20"/>
                <w:szCs w:val="20"/>
                <w:color w:val="auto"/>
              </w:rPr>
            </w:pPr>
            <w:r>
              <w:rPr>
                <w:rFonts w:ascii="Arial" w:cs="Arial" w:eastAsia="Arial" w:hAnsi="Arial"/>
                <w:sz w:val="16"/>
                <w:szCs w:val="16"/>
                <w:b w:val="1"/>
                <w:bCs w:val="1"/>
                <w:color w:val="auto"/>
              </w:rPr>
              <w:t>Stock Options</w:t>
            </w:r>
            <w:r>
              <w:rPr>
                <w:rFonts w:ascii="Arial" w:cs="Arial" w:eastAsia="Arial" w:hAnsi="Arial"/>
                <w:sz w:val="26"/>
                <w:szCs w:val="26"/>
                <w:color w:val="auto"/>
                <w:vertAlign w:val="superscript"/>
              </w:rPr>
              <w:t>(4)(6)</w:t>
            </w:r>
          </w:p>
        </w:tc>
        <w:tc>
          <w:tcPr>
            <w:tcW w:w="1940" w:type="dxa"/>
            <w:vAlign w:val="bottom"/>
            <w:shd w:val="clear" w:color="auto" w:fill="EFF8FA"/>
          </w:tcPr>
          <w:p>
            <w:pPr>
              <w:ind w:left="60"/>
              <w:spacing w:after="0"/>
              <w:rPr>
                <w:sz w:val="20"/>
                <w:szCs w:val="20"/>
                <w:color w:val="auto"/>
              </w:rPr>
            </w:pPr>
            <w:r>
              <w:rPr>
                <w:rFonts w:ascii="Arial" w:cs="Arial" w:eastAsia="Arial" w:hAnsi="Arial"/>
                <w:sz w:val="18"/>
                <w:szCs w:val="18"/>
                <w:color w:val="auto"/>
              </w:rPr>
              <w:t>Unvested are forfeited,</w:t>
            </w:r>
          </w:p>
        </w:tc>
        <w:tc>
          <w:tcPr>
            <w:tcW w:w="1940" w:type="dxa"/>
            <w:vAlign w:val="bottom"/>
          </w:tcPr>
          <w:p>
            <w:pPr>
              <w:ind w:left="60"/>
              <w:spacing w:after="0"/>
              <w:rPr>
                <w:sz w:val="20"/>
                <w:szCs w:val="20"/>
                <w:color w:val="auto"/>
              </w:rPr>
            </w:pPr>
            <w:r>
              <w:rPr>
                <w:rFonts w:ascii="Arial" w:cs="Arial" w:eastAsia="Arial" w:hAnsi="Arial"/>
                <w:sz w:val="18"/>
                <w:szCs w:val="18"/>
                <w:color w:val="auto"/>
              </w:rPr>
              <w:t>Awards granted more</w:t>
            </w:r>
          </w:p>
        </w:tc>
        <w:tc>
          <w:tcPr>
            <w:tcW w:w="1940" w:type="dxa"/>
            <w:vAlign w:val="bottom"/>
            <w:shd w:val="clear" w:color="auto" w:fill="EFF8FA"/>
          </w:tcPr>
          <w:p>
            <w:pPr>
              <w:ind w:left="60"/>
              <w:spacing w:after="0"/>
              <w:rPr>
                <w:sz w:val="20"/>
                <w:szCs w:val="20"/>
                <w:color w:val="auto"/>
              </w:rPr>
            </w:pPr>
            <w:r>
              <w:rPr>
                <w:rFonts w:ascii="Arial" w:cs="Arial" w:eastAsia="Arial" w:hAnsi="Arial"/>
                <w:sz w:val="18"/>
                <w:szCs w:val="18"/>
                <w:color w:val="auto"/>
              </w:rPr>
              <w:t>Awards vest upon</w:t>
            </w:r>
          </w:p>
        </w:tc>
        <w:tc>
          <w:tcPr>
            <w:tcW w:w="1820" w:type="dxa"/>
            <w:vAlign w:val="bottom"/>
          </w:tcPr>
          <w:p>
            <w:pPr>
              <w:ind w:left="60"/>
              <w:spacing w:after="0"/>
              <w:rPr>
                <w:sz w:val="20"/>
                <w:szCs w:val="20"/>
                <w:color w:val="auto"/>
              </w:rPr>
            </w:pPr>
            <w:r>
              <w:rPr>
                <w:rFonts w:ascii="Arial" w:cs="Arial" w:eastAsia="Arial" w:hAnsi="Arial"/>
                <w:sz w:val="18"/>
                <w:szCs w:val="18"/>
                <w:color w:val="auto"/>
              </w:rPr>
              <w:t>Awards vest</w:t>
            </w:r>
          </w:p>
        </w:tc>
        <w:tc>
          <w:tcPr>
            <w:tcW w:w="1820" w:type="dxa"/>
            <w:vAlign w:val="bottom"/>
            <w:shd w:val="clear" w:color="auto" w:fill="EFF8FA"/>
          </w:tcPr>
          <w:p>
            <w:pPr>
              <w:ind w:left="80"/>
              <w:spacing w:after="0"/>
              <w:rPr>
                <w:sz w:val="20"/>
                <w:szCs w:val="20"/>
                <w:color w:val="auto"/>
              </w:rPr>
            </w:pPr>
            <w:r>
              <w:rPr>
                <w:rFonts w:ascii="Arial" w:cs="Arial" w:eastAsia="Arial" w:hAnsi="Arial"/>
                <w:sz w:val="18"/>
                <w:szCs w:val="18"/>
                <w:color w:val="auto"/>
              </w:rPr>
              <w:t>Awards vest</w:t>
            </w:r>
          </w:p>
        </w:tc>
        <w:tc>
          <w:tcPr>
            <w:tcW w:w="0" w:type="dxa"/>
            <w:vAlign w:val="bottom"/>
          </w:tcPr>
          <w:p>
            <w:pPr>
              <w:spacing w:after="0"/>
              <w:rPr>
                <w:sz w:val="1"/>
                <w:szCs w:val="1"/>
                <w:color w:val="auto"/>
              </w:rPr>
            </w:pPr>
          </w:p>
        </w:tc>
      </w:tr>
      <w:tr>
        <w:trPr>
          <w:trHeight w:val="202"/>
        </w:trPr>
        <w:tc>
          <w:tcPr>
            <w:tcW w:w="1960" w:type="dxa"/>
            <w:vAlign w:val="bottom"/>
          </w:tcPr>
          <w:p>
            <w:pPr>
              <w:spacing w:after="0"/>
              <w:rPr>
                <w:sz w:val="17"/>
                <w:szCs w:val="17"/>
                <w:color w:val="auto"/>
              </w:rPr>
            </w:pPr>
          </w:p>
        </w:tc>
        <w:tc>
          <w:tcPr>
            <w:tcW w:w="1940" w:type="dxa"/>
            <w:vAlign w:val="bottom"/>
            <w:shd w:val="clear" w:color="auto" w:fill="EFF8FA"/>
          </w:tcPr>
          <w:p>
            <w:pPr>
              <w:ind w:left="60"/>
              <w:spacing w:after="0" w:line="202" w:lineRule="exact"/>
              <w:rPr>
                <w:sz w:val="20"/>
                <w:szCs w:val="20"/>
                <w:color w:val="auto"/>
              </w:rPr>
            </w:pPr>
            <w:r>
              <w:rPr>
                <w:rFonts w:ascii="Arial" w:cs="Arial" w:eastAsia="Arial" w:hAnsi="Arial"/>
                <w:sz w:val="18"/>
                <w:szCs w:val="18"/>
                <w:color w:val="auto"/>
              </w:rPr>
              <w:t>vested expire at the</w:t>
            </w:r>
          </w:p>
        </w:tc>
        <w:tc>
          <w:tcPr>
            <w:tcW w:w="1940" w:type="dxa"/>
            <w:vAlign w:val="bottom"/>
          </w:tcPr>
          <w:p>
            <w:pPr>
              <w:ind w:left="60"/>
              <w:spacing w:after="0" w:line="202" w:lineRule="exact"/>
              <w:rPr>
                <w:sz w:val="20"/>
                <w:szCs w:val="20"/>
                <w:color w:val="auto"/>
              </w:rPr>
            </w:pPr>
            <w:r>
              <w:rPr>
                <w:rFonts w:ascii="Arial" w:cs="Arial" w:eastAsia="Arial" w:hAnsi="Arial"/>
                <w:sz w:val="18"/>
                <w:szCs w:val="18"/>
                <w:color w:val="auto"/>
              </w:rPr>
              <w:t>than 12 months</w:t>
            </w:r>
          </w:p>
        </w:tc>
        <w:tc>
          <w:tcPr>
            <w:tcW w:w="1940" w:type="dxa"/>
            <w:vAlign w:val="bottom"/>
            <w:shd w:val="clear" w:color="auto" w:fill="EFF8FA"/>
          </w:tcPr>
          <w:p>
            <w:pPr>
              <w:ind w:left="60"/>
              <w:spacing w:after="0" w:line="202" w:lineRule="exact"/>
              <w:rPr>
                <w:sz w:val="20"/>
                <w:szCs w:val="20"/>
                <w:color w:val="auto"/>
              </w:rPr>
            </w:pPr>
            <w:r>
              <w:rPr>
                <w:rFonts w:ascii="Arial" w:cs="Arial" w:eastAsia="Arial" w:hAnsi="Arial"/>
                <w:sz w:val="18"/>
                <w:szCs w:val="18"/>
                <w:color w:val="auto"/>
              </w:rPr>
              <w:t>qualifying termination</w:t>
            </w:r>
          </w:p>
        </w:tc>
        <w:tc>
          <w:tcPr>
            <w:tcW w:w="1820" w:type="dxa"/>
            <w:vAlign w:val="bottom"/>
          </w:tcPr>
          <w:p>
            <w:pPr>
              <w:ind w:left="60"/>
              <w:spacing w:after="0" w:line="202" w:lineRule="exact"/>
              <w:rPr>
                <w:sz w:val="20"/>
                <w:szCs w:val="20"/>
                <w:color w:val="auto"/>
              </w:rPr>
            </w:pPr>
            <w:r>
              <w:rPr>
                <w:rFonts w:ascii="Arial" w:cs="Arial" w:eastAsia="Arial" w:hAnsi="Arial"/>
                <w:sz w:val="18"/>
                <w:szCs w:val="18"/>
                <w:color w:val="auto"/>
              </w:rPr>
              <w:t>immediately and</w:t>
            </w:r>
          </w:p>
        </w:tc>
        <w:tc>
          <w:tcPr>
            <w:tcW w:w="1820" w:type="dxa"/>
            <w:vAlign w:val="bottom"/>
            <w:shd w:val="clear" w:color="auto" w:fill="EFF8FA"/>
          </w:tcPr>
          <w:p>
            <w:pPr>
              <w:ind w:left="80"/>
              <w:spacing w:after="0" w:line="202" w:lineRule="exact"/>
              <w:rPr>
                <w:sz w:val="20"/>
                <w:szCs w:val="20"/>
                <w:color w:val="auto"/>
              </w:rPr>
            </w:pPr>
            <w:r>
              <w:rPr>
                <w:rFonts w:ascii="Arial" w:cs="Arial" w:eastAsia="Arial" w:hAnsi="Arial"/>
                <w:sz w:val="18"/>
                <w:szCs w:val="18"/>
                <w:color w:val="auto"/>
              </w:rPr>
              <w:t>immediately and</w:t>
            </w:r>
          </w:p>
        </w:tc>
        <w:tc>
          <w:tcPr>
            <w:tcW w:w="0" w:type="dxa"/>
            <w:vAlign w:val="bottom"/>
          </w:tcPr>
          <w:p>
            <w:pPr>
              <w:spacing w:after="0"/>
              <w:rPr>
                <w:sz w:val="1"/>
                <w:szCs w:val="1"/>
                <w:color w:val="auto"/>
              </w:rPr>
            </w:pPr>
          </w:p>
        </w:tc>
      </w:tr>
      <w:tr>
        <w:trPr>
          <w:trHeight w:val="202"/>
        </w:trPr>
        <w:tc>
          <w:tcPr>
            <w:tcW w:w="1960" w:type="dxa"/>
            <w:vAlign w:val="bottom"/>
          </w:tcPr>
          <w:p>
            <w:pPr>
              <w:spacing w:after="0"/>
              <w:rPr>
                <w:sz w:val="17"/>
                <w:szCs w:val="17"/>
                <w:color w:val="auto"/>
              </w:rPr>
            </w:pPr>
          </w:p>
        </w:tc>
        <w:tc>
          <w:tcPr>
            <w:tcW w:w="1940" w:type="dxa"/>
            <w:vAlign w:val="bottom"/>
            <w:shd w:val="clear" w:color="auto" w:fill="EFF8FA"/>
          </w:tcPr>
          <w:p>
            <w:pPr>
              <w:ind w:left="60"/>
              <w:spacing w:after="0" w:line="202" w:lineRule="exact"/>
              <w:rPr>
                <w:sz w:val="20"/>
                <w:szCs w:val="20"/>
                <w:color w:val="auto"/>
              </w:rPr>
            </w:pPr>
            <w:r>
              <w:rPr>
                <w:rFonts w:ascii="Arial" w:cs="Arial" w:eastAsia="Arial" w:hAnsi="Arial"/>
                <w:sz w:val="18"/>
                <w:szCs w:val="18"/>
                <w:color w:val="auto"/>
              </w:rPr>
              <w:t>earlier of three months</w:t>
            </w:r>
          </w:p>
        </w:tc>
        <w:tc>
          <w:tcPr>
            <w:tcW w:w="1940" w:type="dxa"/>
            <w:vAlign w:val="bottom"/>
          </w:tcPr>
          <w:p>
            <w:pPr>
              <w:ind w:left="60"/>
              <w:spacing w:after="0" w:line="202" w:lineRule="exact"/>
              <w:rPr>
                <w:sz w:val="20"/>
                <w:szCs w:val="20"/>
                <w:color w:val="auto"/>
              </w:rPr>
            </w:pPr>
            <w:r>
              <w:rPr>
                <w:rFonts w:ascii="Arial" w:cs="Arial" w:eastAsia="Arial" w:hAnsi="Arial"/>
                <w:sz w:val="18"/>
                <w:szCs w:val="18"/>
                <w:color w:val="auto"/>
              </w:rPr>
              <w:t>before, and pro rata</w:t>
            </w:r>
          </w:p>
        </w:tc>
        <w:tc>
          <w:tcPr>
            <w:tcW w:w="1940" w:type="dxa"/>
            <w:vAlign w:val="bottom"/>
            <w:shd w:val="clear" w:color="auto" w:fill="EFF8FA"/>
          </w:tcPr>
          <w:p>
            <w:pPr>
              <w:ind w:left="60"/>
              <w:spacing w:after="0" w:line="202" w:lineRule="exact"/>
              <w:rPr>
                <w:sz w:val="20"/>
                <w:szCs w:val="20"/>
                <w:color w:val="auto"/>
              </w:rPr>
            </w:pPr>
            <w:r>
              <w:rPr>
                <w:rFonts w:ascii="Arial" w:cs="Arial" w:eastAsia="Arial" w:hAnsi="Arial"/>
                <w:sz w:val="18"/>
                <w:szCs w:val="18"/>
                <w:color w:val="auto"/>
              </w:rPr>
              <w:t>after a CIC</w:t>
            </w:r>
          </w:p>
        </w:tc>
        <w:tc>
          <w:tcPr>
            <w:tcW w:w="1820" w:type="dxa"/>
            <w:vAlign w:val="bottom"/>
          </w:tcPr>
          <w:p>
            <w:pPr>
              <w:ind w:left="60"/>
              <w:spacing w:after="0" w:line="202" w:lineRule="exact"/>
              <w:rPr>
                <w:sz w:val="20"/>
                <w:szCs w:val="20"/>
                <w:color w:val="auto"/>
              </w:rPr>
            </w:pPr>
            <w:r>
              <w:rPr>
                <w:rFonts w:ascii="Arial" w:cs="Arial" w:eastAsia="Arial" w:hAnsi="Arial"/>
                <w:sz w:val="18"/>
                <w:szCs w:val="18"/>
                <w:color w:val="auto"/>
              </w:rPr>
              <w:t>expire at earlier of</w:t>
            </w:r>
          </w:p>
        </w:tc>
        <w:tc>
          <w:tcPr>
            <w:tcW w:w="1820" w:type="dxa"/>
            <w:vAlign w:val="bottom"/>
            <w:shd w:val="clear" w:color="auto" w:fill="EFF8FA"/>
          </w:tcPr>
          <w:p>
            <w:pPr>
              <w:ind w:left="80"/>
              <w:spacing w:after="0" w:line="202" w:lineRule="exact"/>
              <w:rPr>
                <w:sz w:val="20"/>
                <w:szCs w:val="20"/>
                <w:color w:val="auto"/>
              </w:rPr>
            </w:pPr>
            <w:r>
              <w:rPr>
                <w:rFonts w:ascii="Arial" w:cs="Arial" w:eastAsia="Arial" w:hAnsi="Arial"/>
                <w:sz w:val="18"/>
                <w:szCs w:val="18"/>
                <w:color w:val="auto"/>
              </w:rPr>
              <w:t>expire at earlier of</w:t>
            </w:r>
          </w:p>
        </w:tc>
        <w:tc>
          <w:tcPr>
            <w:tcW w:w="0" w:type="dxa"/>
            <w:vAlign w:val="bottom"/>
          </w:tcPr>
          <w:p>
            <w:pPr>
              <w:spacing w:after="0"/>
              <w:rPr>
                <w:sz w:val="1"/>
                <w:szCs w:val="1"/>
                <w:color w:val="auto"/>
              </w:rPr>
            </w:pPr>
          </w:p>
        </w:tc>
      </w:tr>
      <w:tr>
        <w:trPr>
          <w:trHeight w:val="202"/>
        </w:trPr>
        <w:tc>
          <w:tcPr>
            <w:tcW w:w="1960" w:type="dxa"/>
            <w:vAlign w:val="bottom"/>
          </w:tcPr>
          <w:p>
            <w:pPr>
              <w:spacing w:after="0"/>
              <w:rPr>
                <w:sz w:val="17"/>
                <w:szCs w:val="17"/>
                <w:color w:val="auto"/>
              </w:rPr>
            </w:pPr>
          </w:p>
        </w:tc>
        <w:tc>
          <w:tcPr>
            <w:tcW w:w="1940" w:type="dxa"/>
            <w:vAlign w:val="bottom"/>
            <w:shd w:val="clear" w:color="auto" w:fill="EFF8FA"/>
          </w:tcPr>
          <w:p>
            <w:pPr>
              <w:ind w:left="60"/>
              <w:spacing w:after="0" w:line="202" w:lineRule="exact"/>
              <w:rPr>
                <w:sz w:val="20"/>
                <w:szCs w:val="20"/>
                <w:color w:val="auto"/>
              </w:rPr>
            </w:pPr>
            <w:r>
              <w:rPr>
                <w:rFonts w:ascii="Arial" w:cs="Arial" w:eastAsia="Arial" w:hAnsi="Arial"/>
                <w:sz w:val="18"/>
                <w:szCs w:val="18"/>
                <w:color w:val="auto"/>
              </w:rPr>
              <w:t>or normal expiration</w:t>
            </w:r>
          </w:p>
        </w:tc>
        <w:tc>
          <w:tcPr>
            <w:tcW w:w="1940" w:type="dxa"/>
            <w:vAlign w:val="bottom"/>
          </w:tcPr>
          <w:p>
            <w:pPr>
              <w:ind w:left="60"/>
              <w:spacing w:after="0" w:line="202" w:lineRule="exact"/>
              <w:rPr>
                <w:sz w:val="20"/>
                <w:szCs w:val="20"/>
                <w:color w:val="auto"/>
              </w:rPr>
            </w:pPr>
            <w:r>
              <w:rPr>
                <w:rFonts w:ascii="Arial" w:cs="Arial" w:eastAsia="Arial" w:hAnsi="Arial"/>
                <w:sz w:val="18"/>
                <w:szCs w:val="18"/>
                <w:color w:val="auto"/>
              </w:rPr>
              <w:t>portion of award</w:t>
            </w:r>
          </w:p>
        </w:tc>
        <w:tc>
          <w:tcPr>
            <w:tcW w:w="1940" w:type="dxa"/>
            <w:vAlign w:val="bottom"/>
            <w:shd w:val="clear" w:color="auto" w:fill="EFF8FA"/>
          </w:tcPr>
          <w:p>
            <w:pPr>
              <w:spacing w:after="0"/>
              <w:rPr>
                <w:sz w:val="17"/>
                <w:szCs w:val="17"/>
                <w:color w:val="auto"/>
              </w:rPr>
            </w:pPr>
          </w:p>
        </w:tc>
        <w:tc>
          <w:tcPr>
            <w:tcW w:w="1820" w:type="dxa"/>
            <w:vAlign w:val="bottom"/>
          </w:tcPr>
          <w:p>
            <w:pPr>
              <w:ind w:left="60"/>
              <w:spacing w:after="0" w:line="202" w:lineRule="exact"/>
              <w:rPr>
                <w:sz w:val="20"/>
                <w:szCs w:val="20"/>
                <w:color w:val="auto"/>
              </w:rPr>
            </w:pPr>
            <w:r>
              <w:rPr>
                <w:rFonts w:ascii="Arial" w:cs="Arial" w:eastAsia="Arial" w:hAnsi="Arial"/>
                <w:sz w:val="18"/>
                <w:szCs w:val="18"/>
                <w:color w:val="auto"/>
              </w:rPr>
              <w:t>two years or normal</w:t>
            </w:r>
          </w:p>
        </w:tc>
        <w:tc>
          <w:tcPr>
            <w:tcW w:w="1820" w:type="dxa"/>
            <w:vAlign w:val="bottom"/>
            <w:shd w:val="clear" w:color="auto" w:fill="EFF8FA"/>
          </w:tcPr>
          <w:p>
            <w:pPr>
              <w:ind w:left="80"/>
              <w:spacing w:after="0" w:line="202" w:lineRule="exact"/>
              <w:rPr>
                <w:sz w:val="20"/>
                <w:szCs w:val="20"/>
                <w:color w:val="auto"/>
              </w:rPr>
            </w:pPr>
            <w:r>
              <w:rPr>
                <w:rFonts w:ascii="Arial" w:cs="Arial" w:eastAsia="Arial" w:hAnsi="Arial"/>
                <w:sz w:val="18"/>
                <w:szCs w:val="18"/>
                <w:color w:val="auto"/>
              </w:rPr>
              <w:t>two years or normal</w:t>
            </w:r>
          </w:p>
        </w:tc>
        <w:tc>
          <w:tcPr>
            <w:tcW w:w="0" w:type="dxa"/>
            <w:vAlign w:val="bottom"/>
          </w:tcPr>
          <w:p>
            <w:pPr>
              <w:spacing w:after="0"/>
              <w:rPr>
                <w:sz w:val="1"/>
                <w:szCs w:val="1"/>
                <w:color w:val="auto"/>
              </w:rPr>
            </w:pPr>
          </w:p>
        </w:tc>
      </w:tr>
      <w:tr>
        <w:trPr>
          <w:trHeight w:val="202"/>
        </w:trPr>
        <w:tc>
          <w:tcPr>
            <w:tcW w:w="1960" w:type="dxa"/>
            <w:vAlign w:val="bottom"/>
          </w:tcPr>
          <w:p>
            <w:pPr>
              <w:spacing w:after="0"/>
              <w:rPr>
                <w:sz w:val="17"/>
                <w:szCs w:val="17"/>
                <w:color w:val="auto"/>
              </w:rPr>
            </w:pPr>
          </w:p>
        </w:tc>
        <w:tc>
          <w:tcPr>
            <w:tcW w:w="1940" w:type="dxa"/>
            <w:vAlign w:val="bottom"/>
            <w:shd w:val="clear" w:color="auto" w:fill="EFF8FA"/>
          </w:tcPr>
          <w:p>
            <w:pPr>
              <w:spacing w:after="0"/>
              <w:rPr>
                <w:sz w:val="17"/>
                <w:szCs w:val="17"/>
                <w:color w:val="auto"/>
              </w:rPr>
            </w:pPr>
          </w:p>
        </w:tc>
        <w:tc>
          <w:tcPr>
            <w:tcW w:w="1940" w:type="dxa"/>
            <w:vAlign w:val="bottom"/>
          </w:tcPr>
          <w:p>
            <w:pPr>
              <w:ind w:left="60"/>
              <w:spacing w:after="0" w:line="202" w:lineRule="exact"/>
              <w:rPr>
                <w:sz w:val="20"/>
                <w:szCs w:val="20"/>
                <w:color w:val="auto"/>
              </w:rPr>
            </w:pPr>
            <w:r>
              <w:rPr>
                <w:rFonts w:ascii="Arial" w:cs="Arial" w:eastAsia="Arial" w:hAnsi="Arial"/>
                <w:sz w:val="18"/>
                <w:szCs w:val="18"/>
                <w:color w:val="auto"/>
              </w:rPr>
              <w:t>granted within 12</w:t>
            </w:r>
          </w:p>
        </w:tc>
        <w:tc>
          <w:tcPr>
            <w:tcW w:w="1940" w:type="dxa"/>
            <w:vAlign w:val="bottom"/>
            <w:shd w:val="clear" w:color="auto" w:fill="EFF8FA"/>
          </w:tcPr>
          <w:p>
            <w:pPr>
              <w:spacing w:after="0"/>
              <w:rPr>
                <w:sz w:val="17"/>
                <w:szCs w:val="17"/>
                <w:color w:val="auto"/>
              </w:rPr>
            </w:pPr>
          </w:p>
        </w:tc>
        <w:tc>
          <w:tcPr>
            <w:tcW w:w="1820" w:type="dxa"/>
            <w:vAlign w:val="bottom"/>
          </w:tcPr>
          <w:p>
            <w:pPr>
              <w:ind w:left="60"/>
              <w:spacing w:after="0" w:line="202" w:lineRule="exact"/>
              <w:rPr>
                <w:sz w:val="20"/>
                <w:szCs w:val="20"/>
                <w:color w:val="auto"/>
              </w:rPr>
            </w:pPr>
            <w:r>
              <w:rPr>
                <w:rFonts w:ascii="Arial" w:cs="Arial" w:eastAsia="Arial" w:hAnsi="Arial"/>
                <w:sz w:val="18"/>
                <w:szCs w:val="18"/>
                <w:color w:val="auto"/>
              </w:rPr>
              <w:t>expiration</w:t>
            </w:r>
          </w:p>
        </w:tc>
        <w:tc>
          <w:tcPr>
            <w:tcW w:w="1820" w:type="dxa"/>
            <w:vAlign w:val="bottom"/>
            <w:shd w:val="clear" w:color="auto" w:fill="EFF8FA"/>
          </w:tcPr>
          <w:p>
            <w:pPr>
              <w:ind w:left="80"/>
              <w:spacing w:after="0" w:line="202" w:lineRule="exact"/>
              <w:rPr>
                <w:sz w:val="20"/>
                <w:szCs w:val="20"/>
                <w:color w:val="auto"/>
              </w:rPr>
            </w:pPr>
            <w:r>
              <w:rPr>
                <w:rFonts w:ascii="Arial" w:cs="Arial" w:eastAsia="Arial" w:hAnsi="Arial"/>
                <w:sz w:val="18"/>
                <w:szCs w:val="18"/>
                <w:color w:val="auto"/>
              </w:rPr>
              <w:t>expiration</w:t>
            </w:r>
          </w:p>
        </w:tc>
        <w:tc>
          <w:tcPr>
            <w:tcW w:w="0" w:type="dxa"/>
            <w:vAlign w:val="bottom"/>
          </w:tcPr>
          <w:p>
            <w:pPr>
              <w:spacing w:after="0"/>
              <w:rPr>
                <w:sz w:val="1"/>
                <w:szCs w:val="1"/>
                <w:color w:val="auto"/>
              </w:rPr>
            </w:pPr>
          </w:p>
        </w:tc>
      </w:tr>
      <w:tr>
        <w:trPr>
          <w:trHeight w:val="202"/>
        </w:trPr>
        <w:tc>
          <w:tcPr>
            <w:tcW w:w="1960" w:type="dxa"/>
            <w:vAlign w:val="bottom"/>
          </w:tcPr>
          <w:p>
            <w:pPr>
              <w:spacing w:after="0"/>
              <w:rPr>
                <w:sz w:val="17"/>
                <w:szCs w:val="17"/>
                <w:color w:val="auto"/>
              </w:rPr>
            </w:pPr>
          </w:p>
        </w:tc>
        <w:tc>
          <w:tcPr>
            <w:tcW w:w="1940" w:type="dxa"/>
            <w:vAlign w:val="bottom"/>
            <w:shd w:val="clear" w:color="auto" w:fill="EFF8FA"/>
          </w:tcPr>
          <w:p>
            <w:pPr>
              <w:spacing w:after="0"/>
              <w:rPr>
                <w:sz w:val="17"/>
                <w:szCs w:val="17"/>
                <w:color w:val="auto"/>
              </w:rPr>
            </w:pPr>
          </w:p>
        </w:tc>
        <w:tc>
          <w:tcPr>
            <w:tcW w:w="1940" w:type="dxa"/>
            <w:vAlign w:val="bottom"/>
          </w:tcPr>
          <w:p>
            <w:pPr>
              <w:ind w:left="60"/>
              <w:spacing w:after="0" w:line="202" w:lineRule="exact"/>
              <w:rPr>
                <w:sz w:val="20"/>
                <w:szCs w:val="20"/>
                <w:color w:val="auto"/>
              </w:rPr>
            </w:pPr>
            <w:r>
              <w:rPr>
                <w:rFonts w:ascii="Arial" w:cs="Arial" w:eastAsia="Arial" w:hAnsi="Arial"/>
                <w:sz w:val="18"/>
                <w:szCs w:val="18"/>
                <w:color w:val="auto"/>
              </w:rPr>
              <w:t>months of retirement,</w:t>
            </w:r>
          </w:p>
        </w:tc>
        <w:tc>
          <w:tcPr>
            <w:tcW w:w="1940" w:type="dxa"/>
            <w:vAlign w:val="bottom"/>
            <w:shd w:val="clear" w:color="auto" w:fill="EFF8FA"/>
          </w:tcPr>
          <w:p>
            <w:pPr>
              <w:spacing w:after="0"/>
              <w:rPr>
                <w:sz w:val="17"/>
                <w:szCs w:val="17"/>
                <w:color w:val="auto"/>
              </w:rPr>
            </w:pPr>
          </w:p>
        </w:tc>
        <w:tc>
          <w:tcPr>
            <w:tcW w:w="1820" w:type="dxa"/>
            <w:vAlign w:val="bottom"/>
          </w:tcPr>
          <w:p>
            <w:pPr>
              <w:spacing w:after="0"/>
              <w:rPr>
                <w:sz w:val="17"/>
                <w:szCs w:val="17"/>
                <w:color w:val="auto"/>
              </w:rPr>
            </w:pPr>
          </w:p>
        </w:tc>
        <w:tc>
          <w:tcPr>
            <w:tcW w:w="1820" w:type="dxa"/>
            <w:vAlign w:val="bottom"/>
            <w:shd w:val="clear" w:color="auto" w:fill="EFF8FA"/>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960" w:type="dxa"/>
            <w:vAlign w:val="bottom"/>
          </w:tcPr>
          <w:p>
            <w:pPr>
              <w:spacing w:after="0"/>
              <w:rPr>
                <w:sz w:val="17"/>
                <w:szCs w:val="17"/>
                <w:color w:val="auto"/>
              </w:rPr>
            </w:pPr>
          </w:p>
        </w:tc>
        <w:tc>
          <w:tcPr>
            <w:tcW w:w="1940" w:type="dxa"/>
            <w:vAlign w:val="bottom"/>
            <w:shd w:val="clear" w:color="auto" w:fill="EFF8FA"/>
          </w:tcPr>
          <w:p>
            <w:pPr>
              <w:spacing w:after="0"/>
              <w:rPr>
                <w:sz w:val="17"/>
                <w:szCs w:val="17"/>
                <w:color w:val="auto"/>
              </w:rPr>
            </w:pPr>
          </w:p>
        </w:tc>
        <w:tc>
          <w:tcPr>
            <w:tcW w:w="1940" w:type="dxa"/>
            <w:vAlign w:val="bottom"/>
          </w:tcPr>
          <w:p>
            <w:pPr>
              <w:ind w:left="60"/>
              <w:spacing w:after="0" w:line="202" w:lineRule="exact"/>
              <w:rPr>
                <w:sz w:val="20"/>
                <w:szCs w:val="20"/>
                <w:color w:val="auto"/>
              </w:rPr>
            </w:pPr>
            <w:r>
              <w:rPr>
                <w:rFonts w:ascii="Arial" w:cs="Arial" w:eastAsia="Arial" w:hAnsi="Arial"/>
                <w:sz w:val="18"/>
                <w:szCs w:val="18"/>
                <w:color w:val="auto"/>
              </w:rPr>
              <w:t>continue to vest. All</w:t>
            </w:r>
          </w:p>
        </w:tc>
        <w:tc>
          <w:tcPr>
            <w:tcW w:w="1940" w:type="dxa"/>
            <w:vAlign w:val="bottom"/>
            <w:shd w:val="clear" w:color="auto" w:fill="EFF8FA"/>
          </w:tcPr>
          <w:p>
            <w:pPr>
              <w:spacing w:after="0"/>
              <w:rPr>
                <w:sz w:val="17"/>
                <w:szCs w:val="17"/>
                <w:color w:val="auto"/>
              </w:rPr>
            </w:pPr>
          </w:p>
        </w:tc>
        <w:tc>
          <w:tcPr>
            <w:tcW w:w="1820" w:type="dxa"/>
            <w:vAlign w:val="bottom"/>
          </w:tcPr>
          <w:p>
            <w:pPr>
              <w:spacing w:after="0"/>
              <w:rPr>
                <w:sz w:val="17"/>
                <w:szCs w:val="17"/>
                <w:color w:val="auto"/>
              </w:rPr>
            </w:pPr>
          </w:p>
        </w:tc>
        <w:tc>
          <w:tcPr>
            <w:tcW w:w="1820" w:type="dxa"/>
            <w:vAlign w:val="bottom"/>
            <w:shd w:val="clear" w:color="auto" w:fill="EFF8FA"/>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960" w:type="dxa"/>
            <w:vAlign w:val="bottom"/>
          </w:tcPr>
          <w:p>
            <w:pPr>
              <w:spacing w:after="0"/>
              <w:rPr>
                <w:sz w:val="17"/>
                <w:szCs w:val="17"/>
                <w:color w:val="auto"/>
              </w:rPr>
            </w:pPr>
          </w:p>
        </w:tc>
        <w:tc>
          <w:tcPr>
            <w:tcW w:w="1940" w:type="dxa"/>
            <w:vAlign w:val="bottom"/>
            <w:shd w:val="clear" w:color="auto" w:fill="EFF8FA"/>
          </w:tcPr>
          <w:p>
            <w:pPr>
              <w:spacing w:after="0"/>
              <w:rPr>
                <w:sz w:val="17"/>
                <w:szCs w:val="17"/>
                <w:color w:val="auto"/>
              </w:rPr>
            </w:pPr>
          </w:p>
        </w:tc>
        <w:tc>
          <w:tcPr>
            <w:tcW w:w="1940" w:type="dxa"/>
            <w:vAlign w:val="bottom"/>
          </w:tcPr>
          <w:p>
            <w:pPr>
              <w:ind w:left="60"/>
              <w:spacing w:after="0" w:line="202" w:lineRule="exact"/>
              <w:rPr>
                <w:sz w:val="20"/>
                <w:szCs w:val="20"/>
                <w:color w:val="auto"/>
              </w:rPr>
            </w:pPr>
            <w:r>
              <w:rPr>
                <w:rFonts w:ascii="Arial" w:cs="Arial" w:eastAsia="Arial" w:hAnsi="Arial"/>
                <w:sz w:val="18"/>
                <w:szCs w:val="18"/>
                <w:color w:val="auto"/>
              </w:rPr>
              <w:t>expire at earlier of five</w:t>
            </w:r>
          </w:p>
        </w:tc>
        <w:tc>
          <w:tcPr>
            <w:tcW w:w="1940" w:type="dxa"/>
            <w:vAlign w:val="bottom"/>
            <w:shd w:val="clear" w:color="auto" w:fill="EFF8FA"/>
          </w:tcPr>
          <w:p>
            <w:pPr>
              <w:spacing w:after="0"/>
              <w:rPr>
                <w:sz w:val="17"/>
                <w:szCs w:val="17"/>
                <w:color w:val="auto"/>
              </w:rPr>
            </w:pPr>
          </w:p>
        </w:tc>
        <w:tc>
          <w:tcPr>
            <w:tcW w:w="1820" w:type="dxa"/>
            <w:vAlign w:val="bottom"/>
          </w:tcPr>
          <w:p>
            <w:pPr>
              <w:spacing w:after="0"/>
              <w:rPr>
                <w:sz w:val="17"/>
                <w:szCs w:val="17"/>
                <w:color w:val="auto"/>
              </w:rPr>
            </w:pPr>
          </w:p>
        </w:tc>
        <w:tc>
          <w:tcPr>
            <w:tcW w:w="1820" w:type="dxa"/>
            <w:vAlign w:val="bottom"/>
            <w:shd w:val="clear" w:color="auto" w:fill="EFF8FA"/>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960" w:type="dxa"/>
            <w:vAlign w:val="bottom"/>
          </w:tcPr>
          <w:p>
            <w:pPr>
              <w:spacing w:after="0"/>
              <w:rPr>
                <w:sz w:val="17"/>
                <w:szCs w:val="17"/>
                <w:color w:val="auto"/>
              </w:rPr>
            </w:pPr>
          </w:p>
        </w:tc>
        <w:tc>
          <w:tcPr>
            <w:tcW w:w="1940" w:type="dxa"/>
            <w:vAlign w:val="bottom"/>
            <w:shd w:val="clear" w:color="auto" w:fill="EFF8FA"/>
          </w:tcPr>
          <w:p>
            <w:pPr>
              <w:spacing w:after="0"/>
              <w:rPr>
                <w:sz w:val="17"/>
                <w:szCs w:val="17"/>
                <w:color w:val="auto"/>
              </w:rPr>
            </w:pPr>
          </w:p>
        </w:tc>
        <w:tc>
          <w:tcPr>
            <w:tcW w:w="1940" w:type="dxa"/>
            <w:vAlign w:val="bottom"/>
          </w:tcPr>
          <w:p>
            <w:pPr>
              <w:ind w:left="60"/>
              <w:spacing w:after="0" w:line="202" w:lineRule="exact"/>
              <w:rPr>
                <w:sz w:val="20"/>
                <w:szCs w:val="20"/>
                <w:color w:val="auto"/>
              </w:rPr>
            </w:pPr>
            <w:r>
              <w:rPr>
                <w:rFonts w:ascii="Arial" w:cs="Arial" w:eastAsia="Arial" w:hAnsi="Arial"/>
                <w:sz w:val="18"/>
                <w:szCs w:val="18"/>
                <w:color w:val="auto"/>
              </w:rPr>
              <w:t>years or normal</w:t>
            </w:r>
          </w:p>
        </w:tc>
        <w:tc>
          <w:tcPr>
            <w:tcW w:w="1940" w:type="dxa"/>
            <w:vAlign w:val="bottom"/>
            <w:shd w:val="clear" w:color="auto" w:fill="EFF8FA"/>
          </w:tcPr>
          <w:p>
            <w:pPr>
              <w:spacing w:after="0"/>
              <w:rPr>
                <w:sz w:val="17"/>
                <w:szCs w:val="17"/>
                <w:color w:val="auto"/>
              </w:rPr>
            </w:pPr>
          </w:p>
        </w:tc>
        <w:tc>
          <w:tcPr>
            <w:tcW w:w="1820" w:type="dxa"/>
            <w:vAlign w:val="bottom"/>
          </w:tcPr>
          <w:p>
            <w:pPr>
              <w:spacing w:after="0"/>
              <w:rPr>
                <w:sz w:val="17"/>
                <w:szCs w:val="17"/>
                <w:color w:val="auto"/>
              </w:rPr>
            </w:pPr>
          </w:p>
        </w:tc>
        <w:tc>
          <w:tcPr>
            <w:tcW w:w="1820" w:type="dxa"/>
            <w:vAlign w:val="bottom"/>
            <w:shd w:val="clear" w:color="auto" w:fill="EFF8FA"/>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1960" w:type="dxa"/>
            <w:vAlign w:val="bottom"/>
            <w:tcBorders>
              <w:bottom w:val="single" w:sz="8" w:color="DFF1FB"/>
            </w:tcBorders>
          </w:tcPr>
          <w:p>
            <w:pPr>
              <w:spacing w:after="0"/>
              <w:rPr>
                <w:sz w:val="23"/>
                <w:szCs w:val="23"/>
                <w:color w:val="auto"/>
              </w:rPr>
            </w:pPr>
          </w:p>
        </w:tc>
        <w:tc>
          <w:tcPr>
            <w:tcW w:w="1940" w:type="dxa"/>
            <w:vAlign w:val="bottom"/>
            <w:tcBorders>
              <w:bottom w:val="single" w:sz="8" w:color="DFF1FB"/>
            </w:tcBorders>
            <w:shd w:val="clear" w:color="auto" w:fill="EFF8FA"/>
          </w:tcPr>
          <w:p>
            <w:pPr>
              <w:spacing w:after="0"/>
              <w:rPr>
                <w:sz w:val="23"/>
                <w:szCs w:val="23"/>
                <w:color w:val="auto"/>
              </w:rPr>
            </w:pPr>
          </w:p>
        </w:tc>
        <w:tc>
          <w:tcPr>
            <w:tcW w:w="1940" w:type="dxa"/>
            <w:vAlign w:val="bottom"/>
            <w:tcBorders>
              <w:bottom w:val="single" w:sz="8" w:color="DFF1FB"/>
            </w:tcBorders>
          </w:tcPr>
          <w:p>
            <w:pPr>
              <w:ind w:left="60"/>
              <w:spacing w:after="0" w:line="267" w:lineRule="exact"/>
              <w:rPr>
                <w:sz w:val="20"/>
                <w:szCs w:val="20"/>
                <w:color w:val="auto"/>
              </w:rPr>
            </w:pPr>
            <w:r>
              <w:rPr>
                <w:rFonts w:ascii="Arial" w:cs="Arial" w:eastAsia="Arial" w:hAnsi="Arial"/>
                <w:sz w:val="18"/>
                <w:szCs w:val="18"/>
                <w:color w:val="auto"/>
              </w:rPr>
              <w:t>expiration</w:t>
            </w:r>
            <w:r>
              <w:rPr>
                <w:rFonts w:ascii="Arial" w:cs="Arial" w:eastAsia="Arial" w:hAnsi="Arial"/>
                <w:sz w:val="29"/>
                <w:szCs w:val="29"/>
                <w:color w:val="auto"/>
                <w:vertAlign w:val="superscript"/>
              </w:rPr>
              <w:t>(7)</w:t>
            </w:r>
          </w:p>
        </w:tc>
        <w:tc>
          <w:tcPr>
            <w:tcW w:w="1940" w:type="dxa"/>
            <w:vAlign w:val="bottom"/>
            <w:tcBorders>
              <w:bottom w:val="single" w:sz="8" w:color="DFF1FB"/>
            </w:tcBorders>
            <w:shd w:val="clear" w:color="auto" w:fill="EFF8FA"/>
          </w:tcPr>
          <w:p>
            <w:pPr>
              <w:spacing w:after="0"/>
              <w:rPr>
                <w:sz w:val="23"/>
                <w:szCs w:val="23"/>
                <w:color w:val="auto"/>
              </w:rPr>
            </w:pPr>
          </w:p>
        </w:tc>
        <w:tc>
          <w:tcPr>
            <w:tcW w:w="1820" w:type="dxa"/>
            <w:vAlign w:val="bottom"/>
            <w:tcBorders>
              <w:bottom w:val="single" w:sz="8" w:color="DFF1FB"/>
            </w:tcBorders>
          </w:tcPr>
          <w:p>
            <w:pPr>
              <w:spacing w:after="0"/>
              <w:rPr>
                <w:sz w:val="23"/>
                <w:szCs w:val="23"/>
                <w:color w:val="auto"/>
              </w:rPr>
            </w:pPr>
          </w:p>
        </w:tc>
        <w:tc>
          <w:tcPr>
            <w:tcW w:w="1820" w:type="dxa"/>
            <w:vAlign w:val="bottom"/>
            <w:tcBorders>
              <w:bottom w:val="single" w:sz="8" w:color="DFF1FB"/>
            </w:tcBorders>
            <w:shd w:val="clear" w:color="auto" w:fill="EFF8FA"/>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1960" w:type="dxa"/>
            <w:vAlign w:val="bottom"/>
          </w:tcPr>
          <w:p>
            <w:pPr>
              <w:ind w:left="80"/>
              <w:spacing w:after="0"/>
              <w:rPr>
                <w:sz w:val="20"/>
                <w:szCs w:val="20"/>
                <w:color w:val="auto"/>
              </w:rPr>
            </w:pPr>
            <w:r>
              <w:rPr>
                <w:rFonts w:ascii="Arial" w:cs="Arial" w:eastAsia="Arial" w:hAnsi="Arial"/>
                <w:sz w:val="18"/>
                <w:szCs w:val="18"/>
                <w:b w:val="1"/>
                <w:bCs w:val="1"/>
                <w:color w:val="auto"/>
              </w:rPr>
              <w:t>Restricted Stock</w:t>
            </w:r>
          </w:p>
        </w:tc>
        <w:tc>
          <w:tcPr>
            <w:tcW w:w="1940" w:type="dxa"/>
            <w:vAlign w:val="bottom"/>
            <w:shd w:val="clear" w:color="auto" w:fill="EFF8FA"/>
          </w:tcPr>
          <w:p>
            <w:pPr>
              <w:ind w:left="60"/>
              <w:spacing w:after="0"/>
              <w:rPr>
                <w:sz w:val="20"/>
                <w:szCs w:val="20"/>
                <w:color w:val="auto"/>
              </w:rPr>
            </w:pPr>
            <w:r>
              <w:rPr>
                <w:rFonts w:ascii="Arial" w:cs="Arial" w:eastAsia="Arial" w:hAnsi="Arial"/>
                <w:sz w:val="18"/>
                <w:szCs w:val="18"/>
                <w:color w:val="auto"/>
              </w:rPr>
              <w:t>Forfeited</w:t>
            </w:r>
          </w:p>
        </w:tc>
        <w:tc>
          <w:tcPr>
            <w:tcW w:w="1940" w:type="dxa"/>
            <w:vAlign w:val="bottom"/>
          </w:tcPr>
          <w:p>
            <w:pPr>
              <w:ind w:left="60"/>
              <w:spacing w:after="0"/>
              <w:rPr>
                <w:sz w:val="20"/>
                <w:szCs w:val="20"/>
                <w:color w:val="auto"/>
              </w:rPr>
            </w:pPr>
            <w:r>
              <w:rPr>
                <w:rFonts w:ascii="Arial" w:cs="Arial" w:eastAsia="Arial" w:hAnsi="Arial"/>
                <w:sz w:val="18"/>
                <w:szCs w:val="18"/>
                <w:color w:val="auto"/>
              </w:rPr>
              <w:t>Awards granted more</w:t>
            </w:r>
          </w:p>
        </w:tc>
        <w:tc>
          <w:tcPr>
            <w:tcW w:w="1940" w:type="dxa"/>
            <w:vAlign w:val="bottom"/>
            <w:shd w:val="clear" w:color="auto" w:fill="EFF8FA"/>
          </w:tcPr>
          <w:p>
            <w:pPr>
              <w:ind w:left="60"/>
              <w:spacing w:after="0"/>
              <w:rPr>
                <w:sz w:val="20"/>
                <w:szCs w:val="20"/>
                <w:color w:val="auto"/>
              </w:rPr>
            </w:pPr>
            <w:r>
              <w:rPr>
                <w:rFonts w:ascii="Arial" w:cs="Arial" w:eastAsia="Arial" w:hAnsi="Arial"/>
                <w:sz w:val="18"/>
                <w:szCs w:val="18"/>
                <w:color w:val="auto"/>
              </w:rPr>
              <w:t>Awards vest upon</w:t>
            </w:r>
          </w:p>
        </w:tc>
        <w:tc>
          <w:tcPr>
            <w:tcW w:w="1820" w:type="dxa"/>
            <w:vAlign w:val="bottom"/>
          </w:tcPr>
          <w:p>
            <w:pPr>
              <w:ind w:left="60"/>
              <w:spacing w:after="0"/>
              <w:rPr>
                <w:sz w:val="20"/>
                <w:szCs w:val="20"/>
                <w:color w:val="auto"/>
              </w:rPr>
            </w:pPr>
            <w:r>
              <w:rPr>
                <w:rFonts w:ascii="Arial" w:cs="Arial" w:eastAsia="Arial" w:hAnsi="Arial"/>
                <w:sz w:val="18"/>
                <w:szCs w:val="18"/>
                <w:color w:val="auto"/>
              </w:rPr>
              <w:t>Awards vest and are</w:t>
            </w:r>
          </w:p>
        </w:tc>
        <w:tc>
          <w:tcPr>
            <w:tcW w:w="1820" w:type="dxa"/>
            <w:vAlign w:val="bottom"/>
            <w:shd w:val="clear" w:color="auto" w:fill="EFF8FA"/>
          </w:tcPr>
          <w:p>
            <w:pPr>
              <w:ind w:left="80"/>
              <w:spacing w:after="0"/>
              <w:rPr>
                <w:sz w:val="20"/>
                <w:szCs w:val="20"/>
                <w:color w:val="auto"/>
              </w:rPr>
            </w:pPr>
            <w:r>
              <w:rPr>
                <w:rFonts w:ascii="Arial" w:cs="Arial" w:eastAsia="Arial" w:hAnsi="Arial"/>
                <w:sz w:val="18"/>
                <w:szCs w:val="18"/>
                <w:color w:val="auto"/>
              </w:rPr>
              <w:t>Awards vest and are</w:t>
            </w:r>
          </w:p>
        </w:tc>
        <w:tc>
          <w:tcPr>
            <w:tcW w:w="0" w:type="dxa"/>
            <w:vAlign w:val="bottom"/>
          </w:tcPr>
          <w:p>
            <w:pPr>
              <w:spacing w:after="0"/>
              <w:rPr>
                <w:sz w:val="1"/>
                <w:szCs w:val="1"/>
                <w:color w:val="auto"/>
              </w:rPr>
            </w:pPr>
          </w:p>
        </w:tc>
      </w:tr>
      <w:tr>
        <w:trPr>
          <w:trHeight w:val="203"/>
        </w:trPr>
        <w:tc>
          <w:tcPr>
            <w:tcW w:w="1960" w:type="dxa"/>
            <w:vAlign w:val="bottom"/>
          </w:tcPr>
          <w:p>
            <w:pPr>
              <w:ind w:left="80"/>
              <w:spacing w:after="0" w:line="203" w:lineRule="exact"/>
              <w:rPr>
                <w:sz w:val="20"/>
                <w:szCs w:val="20"/>
                <w:color w:val="auto"/>
              </w:rPr>
            </w:pPr>
            <w:r>
              <w:rPr>
                <w:rFonts w:ascii="Arial" w:cs="Arial" w:eastAsia="Arial" w:hAnsi="Arial"/>
                <w:sz w:val="23"/>
                <w:szCs w:val="23"/>
                <w:b w:val="1"/>
                <w:bCs w:val="1"/>
                <w:color w:val="auto"/>
                <w:vertAlign w:val="subscript"/>
              </w:rPr>
              <w:t>Units</w:t>
            </w:r>
            <w:r>
              <w:rPr>
                <w:rFonts w:ascii="Arial" w:cs="Arial" w:eastAsia="Arial" w:hAnsi="Arial"/>
                <w:sz w:val="12"/>
                <w:szCs w:val="12"/>
                <w:color w:val="auto"/>
              </w:rPr>
              <w:t>(4)(6)</w:t>
            </w:r>
          </w:p>
        </w:tc>
        <w:tc>
          <w:tcPr>
            <w:tcW w:w="1940" w:type="dxa"/>
            <w:vAlign w:val="bottom"/>
            <w:shd w:val="clear" w:color="auto" w:fill="EFF8FA"/>
          </w:tcPr>
          <w:p>
            <w:pPr>
              <w:spacing w:after="0"/>
              <w:rPr>
                <w:sz w:val="17"/>
                <w:szCs w:val="17"/>
                <w:color w:val="auto"/>
              </w:rPr>
            </w:pPr>
          </w:p>
        </w:tc>
        <w:tc>
          <w:tcPr>
            <w:tcW w:w="1940" w:type="dxa"/>
            <w:vAlign w:val="bottom"/>
          </w:tcPr>
          <w:p>
            <w:pPr>
              <w:ind w:left="60"/>
              <w:spacing w:after="0" w:line="203" w:lineRule="exact"/>
              <w:rPr>
                <w:sz w:val="20"/>
                <w:szCs w:val="20"/>
                <w:color w:val="auto"/>
              </w:rPr>
            </w:pPr>
            <w:r>
              <w:rPr>
                <w:rFonts w:ascii="Arial" w:cs="Arial" w:eastAsia="Arial" w:hAnsi="Arial"/>
                <w:sz w:val="18"/>
                <w:szCs w:val="18"/>
                <w:color w:val="auto"/>
              </w:rPr>
              <w:t>than 12 months</w:t>
            </w:r>
          </w:p>
        </w:tc>
        <w:tc>
          <w:tcPr>
            <w:tcW w:w="1940" w:type="dxa"/>
            <w:vAlign w:val="bottom"/>
            <w:shd w:val="clear" w:color="auto" w:fill="EFF8FA"/>
          </w:tcPr>
          <w:p>
            <w:pPr>
              <w:ind w:left="60"/>
              <w:spacing w:after="0" w:line="203" w:lineRule="exact"/>
              <w:rPr>
                <w:sz w:val="20"/>
                <w:szCs w:val="20"/>
                <w:color w:val="auto"/>
              </w:rPr>
            </w:pPr>
            <w:r>
              <w:rPr>
                <w:rFonts w:ascii="Arial" w:cs="Arial" w:eastAsia="Arial" w:hAnsi="Arial"/>
                <w:sz w:val="18"/>
                <w:szCs w:val="18"/>
                <w:color w:val="auto"/>
              </w:rPr>
              <w:t>qualifying termination</w:t>
            </w:r>
          </w:p>
        </w:tc>
        <w:tc>
          <w:tcPr>
            <w:tcW w:w="1820" w:type="dxa"/>
            <w:vAlign w:val="bottom"/>
          </w:tcPr>
          <w:p>
            <w:pPr>
              <w:ind w:left="60"/>
              <w:spacing w:after="0" w:line="203" w:lineRule="exact"/>
              <w:rPr>
                <w:sz w:val="20"/>
                <w:szCs w:val="20"/>
                <w:color w:val="auto"/>
              </w:rPr>
            </w:pPr>
            <w:r>
              <w:rPr>
                <w:rFonts w:ascii="Arial" w:cs="Arial" w:eastAsia="Arial" w:hAnsi="Arial"/>
                <w:sz w:val="18"/>
                <w:szCs w:val="18"/>
                <w:color w:val="auto"/>
              </w:rPr>
              <w:t>payable immediately</w:t>
            </w:r>
          </w:p>
        </w:tc>
        <w:tc>
          <w:tcPr>
            <w:tcW w:w="1820" w:type="dxa"/>
            <w:vAlign w:val="bottom"/>
            <w:shd w:val="clear" w:color="auto" w:fill="EFF8FA"/>
          </w:tcPr>
          <w:p>
            <w:pPr>
              <w:ind w:left="80"/>
              <w:spacing w:after="0" w:line="203" w:lineRule="exact"/>
              <w:rPr>
                <w:sz w:val="20"/>
                <w:szCs w:val="20"/>
                <w:color w:val="auto"/>
              </w:rPr>
            </w:pPr>
            <w:r>
              <w:rPr>
                <w:rFonts w:ascii="Arial" w:cs="Arial" w:eastAsia="Arial" w:hAnsi="Arial"/>
                <w:sz w:val="18"/>
                <w:szCs w:val="18"/>
                <w:color w:val="auto"/>
              </w:rPr>
              <w:t>payable immediately</w:t>
            </w:r>
          </w:p>
        </w:tc>
        <w:tc>
          <w:tcPr>
            <w:tcW w:w="0" w:type="dxa"/>
            <w:vAlign w:val="bottom"/>
          </w:tcPr>
          <w:p>
            <w:pPr>
              <w:spacing w:after="0"/>
              <w:rPr>
                <w:sz w:val="1"/>
                <w:szCs w:val="1"/>
                <w:color w:val="auto"/>
              </w:rPr>
            </w:pPr>
          </w:p>
        </w:tc>
      </w:tr>
      <w:tr>
        <w:trPr>
          <w:trHeight w:val="202"/>
        </w:trPr>
        <w:tc>
          <w:tcPr>
            <w:tcW w:w="1960" w:type="dxa"/>
            <w:vAlign w:val="bottom"/>
          </w:tcPr>
          <w:p>
            <w:pPr>
              <w:spacing w:after="0"/>
              <w:rPr>
                <w:sz w:val="17"/>
                <w:szCs w:val="17"/>
                <w:color w:val="auto"/>
              </w:rPr>
            </w:pPr>
          </w:p>
        </w:tc>
        <w:tc>
          <w:tcPr>
            <w:tcW w:w="1940" w:type="dxa"/>
            <w:vAlign w:val="bottom"/>
            <w:shd w:val="clear" w:color="auto" w:fill="EFF8FA"/>
          </w:tcPr>
          <w:p>
            <w:pPr>
              <w:spacing w:after="0"/>
              <w:rPr>
                <w:sz w:val="17"/>
                <w:szCs w:val="17"/>
                <w:color w:val="auto"/>
              </w:rPr>
            </w:pPr>
          </w:p>
        </w:tc>
        <w:tc>
          <w:tcPr>
            <w:tcW w:w="1940" w:type="dxa"/>
            <w:vAlign w:val="bottom"/>
          </w:tcPr>
          <w:p>
            <w:pPr>
              <w:ind w:left="60"/>
              <w:spacing w:after="0" w:line="202" w:lineRule="exact"/>
              <w:rPr>
                <w:sz w:val="20"/>
                <w:szCs w:val="20"/>
                <w:color w:val="auto"/>
              </w:rPr>
            </w:pPr>
            <w:r>
              <w:rPr>
                <w:rFonts w:ascii="Arial" w:cs="Arial" w:eastAsia="Arial" w:hAnsi="Arial"/>
                <w:sz w:val="18"/>
                <w:szCs w:val="18"/>
                <w:color w:val="auto"/>
              </w:rPr>
              <w:t>before, and pro rata</w:t>
            </w:r>
          </w:p>
        </w:tc>
        <w:tc>
          <w:tcPr>
            <w:tcW w:w="1940" w:type="dxa"/>
            <w:vAlign w:val="bottom"/>
            <w:shd w:val="clear" w:color="auto" w:fill="EFF8FA"/>
          </w:tcPr>
          <w:p>
            <w:pPr>
              <w:ind w:left="60"/>
              <w:spacing w:after="0" w:line="202" w:lineRule="exact"/>
              <w:rPr>
                <w:sz w:val="20"/>
                <w:szCs w:val="20"/>
                <w:color w:val="auto"/>
              </w:rPr>
            </w:pPr>
            <w:r>
              <w:rPr>
                <w:rFonts w:ascii="Arial" w:cs="Arial" w:eastAsia="Arial" w:hAnsi="Arial"/>
                <w:sz w:val="18"/>
                <w:szCs w:val="18"/>
                <w:color w:val="auto"/>
              </w:rPr>
              <w:t>after a CIC</w:t>
            </w:r>
          </w:p>
        </w:tc>
        <w:tc>
          <w:tcPr>
            <w:tcW w:w="1820" w:type="dxa"/>
            <w:vAlign w:val="bottom"/>
          </w:tcPr>
          <w:p>
            <w:pPr>
              <w:spacing w:after="0"/>
              <w:rPr>
                <w:sz w:val="17"/>
                <w:szCs w:val="17"/>
                <w:color w:val="auto"/>
              </w:rPr>
            </w:pPr>
          </w:p>
        </w:tc>
        <w:tc>
          <w:tcPr>
            <w:tcW w:w="1820" w:type="dxa"/>
            <w:vAlign w:val="bottom"/>
            <w:shd w:val="clear" w:color="auto" w:fill="EFF8FA"/>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960" w:type="dxa"/>
            <w:vAlign w:val="bottom"/>
          </w:tcPr>
          <w:p>
            <w:pPr>
              <w:spacing w:after="0"/>
              <w:rPr>
                <w:sz w:val="17"/>
                <w:szCs w:val="17"/>
                <w:color w:val="auto"/>
              </w:rPr>
            </w:pPr>
          </w:p>
        </w:tc>
        <w:tc>
          <w:tcPr>
            <w:tcW w:w="1940" w:type="dxa"/>
            <w:vAlign w:val="bottom"/>
            <w:shd w:val="clear" w:color="auto" w:fill="EFF8FA"/>
          </w:tcPr>
          <w:p>
            <w:pPr>
              <w:spacing w:after="0"/>
              <w:rPr>
                <w:sz w:val="17"/>
                <w:szCs w:val="17"/>
                <w:color w:val="auto"/>
              </w:rPr>
            </w:pPr>
          </w:p>
        </w:tc>
        <w:tc>
          <w:tcPr>
            <w:tcW w:w="1940" w:type="dxa"/>
            <w:vAlign w:val="bottom"/>
          </w:tcPr>
          <w:p>
            <w:pPr>
              <w:ind w:left="60"/>
              <w:spacing w:after="0" w:line="202" w:lineRule="exact"/>
              <w:rPr>
                <w:sz w:val="20"/>
                <w:szCs w:val="20"/>
                <w:color w:val="auto"/>
              </w:rPr>
            </w:pPr>
            <w:r>
              <w:rPr>
                <w:rFonts w:ascii="Arial" w:cs="Arial" w:eastAsia="Arial" w:hAnsi="Arial"/>
                <w:sz w:val="18"/>
                <w:szCs w:val="18"/>
                <w:color w:val="auto"/>
              </w:rPr>
              <w:t>portion of awards</w:t>
            </w:r>
          </w:p>
        </w:tc>
        <w:tc>
          <w:tcPr>
            <w:tcW w:w="1940" w:type="dxa"/>
            <w:vAlign w:val="bottom"/>
            <w:shd w:val="clear" w:color="auto" w:fill="EFF8FA"/>
          </w:tcPr>
          <w:p>
            <w:pPr>
              <w:spacing w:after="0"/>
              <w:rPr>
                <w:sz w:val="17"/>
                <w:szCs w:val="17"/>
                <w:color w:val="auto"/>
              </w:rPr>
            </w:pPr>
          </w:p>
        </w:tc>
        <w:tc>
          <w:tcPr>
            <w:tcW w:w="1820" w:type="dxa"/>
            <w:vAlign w:val="bottom"/>
          </w:tcPr>
          <w:p>
            <w:pPr>
              <w:spacing w:after="0"/>
              <w:rPr>
                <w:sz w:val="17"/>
                <w:szCs w:val="17"/>
                <w:color w:val="auto"/>
              </w:rPr>
            </w:pPr>
          </w:p>
        </w:tc>
        <w:tc>
          <w:tcPr>
            <w:tcW w:w="1820" w:type="dxa"/>
            <w:vAlign w:val="bottom"/>
            <w:shd w:val="clear" w:color="auto" w:fill="EFF8FA"/>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960" w:type="dxa"/>
            <w:vAlign w:val="bottom"/>
          </w:tcPr>
          <w:p>
            <w:pPr>
              <w:spacing w:after="0"/>
              <w:rPr>
                <w:sz w:val="17"/>
                <w:szCs w:val="17"/>
                <w:color w:val="auto"/>
              </w:rPr>
            </w:pPr>
          </w:p>
        </w:tc>
        <w:tc>
          <w:tcPr>
            <w:tcW w:w="1940" w:type="dxa"/>
            <w:vAlign w:val="bottom"/>
            <w:shd w:val="clear" w:color="auto" w:fill="EFF8FA"/>
          </w:tcPr>
          <w:p>
            <w:pPr>
              <w:spacing w:after="0"/>
              <w:rPr>
                <w:sz w:val="17"/>
                <w:szCs w:val="17"/>
                <w:color w:val="auto"/>
              </w:rPr>
            </w:pPr>
          </w:p>
        </w:tc>
        <w:tc>
          <w:tcPr>
            <w:tcW w:w="1940" w:type="dxa"/>
            <w:vAlign w:val="bottom"/>
          </w:tcPr>
          <w:p>
            <w:pPr>
              <w:ind w:left="60"/>
              <w:spacing w:after="0" w:line="202" w:lineRule="exact"/>
              <w:rPr>
                <w:sz w:val="20"/>
                <w:szCs w:val="20"/>
                <w:color w:val="auto"/>
              </w:rPr>
            </w:pPr>
            <w:r>
              <w:rPr>
                <w:rFonts w:ascii="Arial" w:cs="Arial" w:eastAsia="Arial" w:hAnsi="Arial"/>
                <w:sz w:val="18"/>
                <w:szCs w:val="18"/>
                <w:color w:val="auto"/>
              </w:rPr>
              <w:t>granted within 12</w:t>
            </w:r>
          </w:p>
        </w:tc>
        <w:tc>
          <w:tcPr>
            <w:tcW w:w="1940" w:type="dxa"/>
            <w:vAlign w:val="bottom"/>
            <w:shd w:val="clear" w:color="auto" w:fill="EFF8FA"/>
          </w:tcPr>
          <w:p>
            <w:pPr>
              <w:spacing w:after="0"/>
              <w:rPr>
                <w:sz w:val="17"/>
                <w:szCs w:val="17"/>
                <w:color w:val="auto"/>
              </w:rPr>
            </w:pPr>
          </w:p>
        </w:tc>
        <w:tc>
          <w:tcPr>
            <w:tcW w:w="1820" w:type="dxa"/>
            <w:vAlign w:val="bottom"/>
          </w:tcPr>
          <w:p>
            <w:pPr>
              <w:spacing w:after="0"/>
              <w:rPr>
                <w:sz w:val="17"/>
                <w:szCs w:val="17"/>
                <w:color w:val="auto"/>
              </w:rPr>
            </w:pPr>
          </w:p>
        </w:tc>
        <w:tc>
          <w:tcPr>
            <w:tcW w:w="1820" w:type="dxa"/>
            <w:vAlign w:val="bottom"/>
            <w:shd w:val="clear" w:color="auto" w:fill="EFF8FA"/>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960" w:type="dxa"/>
            <w:vAlign w:val="bottom"/>
          </w:tcPr>
          <w:p>
            <w:pPr>
              <w:spacing w:after="0"/>
              <w:rPr>
                <w:sz w:val="17"/>
                <w:szCs w:val="17"/>
                <w:color w:val="auto"/>
              </w:rPr>
            </w:pPr>
          </w:p>
        </w:tc>
        <w:tc>
          <w:tcPr>
            <w:tcW w:w="1940" w:type="dxa"/>
            <w:vAlign w:val="bottom"/>
            <w:shd w:val="clear" w:color="auto" w:fill="EFF8FA"/>
          </w:tcPr>
          <w:p>
            <w:pPr>
              <w:spacing w:after="0"/>
              <w:rPr>
                <w:sz w:val="17"/>
                <w:szCs w:val="17"/>
                <w:color w:val="auto"/>
              </w:rPr>
            </w:pPr>
          </w:p>
        </w:tc>
        <w:tc>
          <w:tcPr>
            <w:tcW w:w="1940" w:type="dxa"/>
            <w:vAlign w:val="bottom"/>
          </w:tcPr>
          <w:p>
            <w:pPr>
              <w:ind w:left="60"/>
              <w:spacing w:after="0" w:line="202" w:lineRule="exact"/>
              <w:rPr>
                <w:sz w:val="20"/>
                <w:szCs w:val="20"/>
                <w:color w:val="auto"/>
              </w:rPr>
            </w:pPr>
            <w:r>
              <w:rPr>
                <w:rFonts w:ascii="Arial" w:cs="Arial" w:eastAsia="Arial" w:hAnsi="Arial"/>
                <w:sz w:val="18"/>
                <w:szCs w:val="18"/>
                <w:color w:val="auto"/>
              </w:rPr>
              <w:t>months of retirement,</w:t>
            </w:r>
          </w:p>
        </w:tc>
        <w:tc>
          <w:tcPr>
            <w:tcW w:w="1940" w:type="dxa"/>
            <w:vAlign w:val="bottom"/>
            <w:shd w:val="clear" w:color="auto" w:fill="EFF8FA"/>
          </w:tcPr>
          <w:p>
            <w:pPr>
              <w:spacing w:after="0"/>
              <w:rPr>
                <w:sz w:val="17"/>
                <w:szCs w:val="17"/>
                <w:color w:val="auto"/>
              </w:rPr>
            </w:pPr>
          </w:p>
        </w:tc>
        <w:tc>
          <w:tcPr>
            <w:tcW w:w="1820" w:type="dxa"/>
            <w:vAlign w:val="bottom"/>
          </w:tcPr>
          <w:p>
            <w:pPr>
              <w:spacing w:after="0"/>
              <w:rPr>
                <w:sz w:val="17"/>
                <w:szCs w:val="17"/>
                <w:color w:val="auto"/>
              </w:rPr>
            </w:pPr>
          </w:p>
        </w:tc>
        <w:tc>
          <w:tcPr>
            <w:tcW w:w="1820" w:type="dxa"/>
            <w:vAlign w:val="bottom"/>
            <w:shd w:val="clear" w:color="auto" w:fill="EFF8FA"/>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1960" w:type="dxa"/>
            <w:vAlign w:val="bottom"/>
            <w:tcBorders>
              <w:bottom w:val="single" w:sz="8" w:color="DFF1FB"/>
            </w:tcBorders>
          </w:tcPr>
          <w:p>
            <w:pPr>
              <w:spacing w:after="0"/>
              <w:rPr>
                <w:sz w:val="23"/>
                <w:szCs w:val="23"/>
                <w:color w:val="auto"/>
              </w:rPr>
            </w:pPr>
          </w:p>
        </w:tc>
        <w:tc>
          <w:tcPr>
            <w:tcW w:w="1940" w:type="dxa"/>
            <w:vAlign w:val="bottom"/>
            <w:tcBorders>
              <w:bottom w:val="single" w:sz="8" w:color="DFF1FB"/>
            </w:tcBorders>
            <w:shd w:val="clear" w:color="auto" w:fill="EFF8FA"/>
          </w:tcPr>
          <w:p>
            <w:pPr>
              <w:spacing w:after="0"/>
              <w:rPr>
                <w:sz w:val="23"/>
                <w:szCs w:val="23"/>
                <w:color w:val="auto"/>
              </w:rPr>
            </w:pPr>
          </w:p>
        </w:tc>
        <w:tc>
          <w:tcPr>
            <w:tcW w:w="1940" w:type="dxa"/>
            <w:vAlign w:val="bottom"/>
            <w:tcBorders>
              <w:bottom w:val="single" w:sz="8" w:color="DFF1FB"/>
            </w:tcBorders>
          </w:tcPr>
          <w:p>
            <w:pPr>
              <w:ind w:left="60"/>
              <w:spacing w:after="0" w:line="267" w:lineRule="exact"/>
              <w:rPr>
                <w:sz w:val="20"/>
                <w:szCs w:val="20"/>
                <w:color w:val="auto"/>
              </w:rPr>
            </w:pPr>
            <w:r>
              <w:rPr>
                <w:rFonts w:ascii="Arial" w:cs="Arial" w:eastAsia="Arial" w:hAnsi="Arial"/>
                <w:sz w:val="18"/>
                <w:szCs w:val="18"/>
                <w:color w:val="auto"/>
              </w:rPr>
              <w:t>continue to vest</w:t>
            </w:r>
            <w:r>
              <w:rPr>
                <w:rFonts w:ascii="Arial" w:cs="Arial" w:eastAsia="Arial" w:hAnsi="Arial"/>
                <w:sz w:val="29"/>
                <w:szCs w:val="29"/>
                <w:color w:val="auto"/>
                <w:vertAlign w:val="superscript"/>
              </w:rPr>
              <w:t>(7)</w:t>
            </w:r>
          </w:p>
        </w:tc>
        <w:tc>
          <w:tcPr>
            <w:tcW w:w="1940" w:type="dxa"/>
            <w:vAlign w:val="bottom"/>
            <w:tcBorders>
              <w:bottom w:val="single" w:sz="8" w:color="DFF1FB"/>
            </w:tcBorders>
            <w:shd w:val="clear" w:color="auto" w:fill="EFF8FA"/>
          </w:tcPr>
          <w:p>
            <w:pPr>
              <w:spacing w:after="0"/>
              <w:rPr>
                <w:sz w:val="23"/>
                <w:szCs w:val="23"/>
                <w:color w:val="auto"/>
              </w:rPr>
            </w:pPr>
          </w:p>
        </w:tc>
        <w:tc>
          <w:tcPr>
            <w:tcW w:w="1820" w:type="dxa"/>
            <w:vAlign w:val="bottom"/>
            <w:tcBorders>
              <w:bottom w:val="single" w:sz="8" w:color="DFF1FB"/>
            </w:tcBorders>
          </w:tcPr>
          <w:p>
            <w:pPr>
              <w:spacing w:after="0"/>
              <w:rPr>
                <w:sz w:val="23"/>
                <w:szCs w:val="23"/>
                <w:color w:val="auto"/>
              </w:rPr>
            </w:pPr>
          </w:p>
        </w:tc>
        <w:tc>
          <w:tcPr>
            <w:tcW w:w="1820" w:type="dxa"/>
            <w:vAlign w:val="bottom"/>
            <w:tcBorders>
              <w:bottom w:val="single" w:sz="8" w:color="DFF1FB"/>
            </w:tcBorders>
            <w:shd w:val="clear" w:color="auto" w:fill="EFF8FA"/>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1960" w:type="dxa"/>
            <w:vAlign w:val="bottom"/>
          </w:tcPr>
          <w:p>
            <w:pPr>
              <w:ind w:left="80"/>
              <w:spacing w:after="0"/>
              <w:rPr>
                <w:sz w:val="20"/>
                <w:szCs w:val="20"/>
                <w:color w:val="auto"/>
              </w:rPr>
            </w:pPr>
            <w:r>
              <w:rPr>
                <w:rFonts w:ascii="Arial" w:cs="Arial" w:eastAsia="Arial" w:hAnsi="Arial"/>
                <w:sz w:val="18"/>
                <w:szCs w:val="18"/>
                <w:b w:val="1"/>
                <w:bCs w:val="1"/>
                <w:color w:val="auto"/>
              </w:rPr>
              <w:t>Performance Stock</w:t>
            </w:r>
          </w:p>
        </w:tc>
        <w:tc>
          <w:tcPr>
            <w:tcW w:w="1940" w:type="dxa"/>
            <w:vAlign w:val="bottom"/>
            <w:shd w:val="clear" w:color="auto" w:fill="EFF8FA"/>
          </w:tcPr>
          <w:p>
            <w:pPr>
              <w:ind w:left="60"/>
              <w:spacing w:after="0"/>
              <w:rPr>
                <w:sz w:val="20"/>
                <w:szCs w:val="20"/>
                <w:color w:val="auto"/>
              </w:rPr>
            </w:pPr>
            <w:r>
              <w:rPr>
                <w:rFonts w:ascii="Arial" w:cs="Arial" w:eastAsia="Arial" w:hAnsi="Arial"/>
                <w:sz w:val="18"/>
                <w:szCs w:val="18"/>
                <w:color w:val="auto"/>
              </w:rPr>
              <w:t>Forfeited</w:t>
            </w:r>
          </w:p>
        </w:tc>
        <w:tc>
          <w:tcPr>
            <w:tcW w:w="1940" w:type="dxa"/>
            <w:vAlign w:val="bottom"/>
          </w:tcPr>
          <w:p>
            <w:pPr>
              <w:ind w:left="60"/>
              <w:spacing w:after="0"/>
              <w:rPr>
                <w:sz w:val="20"/>
                <w:szCs w:val="20"/>
                <w:color w:val="auto"/>
              </w:rPr>
            </w:pPr>
            <w:r>
              <w:rPr>
                <w:rFonts w:ascii="Arial" w:cs="Arial" w:eastAsia="Arial" w:hAnsi="Arial"/>
                <w:sz w:val="18"/>
                <w:szCs w:val="18"/>
                <w:color w:val="auto"/>
              </w:rPr>
              <w:t>Awards granted more</w:t>
            </w:r>
          </w:p>
        </w:tc>
        <w:tc>
          <w:tcPr>
            <w:tcW w:w="1940" w:type="dxa"/>
            <w:vAlign w:val="bottom"/>
            <w:shd w:val="clear" w:color="auto" w:fill="EFF8FA"/>
          </w:tcPr>
          <w:p>
            <w:pPr>
              <w:ind w:left="60"/>
              <w:spacing w:after="0"/>
              <w:rPr>
                <w:sz w:val="20"/>
                <w:szCs w:val="20"/>
                <w:color w:val="auto"/>
              </w:rPr>
            </w:pPr>
            <w:r>
              <w:rPr>
                <w:rFonts w:ascii="Arial" w:cs="Arial" w:eastAsia="Arial" w:hAnsi="Arial"/>
                <w:sz w:val="18"/>
                <w:szCs w:val="18"/>
                <w:color w:val="auto"/>
              </w:rPr>
              <w:t>Awards vest based on</w:t>
            </w:r>
          </w:p>
        </w:tc>
        <w:tc>
          <w:tcPr>
            <w:tcW w:w="1820" w:type="dxa"/>
            <w:vAlign w:val="bottom"/>
          </w:tcPr>
          <w:p>
            <w:pPr>
              <w:ind w:left="60"/>
              <w:spacing w:after="0"/>
              <w:rPr>
                <w:sz w:val="20"/>
                <w:szCs w:val="20"/>
                <w:color w:val="auto"/>
              </w:rPr>
            </w:pPr>
            <w:r>
              <w:rPr>
                <w:rFonts w:ascii="Arial" w:cs="Arial" w:eastAsia="Arial" w:hAnsi="Arial"/>
                <w:sz w:val="18"/>
                <w:szCs w:val="18"/>
                <w:color w:val="auto"/>
              </w:rPr>
              <w:t>Awards vest and are</w:t>
            </w:r>
          </w:p>
        </w:tc>
        <w:tc>
          <w:tcPr>
            <w:tcW w:w="1820" w:type="dxa"/>
            <w:vAlign w:val="bottom"/>
            <w:shd w:val="clear" w:color="auto" w:fill="EFF8FA"/>
          </w:tcPr>
          <w:p>
            <w:pPr>
              <w:ind w:left="80"/>
              <w:spacing w:after="0"/>
              <w:rPr>
                <w:sz w:val="20"/>
                <w:szCs w:val="20"/>
                <w:color w:val="auto"/>
              </w:rPr>
            </w:pPr>
            <w:r>
              <w:rPr>
                <w:rFonts w:ascii="Arial" w:cs="Arial" w:eastAsia="Arial" w:hAnsi="Arial"/>
                <w:sz w:val="18"/>
                <w:szCs w:val="18"/>
                <w:color w:val="auto"/>
              </w:rPr>
              <w:t>Awards vest and are</w:t>
            </w:r>
          </w:p>
        </w:tc>
        <w:tc>
          <w:tcPr>
            <w:tcW w:w="0" w:type="dxa"/>
            <w:vAlign w:val="bottom"/>
          </w:tcPr>
          <w:p>
            <w:pPr>
              <w:spacing w:after="0"/>
              <w:rPr>
                <w:sz w:val="1"/>
                <w:szCs w:val="1"/>
                <w:color w:val="auto"/>
              </w:rPr>
            </w:pPr>
          </w:p>
        </w:tc>
      </w:tr>
      <w:tr>
        <w:trPr>
          <w:trHeight w:val="202"/>
        </w:trPr>
        <w:tc>
          <w:tcPr>
            <w:tcW w:w="1960" w:type="dxa"/>
            <w:vAlign w:val="bottom"/>
          </w:tcPr>
          <w:p>
            <w:pPr>
              <w:ind w:left="80"/>
              <w:spacing w:after="0" w:line="202" w:lineRule="exact"/>
              <w:rPr>
                <w:sz w:val="20"/>
                <w:szCs w:val="20"/>
                <w:color w:val="auto"/>
              </w:rPr>
            </w:pPr>
            <w:r>
              <w:rPr>
                <w:rFonts w:ascii="Arial" w:cs="Arial" w:eastAsia="Arial" w:hAnsi="Arial"/>
                <w:sz w:val="15"/>
                <w:szCs w:val="15"/>
                <w:b w:val="1"/>
                <w:bCs w:val="1"/>
                <w:color w:val="auto"/>
              </w:rPr>
              <w:t>Awards</w:t>
            </w:r>
            <w:r>
              <w:rPr>
                <w:rFonts w:ascii="Arial" w:cs="Arial" w:eastAsia="Arial" w:hAnsi="Arial"/>
                <w:sz w:val="23"/>
                <w:szCs w:val="23"/>
                <w:color w:val="auto"/>
                <w:vertAlign w:val="superscript"/>
              </w:rPr>
              <w:t>(4)(6)</w:t>
            </w:r>
          </w:p>
        </w:tc>
        <w:tc>
          <w:tcPr>
            <w:tcW w:w="1940" w:type="dxa"/>
            <w:vAlign w:val="bottom"/>
            <w:shd w:val="clear" w:color="auto" w:fill="EFF8FA"/>
          </w:tcPr>
          <w:p>
            <w:pPr>
              <w:spacing w:after="0"/>
              <w:rPr>
                <w:sz w:val="17"/>
                <w:szCs w:val="17"/>
                <w:color w:val="auto"/>
              </w:rPr>
            </w:pPr>
          </w:p>
        </w:tc>
        <w:tc>
          <w:tcPr>
            <w:tcW w:w="1940" w:type="dxa"/>
            <w:vAlign w:val="bottom"/>
          </w:tcPr>
          <w:p>
            <w:pPr>
              <w:ind w:left="60"/>
              <w:spacing w:after="0" w:line="202" w:lineRule="exact"/>
              <w:rPr>
                <w:sz w:val="20"/>
                <w:szCs w:val="20"/>
                <w:color w:val="auto"/>
              </w:rPr>
            </w:pPr>
            <w:r>
              <w:rPr>
                <w:rFonts w:ascii="Arial" w:cs="Arial" w:eastAsia="Arial" w:hAnsi="Arial"/>
                <w:sz w:val="18"/>
                <w:szCs w:val="18"/>
                <w:color w:val="auto"/>
              </w:rPr>
              <w:t>than 12 months</w:t>
            </w:r>
          </w:p>
        </w:tc>
        <w:tc>
          <w:tcPr>
            <w:tcW w:w="1940" w:type="dxa"/>
            <w:vAlign w:val="bottom"/>
            <w:shd w:val="clear" w:color="auto" w:fill="EFF8FA"/>
          </w:tcPr>
          <w:p>
            <w:pPr>
              <w:ind w:left="60"/>
              <w:spacing w:after="0" w:line="202" w:lineRule="exact"/>
              <w:rPr>
                <w:sz w:val="20"/>
                <w:szCs w:val="20"/>
                <w:color w:val="auto"/>
              </w:rPr>
            </w:pPr>
            <w:r>
              <w:rPr>
                <w:rFonts w:ascii="Arial" w:cs="Arial" w:eastAsia="Arial" w:hAnsi="Arial"/>
                <w:sz w:val="18"/>
                <w:szCs w:val="18"/>
                <w:color w:val="auto"/>
              </w:rPr>
              <w:t>performance upon a</w:t>
            </w:r>
          </w:p>
        </w:tc>
        <w:tc>
          <w:tcPr>
            <w:tcW w:w="1820" w:type="dxa"/>
            <w:vAlign w:val="bottom"/>
          </w:tcPr>
          <w:p>
            <w:pPr>
              <w:ind w:left="60"/>
              <w:spacing w:after="0" w:line="202" w:lineRule="exact"/>
              <w:rPr>
                <w:sz w:val="20"/>
                <w:szCs w:val="20"/>
                <w:color w:val="auto"/>
              </w:rPr>
            </w:pPr>
            <w:r>
              <w:rPr>
                <w:rFonts w:ascii="Arial" w:cs="Arial" w:eastAsia="Arial" w:hAnsi="Arial"/>
                <w:sz w:val="18"/>
                <w:szCs w:val="18"/>
                <w:color w:val="auto"/>
              </w:rPr>
              <w:t>payable</w:t>
            </w:r>
          </w:p>
        </w:tc>
        <w:tc>
          <w:tcPr>
            <w:tcW w:w="1820" w:type="dxa"/>
            <w:vAlign w:val="bottom"/>
            <w:shd w:val="clear" w:color="auto" w:fill="EFF8FA"/>
          </w:tcPr>
          <w:p>
            <w:pPr>
              <w:ind w:left="80"/>
              <w:spacing w:after="0" w:line="202" w:lineRule="exact"/>
              <w:rPr>
                <w:sz w:val="20"/>
                <w:szCs w:val="20"/>
                <w:color w:val="auto"/>
              </w:rPr>
            </w:pPr>
            <w:r>
              <w:rPr>
                <w:rFonts w:ascii="Arial" w:cs="Arial" w:eastAsia="Arial" w:hAnsi="Arial"/>
                <w:sz w:val="18"/>
                <w:szCs w:val="18"/>
                <w:color w:val="auto"/>
              </w:rPr>
              <w:t>payable</w:t>
            </w:r>
          </w:p>
        </w:tc>
        <w:tc>
          <w:tcPr>
            <w:tcW w:w="0" w:type="dxa"/>
            <w:vAlign w:val="bottom"/>
          </w:tcPr>
          <w:p>
            <w:pPr>
              <w:spacing w:after="0"/>
              <w:rPr>
                <w:sz w:val="1"/>
                <w:szCs w:val="1"/>
                <w:color w:val="auto"/>
              </w:rPr>
            </w:pPr>
          </w:p>
        </w:tc>
      </w:tr>
      <w:tr>
        <w:trPr>
          <w:trHeight w:val="202"/>
        </w:trPr>
        <w:tc>
          <w:tcPr>
            <w:tcW w:w="1960" w:type="dxa"/>
            <w:vAlign w:val="bottom"/>
          </w:tcPr>
          <w:p>
            <w:pPr>
              <w:spacing w:after="0"/>
              <w:rPr>
                <w:sz w:val="17"/>
                <w:szCs w:val="17"/>
                <w:color w:val="auto"/>
              </w:rPr>
            </w:pPr>
          </w:p>
        </w:tc>
        <w:tc>
          <w:tcPr>
            <w:tcW w:w="1940" w:type="dxa"/>
            <w:vAlign w:val="bottom"/>
            <w:shd w:val="clear" w:color="auto" w:fill="EFF8FA"/>
          </w:tcPr>
          <w:p>
            <w:pPr>
              <w:spacing w:after="0"/>
              <w:rPr>
                <w:sz w:val="17"/>
                <w:szCs w:val="17"/>
                <w:color w:val="auto"/>
              </w:rPr>
            </w:pPr>
          </w:p>
        </w:tc>
        <w:tc>
          <w:tcPr>
            <w:tcW w:w="1940" w:type="dxa"/>
            <w:vAlign w:val="bottom"/>
          </w:tcPr>
          <w:p>
            <w:pPr>
              <w:ind w:left="60"/>
              <w:spacing w:after="0" w:line="202" w:lineRule="exact"/>
              <w:rPr>
                <w:sz w:val="20"/>
                <w:szCs w:val="20"/>
                <w:color w:val="auto"/>
              </w:rPr>
            </w:pPr>
            <w:r>
              <w:rPr>
                <w:rFonts w:ascii="Arial" w:cs="Arial" w:eastAsia="Arial" w:hAnsi="Arial"/>
                <w:sz w:val="18"/>
                <w:szCs w:val="18"/>
                <w:color w:val="auto"/>
              </w:rPr>
              <w:t>before, and pro rata</w:t>
            </w:r>
          </w:p>
        </w:tc>
        <w:tc>
          <w:tcPr>
            <w:tcW w:w="1940" w:type="dxa"/>
            <w:vAlign w:val="bottom"/>
            <w:shd w:val="clear" w:color="auto" w:fill="EFF8FA"/>
          </w:tcPr>
          <w:p>
            <w:pPr>
              <w:ind w:left="60"/>
              <w:spacing w:after="0" w:line="202" w:lineRule="exact"/>
              <w:rPr>
                <w:sz w:val="20"/>
                <w:szCs w:val="20"/>
                <w:color w:val="auto"/>
              </w:rPr>
            </w:pPr>
            <w:r>
              <w:rPr>
                <w:rFonts w:ascii="Arial" w:cs="Arial" w:eastAsia="Arial" w:hAnsi="Arial"/>
                <w:sz w:val="18"/>
                <w:szCs w:val="18"/>
                <w:color w:val="auto"/>
              </w:rPr>
              <w:t>qualifying termination</w:t>
            </w:r>
          </w:p>
        </w:tc>
        <w:tc>
          <w:tcPr>
            <w:tcW w:w="1820" w:type="dxa"/>
            <w:vAlign w:val="bottom"/>
          </w:tcPr>
          <w:p>
            <w:pPr>
              <w:ind w:left="60"/>
              <w:spacing w:after="0" w:line="202" w:lineRule="exact"/>
              <w:rPr>
                <w:sz w:val="20"/>
                <w:szCs w:val="20"/>
                <w:color w:val="auto"/>
              </w:rPr>
            </w:pPr>
            <w:r>
              <w:rPr>
                <w:rFonts w:ascii="Arial" w:cs="Arial" w:eastAsia="Arial" w:hAnsi="Arial"/>
                <w:sz w:val="15"/>
                <w:szCs w:val="15"/>
                <w:color w:val="auto"/>
              </w:rPr>
              <w:t>immediately</w:t>
            </w:r>
            <w:r>
              <w:rPr>
                <w:rFonts w:ascii="Arial" w:cs="Arial" w:eastAsia="Arial" w:hAnsi="Arial"/>
                <w:sz w:val="23"/>
                <w:szCs w:val="23"/>
                <w:color w:val="auto"/>
                <w:vertAlign w:val="superscript"/>
              </w:rPr>
              <w:t>(9)</w:t>
            </w:r>
          </w:p>
        </w:tc>
        <w:tc>
          <w:tcPr>
            <w:tcW w:w="1820" w:type="dxa"/>
            <w:vAlign w:val="bottom"/>
            <w:shd w:val="clear" w:color="auto" w:fill="EFF8FA"/>
          </w:tcPr>
          <w:p>
            <w:pPr>
              <w:ind w:left="80"/>
              <w:spacing w:after="0" w:line="202" w:lineRule="exact"/>
              <w:rPr>
                <w:sz w:val="20"/>
                <w:szCs w:val="20"/>
                <w:color w:val="auto"/>
              </w:rPr>
            </w:pPr>
            <w:r>
              <w:rPr>
                <w:rFonts w:ascii="Arial" w:cs="Arial" w:eastAsia="Arial" w:hAnsi="Arial"/>
                <w:sz w:val="15"/>
                <w:szCs w:val="15"/>
                <w:color w:val="auto"/>
              </w:rPr>
              <w:t>immediately</w:t>
            </w:r>
            <w:r>
              <w:rPr>
                <w:rFonts w:ascii="Arial" w:cs="Arial" w:eastAsia="Arial" w:hAnsi="Arial"/>
                <w:sz w:val="23"/>
                <w:szCs w:val="23"/>
                <w:color w:val="auto"/>
                <w:vertAlign w:val="superscript"/>
              </w:rPr>
              <w:t>(9)</w:t>
            </w:r>
          </w:p>
        </w:tc>
        <w:tc>
          <w:tcPr>
            <w:tcW w:w="0" w:type="dxa"/>
            <w:vAlign w:val="bottom"/>
          </w:tcPr>
          <w:p>
            <w:pPr>
              <w:spacing w:after="0"/>
              <w:rPr>
                <w:sz w:val="1"/>
                <w:szCs w:val="1"/>
                <w:color w:val="auto"/>
              </w:rPr>
            </w:pPr>
          </w:p>
        </w:tc>
      </w:tr>
      <w:tr>
        <w:trPr>
          <w:trHeight w:val="203"/>
        </w:trPr>
        <w:tc>
          <w:tcPr>
            <w:tcW w:w="1960" w:type="dxa"/>
            <w:vAlign w:val="bottom"/>
          </w:tcPr>
          <w:p>
            <w:pPr>
              <w:spacing w:after="0"/>
              <w:rPr>
                <w:sz w:val="17"/>
                <w:szCs w:val="17"/>
                <w:color w:val="auto"/>
              </w:rPr>
            </w:pPr>
          </w:p>
        </w:tc>
        <w:tc>
          <w:tcPr>
            <w:tcW w:w="1940" w:type="dxa"/>
            <w:vAlign w:val="bottom"/>
            <w:shd w:val="clear" w:color="auto" w:fill="EFF8FA"/>
          </w:tcPr>
          <w:p>
            <w:pPr>
              <w:spacing w:after="0"/>
              <w:rPr>
                <w:sz w:val="17"/>
                <w:szCs w:val="17"/>
                <w:color w:val="auto"/>
              </w:rPr>
            </w:pPr>
          </w:p>
        </w:tc>
        <w:tc>
          <w:tcPr>
            <w:tcW w:w="1940" w:type="dxa"/>
            <w:vAlign w:val="bottom"/>
          </w:tcPr>
          <w:p>
            <w:pPr>
              <w:ind w:left="60"/>
              <w:spacing w:after="0" w:line="203" w:lineRule="exact"/>
              <w:rPr>
                <w:sz w:val="20"/>
                <w:szCs w:val="20"/>
                <w:color w:val="auto"/>
              </w:rPr>
            </w:pPr>
            <w:r>
              <w:rPr>
                <w:rFonts w:ascii="Arial" w:cs="Arial" w:eastAsia="Arial" w:hAnsi="Arial"/>
                <w:sz w:val="18"/>
                <w:szCs w:val="18"/>
                <w:color w:val="auto"/>
              </w:rPr>
              <w:t>portion of awards</w:t>
            </w:r>
          </w:p>
        </w:tc>
        <w:tc>
          <w:tcPr>
            <w:tcW w:w="1940" w:type="dxa"/>
            <w:vAlign w:val="bottom"/>
            <w:shd w:val="clear" w:color="auto" w:fill="EFF8FA"/>
          </w:tcPr>
          <w:p>
            <w:pPr>
              <w:ind w:left="60"/>
              <w:spacing w:after="0" w:line="203" w:lineRule="exact"/>
              <w:rPr>
                <w:sz w:val="20"/>
                <w:szCs w:val="20"/>
                <w:color w:val="auto"/>
              </w:rPr>
            </w:pPr>
            <w:r>
              <w:rPr>
                <w:rFonts w:ascii="Arial" w:cs="Arial" w:eastAsia="Arial" w:hAnsi="Arial"/>
                <w:sz w:val="15"/>
                <w:szCs w:val="15"/>
                <w:color w:val="auto"/>
              </w:rPr>
              <w:t>after a CIC</w:t>
            </w:r>
            <w:r>
              <w:rPr>
                <w:rFonts w:ascii="Arial" w:cs="Arial" w:eastAsia="Arial" w:hAnsi="Arial"/>
                <w:sz w:val="23"/>
                <w:szCs w:val="23"/>
                <w:color w:val="auto"/>
                <w:vertAlign w:val="superscript"/>
              </w:rPr>
              <w:t>(8)</w:t>
            </w:r>
          </w:p>
        </w:tc>
        <w:tc>
          <w:tcPr>
            <w:tcW w:w="1820" w:type="dxa"/>
            <w:vAlign w:val="bottom"/>
          </w:tcPr>
          <w:p>
            <w:pPr>
              <w:spacing w:after="0"/>
              <w:rPr>
                <w:sz w:val="17"/>
                <w:szCs w:val="17"/>
                <w:color w:val="auto"/>
              </w:rPr>
            </w:pPr>
          </w:p>
        </w:tc>
        <w:tc>
          <w:tcPr>
            <w:tcW w:w="1820" w:type="dxa"/>
            <w:vAlign w:val="bottom"/>
            <w:shd w:val="clear" w:color="auto" w:fill="EFF8FA"/>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960" w:type="dxa"/>
            <w:vAlign w:val="bottom"/>
          </w:tcPr>
          <w:p>
            <w:pPr>
              <w:spacing w:after="0"/>
              <w:rPr>
                <w:sz w:val="17"/>
                <w:szCs w:val="17"/>
                <w:color w:val="auto"/>
              </w:rPr>
            </w:pPr>
          </w:p>
        </w:tc>
        <w:tc>
          <w:tcPr>
            <w:tcW w:w="1940" w:type="dxa"/>
            <w:vAlign w:val="bottom"/>
            <w:shd w:val="clear" w:color="auto" w:fill="EFF8FA"/>
          </w:tcPr>
          <w:p>
            <w:pPr>
              <w:spacing w:after="0"/>
              <w:rPr>
                <w:sz w:val="17"/>
                <w:szCs w:val="17"/>
                <w:color w:val="auto"/>
              </w:rPr>
            </w:pPr>
          </w:p>
        </w:tc>
        <w:tc>
          <w:tcPr>
            <w:tcW w:w="1940" w:type="dxa"/>
            <w:vAlign w:val="bottom"/>
          </w:tcPr>
          <w:p>
            <w:pPr>
              <w:ind w:left="60"/>
              <w:spacing w:after="0" w:line="202" w:lineRule="exact"/>
              <w:rPr>
                <w:sz w:val="20"/>
                <w:szCs w:val="20"/>
                <w:color w:val="auto"/>
              </w:rPr>
            </w:pPr>
            <w:r>
              <w:rPr>
                <w:rFonts w:ascii="Arial" w:cs="Arial" w:eastAsia="Arial" w:hAnsi="Arial"/>
                <w:sz w:val="18"/>
                <w:szCs w:val="18"/>
                <w:color w:val="auto"/>
              </w:rPr>
              <w:t>granted within 12</w:t>
            </w:r>
          </w:p>
        </w:tc>
        <w:tc>
          <w:tcPr>
            <w:tcW w:w="1940" w:type="dxa"/>
            <w:vAlign w:val="bottom"/>
            <w:shd w:val="clear" w:color="auto" w:fill="EFF8FA"/>
          </w:tcPr>
          <w:p>
            <w:pPr>
              <w:spacing w:after="0"/>
              <w:rPr>
                <w:sz w:val="17"/>
                <w:szCs w:val="17"/>
                <w:color w:val="auto"/>
              </w:rPr>
            </w:pPr>
          </w:p>
        </w:tc>
        <w:tc>
          <w:tcPr>
            <w:tcW w:w="1820" w:type="dxa"/>
            <w:vAlign w:val="bottom"/>
          </w:tcPr>
          <w:p>
            <w:pPr>
              <w:spacing w:after="0"/>
              <w:rPr>
                <w:sz w:val="17"/>
                <w:szCs w:val="17"/>
                <w:color w:val="auto"/>
              </w:rPr>
            </w:pPr>
          </w:p>
        </w:tc>
        <w:tc>
          <w:tcPr>
            <w:tcW w:w="1820" w:type="dxa"/>
            <w:vAlign w:val="bottom"/>
            <w:shd w:val="clear" w:color="auto" w:fill="EFF8FA"/>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960" w:type="dxa"/>
            <w:vAlign w:val="bottom"/>
          </w:tcPr>
          <w:p>
            <w:pPr>
              <w:spacing w:after="0"/>
              <w:rPr>
                <w:sz w:val="17"/>
                <w:szCs w:val="17"/>
                <w:color w:val="auto"/>
              </w:rPr>
            </w:pPr>
          </w:p>
        </w:tc>
        <w:tc>
          <w:tcPr>
            <w:tcW w:w="1940" w:type="dxa"/>
            <w:vAlign w:val="bottom"/>
            <w:shd w:val="clear" w:color="auto" w:fill="EFF8FA"/>
          </w:tcPr>
          <w:p>
            <w:pPr>
              <w:spacing w:after="0"/>
              <w:rPr>
                <w:sz w:val="17"/>
                <w:szCs w:val="17"/>
                <w:color w:val="auto"/>
              </w:rPr>
            </w:pPr>
          </w:p>
        </w:tc>
        <w:tc>
          <w:tcPr>
            <w:tcW w:w="1940" w:type="dxa"/>
            <w:vAlign w:val="bottom"/>
          </w:tcPr>
          <w:p>
            <w:pPr>
              <w:ind w:left="60"/>
              <w:spacing w:after="0" w:line="202" w:lineRule="exact"/>
              <w:rPr>
                <w:sz w:val="20"/>
                <w:szCs w:val="20"/>
                <w:color w:val="auto"/>
              </w:rPr>
            </w:pPr>
            <w:r>
              <w:rPr>
                <w:rFonts w:ascii="Arial" w:cs="Arial" w:eastAsia="Arial" w:hAnsi="Arial"/>
                <w:sz w:val="18"/>
                <w:szCs w:val="18"/>
                <w:color w:val="auto"/>
              </w:rPr>
              <w:t>months of retirement,</w:t>
            </w:r>
          </w:p>
        </w:tc>
        <w:tc>
          <w:tcPr>
            <w:tcW w:w="1940" w:type="dxa"/>
            <w:vAlign w:val="bottom"/>
            <w:shd w:val="clear" w:color="auto" w:fill="EFF8FA"/>
          </w:tcPr>
          <w:p>
            <w:pPr>
              <w:spacing w:after="0"/>
              <w:rPr>
                <w:sz w:val="17"/>
                <w:szCs w:val="17"/>
                <w:color w:val="auto"/>
              </w:rPr>
            </w:pPr>
          </w:p>
        </w:tc>
        <w:tc>
          <w:tcPr>
            <w:tcW w:w="1820" w:type="dxa"/>
            <w:vAlign w:val="bottom"/>
          </w:tcPr>
          <w:p>
            <w:pPr>
              <w:spacing w:after="0"/>
              <w:rPr>
                <w:sz w:val="17"/>
                <w:szCs w:val="17"/>
                <w:color w:val="auto"/>
              </w:rPr>
            </w:pPr>
          </w:p>
        </w:tc>
        <w:tc>
          <w:tcPr>
            <w:tcW w:w="1820" w:type="dxa"/>
            <w:vAlign w:val="bottom"/>
            <w:shd w:val="clear" w:color="auto" w:fill="EFF8FA"/>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960" w:type="dxa"/>
            <w:vAlign w:val="bottom"/>
          </w:tcPr>
          <w:p>
            <w:pPr>
              <w:spacing w:after="0"/>
              <w:rPr>
                <w:sz w:val="17"/>
                <w:szCs w:val="17"/>
                <w:color w:val="auto"/>
              </w:rPr>
            </w:pPr>
          </w:p>
        </w:tc>
        <w:tc>
          <w:tcPr>
            <w:tcW w:w="1940" w:type="dxa"/>
            <w:vAlign w:val="bottom"/>
            <w:shd w:val="clear" w:color="auto" w:fill="EFF8FA"/>
          </w:tcPr>
          <w:p>
            <w:pPr>
              <w:spacing w:after="0"/>
              <w:rPr>
                <w:sz w:val="17"/>
                <w:szCs w:val="17"/>
                <w:color w:val="auto"/>
              </w:rPr>
            </w:pPr>
          </w:p>
        </w:tc>
        <w:tc>
          <w:tcPr>
            <w:tcW w:w="1940" w:type="dxa"/>
            <w:vAlign w:val="bottom"/>
          </w:tcPr>
          <w:p>
            <w:pPr>
              <w:ind w:left="60"/>
              <w:spacing w:after="0" w:line="202" w:lineRule="exact"/>
              <w:rPr>
                <w:sz w:val="20"/>
                <w:szCs w:val="20"/>
                <w:color w:val="auto"/>
              </w:rPr>
            </w:pPr>
            <w:r>
              <w:rPr>
                <w:rFonts w:ascii="Arial" w:cs="Arial" w:eastAsia="Arial" w:hAnsi="Arial"/>
                <w:sz w:val="18"/>
                <w:szCs w:val="18"/>
                <w:color w:val="auto"/>
              </w:rPr>
              <w:t>continue to vest and</w:t>
            </w:r>
          </w:p>
        </w:tc>
        <w:tc>
          <w:tcPr>
            <w:tcW w:w="1940" w:type="dxa"/>
            <w:vAlign w:val="bottom"/>
            <w:shd w:val="clear" w:color="auto" w:fill="EFF8FA"/>
          </w:tcPr>
          <w:p>
            <w:pPr>
              <w:spacing w:after="0"/>
              <w:rPr>
                <w:sz w:val="17"/>
                <w:szCs w:val="17"/>
                <w:color w:val="auto"/>
              </w:rPr>
            </w:pPr>
          </w:p>
        </w:tc>
        <w:tc>
          <w:tcPr>
            <w:tcW w:w="1820" w:type="dxa"/>
            <w:vAlign w:val="bottom"/>
          </w:tcPr>
          <w:p>
            <w:pPr>
              <w:spacing w:after="0"/>
              <w:rPr>
                <w:sz w:val="17"/>
                <w:szCs w:val="17"/>
                <w:color w:val="auto"/>
              </w:rPr>
            </w:pPr>
          </w:p>
        </w:tc>
        <w:tc>
          <w:tcPr>
            <w:tcW w:w="1820" w:type="dxa"/>
            <w:vAlign w:val="bottom"/>
            <w:shd w:val="clear" w:color="auto" w:fill="EFF8FA"/>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960" w:type="dxa"/>
            <w:vAlign w:val="bottom"/>
          </w:tcPr>
          <w:p>
            <w:pPr>
              <w:spacing w:after="0"/>
              <w:rPr>
                <w:sz w:val="17"/>
                <w:szCs w:val="17"/>
                <w:color w:val="auto"/>
              </w:rPr>
            </w:pPr>
          </w:p>
        </w:tc>
        <w:tc>
          <w:tcPr>
            <w:tcW w:w="1940" w:type="dxa"/>
            <w:vAlign w:val="bottom"/>
            <w:shd w:val="clear" w:color="auto" w:fill="EFF8FA"/>
          </w:tcPr>
          <w:p>
            <w:pPr>
              <w:spacing w:after="0"/>
              <w:rPr>
                <w:sz w:val="17"/>
                <w:szCs w:val="17"/>
                <w:color w:val="auto"/>
              </w:rPr>
            </w:pPr>
          </w:p>
        </w:tc>
        <w:tc>
          <w:tcPr>
            <w:tcW w:w="1940" w:type="dxa"/>
            <w:vAlign w:val="bottom"/>
          </w:tcPr>
          <w:p>
            <w:pPr>
              <w:ind w:left="60"/>
              <w:spacing w:after="0" w:line="202" w:lineRule="exact"/>
              <w:rPr>
                <w:sz w:val="20"/>
                <w:szCs w:val="20"/>
                <w:color w:val="auto"/>
              </w:rPr>
            </w:pPr>
            <w:r>
              <w:rPr>
                <w:rFonts w:ascii="Arial" w:cs="Arial" w:eastAsia="Arial" w:hAnsi="Arial"/>
                <w:sz w:val="18"/>
                <w:szCs w:val="18"/>
                <w:color w:val="auto"/>
              </w:rPr>
              <w:t>are paid out based on</w:t>
            </w:r>
          </w:p>
        </w:tc>
        <w:tc>
          <w:tcPr>
            <w:tcW w:w="1940" w:type="dxa"/>
            <w:vAlign w:val="bottom"/>
            <w:shd w:val="clear" w:color="auto" w:fill="EFF8FA"/>
          </w:tcPr>
          <w:p>
            <w:pPr>
              <w:spacing w:after="0"/>
              <w:rPr>
                <w:sz w:val="17"/>
                <w:szCs w:val="17"/>
                <w:color w:val="auto"/>
              </w:rPr>
            </w:pPr>
          </w:p>
        </w:tc>
        <w:tc>
          <w:tcPr>
            <w:tcW w:w="1820" w:type="dxa"/>
            <w:vAlign w:val="bottom"/>
          </w:tcPr>
          <w:p>
            <w:pPr>
              <w:spacing w:after="0"/>
              <w:rPr>
                <w:sz w:val="17"/>
                <w:szCs w:val="17"/>
                <w:color w:val="auto"/>
              </w:rPr>
            </w:pPr>
          </w:p>
        </w:tc>
        <w:tc>
          <w:tcPr>
            <w:tcW w:w="1820" w:type="dxa"/>
            <w:vAlign w:val="bottom"/>
            <w:shd w:val="clear" w:color="auto" w:fill="EFF8FA"/>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1960" w:type="dxa"/>
            <w:vAlign w:val="bottom"/>
            <w:tcBorders>
              <w:bottom w:val="single" w:sz="8" w:color="DFF1FB"/>
            </w:tcBorders>
          </w:tcPr>
          <w:p>
            <w:pPr>
              <w:spacing w:after="0"/>
              <w:rPr>
                <w:sz w:val="23"/>
                <w:szCs w:val="23"/>
                <w:color w:val="auto"/>
              </w:rPr>
            </w:pPr>
          </w:p>
        </w:tc>
        <w:tc>
          <w:tcPr>
            <w:tcW w:w="1940" w:type="dxa"/>
            <w:vAlign w:val="bottom"/>
            <w:tcBorders>
              <w:bottom w:val="single" w:sz="8" w:color="DFF1FB"/>
            </w:tcBorders>
            <w:shd w:val="clear" w:color="auto" w:fill="EFF8FA"/>
          </w:tcPr>
          <w:p>
            <w:pPr>
              <w:spacing w:after="0"/>
              <w:rPr>
                <w:sz w:val="23"/>
                <w:szCs w:val="23"/>
                <w:color w:val="auto"/>
              </w:rPr>
            </w:pPr>
          </w:p>
        </w:tc>
        <w:tc>
          <w:tcPr>
            <w:tcW w:w="1940" w:type="dxa"/>
            <w:vAlign w:val="bottom"/>
            <w:tcBorders>
              <w:bottom w:val="single" w:sz="8" w:color="DFF1FB"/>
            </w:tcBorders>
          </w:tcPr>
          <w:p>
            <w:pPr>
              <w:ind w:left="60"/>
              <w:spacing w:after="0" w:line="267" w:lineRule="exact"/>
              <w:rPr>
                <w:sz w:val="20"/>
                <w:szCs w:val="20"/>
                <w:color w:val="auto"/>
              </w:rPr>
            </w:pPr>
            <w:r>
              <w:rPr>
                <w:rFonts w:ascii="Arial" w:cs="Arial" w:eastAsia="Arial" w:hAnsi="Arial"/>
                <w:sz w:val="18"/>
                <w:szCs w:val="18"/>
                <w:color w:val="auto"/>
              </w:rPr>
              <w:t>actual performance</w:t>
            </w:r>
            <w:r>
              <w:rPr>
                <w:rFonts w:ascii="Arial" w:cs="Arial" w:eastAsia="Arial" w:hAnsi="Arial"/>
                <w:sz w:val="29"/>
                <w:szCs w:val="29"/>
                <w:color w:val="auto"/>
                <w:vertAlign w:val="superscript"/>
              </w:rPr>
              <w:t>(7)</w:t>
            </w:r>
          </w:p>
        </w:tc>
        <w:tc>
          <w:tcPr>
            <w:tcW w:w="1940" w:type="dxa"/>
            <w:vAlign w:val="bottom"/>
            <w:tcBorders>
              <w:bottom w:val="single" w:sz="8" w:color="DFF1FB"/>
            </w:tcBorders>
            <w:shd w:val="clear" w:color="auto" w:fill="EFF8FA"/>
          </w:tcPr>
          <w:p>
            <w:pPr>
              <w:spacing w:after="0"/>
              <w:rPr>
                <w:sz w:val="23"/>
                <w:szCs w:val="23"/>
                <w:color w:val="auto"/>
              </w:rPr>
            </w:pPr>
          </w:p>
        </w:tc>
        <w:tc>
          <w:tcPr>
            <w:tcW w:w="1820" w:type="dxa"/>
            <w:vAlign w:val="bottom"/>
            <w:tcBorders>
              <w:bottom w:val="single" w:sz="8" w:color="DFF1FB"/>
            </w:tcBorders>
          </w:tcPr>
          <w:p>
            <w:pPr>
              <w:spacing w:after="0"/>
              <w:rPr>
                <w:sz w:val="23"/>
                <w:szCs w:val="23"/>
                <w:color w:val="auto"/>
              </w:rPr>
            </w:pPr>
          </w:p>
        </w:tc>
        <w:tc>
          <w:tcPr>
            <w:tcW w:w="1820" w:type="dxa"/>
            <w:vAlign w:val="bottom"/>
            <w:tcBorders>
              <w:bottom w:val="single" w:sz="8" w:color="DFF1FB"/>
            </w:tcBorders>
            <w:shd w:val="clear" w:color="auto" w:fill="EFF8FA"/>
          </w:tcPr>
          <w:p>
            <w:pPr>
              <w:spacing w:after="0"/>
              <w:rPr>
                <w:sz w:val="23"/>
                <w:szCs w:val="23"/>
                <w:color w:val="auto"/>
              </w:rPr>
            </w:pPr>
          </w:p>
        </w:tc>
        <w:tc>
          <w:tcPr>
            <w:tcW w:w="0" w:type="dxa"/>
            <w:vAlign w:val="bottom"/>
          </w:tcPr>
          <w:p>
            <w:pPr>
              <w:spacing w:after="0"/>
              <w:rPr>
                <w:sz w:val="1"/>
                <w:szCs w:val="1"/>
                <w:color w:val="auto"/>
              </w:rPr>
            </w:pPr>
          </w:p>
        </w:tc>
      </w:tr>
      <w:tr>
        <w:trPr>
          <w:trHeight w:val="204"/>
        </w:trPr>
        <w:tc>
          <w:tcPr>
            <w:tcW w:w="1960" w:type="dxa"/>
            <w:vAlign w:val="bottom"/>
          </w:tcPr>
          <w:p>
            <w:pPr>
              <w:ind w:left="80"/>
              <w:spacing w:after="0" w:line="204" w:lineRule="exact"/>
              <w:rPr>
                <w:sz w:val="20"/>
                <w:szCs w:val="20"/>
                <w:color w:val="auto"/>
              </w:rPr>
            </w:pPr>
            <w:r>
              <w:rPr>
                <w:rFonts w:ascii="Arial" w:cs="Arial" w:eastAsia="Arial" w:hAnsi="Arial"/>
                <w:sz w:val="18"/>
                <w:szCs w:val="18"/>
                <w:b w:val="1"/>
                <w:bCs w:val="1"/>
                <w:color w:val="auto"/>
              </w:rPr>
              <w:t>Non-Qualified</w:t>
            </w:r>
          </w:p>
        </w:tc>
        <w:tc>
          <w:tcPr>
            <w:tcW w:w="1940" w:type="dxa"/>
            <w:vAlign w:val="bottom"/>
            <w:shd w:val="clear" w:color="auto" w:fill="EFF8FA"/>
          </w:tcPr>
          <w:p>
            <w:pPr>
              <w:ind w:left="60"/>
              <w:spacing w:after="0" w:line="204" w:lineRule="exact"/>
              <w:rPr>
                <w:sz w:val="20"/>
                <w:szCs w:val="20"/>
                <w:color w:val="auto"/>
              </w:rPr>
            </w:pPr>
            <w:r>
              <w:rPr>
                <w:rFonts w:ascii="Arial" w:cs="Arial" w:eastAsia="Arial" w:hAnsi="Arial"/>
                <w:sz w:val="18"/>
                <w:szCs w:val="18"/>
                <w:color w:val="auto"/>
              </w:rPr>
              <w:t>Distributions</w:t>
            </w:r>
          </w:p>
        </w:tc>
        <w:tc>
          <w:tcPr>
            <w:tcW w:w="1940" w:type="dxa"/>
            <w:vAlign w:val="bottom"/>
          </w:tcPr>
          <w:p>
            <w:pPr>
              <w:ind w:left="60"/>
              <w:spacing w:after="0" w:line="204" w:lineRule="exact"/>
              <w:rPr>
                <w:sz w:val="20"/>
                <w:szCs w:val="20"/>
                <w:color w:val="auto"/>
              </w:rPr>
            </w:pPr>
            <w:r>
              <w:rPr>
                <w:rFonts w:ascii="Arial" w:cs="Arial" w:eastAsia="Arial" w:hAnsi="Arial"/>
                <w:sz w:val="18"/>
                <w:szCs w:val="18"/>
                <w:color w:val="auto"/>
              </w:rPr>
              <w:t>Distributions</w:t>
            </w:r>
          </w:p>
        </w:tc>
        <w:tc>
          <w:tcPr>
            <w:tcW w:w="1940" w:type="dxa"/>
            <w:vAlign w:val="bottom"/>
            <w:shd w:val="clear" w:color="auto" w:fill="EFF8FA"/>
          </w:tcPr>
          <w:p>
            <w:pPr>
              <w:ind w:left="60"/>
              <w:spacing w:after="0" w:line="204" w:lineRule="exact"/>
              <w:rPr>
                <w:sz w:val="20"/>
                <w:szCs w:val="20"/>
                <w:color w:val="auto"/>
              </w:rPr>
            </w:pPr>
            <w:r>
              <w:rPr>
                <w:rFonts w:ascii="Arial" w:cs="Arial" w:eastAsia="Arial" w:hAnsi="Arial"/>
                <w:sz w:val="18"/>
                <w:szCs w:val="18"/>
                <w:color w:val="auto"/>
              </w:rPr>
              <w:t>Immediately payable</w:t>
            </w:r>
          </w:p>
        </w:tc>
        <w:tc>
          <w:tcPr>
            <w:tcW w:w="1820" w:type="dxa"/>
            <w:vAlign w:val="bottom"/>
          </w:tcPr>
          <w:p>
            <w:pPr>
              <w:ind w:left="60"/>
              <w:spacing w:after="0" w:line="204" w:lineRule="exact"/>
              <w:rPr>
                <w:sz w:val="20"/>
                <w:szCs w:val="20"/>
                <w:color w:val="auto"/>
              </w:rPr>
            </w:pPr>
            <w:r>
              <w:rPr>
                <w:rFonts w:ascii="Arial" w:cs="Arial" w:eastAsia="Arial" w:hAnsi="Arial"/>
                <w:sz w:val="18"/>
                <w:szCs w:val="18"/>
                <w:color w:val="auto"/>
              </w:rPr>
              <w:t>Distributions</w:t>
            </w:r>
          </w:p>
        </w:tc>
        <w:tc>
          <w:tcPr>
            <w:tcW w:w="1820" w:type="dxa"/>
            <w:vAlign w:val="bottom"/>
            <w:shd w:val="clear" w:color="auto" w:fill="EFF8FA"/>
          </w:tcPr>
          <w:p>
            <w:pPr>
              <w:ind w:left="80"/>
              <w:spacing w:after="0" w:line="204" w:lineRule="exact"/>
              <w:rPr>
                <w:sz w:val="20"/>
                <w:szCs w:val="20"/>
                <w:color w:val="auto"/>
              </w:rPr>
            </w:pPr>
            <w:r>
              <w:rPr>
                <w:rFonts w:ascii="Arial" w:cs="Arial" w:eastAsia="Arial" w:hAnsi="Arial"/>
                <w:sz w:val="18"/>
                <w:szCs w:val="18"/>
                <w:color w:val="auto"/>
              </w:rPr>
              <w:t>Participant may</w:t>
            </w:r>
          </w:p>
        </w:tc>
        <w:tc>
          <w:tcPr>
            <w:tcW w:w="0" w:type="dxa"/>
            <w:vAlign w:val="bottom"/>
          </w:tcPr>
          <w:p>
            <w:pPr>
              <w:spacing w:after="0"/>
              <w:rPr>
                <w:sz w:val="1"/>
                <w:szCs w:val="1"/>
                <w:color w:val="auto"/>
              </w:rPr>
            </w:pPr>
          </w:p>
        </w:tc>
      </w:tr>
      <w:tr>
        <w:trPr>
          <w:trHeight w:val="224"/>
        </w:trPr>
        <w:tc>
          <w:tcPr>
            <w:tcW w:w="1960" w:type="dxa"/>
            <w:vAlign w:val="bottom"/>
          </w:tcPr>
          <w:p>
            <w:pPr>
              <w:ind w:left="80"/>
              <w:spacing w:after="0"/>
              <w:rPr>
                <w:sz w:val="20"/>
                <w:szCs w:val="20"/>
                <w:color w:val="auto"/>
              </w:rPr>
            </w:pPr>
            <w:r>
              <w:rPr>
                <w:rFonts w:ascii="Arial" w:cs="Arial" w:eastAsia="Arial" w:hAnsi="Arial"/>
                <w:sz w:val="18"/>
                <w:szCs w:val="18"/>
                <w:b w:val="1"/>
                <w:bCs w:val="1"/>
                <w:color w:val="auto"/>
              </w:rPr>
              <w:t>Pension</w:t>
            </w:r>
          </w:p>
        </w:tc>
        <w:tc>
          <w:tcPr>
            <w:tcW w:w="1940" w:type="dxa"/>
            <w:vAlign w:val="bottom"/>
            <w:shd w:val="clear" w:color="auto" w:fill="EFF8FA"/>
          </w:tcPr>
          <w:p>
            <w:pPr>
              <w:ind w:left="60"/>
              <w:spacing w:after="0"/>
              <w:rPr>
                <w:sz w:val="20"/>
                <w:szCs w:val="20"/>
                <w:color w:val="auto"/>
              </w:rPr>
            </w:pPr>
            <w:r>
              <w:rPr>
                <w:rFonts w:ascii="Arial" w:cs="Arial" w:eastAsia="Arial" w:hAnsi="Arial"/>
                <w:sz w:val="18"/>
                <w:szCs w:val="18"/>
                <w:color w:val="auto"/>
              </w:rPr>
              <w:t>commence per plan</w:t>
            </w:r>
          </w:p>
        </w:tc>
        <w:tc>
          <w:tcPr>
            <w:tcW w:w="1940" w:type="dxa"/>
            <w:vAlign w:val="bottom"/>
          </w:tcPr>
          <w:p>
            <w:pPr>
              <w:ind w:left="60"/>
              <w:spacing w:after="0"/>
              <w:rPr>
                <w:sz w:val="20"/>
                <w:szCs w:val="20"/>
                <w:color w:val="auto"/>
              </w:rPr>
            </w:pPr>
            <w:r>
              <w:rPr>
                <w:rFonts w:ascii="Arial" w:cs="Arial" w:eastAsia="Arial" w:hAnsi="Arial"/>
                <w:sz w:val="18"/>
                <w:szCs w:val="18"/>
                <w:color w:val="auto"/>
              </w:rPr>
              <w:t>commence per plan</w:t>
            </w:r>
          </w:p>
        </w:tc>
        <w:tc>
          <w:tcPr>
            <w:tcW w:w="1940" w:type="dxa"/>
            <w:vAlign w:val="bottom"/>
            <w:shd w:val="clear" w:color="auto" w:fill="EFF8FA"/>
          </w:tcPr>
          <w:p>
            <w:pPr>
              <w:ind w:left="60"/>
              <w:spacing w:after="0"/>
              <w:rPr>
                <w:sz w:val="20"/>
                <w:szCs w:val="20"/>
                <w:color w:val="auto"/>
              </w:rPr>
            </w:pPr>
            <w:r>
              <w:rPr>
                <w:rFonts w:ascii="Arial" w:cs="Arial" w:eastAsia="Arial" w:hAnsi="Arial"/>
                <w:sz w:val="18"/>
                <w:szCs w:val="18"/>
                <w:color w:val="auto"/>
              </w:rPr>
              <w:t>upon a CIC</w:t>
            </w:r>
          </w:p>
        </w:tc>
        <w:tc>
          <w:tcPr>
            <w:tcW w:w="1820" w:type="dxa"/>
            <w:vAlign w:val="bottom"/>
          </w:tcPr>
          <w:p>
            <w:pPr>
              <w:ind w:left="60"/>
              <w:spacing w:after="0"/>
              <w:rPr>
                <w:sz w:val="20"/>
                <w:szCs w:val="20"/>
                <w:color w:val="auto"/>
              </w:rPr>
            </w:pPr>
            <w:r>
              <w:rPr>
                <w:rFonts w:ascii="Arial" w:cs="Arial" w:eastAsia="Arial" w:hAnsi="Arial"/>
                <w:sz w:val="18"/>
                <w:szCs w:val="18"/>
                <w:color w:val="auto"/>
              </w:rPr>
              <w:t>commence per plan</w:t>
            </w:r>
          </w:p>
        </w:tc>
        <w:tc>
          <w:tcPr>
            <w:tcW w:w="1820" w:type="dxa"/>
            <w:vAlign w:val="bottom"/>
            <w:shd w:val="clear" w:color="auto" w:fill="EFF8FA"/>
          </w:tcPr>
          <w:p>
            <w:pPr>
              <w:ind w:left="80"/>
              <w:spacing w:after="0"/>
              <w:rPr>
                <w:sz w:val="20"/>
                <w:szCs w:val="20"/>
                <w:color w:val="auto"/>
              </w:rPr>
            </w:pPr>
            <w:r>
              <w:rPr>
                <w:rFonts w:ascii="Arial" w:cs="Arial" w:eastAsia="Arial" w:hAnsi="Arial"/>
                <w:sz w:val="18"/>
                <w:szCs w:val="18"/>
                <w:color w:val="auto"/>
              </w:rPr>
              <w:t>request payment if</w:t>
            </w:r>
          </w:p>
        </w:tc>
        <w:tc>
          <w:tcPr>
            <w:tcW w:w="0" w:type="dxa"/>
            <w:vAlign w:val="bottom"/>
          </w:tcPr>
          <w:p>
            <w:pPr>
              <w:spacing w:after="0"/>
              <w:rPr>
                <w:sz w:val="1"/>
                <w:szCs w:val="1"/>
                <w:color w:val="auto"/>
              </w:rPr>
            </w:pPr>
          </w:p>
        </w:tc>
      </w:tr>
      <w:tr>
        <w:trPr>
          <w:trHeight w:val="267"/>
        </w:trPr>
        <w:tc>
          <w:tcPr>
            <w:tcW w:w="1960" w:type="dxa"/>
            <w:vAlign w:val="bottom"/>
            <w:tcBorders>
              <w:bottom w:val="single" w:sz="8" w:color="DFF1FB"/>
            </w:tcBorders>
          </w:tcPr>
          <w:p>
            <w:pPr>
              <w:ind w:left="80"/>
              <w:spacing w:after="0" w:line="267" w:lineRule="exact"/>
              <w:rPr>
                <w:sz w:val="20"/>
                <w:szCs w:val="20"/>
                <w:color w:val="auto"/>
              </w:rPr>
            </w:pPr>
            <w:r>
              <w:rPr>
                <w:rFonts w:ascii="Arial" w:cs="Arial" w:eastAsia="Arial" w:hAnsi="Arial"/>
                <w:sz w:val="18"/>
                <w:szCs w:val="18"/>
                <w:b w:val="1"/>
                <w:bCs w:val="1"/>
                <w:color w:val="auto"/>
              </w:rPr>
              <w:t>Benefits</w:t>
            </w:r>
            <w:r>
              <w:rPr>
                <w:rFonts w:ascii="Arial" w:cs="Arial" w:eastAsia="Arial" w:hAnsi="Arial"/>
                <w:sz w:val="29"/>
                <w:szCs w:val="29"/>
                <w:color w:val="auto"/>
                <w:vertAlign w:val="superscript"/>
              </w:rPr>
              <w:t>(10)</w:t>
            </w:r>
          </w:p>
        </w:tc>
        <w:tc>
          <w:tcPr>
            <w:tcW w:w="1940" w:type="dxa"/>
            <w:vAlign w:val="bottom"/>
            <w:tcBorders>
              <w:bottom w:val="single" w:sz="8" w:color="DFF1FB"/>
            </w:tcBorders>
            <w:shd w:val="clear" w:color="auto" w:fill="EFF8FA"/>
          </w:tcPr>
          <w:p>
            <w:pPr>
              <w:spacing w:after="0"/>
              <w:rPr>
                <w:sz w:val="23"/>
                <w:szCs w:val="23"/>
                <w:color w:val="auto"/>
              </w:rPr>
            </w:pPr>
          </w:p>
        </w:tc>
        <w:tc>
          <w:tcPr>
            <w:tcW w:w="1940" w:type="dxa"/>
            <w:vAlign w:val="bottom"/>
            <w:tcBorders>
              <w:bottom w:val="single" w:sz="8" w:color="DFF1FB"/>
            </w:tcBorders>
          </w:tcPr>
          <w:p>
            <w:pPr>
              <w:spacing w:after="0"/>
              <w:rPr>
                <w:sz w:val="23"/>
                <w:szCs w:val="23"/>
                <w:color w:val="auto"/>
              </w:rPr>
            </w:pPr>
          </w:p>
        </w:tc>
        <w:tc>
          <w:tcPr>
            <w:tcW w:w="1940" w:type="dxa"/>
            <w:vAlign w:val="bottom"/>
            <w:tcBorders>
              <w:bottom w:val="single" w:sz="8" w:color="DFF1FB"/>
            </w:tcBorders>
            <w:shd w:val="clear" w:color="auto" w:fill="EFF8FA"/>
          </w:tcPr>
          <w:p>
            <w:pPr>
              <w:spacing w:after="0"/>
              <w:rPr>
                <w:sz w:val="23"/>
                <w:szCs w:val="23"/>
                <w:color w:val="auto"/>
              </w:rPr>
            </w:pPr>
          </w:p>
        </w:tc>
        <w:tc>
          <w:tcPr>
            <w:tcW w:w="1820" w:type="dxa"/>
            <w:vAlign w:val="bottom"/>
            <w:tcBorders>
              <w:bottom w:val="single" w:sz="8" w:color="DFF1FB"/>
            </w:tcBorders>
          </w:tcPr>
          <w:p>
            <w:pPr>
              <w:spacing w:after="0"/>
              <w:rPr>
                <w:sz w:val="23"/>
                <w:szCs w:val="23"/>
                <w:color w:val="auto"/>
              </w:rPr>
            </w:pPr>
          </w:p>
        </w:tc>
        <w:tc>
          <w:tcPr>
            <w:tcW w:w="1820" w:type="dxa"/>
            <w:vAlign w:val="bottom"/>
            <w:tcBorders>
              <w:bottom w:val="single" w:sz="8" w:color="DFF1FB"/>
            </w:tcBorders>
            <w:shd w:val="clear" w:color="auto" w:fill="EFF8FA"/>
          </w:tcPr>
          <w:p>
            <w:pPr>
              <w:ind w:left="80"/>
              <w:spacing w:after="0"/>
              <w:rPr>
                <w:sz w:val="20"/>
                <w:szCs w:val="20"/>
                <w:color w:val="auto"/>
              </w:rPr>
            </w:pPr>
            <w:r>
              <w:rPr>
                <w:rFonts w:ascii="Arial" w:cs="Arial" w:eastAsia="Arial" w:hAnsi="Arial"/>
                <w:sz w:val="18"/>
                <w:szCs w:val="18"/>
                <w:color w:val="auto"/>
              </w:rPr>
              <w:t>age 50 or older</w:t>
            </w:r>
          </w:p>
        </w:tc>
        <w:tc>
          <w:tcPr>
            <w:tcW w:w="0" w:type="dxa"/>
            <w:vAlign w:val="bottom"/>
          </w:tcPr>
          <w:p>
            <w:pPr>
              <w:spacing w:after="0"/>
              <w:rPr>
                <w:sz w:val="1"/>
                <w:szCs w:val="1"/>
                <w:color w:val="auto"/>
              </w:rPr>
            </w:pPr>
          </w:p>
        </w:tc>
      </w:tr>
      <w:tr>
        <w:trPr>
          <w:trHeight w:val="225"/>
        </w:trPr>
        <w:tc>
          <w:tcPr>
            <w:tcW w:w="1960" w:type="dxa"/>
            <w:vAlign w:val="bottom"/>
          </w:tcPr>
          <w:p>
            <w:pPr>
              <w:ind w:left="80"/>
              <w:spacing w:after="0"/>
              <w:rPr>
                <w:sz w:val="20"/>
                <w:szCs w:val="20"/>
                <w:color w:val="auto"/>
              </w:rPr>
            </w:pPr>
            <w:r>
              <w:rPr>
                <w:rFonts w:ascii="Arial" w:cs="Arial" w:eastAsia="Arial" w:hAnsi="Arial"/>
                <w:sz w:val="18"/>
                <w:szCs w:val="18"/>
                <w:b w:val="1"/>
                <w:bCs w:val="1"/>
                <w:color w:val="auto"/>
              </w:rPr>
              <w:t>Deferred</w:t>
            </w:r>
          </w:p>
        </w:tc>
        <w:tc>
          <w:tcPr>
            <w:tcW w:w="1940" w:type="dxa"/>
            <w:vAlign w:val="bottom"/>
            <w:shd w:val="clear" w:color="auto" w:fill="EFF8FA"/>
          </w:tcPr>
          <w:p>
            <w:pPr>
              <w:ind w:left="60"/>
              <w:spacing w:after="0"/>
              <w:rPr>
                <w:sz w:val="20"/>
                <w:szCs w:val="20"/>
                <w:color w:val="auto"/>
              </w:rPr>
            </w:pPr>
            <w:r>
              <w:rPr>
                <w:rFonts w:ascii="Arial" w:cs="Arial" w:eastAsia="Arial" w:hAnsi="Arial"/>
                <w:sz w:val="18"/>
                <w:szCs w:val="18"/>
                <w:color w:val="auto"/>
              </w:rPr>
              <w:t>Distributions</w:t>
            </w:r>
          </w:p>
        </w:tc>
        <w:tc>
          <w:tcPr>
            <w:tcW w:w="1940" w:type="dxa"/>
            <w:vAlign w:val="bottom"/>
          </w:tcPr>
          <w:p>
            <w:pPr>
              <w:ind w:left="60"/>
              <w:spacing w:after="0"/>
              <w:rPr>
                <w:sz w:val="20"/>
                <w:szCs w:val="20"/>
                <w:color w:val="auto"/>
              </w:rPr>
            </w:pPr>
            <w:r>
              <w:rPr>
                <w:rFonts w:ascii="Arial" w:cs="Arial" w:eastAsia="Arial" w:hAnsi="Arial"/>
                <w:sz w:val="18"/>
                <w:szCs w:val="18"/>
                <w:color w:val="auto"/>
              </w:rPr>
              <w:t>Distributions</w:t>
            </w:r>
          </w:p>
        </w:tc>
        <w:tc>
          <w:tcPr>
            <w:tcW w:w="1940" w:type="dxa"/>
            <w:vAlign w:val="bottom"/>
            <w:shd w:val="clear" w:color="auto" w:fill="EFF8FA"/>
          </w:tcPr>
          <w:p>
            <w:pPr>
              <w:ind w:left="60"/>
              <w:spacing w:after="0"/>
              <w:rPr>
                <w:sz w:val="20"/>
                <w:szCs w:val="20"/>
                <w:color w:val="auto"/>
              </w:rPr>
            </w:pPr>
            <w:r>
              <w:rPr>
                <w:rFonts w:ascii="Arial" w:cs="Arial" w:eastAsia="Arial" w:hAnsi="Arial"/>
                <w:sz w:val="18"/>
                <w:szCs w:val="18"/>
                <w:color w:val="auto"/>
              </w:rPr>
              <w:t>Immediately payable</w:t>
            </w:r>
          </w:p>
        </w:tc>
        <w:tc>
          <w:tcPr>
            <w:tcW w:w="1820" w:type="dxa"/>
            <w:vAlign w:val="bottom"/>
          </w:tcPr>
          <w:p>
            <w:pPr>
              <w:ind w:left="60"/>
              <w:spacing w:after="0"/>
              <w:rPr>
                <w:sz w:val="20"/>
                <w:szCs w:val="20"/>
                <w:color w:val="auto"/>
              </w:rPr>
            </w:pPr>
            <w:r>
              <w:rPr>
                <w:rFonts w:ascii="Arial" w:cs="Arial" w:eastAsia="Arial" w:hAnsi="Arial"/>
                <w:sz w:val="18"/>
                <w:szCs w:val="18"/>
                <w:color w:val="auto"/>
              </w:rPr>
              <w:t>Payable within 90</w:t>
            </w:r>
          </w:p>
        </w:tc>
        <w:tc>
          <w:tcPr>
            <w:tcW w:w="1820" w:type="dxa"/>
            <w:vAlign w:val="bottom"/>
            <w:shd w:val="clear" w:color="auto" w:fill="EFF8FA"/>
          </w:tcPr>
          <w:p>
            <w:pPr>
              <w:ind w:left="80"/>
              <w:spacing w:after="0"/>
              <w:rPr>
                <w:sz w:val="20"/>
                <w:szCs w:val="20"/>
                <w:color w:val="auto"/>
              </w:rPr>
            </w:pPr>
            <w:r>
              <w:rPr>
                <w:rFonts w:ascii="Arial" w:cs="Arial" w:eastAsia="Arial" w:hAnsi="Arial"/>
                <w:sz w:val="18"/>
                <w:szCs w:val="18"/>
                <w:color w:val="auto"/>
              </w:rPr>
              <w:t>Distributions</w:t>
            </w:r>
          </w:p>
        </w:tc>
        <w:tc>
          <w:tcPr>
            <w:tcW w:w="0" w:type="dxa"/>
            <w:vAlign w:val="bottom"/>
          </w:tcPr>
          <w:p>
            <w:pPr>
              <w:spacing w:after="0"/>
              <w:rPr>
                <w:sz w:val="1"/>
                <w:szCs w:val="1"/>
                <w:color w:val="auto"/>
              </w:rPr>
            </w:pPr>
          </w:p>
        </w:tc>
      </w:tr>
      <w:tr>
        <w:trPr>
          <w:trHeight w:val="203"/>
        </w:trPr>
        <w:tc>
          <w:tcPr>
            <w:tcW w:w="1960" w:type="dxa"/>
            <w:vAlign w:val="bottom"/>
          </w:tcPr>
          <w:p>
            <w:pPr>
              <w:ind w:left="80"/>
              <w:spacing w:after="0" w:line="203" w:lineRule="exact"/>
              <w:rPr>
                <w:sz w:val="20"/>
                <w:szCs w:val="20"/>
                <w:color w:val="auto"/>
              </w:rPr>
            </w:pPr>
            <w:r>
              <w:rPr>
                <w:rFonts w:ascii="Arial" w:cs="Arial" w:eastAsia="Arial" w:hAnsi="Arial"/>
                <w:sz w:val="15"/>
                <w:szCs w:val="15"/>
                <w:b w:val="1"/>
                <w:bCs w:val="1"/>
                <w:color w:val="auto"/>
              </w:rPr>
              <w:t>Compensation</w:t>
            </w:r>
            <w:r>
              <w:rPr>
                <w:rFonts w:ascii="Arial" w:cs="Arial" w:eastAsia="Arial" w:hAnsi="Arial"/>
                <w:sz w:val="23"/>
                <w:szCs w:val="23"/>
                <w:color w:val="auto"/>
                <w:vertAlign w:val="superscript"/>
              </w:rPr>
              <w:t>(11)</w:t>
            </w:r>
          </w:p>
        </w:tc>
        <w:tc>
          <w:tcPr>
            <w:tcW w:w="1940" w:type="dxa"/>
            <w:vAlign w:val="bottom"/>
            <w:shd w:val="clear" w:color="auto" w:fill="EFF8FA"/>
          </w:tcPr>
          <w:p>
            <w:pPr>
              <w:ind w:left="60"/>
              <w:spacing w:after="0" w:line="203" w:lineRule="exact"/>
              <w:rPr>
                <w:sz w:val="20"/>
                <w:szCs w:val="20"/>
                <w:color w:val="auto"/>
              </w:rPr>
            </w:pPr>
            <w:r>
              <w:rPr>
                <w:rFonts w:ascii="Arial" w:cs="Arial" w:eastAsia="Arial" w:hAnsi="Arial"/>
                <w:sz w:val="18"/>
                <w:szCs w:val="18"/>
                <w:color w:val="auto"/>
              </w:rPr>
              <w:t>commence per</w:t>
            </w:r>
          </w:p>
        </w:tc>
        <w:tc>
          <w:tcPr>
            <w:tcW w:w="1940" w:type="dxa"/>
            <w:vAlign w:val="bottom"/>
          </w:tcPr>
          <w:p>
            <w:pPr>
              <w:ind w:left="60"/>
              <w:spacing w:after="0" w:line="203" w:lineRule="exact"/>
              <w:rPr>
                <w:sz w:val="20"/>
                <w:szCs w:val="20"/>
                <w:color w:val="auto"/>
              </w:rPr>
            </w:pPr>
            <w:r>
              <w:rPr>
                <w:rFonts w:ascii="Arial" w:cs="Arial" w:eastAsia="Arial" w:hAnsi="Arial"/>
                <w:sz w:val="18"/>
                <w:szCs w:val="18"/>
                <w:color w:val="auto"/>
              </w:rPr>
              <w:t>commence per</w:t>
            </w:r>
          </w:p>
        </w:tc>
        <w:tc>
          <w:tcPr>
            <w:tcW w:w="1940" w:type="dxa"/>
            <w:vAlign w:val="bottom"/>
            <w:shd w:val="clear" w:color="auto" w:fill="EFF8FA"/>
          </w:tcPr>
          <w:p>
            <w:pPr>
              <w:ind w:left="60"/>
              <w:spacing w:after="0" w:line="203" w:lineRule="exact"/>
              <w:rPr>
                <w:sz w:val="20"/>
                <w:szCs w:val="20"/>
                <w:color w:val="auto"/>
              </w:rPr>
            </w:pPr>
            <w:r>
              <w:rPr>
                <w:rFonts w:ascii="Arial" w:cs="Arial" w:eastAsia="Arial" w:hAnsi="Arial"/>
                <w:sz w:val="18"/>
                <w:szCs w:val="18"/>
                <w:color w:val="auto"/>
              </w:rPr>
              <w:t>upon a CIC</w:t>
            </w:r>
          </w:p>
        </w:tc>
        <w:tc>
          <w:tcPr>
            <w:tcW w:w="1820" w:type="dxa"/>
            <w:vAlign w:val="bottom"/>
          </w:tcPr>
          <w:p>
            <w:pPr>
              <w:ind w:left="60"/>
              <w:spacing w:after="0" w:line="203" w:lineRule="exact"/>
              <w:rPr>
                <w:sz w:val="20"/>
                <w:szCs w:val="20"/>
                <w:color w:val="auto"/>
              </w:rPr>
            </w:pPr>
            <w:r>
              <w:rPr>
                <w:rFonts w:ascii="Arial" w:cs="Arial" w:eastAsia="Arial" w:hAnsi="Arial"/>
                <w:sz w:val="18"/>
                <w:szCs w:val="18"/>
                <w:color w:val="auto"/>
              </w:rPr>
              <w:t>days</w:t>
            </w:r>
          </w:p>
        </w:tc>
        <w:tc>
          <w:tcPr>
            <w:tcW w:w="1820" w:type="dxa"/>
            <w:vAlign w:val="bottom"/>
            <w:shd w:val="clear" w:color="auto" w:fill="EFF8FA"/>
          </w:tcPr>
          <w:p>
            <w:pPr>
              <w:ind w:left="80"/>
              <w:spacing w:after="0" w:line="203" w:lineRule="exact"/>
              <w:rPr>
                <w:sz w:val="20"/>
                <w:szCs w:val="20"/>
                <w:color w:val="auto"/>
              </w:rPr>
            </w:pPr>
            <w:r>
              <w:rPr>
                <w:rFonts w:ascii="Arial" w:cs="Arial" w:eastAsia="Arial" w:hAnsi="Arial"/>
                <w:sz w:val="18"/>
                <w:szCs w:val="18"/>
                <w:color w:val="auto"/>
              </w:rPr>
              <w:t>commence per</w:t>
            </w:r>
          </w:p>
        </w:tc>
        <w:tc>
          <w:tcPr>
            <w:tcW w:w="0" w:type="dxa"/>
            <w:vAlign w:val="bottom"/>
          </w:tcPr>
          <w:p>
            <w:pPr>
              <w:spacing w:after="0"/>
              <w:rPr>
                <w:sz w:val="1"/>
                <w:szCs w:val="1"/>
                <w:color w:val="auto"/>
              </w:rPr>
            </w:pPr>
          </w:p>
        </w:tc>
      </w:tr>
      <w:tr>
        <w:trPr>
          <w:trHeight w:val="220"/>
        </w:trPr>
        <w:tc>
          <w:tcPr>
            <w:tcW w:w="1960" w:type="dxa"/>
            <w:vAlign w:val="bottom"/>
            <w:tcBorders>
              <w:bottom w:val="single" w:sz="8" w:color="DFF1FB"/>
            </w:tcBorders>
          </w:tcPr>
          <w:p>
            <w:pPr>
              <w:spacing w:after="0"/>
              <w:rPr>
                <w:sz w:val="19"/>
                <w:szCs w:val="19"/>
                <w:color w:val="auto"/>
              </w:rPr>
            </w:pPr>
          </w:p>
        </w:tc>
        <w:tc>
          <w:tcPr>
            <w:tcW w:w="1940" w:type="dxa"/>
            <w:vAlign w:val="bottom"/>
            <w:tcBorders>
              <w:bottom w:val="single" w:sz="8" w:color="DFF1FB"/>
            </w:tcBorders>
            <w:shd w:val="clear" w:color="auto" w:fill="EFF8FA"/>
          </w:tcPr>
          <w:p>
            <w:pPr>
              <w:ind w:left="60"/>
              <w:spacing w:after="0"/>
              <w:rPr>
                <w:sz w:val="20"/>
                <w:szCs w:val="20"/>
                <w:color w:val="auto"/>
              </w:rPr>
            </w:pPr>
            <w:r>
              <w:rPr>
                <w:rFonts w:ascii="Arial" w:cs="Arial" w:eastAsia="Arial" w:hAnsi="Arial"/>
                <w:sz w:val="18"/>
                <w:szCs w:val="18"/>
                <w:color w:val="auto"/>
              </w:rPr>
              <w:t>participant election</w:t>
            </w:r>
          </w:p>
        </w:tc>
        <w:tc>
          <w:tcPr>
            <w:tcW w:w="1940" w:type="dxa"/>
            <w:vAlign w:val="bottom"/>
            <w:tcBorders>
              <w:bottom w:val="single" w:sz="8" w:color="DFF1FB"/>
            </w:tcBorders>
          </w:tcPr>
          <w:p>
            <w:pPr>
              <w:ind w:left="60"/>
              <w:spacing w:after="0"/>
              <w:rPr>
                <w:sz w:val="20"/>
                <w:szCs w:val="20"/>
                <w:color w:val="auto"/>
              </w:rPr>
            </w:pPr>
            <w:r>
              <w:rPr>
                <w:rFonts w:ascii="Arial" w:cs="Arial" w:eastAsia="Arial" w:hAnsi="Arial"/>
                <w:sz w:val="18"/>
                <w:szCs w:val="18"/>
                <w:color w:val="auto"/>
              </w:rPr>
              <w:t>participant election</w:t>
            </w:r>
          </w:p>
        </w:tc>
        <w:tc>
          <w:tcPr>
            <w:tcW w:w="1940" w:type="dxa"/>
            <w:vAlign w:val="bottom"/>
            <w:tcBorders>
              <w:bottom w:val="single" w:sz="8" w:color="DFF1FB"/>
            </w:tcBorders>
            <w:shd w:val="clear" w:color="auto" w:fill="EFF8FA"/>
          </w:tcPr>
          <w:p>
            <w:pPr>
              <w:spacing w:after="0"/>
              <w:rPr>
                <w:sz w:val="19"/>
                <w:szCs w:val="19"/>
                <w:color w:val="auto"/>
              </w:rPr>
            </w:pPr>
          </w:p>
        </w:tc>
        <w:tc>
          <w:tcPr>
            <w:tcW w:w="1820" w:type="dxa"/>
            <w:vAlign w:val="bottom"/>
            <w:tcBorders>
              <w:bottom w:val="single" w:sz="8" w:color="DFF1FB"/>
            </w:tcBorders>
          </w:tcPr>
          <w:p>
            <w:pPr>
              <w:spacing w:after="0"/>
              <w:rPr>
                <w:sz w:val="19"/>
                <w:szCs w:val="19"/>
                <w:color w:val="auto"/>
              </w:rPr>
            </w:pPr>
          </w:p>
        </w:tc>
        <w:tc>
          <w:tcPr>
            <w:tcW w:w="1820" w:type="dxa"/>
            <w:vAlign w:val="bottom"/>
            <w:tcBorders>
              <w:bottom w:val="single" w:sz="8" w:color="DFF1FB"/>
            </w:tcBorders>
            <w:shd w:val="clear" w:color="auto" w:fill="EFF8FA"/>
          </w:tcPr>
          <w:p>
            <w:pPr>
              <w:ind w:left="80"/>
              <w:spacing w:after="0"/>
              <w:rPr>
                <w:sz w:val="20"/>
                <w:szCs w:val="20"/>
                <w:color w:val="auto"/>
              </w:rPr>
            </w:pPr>
            <w:r>
              <w:rPr>
                <w:rFonts w:ascii="Arial" w:cs="Arial" w:eastAsia="Arial" w:hAnsi="Arial"/>
                <w:sz w:val="18"/>
                <w:szCs w:val="18"/>
                <w:color w:val="auto"/>
              </w:rPr>
              <w:t>participant election</w:t>
            </w:r>
          </w:p>
        </w:tc>
        <w:tc>
          <w:tcPr>
            <w:tcW w:w="0" w:type="dxa"/>
            <w:vAlign w:val="bottom"/>
          </w:tcPr>
          <w:p>
            <w:pPr>
              <w:spacing w:after="0"/>
              <w:rPr>
                <w:sz w:val="1"/>
                <w:szCs w:val="1"/>
                <w:color w:val="auto"/>
              </w:rPr>
            </w:pPr>
          </w:p>
        </w:tc>
      </w:tr>
      <w:tr>
        <w:trPr>
          <w:trHeight w:val="210"/>
        </w:trPr>
        <w:tc>
          <w:tcPr>
            <w:tcW w:w="1960" w:type="dxa"/>
            <w:vAlign w:val="bottom"/>
          </w:tcPr>
          <w:p>
            <w:pPr>
              <w:ind w:left="80"/>
              <w:spacing w:after="0"/>
              <w:rPr>
                <w:sz w:val="20"/>
                <w:szCs w:val="20"/>
                <w:color w:val="auto"/>
              </w:rPr>
            </w:pPr>
            <w:r>
              <w:rPr>
                <w:rFonts w:ascii="Arial" w:cs="Arial" w:eastAsia="Arial" w:hAnsi="Arial"/>
                <w:sz w:val="18"/>
                <w:szCs w:val="18"/>
                <w:b w:val="1"/>
                <w:bCs w:val="1"/>
                <w:color w:val="auto"/>
              </w:rPr>
              <w:t>Health, Welfare and</w:t>
            </w:r>
          </w:p>
        </w:tc>
        <w:tc>
          <w:tcPr>
            <w:tcW w:w="1940" w:type="dxa"/>
            <w:vAlign w:val="bottom"/>
            <w:shd w:val="clear" w:color="auto" w:fill="EFF8FA"/>
          </w:tcPr>
          <w:p>
            <w:pPr>
              <w:ind w:left="60"/>
              <w:spacing w:after="0"/>
              <w:rPr>
                <w:sz w:val="20"/>
                <w:szCs w:val="20"/>
                <w:color w:val="auto"/>
              </w:rPr>
            </w:pPr>
            <w:r>
              <w:rPr>
                <w:rFonts w:ascii="Arial" w:cs="Arial" w:eastAsia="Arial" w:hAnsi="Arial"/>
                <w:sz w:val="18"/>
                <w:szCs w:val="18"/>
                <w:color w:val="auto"/>
              </w:rPr>
              <w:t>None</w:t>
            </w:r>
          </w:p>
        </w:tc>
        <w:tc>
          <w:tcPr>
            <w:tcW w:w="1940" w:type="dxa"/>
            <w:vAlign w:val="bottom"/>
          </w:tcPr>
          <w:p>
            <w:pPr>
              <w:ind w:left="60"/>
              <w:spacing w:after="0"/>
              <w:rPr>
                <w:sz w:val="20"/>
                <w:szCs w:val="20"/>
                <w:color w:val="auto"/>
              </w:rPr>
            </w:pPr>
            <w:r>
              <w:rPr>
                <w:rFonts w:ascii="Arial" w:cs="Arial" w:eastAsia="Arial" w:hAnsi="Arial"/>
                <w:sz w:val="18"/>
                <w:szCs w:val="18"/>
                <w:color w:val="auto"/>
              </w:rPr>
              <w:t>None</w:t>
            </w:r>
          </w:p>
        </w:tc>
        <w:tc>
          <w:tcPr>
            <w:tcW w:w="1940" w:type="dxa"/>
            <w:vAlign w:val="bottom"/>
            <w:shd w:val="clear" w:color="auto" w:fill="EFF8FA"/>
          </w:tcPr>
          <w:p>
            <w:pPr>
              <w:ind w:left="60"/>
              <w:spacing w:after="0"/>
              <w:rPr>
                <w:sz w:val="20"/>
                <w:szCs w:val="20"/>
                <w:color w:val="auto"/>
              </w:rPr>
            </w:pPr>
            <w:r>
              <w:rPr>
                <w:rFonts w:ascii="Arial" w:cs="Arial" w:eastAsia="Arial" w:hAnsi="Arial"/>
                <w:sz w:val="18"/>
                <w:szCs w:val="18"/>
                <w:color w:val="auto"/>
              </w:rPr>
              <w:t>Outplacement services</w:t>
            </w:r>
          </w:p>
        </w:tc>
        <w:tc>
          <w:tcPr>
            <w:tcW w:w="1820" w:type="dxa"/>
            <w:vAlign w:val="bottom"/>
          </w:tcPr>
          <w:p>
            <w:pPr>
              <w:ind w:left="60"/>
              <w:spacing w:after="0"/>
              <w:rPr>
                <w:sz w:val="20"/>
                <w:szCs w:val="20"/>
                <w:color w:val="auto"/>
              </w:rPr>
            </w:pPr>
            <w:r>
              <w:rPr>
                <w:rFonts w:ascii="Arial" w:cs="Arial" w:eastAsia="Arial" w:hAnsi="Arial"/>
                <w:sz w:val="18"/>
                <w:szCs w:val="18"/>
                <w:color w:val="auto"/>
              </w:rPr>
              <w:t>None</w:t>
            </w:r>
          </w:p>
        </w:tc>
        <w:tc>
          <w:tcPr>
            <w:tcW w:w="1820" w:type="dxa"/>
            <w:vAlign w:val="bottom"/>
            <w:shd w:val="clear" w:color="auto" w:fill="EFF8FA"/>
          </w:tcPr>
          <w:p>
            <w:pPr>
              <w:ind w:left="80"/>
              <w:spacing w:after="0"/>
              <w:rPr>
                <w:sz w:val="20"/>
                <w:szCs w:val="20"/>
                <w:color w:val="auto"/>
              </w:rPr>
            </w:pPr>
            <w:r>
              <w:rPr>
                <w:rFonts w:ascii="Arial" w:cs="Arial" w:eastAsia="Arial" w:hAnsi="Arial"/>
                <w:sz w:val="18"/>
                <w:szCs w:val="18"/>
                <w:color w:val="auto"/>
              </w:rPr>
              <w:t>Supplemental Long</w:t>
            </w:r>
          </w:p>
        </w:tc>
        <w:tc>
          <w:tcPr>
            <w:tcW w:w="0" w:type="dxa"/>
            <w:vAlign w:val="bottom"/>
          </w:tcPr>
          <w:p>
            <w:pPr>
              <w:spacing w:after="0"/>
              <w:rPr>
                <w:sz w:val="1"/>
                <w:szCs w:val="1"/>
                <w:color w:val="auto"/>
              </w:rPr>
            </w:pPr>
          </w:p>
        </w:tc>
      </w:tr>
      <w:tr>
        <w:trPr>
          <w:trHeight w:val="224"/>
        </w:trPr>
        <w:tc>
          <w:tcPr>
            <w:tcW w:w="1960" w:type="dxa"/>
            <w:vAlign w:val="bottom"/>
          </w:tcPr>
          <w:p>
            <w:pPr>
              <w:ind w:left="80"/>
              <w:spacing w:after="0"/>
              <w:rPr>
                <w:sz w:val="20"/>
                <w:szCs w:val="20"/>
                <w:color w:val="auto"/>
              </w:rPr>
            </w:pPr>
            <w:r>
              <w:rPr>
                <w:rFonts w:ascii="Arial" w:cs="Arial" w:eastAsia="Arial" w:hAnsi="Arial"/>
                <w:sz w:val="18"/>
                <w:szCs w:val="18"/>
                <w:b w:val="1"/>
                <w:bCs w:val="1"/>
                <w:color w:val="auto"/>
              </w:rPr>
              <w:t>Other Benefits</w:t>
            </w:r>
          </w:p>
        </w:tc>
        <w:tc>
          <w:tcPr>
            <w:tcW w:w="1940" w:type="dxa"/>
            <w:vAlign w:val="bottom"/>
            <w:shd w:val="clear" w:color="auto" w:fill="EFF8FA"/>
          </w:tcPr>
          <w:p>
            <w:pPr>
              <w:spacing w:after="0"/>
              <w:rPr>
                <w:sz w:val="19"/>
                <w:szCs w:val="19"/>
                <w:color w:val="auto"/>
              </w:rPr>
            </w:pPr>
          </w:p>
        </w:tc>
        <w:tc>
          <w:tcPr>
            <w:tcW w:w="1940" w:type="dxa"/>
            <w:vAlign w:val="bottom"/>
          </w:tcPr>
          <w:p>
            <w:pPr>
              <w:spacing w:after="0"/>
              <w:rPr>
                <w:sz w:val="19"/>
                <w:szCs w:val="19"/>
                <w:color w:val="auto"/>
              </w:rPr>
            </w:pPr>
          </w:p>
        </w:tc>
        <w:tc>
          <w:tcPr>
            <w:tcW w:w="1940" w:type="dxa"/>
            <w:vAlign w:val="bottom"/>
            <w:shd w:val="clear" w:color="auto" w:fill="EFF8FA"/>
          </w:tcPr>
          <w:p>
            <w:pPr>
              <w:ind w:left="60"/>
              <w:spacing w:after="0"/>
              <w:rPr>
                <w:sz w:val="20"/>
                <w:szCs w:val="20"/>
                <w:color w:val="auto"/>
              </w:rPr>
            </w:pPr>
            <w:r>
              <w:rPr>
                <w:rFonts w:ascii="Arial" w:cs="Arial" w:eastAsia="Arial" w:hAnsi="Arial"/>
                <w:sz w:val="18"/>
                <w:szCs w:val="18"/>
                <w:color w:val="auto"/>
              </w:rPr>
              <w:t>provided; lump sum</w:t>
            </w:r>
          </w:p>
        </w:tc>
        <w:tc>
          <w:tcPr>
            <w:tcW w:w="1820" w:type="dxa"/>
            <w:vAlign w:val="bottom"/>
          </w:tcPr>
          <w:p>
            <w:pPr>
              <w:spacing w:after="0"/>
              <w:rPr>
                <w:sz w:val="19"/>
                <w:szCs w:val="19"/>
                <w:color w:val="auto"/>
              </w:rPr>
            </w:pPr>
          </w:p>
        </w:tc>
        <w:tc>
          <w:tcPr>
            <w:tcW w:w="1820" w:type="dxa"/>
            <w:vAlign w:val="bottom"/>
            <w:shd w:val="clear" w:color="auto" w:fill="EFF8FA"/>
          </w:tcPr>
          <w:p>
            <w:pPr>
              <w:ind w:left="80"/>
              <w:spacing w:after="0"/>
              <w:rPr>
                <w:sz w:val="20"/>
                <w:szCs w:val="20"/>
                <w:color w:val="auto"/>
              </w:rPr>
            </w:pPr>
            <w:r>
              <w:rPr>
                <w:rFonts w:ascii="Arial" w:cs="Arial" w:eastAsia="Arial" w:hAnsi="Arial"/>
                <w:sz w:val="18"/>
                <w:szCs w:val="18"/>
                <w:color w:val="auto"/>
              </w:rPr>
              <w:t>Term Disability</w:t>
            </w:r>
          </w:p>
        </w:tc>
        <w:tc>
          <w:tcPr>
            <w:tcW w:w="0" w:type="dxa"/>
            <w:vAlign w:val="bottom"/>
          </w:tcPr>
          <w:p>
            <w:pPr>
              <w:spacing w:after="0"/>
              <w:rPr>
                <w:sz w:val="1"/>
                <w:szCs w:val="1"/>
                <w:color w:val="auto"/>
              </w:rPr>
            </w:pPr>
          </w:p>
        </w:tc>
      </w:tr>
      <w:tr>
        <w:trPr>
          <w:trHeight w:val="202"/>
        </w:trPr>
        <w:tc>
          <w:tcPr>
            <w:tcW w:w="1960" w:type="dxa"/>
            <w:vAlign w:val="bottom"/>
          </w:tcPr>
          <w:p>
            <w:pPr>
              <w:spacing w:after="0"/>
              <w:rPr>
                <w:sz w:val="17"/>
                <w:szCs w:val="17"/>
                <w:color w:val="auto"/>
              </w:rPr>
            </w:pPr>
          </w:p>
        </w:tc>
        <w:tc>
          <w:tcPr>
            <w:tcW w:w="1940" w:type="dxa"/>
            <w:vAlign w:val="bottom"/>
            <w:shd w:val="clear" w:color="auto" w:fill="EFF8FA"/>
          </w:tcPr>
          <w:p>
            <w:pPr>
              <w:spacing w:after="0"/>
              <w:rPr>
                <w:sz w:val="17"/>
                <w:szCs w:val="17"/>
                <w:color w:val="auto"/>
              </w:rPr>
            </w:pPr>
          </w:p>
        </w:tc>
        <w:tc>
          <w:tcPr>
            <w:tcW w:w="1940" w:type="dxa"/>
            <w:vAlign w:val="bottom"/>
          </w:tcPr>
          <w:p>
            <w:pPr>
              <w:spacing w:after="0"/>
              <w:rPr>
                <w:sz w:val="17"/>
                <w:szCs w:val="17"/>
                <w:color w:val="auto"/>
              </w:rPr>
            </w:pPr>
          </w:p>
        </w:tc>
        <w:tc>
          <w:tcPr>
            <w:tcW w:w="1940" w:type="dxa"/>
            <w:vAlign w:val="bottom"/>
            <w:shd w:val="clear" w:color="auto" w:fill="EFF8FA"/>
          </w:tcPr>
          <w:p>
            <w:pPr>
              <w:ind w:left="60"/>
              <w:spacing w:after="0" w:line="202" w:lineRule="exact"/>
              <w:rPr>
                <w:sz w:val="20"/>
                <w:szCs w:val="20"/>
                <w:color w:val="auto"/>
              </w:rPr>
            </w:pPr>
            <w:r>
              <w:rPr>
                <w:rFonts w:ascii="Arial" w:cs="Arial" w:eastAsia="Arial" w:hAnsi="Arial"/>
                <w:sz w:val="18"/>
                <w:szCs w:val="18"/>
                <w:color w:val="auto"/>
              </w:rPr>
              <w:t>payment equal to</w:t>
            </w:r>
          </w:p>
        </w:tc>
        <w:tc>
          <w:tcPr>
            <w:tcW w:w="1820" w:type="dxa"/>
            <w:vAlign w:val="bottom"/>
          </w:tcPr>
          <w:p>
            <w:pPr>
              <w:spacing w:after="0"/>
              <w:rPr>
                <w:sz w:val="17"/>
                <w:szCs w:val="17"/>
                <w:color w:val="auto"/>
              </w:rPr>
            </w:pPr>
          </w:p>
        </w:tc>
        <w:tc>
          <w:tcPr>
            <w:tcW w:w="1820" w:type="dxa"/>
            <w:vAlign w:val="bottom"/>
            <w:shd w:val="clear" w:color="auto" w:fill="EFF8FA"/>
          </w:tcPr>
          <w:p>
            <w:pPr>
              <w:ind w:left="80"/>
              <w:spacing w:after="0" w:line="202" w:lineRule="exact"/>
              <w:rPr>
                <w:sz w:val="20"/>
                <w:szCs w:val="20"/>
                <w:color w:val="auto"/>
              </w:rPr>
            </w:pPr>
            <w:r>
              <w:rPr>
                <w:rFonts w:ascii="Arial" w:cs="Arial" w:eastAsia="Arial" w:hAnsi="Arial"/>
                <w:sz w:val="18"/>
                <w:szCs w:val="18"/>
                <w:color w:val="auto"/>
              </w:rPr>
              <w:t>benefits if enrolled in</w:t>
            </w:r>
          </w:p>
        </w:tc>
        <w:tc>
          <w:tcPr>
            <w:tcW w:w="0" w:type="dxa"/>
            <w:vAlign w:val="bottom"/>
          </w:tcPr>
          <w:p>
            <w:pPr>
              <w:spacing w:after="0"/>
              <w:rPr>
                <w:sz w:val="1"/>
                <w:szCs w:val="1"/>
                <w:color w:val="auto"/>
              </w:rPr>
            </w:pPr>
          </w:p>
        </w:tc>
      </w:tr>
      <w:tr>
        <w:trPr>
          <w:trHeight w:val="202"/>
        </w:trPr>
        <w:tc>
          <w:tcPr>
            <w:tcW w:w="1960" w:type="dxa"/>
            <w:vAlign w:val="bottom"/>
          </w:tcPr>
          <w:p>
            <w:pPr>
              <w:spacing w:after="0"/>
              <w:rPr>
                <w:sz w:val="17"/>
                <w:szCs w:val="17"/>
                <w:color w:val="auto"/>
              </w:rPr>
            </w:pPr>
          </w:p>
        </w:tc>
        <w:tc>
          <w:tcPr>
            <w:tcW w:w="1940" w:type="dxa"/>
            <w:vAlign w:val="bottom"/>
            <w:shd w:val="clear" w:color="auto" w:fill="EFF8FA"/>
          </w:tcPr>
          <w:p>
            <w:pPr>
              <w:spacing w:after="0"/>
              <w:rPr>
                <w:sz w:val="17"/>
                <w:szCs w:val="17"/>
                <w:color w:val="auto"/>
              </w:rPr>
            </w:pPr>
          </w:p>
        </w:tc>
        <w:tc>
          <w:tcPr>
            <w:tcW w:w="1940" w:type="dxa"/>
            <w:vAlign w:val="bottom"/>
          </w:tcPr>
          <w:p>
            <w:pPr>
              <w:spacing w:after="0"/>
              <w:rPr>
                <w:sz w:val="17"/>
                <w:szCs w:val="17"/>
                <w:color w:val="auto"/>
              </w:rPr>
            </w:pPr>
          </w:p>
        </w:tc>
        <w:tc>
          <w:tcPr>
            <w:tcW w:w="1940" w:type="dxa"/>
            <w:vAlign w:val="bottom"/>
            <w:shd w:val="clear" w:color="auto" w:fill="EFF8FA"/>
          </w:tcPr>
          <w:p>
            <w:pPr>
              <w:ind w:left="60"/>
              <w:spacing w:after="0" w:line="202" w:lineRule="exact"/>
              <w:rPr>
                <w:sz w:val="20"/>
                <w:szCs w:val="20"/>
                <w:color w:val="auto"/>
              </w:rPr>
            </w:pPr>
            <w:r>
              <w:rPr>
                <w:rFonts w:ascii="Arial" w:cs="Arial" w:eastAsia="Arial" w:hAnsi="Arial"/>
                <w:sz w:val="18"/>
                <w:szCs w:val="18"/>
                <w:color w:val="auto"/>
              </w:rPr>
              <w:t>additional cost of</w:t>
            </w:r>
          </w:p>
        </w:tc>
        <w:tc>
          <w:tcPr>
            <w:tcW w:w="1820" w:type="dxa"/>
            <w:vAlign w:val="bottom"/>
          </w:tcPr>
          <w:p>
            <w:pPr>
              <w:spacing w:after="0"/>
              <w:rPr>
                <w:sz w:val="17"/>
                <w:szCs w:val="17"/>
                <w:color w:val="auto"/>
              </w:rPr>
            </w:pPr>
          </w:p>
        </w:tc>
        <w:tc>
          <w:tcPr>
            <w:tcW w:w="1820" w:type="dxa"/>
            <w:vAlign w:val="bottom"/>
            <w:shd w:val="clear" w:color="auto" w:fill="EFF8FA"/>
          </w:tcPr>
          <w:p>
            <w:pPr>
              <w:ind w:left="80"/>
              <w:spacing w:after="0" w:line="202" w:lineRule="exact"/>
              <w:rPr>
                <w:sz w:val="20"/>
                <w:szCs w:val="20"/>
                <w:color w:val="auto"/>
              </w:rPr>
            </w:pPr>
            <w:r>
              <w:rPr>
                <w:rFonts w:ascii="Arial" w:cs="Arial" w:eastAsia="Arial" w:hAnsi="Arial"/>
                <w:sz w:val="18"/>
                <w:szCs w:val="18"/>
                <w:color w:val="auto"/>
              </w:rPr>
              <w:t>basic long-term</w:t>
            </w:r>
          </w:p>
        </w:tc>
        <w:tc>
          <w:tcPr>
            <w:tcW w:w="0" w:type="dxa"/>
            <w:vAlign w:val="bottom"/>
          </w:tcPr>
          <w:p>
            <w:pPr>
              <w:spacing w:after="0"/>
              <w:rPr>
                <w:sz w:val="1"/>
                <w:szCs w:val="1"/>
                <w:color w:val="auto"/>
              </w:rPr>
            </w:pPr>
          </w:p>
        </w:tc>
      </w:tr>
      <w:tr>
        <w:trPr>
          <w:trHeight w:val="202"/>
        </w:trPr>
        <w:tc>
          <w:tcPr>
            <w:tcW w:w="1960" w:type="dxa"/>
            <w:vAlign w:val="bottom"/>
          </w:tcPr>
          <w:p>
            <w:pPr>
              <w:spacing w:after="0"/>
              <w:rPr>
                <w:sz w:val="17"/>
                <w:szCs w:val="17"/>
                <w:color w:val="auto"/>
              </w:rPr>
            </w:pPr>
          </w:p>
        </w:tc>
        <w:tc>
          <w:tcPr>
            <w:tcW w:w="1940" w:type="dxa"/>
            <w:vAlign w:val="bottom"/>
            <w:shd w:val="clear" w:color="auto" w:fill="EFF8FA"/>
          </w:tcPr>
          <w:p>
            <w:pPr>
              <w:spacing w:after="0"/>
              <w:rPr>
                <w:sz w:val="17"/>
                <w:szCs w:val="17"/>
                <w:color w:val="auto"/>
              </w:rPr>
            </w:pPr>
          </w:p>
        </w:tc>
        <w:tc>
          <w:tcPr>
            <w:tcW w:w="1940" w:type="dxa"/>
            <w:vAlign w:val="bottom"/>
          </w:tcPr>
          <w:p>
            <w:pPr>
              <w:spacing w:after="0"/>
              <w:rPr>
                <w:sz w:val="17"/>
                <w:szCs w:val="17"/>
                <w:color w:val="auto"/>
              </w:rPr>
            </w:pPr>
          </w:p>
        </w:tc>
        <w:tc>
          <w:tcPr>
            <w:tcW w:w="1940" w:type="dxa"/>
            <w:vAlign w:val="bottom"/>
            <w:shd w:val="clear" w:color="auto" w:fill="EFF8FA"/>
          </w:tcPr>
          <w:p>
            <w:pPr>
              <w:ind w:left="60"/>
              <w:spacing w:after="0" w:line="202" w:lineRule="exact"/>
              <w:rPr>
                <w:sz w:val="20"/>
                <w:szCs w:val="20"/>
                <w:color w:val="auto"/>
              </w:rPr>
            </w:pPr>
            <w:r>
              <w:rPr>
                <w:rFonts w:ascii="Arial" w:cs="Arial" w:eastAsia="Arial" w:hAnsi="Arial"/>
                <w:sz w:val="18"/>
                <w:szCs w:val="18"/>
                <w:color w:val="auto"/>
              </w:rPr>
              <w:t>welfare benefits</w:t>
            </w:r>
          </w:p>
        </w:tc>
        <w:tc>
          <w:tcPr>
            <w:tcW w:w="1820" w:type="dxa"/>
            <w:vAlign w:val="bottom"/>
          </w:tcPr>
          <w:p>
            <w:pPr>
              <w:spacing w:after="0"/>
              <w:rPr>
                <w:sz w:val="17"/>
                <w:szCs w:val="17"/>
                <w:color w:val="auto"/>
              </w:rPr>
            </w:pPr>
          </w:p>
        </w:tc>
        <w:tc>
          <w:tcPr>
            <w:tcW w:w="1820" w:type="dxa"/>
            <w:vAlign w:val="bottom"/>
            <w:shd w:val="clear" w:color="auto" w:fill="EFF8FA"/>
          </w:tcPr>
          <w:p>
            <w:pPr>
              <w:ind w:left="80"/>
              <w:spacing w:after="0" w:line="202" w:lineRule="exact"/>
              <w:rPr>
                <w:sz w:val="20"/>
                <w:szCs w:val="20"/>
                <w:color w:val="auto"/>
              </w:rPr>
            </w:pPr>
            <w:r>
              <w:rPr>
                <w:rFonts w:ascii="Arial" w:cs="Arial" w:eastAsia="Arial" w:hAnsi="Arial"/>
                <w:sz w:val="18"/>
                <w:szCs w:val="18"/>
                <w:color w:val="auto"/>
              </w:rPr>
              <w:t>disability plan</w:t>
            </w:r>
          </w:p>
        </w:tc>
        <w:tc>
          <w:tcPr>
            <w:tcW w:w="0" w:type="dxa"/>
            <w:vAlign w:val="bottom"/>
          </w:tcPr>
          <w:p>
            <w:pPr>
              <w:spacing w:after="0"/>
              <w:rPr>
                <w:sz w:val="1"/>
                <w:szCs w:val="1"/>
                <w:color w:val="auto"/>
              </w:rPr>
            </w:pPr>
          </w:p>
        </w:tc>
      </w:tr>
      <w:tr>
        <w:trPr>
          <w:trHeight w:val="202"/>
        </w:trPr>
        <w:tc>
          <w:tcPr>
            <w:tcW w:w="1960" w:type="dxa"/>
            <w:vAlign w:val="bottom"/>
          </w:tcPr>
          <w:p>
            <w:pPr>
              <w:spacing w:after="0"/>
              <w:rPr>
                <w:sz w:val="17"/>
                <w:szCs w:val="17"/>
                <w:color w:val="auto"/>
              </w:rPr>
            </w:pPr>
          </w:p>
        </w:tc>
        <w:tc>
          <w:tcPr>
            <w:tcW w:w="1940" w:type="dxa"/>
            <w:vAlign w:val="bottom"/>
            <w:shd w:val="clear" w:color="auto" w:fill="EFF8FA"/>
          </w:tcPr>
          <w:p>
            <w:pPr>
              <w:spacing w:after="0"/>
              <w:rPr>
                <w:sz w:val="17"/>
                <w:szCs w:val="17"/>
                <w:color w:val="auto"/>
              </w:rPr>
            </w:pPr>
          </w:p>
        </w:tc>
        <w:tc>
          <w:tcPr>
            <w:tcW w:w="1940" w:type="dxa"/>
            <w:vAlign w:val="bottom"/>
          </w:tcPr>
          <w:p>
            <w:pPr>
              <w:spacing w:after="0"/>
              <w:rPr>
                <w:sz w:val="17"/>
                <w:szCs w:val="17"/>
                <w:color w:val="auto"/>
              </w:rPr>
            </w:pPr>
          </w:p>
        </w:tc>
        <w:tc>
          <w:tcPr>
            <w:tcW w:w="1940" w:type="dxa"/>
            <w:vAlign w:val="bottom"/>
            <w:shd w:val="clear" w:color="auto" w:fill="EFF8FA"/>
          </w:tcPr>
          <w:p>
            <w:pPr>
              <w:ind w:left="60"/>
              <w:spacing w:after="0" w:line="202" w:lineRule="exact"/>
              <w:rPr>
                <w:sz w:val="20"/>
                <w:szCs w:val="20"/>
                <w:color w:val="auto"/>
              </w:rPr>
            </w:pPr>
            <w:r>
              <w:rPr>
                <w:rFonts w:ascii="Arial" w:cs="Arial" w:eastAsia="Arial" w:hAnsi="Arial"/>
                <w:sz w:val="18"/>
                <w:szCs w:val="18"/>
                <w:color w:val="auto"/>
              </w:rPr>
              <w:t>continuation coverage</w:t>
            </w:r>
          </w:p>
        </w:tc>
        <w:tc>
          <w:tcPr>
            <w:tcW w:w="1820" w:type="dxa"/>
            <w:vAlign w:val="bottom"/>
          </w:tcPr>
          <w:p>
            <w:pPr>
              <w:spacing w:after="0"/>
              <w:rPr>
                <w:sz w:val="17"/>
                <w:szCs w:val="17"/>
                <w:color w:val="auto"/>
              </w:rPr>
            </w:pPr>
          </w:p>
        </w:tc>
        <w:tc>
          <w:tcPr>
            <w:tcW w:w="1820" w:type="dxa"/>
            <w:vAlign w:val="bottom"/>
            <w:shd w:val="clear" w:color="auto" w:fill="EFF8FA"/>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1960" w:type="dxa"/>
            <w:vAlign w:val="bottom"/>
            <w:tcBorders>
              <w:bottom w:val="single" w:sz="8" w:color="105EAB"/>
            </w:tcBorders>
          </w:tcPr>
          <w:p>
            <w:pPr>
              <w:spacing w:after="0"/>
              <w:rPr>
                <w:sz w:val="23"/>
                <w:szCs w:val="23"/>
                <w:color w:val="auto"/>
              </w:rPr>
            </w:pPr>
          </w:p>
        </w:tc>
        <w:tc>
          <w:tcPr>
            <w:tcW w:w="1940" w:type="dxa"/>
            <w:vAlign w:val="bottom"/>
            <w:tcBorders>
              <w:bottom w:val="single" w:sz="8" w:color="105EAB"/>
            </w:tcBorders>
            <w:shd w:val="clear" w:color="auto" w:fill="EFF8FA"/>
          </w:tcPr>
          <w:p>
            <w:pPr>
              <w:spacing w:after="0"/>
              <w:rPr>
                <w:sz w:val="23"/>
                <w:szCs w:val="23"/>
                <w:color w:val="auto"/>
              </w:rPr>
            </w:pPr>
          </w:p>
        </w:tc>
        <w:tc>
          <w:tcPr>
            <w:tcW w:w="1940" w:type="dxa"/>
            <w:vAlign w:val="bottom"/>
            <w:tcBorders>
              <w:bottom w:val="single" w:sz="8" w:color="105EAB"/>
            </w:tcBorders>
          </w:tcPr>
          <w:p>
            <w:pPr>
              <w:spacing w:after="0"/>
              <w:rPr>
                <w:sz w:val="23"/>
                <w:szCs w:val="23"/>
                <w:color w:val="auto"/>
              </w:rPr>
            </w:pPr>
          </w:p>
        </w:tc>
        <w:tc>
          <w:tcPr>
            <w:tcW w:w="1940" w:type="dxa"/>
            <w:vAlign w:val="bottom"/>
            <w:tcBorders>
              <w:bottom w:val="single" w:sz="8" w:color="105EAB"/>
            </w:tcBorders>
            <w:shd w:val="clear" w:color="auto" w:fill="EFF8FA"/>
          </w:tcPr>
          <w:p>
            <w:pPr>
              <w:ind w:left="60"/>
              <w:spacing w:after="0" w:line="267" w:lineRule="exact"/>
              <w:rPr>
                <w:sz w:val="20"/>
                <w:szCs w:val="20"/>
                <w:color w:val="auto"/>
              </w:rPr>
            </w:pPr>
            <w:r>
              <w:rPr>
                <w:rFonts w:ascii="Arial" w:cs="Arial" w:eastAsia="Arial" w:hAnsi="Arial"/>
                <w:sz w:val="18"/>
                <w:szCs w:val="18"/>
                <w:color w:val="auto"/>
              </w:rPr>
              <w:t>for 18 months</w:t>
            </w:r>
            <w:r>
              <w:rPr>
                <w:rFonts w:ascii="Arial" w:cs="Arial" w:eastAsia="Arial" w:hAnsi="Arial"/>
                <w:sz w:val="29"/>
                <w:szCs w:val="29"/>
                <w:color w:val="auto"/>
                <w:vertAlign w:val="superscript"/>
              </w:rPr>
              <w:t>(12)</w:t>
            </w:r>
          </w:p>
        </w:tc>
        <w:tc>
          <w:tcPr>
            <w:tcW w:w="1820" w:type="dxa"/>
            <w:vAlign w:val="bottom"/>
            <w:tcBorders>
              <w:bottom w:val="single" w:sz="8" w:color="105EAB"/>
            </w:tcBorders>
          </w:tcPr>
          <w:p>
            <w:pPr>
              <w:spacing w:after="0"/>
              <w:rPr>
                <w:sz w:val="23"/>
                <w:szCs w:val="23"/>
                <w:color w:val="auto"/>
              </w:rPr>
            </w:pPr>
          </w:p>
        </w:tc>
        <w:tc>
          <w:tcPr>
            <w:tcW w:w="1820" w:type="dxa"/>
            <w:vAlign w:val="bottom"/>
            <w:tcBorders>
              <w:bottom w:val="single" w:sz="8" w:color="105EAB"/>
            </w:tcBorders>
            <w:shd w:val="clear" w:color="auto" w:fill="EFF8FA"/>
          </w:tcPr>
          <w:p>
            <w:pPr>
              <w:spacing w:after="0"/>
              <w:rPr>
                <w:sz w:val="23"/>
                <w:szCs w:val="23"/>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300" w:right="280" w:hanging="292"/>
        <w:spacing w:after="0" w:line="258" w:lineRule="auto"/>
        <w:tabs>
          <w:tab w:leader="none" w:pos="300" w:val="left"/>
        </w:tabs>
        <w:numPr>
          <w:ilvl w:val="0"/>
          <w:numId w:val="207"/>
        </w:numPr>
        <w:rPr>
          <w:rFonts w:ascii="Arial" w:cs="Arial" w:eastAsia="Arial" w:hAnsi="Arial"/>
          <w:sz w:val="11"/>
          <w:szCs w:val="11"/>
          <w:color w:val="auto"/>
        </w:rPr>
      </w:pPr>
      <w:r>
        <w:rPr>
          <w:rFonts w:ascii="Arial" w:cs="Arial" w:eastAsia="Arial" w:hAnsi="Arial"/>
          <w:sz w:val="13"/>
          <w:szCs w:val="13"/>
          <w:color w:val="auto"/>
        </w:rPr>
        <w:t>Includes both voluntary and involuntary termination. Examples of involuntary termination independent of a change in control include performance-related terminations; terminations for employee dishonesty and violation of Allstate rules, regulations, or policies; and terminations resulting from lack of work, rearrangement of work, or reduction in force.</w:t>
      </w:r>
    </w:p>
    <w:p>
      <w:pPr>
        <w:spacing w:after="0" w:line="191" w:lineRule="exact"/>
        <w:rPr>
          <w:sz w:val="20"/>
          <w:szCs w:val="20"/>
          <w:color w:val="auto"/>
        </w:rPr>
      </w:pPr>
    </w:p>
    <w:p>
      <w:pPr>
        <w:ind w:left="460" w:hanging="452"/>
        <w:spacing w:after="0"/>
        <w:tabs>
          <w:tab w:leader="none" w:pos="460" w:val="left"/>
        </w:tabs>
        <w:numPr>
          <w:ilvl w:val="0"/>
          <w:numId w:val="208"/>
        </w:numPr>
        <w:rPr>
          <w:rFonts w:ascii="Arial" w:cs="Arial" w:eastAsia="Arial" w:hAnsi="Arial"/>
          <w:sz w:val="13"/>
          <w:szCs w:val="13"/>
          <w:b w:val="1"/>
          <w:bCs w:val="1"/>
          <w:color w:val="105EAB"/>
        </w:rPr>
      </w:pPr>
      <w:r>
        <w:rPr>
          <w:rFonts w:ascii="Arial" w:cs="Arial" w:eastAsia="Arial" w:hAnsi="Arial"/>
          <w:sz w:val="13"/>
          <w:szCs w:val="13"/>
          <w:color w:val="105EAB"/>
        </w:rPr>
        <w:t>www.allstateproxy.com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134620</wp:posOffset>
            </wp:positionV>
            <wp:extent cx="7268210" cy="209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jc w:val="right"/>
        <w:ind w:right="20"/>
        <w:spacing w:after="0"/>
        <w:rPr>
          <w:sz w:val="20"/>
          <w:szCs w:val="20"/>
          <w:color w:val="auto"/>
        </w:rPr>
      </w:pPr>
      <w:r>
        <w:rPr>
          <w:rFonts w:ascii="Arial" w:cs="Arial" w:eastAsia="Arial" w:hAnsi="Arial"/>
          <w:sz w:val="13"/>
          <w:szCs w:val="13"/>
          <w:b w:val="1"/>
          <w:bCs w:val="1"/>
          <w:color w:val="auto"/>
        </w:rPr>
        <w:t xml:space="preserve">Potential Payments as a Result of Termination or Change in Control (“CIC”) </w:t>
      </w:r>
      <w:r>
        <w:rPr>
          <w:rFonts w:ascii="Arial" w:cs="Arial" w:eastAsia="Arial" w:hAnsi="Arial"/>
          <w:sz w:val="13"/>
          <w:szCs w:val="13"/>
          <w:b w:val="1"/>
          <w:bCs w:val="1"/>
          <w:color w:val="105EAB"/>
        </w:rPr>
        <w:t>| Executive Compensation</w:t>
      </w:r>
    </w:p>
    <w:p>
      <w:pPr>
        <w:spacing w:after="0" w:line="231" w:lineRule="exact"/>
        <w:rPr>
          <w:sz w:val="20"/>
          <w:szCs w:val="20"/>
          <w:color w:val="auto"/>
        </w:rPr>
      </w:pPr>
    </w:p>
    <w:p>
      <w:pPr>
        <w:ind w:left="300" w:right="160" w:hanging="292"/>
        <w:spacing w:after="0" w:line="238" w:lineRule="auto"/>
        <w:tabs>
          <w:tab w:leader="none" w:pos="300" w:val="left"/>
        </w:tabs>
        <w:numPr>
          <w:ilvl w:val="0"/>
          <w:numId w:val="209"/>
        </w:numPr>
        <w:rPr>
          <w:rFonts w:ascii="Arial" w:cs="Arial" w:eastAsia="Arial" w:hAnsi="Arial"/>
          <w:sz w:val="11"/>
          <w:szCs w:val="11"/>
          <w:color w:val="auto"/>
        </w:rPr>
      </w:pPr>
      <w:r>
        <w:rPr>
          <w:rFonts w:ascii="Arial" w:cs="Arial" w:eastAsia="Arial" w:hAnsi="Arial"/>
          <w:sz w:val="13"/>
          <w:szCs w:val="13"/>
          <w:color w:val="auto"/>
        </w:rPr>
        <w:t>In general, a change in control is one or more of the following events: (1) any person acquires 30% or more of the combined voting power of Allstate common stock within a 12-month period; (2) any person acquires more than 50% of the combined voting power of Allstate common stock; (3) certain changes are made to the composition of the Board; or (4) the consummation of a merger, reorganization, or similar transaction. These triggers were selected because any of these could cause a substantial change in management in a widely held company the size of Allstate. Effective upon a change in control, the named executives become subject to covenants prohibiting solicitation of employees, customers, and suppliers until one year after termination of employment. If a named executive incurs legal fees or other expenses in an effort to enforce the change-in-control plan, Allstate will reimburse the named executive for these expenses unless it is established by a court that the named executive had no reasonable basis for the claim or acted in bad faith.</w:t>
      </w:r>
    </w:p>
    <w:p>
      <w:pPr>
        <w:ind w:left="300" w:right="20" w:hanging="292"/>
        <w:spacing w:after="0" w:line="238" w:lineRule="auto"/>
        <w:tabs>
          <w:tab w:leader="none" w:pos="300" w:val="left"/>
        </w:tabs>
        <w:numPr>
          <w:ilvl w:val="0"/>
          <w:numId w:val="209"/>
        </w:numPr>
        <w:rPr>
          <w:rFonts w:ascii="Arial" w:cs="Arial" w:eastAsia="Arial" w:hAnsi="Arial"/>
          <w:sz w:val="11"/>
          <w:szCs w:val="11"/>
          <w:color w:val="auto"/>
        </w:rPr>
      </w:pPr>
      <w:r>
        <w:rPr>
          <w:rFonts w:ascii="Arial" w:cs="Arial" w:eastAsia="Arial" w:hAnsi="Arial"/>
          <w:sz w:val="13"/>
          <w:szCs w:val="13"/>
          <w:color w:val="auto"/>
        </w:rPr>
        <w:t>Under the change-in-control plan, severance benefits would be payable if a named executive’s employment is terminated either by Allstate without cause or by the executive for good reason as defined in the plan during the two years following the change in control. Cause means the named executive has been convicted of a felony or other crime involving fraud or dishonesty, has willfully or intentionally breached the restrictive covenants in the change-in-control plan, has habitually neglected his or her duties, or has engaged in willful or reckless material misconduct in the performance of his or her duties. Good reason includes a material diminution in a named executive’s base compensation, authority, duties, or responsibilities, or a material change in the geographic location where the named executive performs services.</w:t>
      </w:r>
    </w:p>
    <w:p>
      <w:pPr>
        <w:ind w:left="300" w:right="40" w:hanging="292"/>
        <w:spacing w:after="0" w:line="238" w:lineRule="auto"/>
        <w:tabs>
          <w:tab w:leader="none" w:pos="300" w:val="left"/>
        </w:tabs>
        <w:numPr>
          <w:ilvl w:val="0"/>
          <w:numId w:val="209"/>
        </w:numPr>
        <w:rPr>
          <w:rFonts w:ascii="Arial" w:cs="Arial" w:eastAsia="Arial" w:hAnsi="Arial"/>
          <w:sz w:val="11"/>
          <w:szCs w:val="11"/>
          <w:color w:val="auto"/>
        </w:rPr>
      </w:pPr>
      <w:r>
        <w:rPr>
          <w:rFonts w:ascii="Arial" w:cs="Arial" w:eastAsia="Arial" w:hAnsi="Arial"/>
          <w:sz w:val="13"/>
          <w:szCs w:val="13"/>
          <w:color w:val="auto"/>
        </w:rPr>
        <w:t>Named executives who receive an equity award or an annual cash incentive award after May 19, 2009, are subject to a non-solicitation covenant while they are employed and for the one-year period following termination of employment. If a named executive violates the non-solicitation covenant, to the extent permitted by applicable law, compensation provided to the named executive (including cancellation of outstanding awards or recovery of all or a portion of any gain realized upon vesting, settlement, or exercise of an award or recovery of all or a portion of any proceeds resulting from any disposition of shares received pursuant to an award) may be recovered if the vesting, settlement, or exercise of the award or the receipt of the sale proceeds occurred during the 12-month period prior to the violation.</w:t>
      </w:r>
    </w:p>
    <w:p>
      <w:pPr>
        <w:ind w:left="300" w:right="180" w:hanging="292"/>
        <w:spacing w:after="0" w:line="238" w:lineRule="auto"/>
        <w:tabs>
          <w:tab w:leader="none" w:pos="300" w:val="left"/>
        </w:tabs>
        <w:numPr>
          <w:ilvl w:val="0"/>
          <w:numId w:val="209"/>
        </w:numPr>
        <w:rPr>
          <w:rFonts w:ascii="Arial" w:cs="Arial" w:eastAsia="Arial" w:hAnsi="Arial"/>
          <w:sz w:val="11"/>
          <w:szCs w:val="11"/>
          <w:color w:val="auto"/>
        </w:rPr>
      </w:pPr>
      <w:r>
        <w:rPr>
          <w:rFonts w:ascii="Arial" w:cs="Arial" w:eastAsia="Arial" w:hAnsi="Arial"/>
          <w:sz w:val="13"/>
          <w:szCs w:val="13"/>
          <w:color w:val="auto"/>
        </w:rPr>
        <w:t>Retirement for purposes of the Annual Executive Incentive Plan is defined as termination on or after the date the named executive attains age 55 with at least 10 years of service or age 60 with five years of service.</w:t>
      </w:r>
    </w:p>
    <w:p>
      <w:pPr>
        <w:ind w:left="300" w:right="40" w:hanging="292"/>
        <w:spacing w:after="0" w:line="238" w:lineRule="auto"/>
        <w:tabs>
          <w:tab w:leader="none" w:pos="300" w:val="left"/>
        </w:tabs>
        <w:numPr>
          <w:ilvl w:val="0"/>
          <w:numId w:val="209"/>
        </w:numPr>
        <w:rPr>
          <w:rFonts w:ascii="Arial" w:cs="Arial" w:eastAsia="Arial" w:hAnsi="Arial"/>
          <w:sz w:val="11"/>
          <w:szCs w:val="11"/>
          <w:color w:val="auto"/>
        </w:rPr>
      </w:pPr>
      <w:r>
        <w:rPr>
          <w:rFonts w:ascii="Arial" w:cs="Arial" w:eastAsia="Arial" w:hAnsi="Arial"/>
          <w:sz w:val="13"/>
          <w:szCs w:val="13"/>
          <w:color w:val="auto"/>
        </w:rPr>
        <w:t>Named executives who receive an equity award on or after May 21, 2013, that remains subject to a period of restriction or other performance or vesting condition are subject to a non-compete provision for the one-year period following termination of employment. If a named executive violates the non-competition covenant, to the extent permitted by applicable law, any or all of the named executive’s outstanding awards that remain subject to a period of restriction or other performance or vesting condition as of the date on which the named executive first violated the non-competition provision may be canceled.</w:t>
      </w:r>
    </w:p>
    <w:p>
      <w:pPr>
        <w:ind w:left="300" w:hanging="292"/>
        <w:spacing w:after="0"/>
        <w:tabs>
          <w:tab w:leader="none" w:pos="300" w:val="left"/>
        </w:tabs>
        <w:numPr>
          <w:ilvl w:val="0"/>
          <w:numId w:val="209"/>
        </w:numPr>
        <w:rPr>
          <w:rFonts w:ascii="Arial" w:cs="Arial" w:eastAsia="Arial" w:hAnsi="Arial"/>
          <w:sz w:val="11"/>
          <w:szCs w:val="11"/>
          <w:color w:val="auto"/>
        </w:rPr>
      </w:pPr>
      <w:r>
        <w:rPr>
          <w:rFonts w:ascii="Arial" w:cs="Arial" w:eastAsia="Arial" w:hAnsi="Arial"/>
          <w:sz w:val="13"/>
          <w:szCs w:val="13"/>
          <w:color w:val="auto"/>
        </w:rPr>
        <w:t>Retirement definitions and treatment for purposes of stock options, restricted stock units, and performance stock awards are as follows:</w:t>
      </w:r>
    </w:p>
    <w:p>
      <w:pPr>
        <w:spacing w:after="0" w:line="334" w:lineRule="exact"/>
        <w:rPr>
          <w:sz w:val="20"/>
          <w:szCs w:val="20"/>
          <w:color w:val="auto"/>
        </w:rPr>
      </w:pPr>
    </w:p>
    <w:p>
      <w:pPr>
        <w:ind w:left="1640"/>
        <w:spacing w:after="0"/>
        <w:rPr>
          <w:sz w:val="20"/>
          <w:szCs w:val="20"/>
          <w:color w:val="auto"/>
        </w:rPr>
      </w:pPr>
      <w:r>
        <w:rPr>
          <w:rFonts w:ascii="Arial" w:cs="Arial" w:eastAsia="Arial" w:hAnsi="Arial"/>
          <w:sz w:val="13"/>
          <w:szCs w:val="13"/>
          <w:b w:val="1"/>
          <w:bCs w:val="1"/>
          <w:color w:val="105EAB"/>
        </w:rPr>
        <w:t>Date of award on or after February 21,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27305</wp:posOffset>
            </wp:positionV>
            <wp:extent cx="7075170" cy="171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075170" cy="17145"/>
                    </a:xfrm>
                    <a:prstGeom prst="rect">
                      <a:avLst/>
                    </a:prstGeom>
                    <a:noFill/>
                  </pic:spPr>
                </pic:pic>
              </a:graphicData>
            </a:graphic>
          </wp:anchor>
        </w:drawing>
      </w:r>
    </w:p>
    <w:p>
      <w:pPr>
        <w:spacing w:after="0" w:line="76" w:lineRule="exact"/>
        <w:rPr>
          <w:sz w:val="20"/>
          <w:szCs w:val="20"/>
          <w:color w:val="auto"/>
        </w:rPr>
      </w:pPr>
    </w:p>
    <w:tbl>
      <w:tblPr>
        <w:tblLayout w:type="fixed"/>
        <w:tblInd w:w="280" w:type="dxa"/>
        <w:tblCellMar>
          <w:top w:w="0" w:type="dxa"/>
          <w:left w:w="0" w:type="dxa"/>
          <w:bottom w:w="0" w:type="dxa"/>
          <w:right w:w="0" w:type="dxa"/>
        </w:tblCellMar>
      </w:tblPr>
      <w:tr>
        <w:trPr>
          <w:trHeight w:val="170"/>
        </w:trPr>
        <w:tc>
          <w:tcPr>
            <w:tcW w:w="1020" w:type="dxa"/>
            <w:vAlign w:val="bottom"/>
            <w:tcBorders>
              <w:bottom w:val="single" w:sz="8" w:color="E9F1FB"/>
            </w:tcBorders>
          </w:tcPr>
          <w:p>
            <w:pPr>
              <w:ind w:left="60"/>
              <w:spacing w:after="0"/>
              <w:rPr>
                <w:sz w:val="20"/>
                <w:szCs w:val="20"/>
                <w:color w:val="auto"/>
              </w:rPr>
            </w:pPr>
            <w:r>
              <w:rPr>
                <w:rFonts w:ascii="Arial" w:cs="Arial" w:eastAsia="Arial" w:hAnsi="Arial"/>
                <w:sz w:val="13"/>
                <w:szCs w:val="13"/>
                <w:color w:val="auto"/>
              </w:rPr>
              <w:t>Definition</w:t>
            </w:r>
          </w:p>
        </w:tc>
        <w:tc>
          <w:tcPr>
            <w:tcW w:w="10120" w:type="dxa"/>
            <w:vAlign w:val="bottom"/>
            <w:tcBorders>
              <w:bottom w:val="single" w:sz="8" w:color="E9F1FB"/>
            </w:tcBorders>
            <w:gridSpan w:val="2"/>
          </w:tcPr>
          <w:p>
            <w:pPr>
              <w:ind w:left="340"/>
              <w:spacing w:after="0"/>
              <w:rPr>
                <w:sz w:val="20"/>
                <w:szCs w:val="20"/>
                <w:color w:val="auto"/>
              </w:rPr>
            </w:pPr>
            <w:r>
              <w:rPr>
                <w:rFonts w:ascii="Arial" w:cs="Arial" w:eastAsia="Arial" w:hAnsi="Arial"/>
                <w:sz w:val="13"/>
                <w:szCs w:val="13"/>
                <w:color w:val="auto"/>
              </w:rPr>
              <w:t>Normal Retirement: age 55 with 10 years of service or age 60 with at least five years of service</w:t>
            </w:r>
          </w:p>
        </w:tc>
      </w:tr>
      <w:tr>
        <w:trPr>
          <w:trHeight w:val="175"/>
        </w:trPr>
        <w:tc>
          <w:tcPr>
            <w:tcW w:w="1020" w:type="dxa"/>
            <w:vAlign w:val="bottom"/>
          </w:tcPr>
          <w:p>
            <w:pPr>
              <w:ind w:left="60"/>
              <w:spacing w:after="0"/>
              <w:rPr>
                <w:sz w:val="20"/>
                <w:szCs w:val="20"/>
                <w:color w:val="auto"/>
              </w:rPr>
            </w:pPr>
            <w:r>
              <w:rPr>
                <w:rFonts w:ascii="Arial" w:cs="Arial" w:eastAsia="Arial" w:hAnsi="Arial"/>
                <w:sz w:val="13"/>
                <w:szCs w:val="13"/>
                <w:color w:val="auto"/>
              </w:rPr>
              <w:t>Treatment</w:t>
            </w:r>
          </w:p>
        </w:tc>
        <w:tc>
          <w:tcPr>
            <w:tcW w:w="10120" w:type="dxa"/>
            <w:vAlign w:val="bottom"/>
            <w:gridSpan w:val="2"/>
          </w:tcPr>
          <w:p>
            <w:pPr>
              <w:ind w:left="340"/>
              <w:spacing w:after="0"/>
              <w:rPr>
                <w:sz w:val="20"/>
                <w:szCs w:val="20"/>
                <w:color w:val="auto"/>
              </w:rPr>
            </w:pPr>
            <w:r>
              <w:rPr>
                <w:rFonts w:ascii="Arial" w:cs="Arial" w:eastAsia="Arial" w:hAnsi="Arial"/>
                <w:sz w:val="13"/>
                <w:szCs w:val="13"/>
                <w:color w:val="135DA7"/>
              </w:rPr>
              <w:t xml:space="preserve">►  </w:t>
            </w:r>
            <w:r>
              <w:rPr>
                <w:rFonts w:ascii="Arial" w:cs="Arial" w:eastAsia="Arial" w:hAnsi="Arial"/>
                <w:sz w:val="13"/>
                <w:szCs w:val="13"/>
                <w:color w:val="000000"/>
              </w:rPr>
              <w:t>Unvested awards not granted within 12 months of retirement continue to vest.</w:t>
            </w:r>
          </w:p>
        </w:tc>
      </w:tr>
      <w:tr>
        <w:trPr>
          <w:trHeight w:val="148"/>
        </w:trPr>
        <w:tc>
          <w:tcPr>
            <w:tcW w:w="1020" w:type="dxa"/>
            <w:vAlign w:val="bottom"/>
          </w:tcPr>
          <w:p>
            <w:pPr>
              <w:spacing w:after="0"/>
              <w:rPr>
                <w:sz w:val="12"/>
                <w:szCs w:val="12"/>
                <w:color w:val="auto"/>
              </w:rPr>
            </w:pPr>
          </w:p>
        </w:tc>
        <w:tc>
          <w:tcPr>
            <w:tcW w:w="540" w:type="dxa"/>
            <w:vAlign w:val="bottom"/>
          </w:tcPr>
          <w:p>
            <w:pPr>
              <w:ind w:left="340"/>
              <w:spacing w:after="0" w:line="149" w:lineRule="exact"/>
              <w:rPr>
                <w:sz w:val="20"/>
                <w:szCs w:val="20"/>
                <w:color w:val="auto"/>
              </w:rPr>
            </w:pPr>
            <w:r>
              <w:rPr>
                <w:rFonts w:ascii="Arial" w:cs="Arial" w:eastAsia="Arial" w:hAnsi="Arial"/>
                <w:sz w:val="13"/>
                <w:szCs w:val="13"/>
                <w:color w:val="135DA7"/>
              </w:rPr>
              <w:t>►</w:t>
            </w:r>
          </w:p>
        </w:tc>
        <w:tc>
          <w:tcPr>
            <w:tcW w:w="9580" w:type="dxa"/>
            <w:vAlign w:val="bottom"/>
          </w:tcPr>
          <w:p>
            <w:pPr>
              <w:ind w:left="60"/>
              <w:spacing w:after="0" w:line="149" w:lineRule="exact"/>
              <w:rPr>
                <w:sz w:val="20"/>
                <w:szCs w:val="20"/>
                <w:color w:val="auto"/>
              </w:rPr>
            </w:pPr>
            <w:r>
              <w:rPr>
                <w:rFonts w:ascii="Arial" w:cs="Arial" w:eastAsia="Arial" w:hAnsi="Arial"/>
                <w:sz w:val="13"/>
                <w:szCs w:val="13"/>
                <w:color w:val="auto"/>
              </w:rPr>
              <w:t>Prorated portion of unvested awards granted within 12 months of the retirement date continue to vest.</w:t>
            </w:r>
          </w:p>
        </w:tc>
      </w:tr>
      <w:tr>
        <w:trPr>
          <w:trHeight w:val="183"/>
        </w:trPr>
        <w:tc>
          <w:tcPr>
            <w:tcW w:w="1020" w:type="dxa"/>
            <w:vAlign w:val="bottom"/>
            <w:tcBorders>
              <w:bottom w:val="single" w:sz="8" w:color="105EAB"/>
            </w:tcBorders>
          </w:tcPr>
          <w:p>
            <w:pPr>
              <w:spacing w:after="0"/>
              <w:rPr>
                <w:sz w:val="15"/>
                <w:szCs w:val="15"/>
                <w:color w:val="auto"/>
              </w:rPr>
            </w:pPr>
          </w:p>
        </w:tc>
        <w:tc>
          <w:tcPr>
            <w:tcW w:w="540" w:type="dxa"/>
            <w:vAlign w:val="bottom"/>
            <w:tcBorders>
              <w:bottom w:val="single" w:sz="8" w:color="105EAB"/>
            </w:tcBorders>
          </w:tcPr>
          <w:p>
            <w:pPr>
              <w:ind w:left="340"/>
              <w:spacing w:after="0"/>
              <w:rPr>
                <w:sz w:val="20"/>
                <w:szCs w:val="20"/>
                <w:color w:val="auto"/>
              </w:rPr>
            </w:pPr>
            <w:r>
              <w:rPr>
                <w:rFonts w:ascii="Arial" w:cs="Arial" w:eastAsia="Arial" w:hAnsi="Arial"/>
                <w:sz w:val="13"/>
                <w:szCs w:val="13"/>
                <w:color w:val="135DA7"/>
              </w:rPr>
              <w:t>►</w:t>
            </w:r>
          </w:p>
        </w:tc>
        <w:tc>
          <w:tcPr>
            <w:tcW w:w="9580" w:type="dxa"/>
            <w:vAlign w:val="bottom"/>
            <w:tcBorders>
              <w:bottom w:val="single" w:sz="8" w:color="105EAB"/>
            </w:tcBorders>
          </w:tcPr>
          <w:p>
            <w:pPr>
              <w:ind w:left="60"/>
              <w:spacing w:after="0"/>
              <w:rPr>
                <w:sz w:val="20"/>
                <w:szCs w:val="20"/>
                <w:color w:val="auto"/>
              </w:rPr>
            </w:pPr>
            <w:r>
              <w:rPr>
                <w:rFonts w:ascii="Arial" w:cs="Arial" w:eastAsia="Arial" w:hAnsi="Arial"/>
                <w:sz w:val="13"/>
                <w:szCs w:val="13"/>
                <w:color w:val="auto"/>
              </w:rPr>
              <w:t>Vested stock options expire at the earlier of five years from the date of retirement or the expiration date of the option.</w:t>
            </w:r>
          </w:p>
        </w:tc>
      </w:tr>
    </w:tbl>
    <w:p>
      <w:pPr>
        <w:spacing w:after="0" w:line="106" w:lineRule="exact"/>
        <w:rPr>
          <w:sz w:val="20"/>
          <w:szCs w:val="20"/>
          <w:color w:val="auto"/>
        </w:rPr>
      </w:pPr>
    </w:p>
    <w:p>
      <w:pPr>
        <w:ind w:left="300"/>
        <w:spacing w:after="0"/>
        <w:rPr>
          <w:sz w:val="20"/>
          <w:szCs w:val="20"/>
          <w:color w:val="auto"/>
        </w:rPr>
      </w:pPr>
      <w:r>
        <w:rPr>
          <w:rFonts w:ascii="Arial" w:cs="Arial" w:eastAsia="Arial" w:hAnsi="Arial"/>
          <w:sz w:val="13"/>
          <w:szCs w:val="13"/>
          <w:color w:val="auto"/>
        </w:rPr>
        <w:t>Stock option awards granted in 2012 and before have vested and will expire at the expiration date of the option.</w:t>
      </w:r>
    </w:p>
    <w:p>
      <w:pPr>
        <w:ind w:left="300" w:hanging="292"/>
        <w:spacing w:after="0"/>
        <w:tabs>
          <w:tab w:leader="none" w:pos="300" w:val="left"/>
        </w:tabs>
        <w:numPr>
          <w:ilvl w:val="0"/>
          <w:numId w:val="210"/>
        </w:numPr>
        <w:rPr>
          <w:rFonts w:ascii="Arial" w:cs="Arial" w:eastAsia="Arial" w:hAnsi="Arial"/>
          <w:sz w:val="11"/>
          <w:szCs w:val="11"/>
          <w:color w:val="auto"/>
        </w:rPr>
      </w:pPr>
      <w:r>
        <w:rPr>
          <w:rFonts w:ascii="Arial" w:cs="Arial" w:eastAsia="Arial" w:hAnsi="Arial"/>
          <w:sz w:val="13"/>
          <w:szCs w:val="13"/>
          <w:color w:val="auto"/>
        </w:rPr>
        <w:t>The committee will determine the number of PSAs that continue to vest based on actual performance up to the change in control.</w:t>
      </w:r>
    </w:p>
    <w:p>
      <w:pPr>
        <w:spacing w:after="0" w:line="12" w:lineRule="exact"/>
        <w:rPr>
          <w:rFonts w:ascii="Arial" w:cs="Arial" w:eastAsia="Arial" w:hAnsi="Arial"/>
          <w:sz w:val="11"/>
          <w:szCs w:val="11"/>
          <w:color w:val="auto"/>
        </w:rPr>
      </w:pPr>
    </w:p>
    <w:p>
      <w:pPr>
        <w:ind w:left="300" w:hanging="292"/>
        <w:spacing w:after="0"/>
        <w:tabs>
          <w:tab w:leader="none" w:pos="300" w:val="left"/>
        </w:tabs>
        <w:numPr>
          <w:ilvl w:val="0"/>
          <w:numId w:val="210"/>
        </w:numPr>
        <w:rPr>
          <w:rFonts w:ascii="Arial" w:cs="Arial" w:eastAsia="Arial" w:hAnsi="Arial"/>
          <w:sz w:val="11"/>
          <w:szCs w:val="11"/>
          <w:color w:val="auto"/>
        </w:rPr>
      </w:pPr>
      <w:r>
        <w:rPr>
          <w:rFonts w:ascii="Arial" w:cs="Arial" w:eastAsia="Arial" w:hAnsi="Arial"/>
          <w:sz w:val="13"/>
          <w:szCs w:val="13"/>
          <w:color w:val="auto"/>
        </w:rPr>
        <w:t>For open cycles, the payout is based on the target number of PSAs.</w:t>
      </w:r>
    </w:p>
    <w:p>
      <w:pPr>
        <w:spacing w:after="0" w:line="12" w:lineRule="exact"/>
        <w:rPr>
          <w:rFonts w:ascii="Arial" w:cs="Arial" w:eastAsia="Arial" w:hAnsi="Arial"/>
          <w:sz w:val="11"/>
          <w:szCs w:val="11"/>
          <w:color w:val="auto"/>
        </w:rPr>
      </w:pPr>
    </w:p>
    <w:p>
      <w:pPr>
        <w:ind w:left="300" w:hanging="292"/>
        <w:spacing w:after="0"/>
        <w:tabs>
          <w:tab w:leader="none" w:pos="300" w:val="left"/>
        </w:tabs>
        <w:numPr>
          <w:ilvl w:val="0"/>
          <w:numId w:val="210"/>
        </w:numPr>
        <w:rPr>
          <w:rFonts w:ascii="Arial" w:cs="Arial" w:eastAsia="Arial" w:hAnsi="Arial"/>
          <w:sz w:val="11"/>
          <w:szCs w:val="11"/>
          <w:color w:val="auto"/>
        </w:rPr>
      </w:pPr>
      <w:r>
        <w:rPr>
          <w:rFonts w:ascii="Arial" w:cs="Arial" w:eastAsia="Arial" w:hAnsi="Arial"/>
          <w:sz w:val="13"/>
          <w:szCs w:val="13"/>
          <w:color w:val="auto"/>
        </w:rPr>
        <w:t xml:space="preserve">See the </w:t>
      </w:r>
      <w:r>
        <w:rPr>
          <w:rFonts w:ascii="Arial" w:cs="Arial" w:eastAsia="Arial" w:hAnsi="Arial"/>
          <w:sz w:val="13"/>
          <w:szCs w:val="13"/>
          <w:i w:val="1"/>
          <w:iCs w:val="1"/>
          <w:color w:val="auto"/>
        </w:rPr>
        <w:t>Retirement Benefits</w:t>
      </w:r>
      <w:r>
        <w:rPr>
          <w:rFonts w:ascii="Arial" w:cs="Arial" w:eastAsia="Arial" w:hAnsi="Arial"/>
          <w:sz w:val="13"/>
          <w:szCs w:val="13"/>
          <w:color w:val="auto"/>
        </w:rPr>
        <w:t xml:space="preserve"> section for further detail on non-qualified pension benefits and timing of payments.</w:t>
      </w:r>
    </w:p>
    <w:p>
      <w:pPr>
        <w:spacing w:after="0" w:line="12" w:lineRule="exact"/>
        <w:rPr>
          <w:rFonts w:ascii="Arial" w:cs="Arial" w:eastAsia="Arial" w:hAnsi="Arial"/>
          <w:sz w:val="11"/>
          <w:szCs w:val="11"/>
          <w:color w:val="auto"/>
        </w:rPr>
      </w:pPr>
    </w:p>
    <w:p>
      <w:pPr>
        <w:ind w:left="300" w:hanging="292"/>
        <w:spacing w:after="0"/>
        <w:tabs>
          <w:tab w:leader="none" w:pos="300" w:val="left"/>
        </w:tabs>
        <w:numPr>
          <w:ilvl w:val="0"/>
          <w:numId w:val="210"/>
        </w:numPr>
        <w:rPr>
          <w:rFonts w:ascii="Arial" w:cs="Arial" w:eastAsia="Arial" w:hAnsi="Arial"/>
          <w:sz w:val="11"/>
          <w:szCs w:val="11"/>
          <w:color w:val="auto"/>
        </w:rPr>
      </w:pPr>
      <w:r>
        <w:rPr>
          <w:rFonts w:ascii="Arial" w:cs="Arial" w:eastAsia="Arial" w:hAnsi="Arial"/>
          <w:sz w:val="13"/>
          <w:szCs w:val="13"/>
          <w:color w:val="auto"/>
        </w:rPr>
        <w:t xml:space="preserve">See the </w:t>
      </w:r>
      <w:r>
        <w:rPr>
          <w:rFonts w:ascii="Arial" w:cs="Arial" w:eastAsia="Arial" w:hAnsi="Arial"/>
          <w:sz w:val="13"/>
          <w:szCs w:val="13"/>
          <w:i w:val="1"/>
          <w:iCs w:val="1"/>
          <w:color w:val="auto"/>
        </w:rPr>
        <w:t>Non-Qualified Deferred Compensation at Fiscal Year-end 2018</w:t>
      </w:r>
      <w:r>
        <w:rPr>
          <w:rFonts w:ascii="Arial" w:cs="Arial" w:eastAsia="Arial" w:hAnsi="Arial"/>
          <w:sz w:val="13"/>
          <w:szCs w:val="13"/>
          <w:color w:val="auto"/>
        </w:rPr>
        <w:t xml:space="preserve"> section for additional information on the Deferred Compensation Plan and distribution options available.</w:t>
      </w:r>
    </w:p>
    <w:p>
      <w:pPr>
        <w:spacing w:after="0" w:line="12" w:lineRule="exact"/>
        <w:rPr>
          <w:rFonts w:ascii="Arial" w:cs="Arial" w:eastAsia="Arial" w:hAnsi="Arial"/>
          <w:sz w:val="11"/>
          <w:szCs w:val="11"/>
          <w:color w:val="auto"/>
        </w:rPr>
      </w:pPr>
    </w:p>
    <w:p>
      <w:pPr>
        <w:ind w:left="300" w:right="160" w:hanging="292"/>
        <w:spacing w:after="0" w:line="244" w:lineRule="auto"/>
        <w:tabs>
          <w:tab w:leader="none" w:pos="300" w:val="left"/>
        </w:tabs>
        <w:numPr>
          <w:ilvl w:val="0"/>
          <w:numId w:val="210"/>
        </w:numPr>
        <w:rPr>
          <w:rFonts w:ascii="Arial" w:cs="Arial" w:eastAsia="Arial" w:hAnsi="Arial"/>
          <w:sz w:val="11"/>
          <w:szCs w:val="11"/>
          <w:color w:val="auto"/>
        </w:rPr>
      </w:pPr>
      <w:r>
        <w:rPr>
          <w:rFonts w:ascii="Arial" w:cs="Arial" w:eastAsia="Arial" w:hAnsi="Arial"/>
          <w:sz w:val="13"/>
          <w:szCs w:val="13"/>
          <w:color w:val="auto"/>
        </w:rPr>
        <w:t>If a named executive’s employment is terminated due to death during the two years after the date of a change in control, the named executive’s estate or beneficiary will be entitled to survivor and other benefits, including retiree medical coverage, if eligible, that are not less favorable than the most favorable benefits available to the estates or surviving families of peer executives of Allstate. In the event of termination due to disability during the two years after the date of a change in control, Allstate will pay disability and other benefits, including supplemental long-term disability benefits and retiree medical coverage, if eligible, that are not less favorable than the most favorable benefits available to disabled peer executives.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1120" w:type="dxa"/>
            <w:vAlign w:val="bottom"/>
          </w:tcPr>
          <w:p>
            <w:pPr>
              <w:ind w:left="9640"/>
              <w:spacing w:after="0"/>
              <w:rPr>
                <w:sz w:val="20"/>
                <w:szCs w:val="20"/>
                <w:color w:val="auto"/>
              </w:rPr>
            </w:pPr>
            <w:r>
              <w:rPr>
                <w:rFonts w:ascii="Arial" w:cs="Arial" w:eastAsia="Arial" w:hAnsi="Arial"/>
                <w:sz w:val="13"/>
                <w:szCs w:val="13"/>
                <w:color w:val="105EAB"/>
              </w:rPr>
              <w:t>2019 Proxy Statement</w:t>
            </w:r>
          </w:p>
        </w:tc>
        <w:tc>
          <w:tcPr>
            <w:tcW w:w="320" w:type="dxa"/>
            <w:vAlign w:val="bottom"/>
          </w:tcPr>
          <w:p>
            <w:pPr>
              <w:jc w:val="right"/>
              <w:spacing w:after="0"/>
              <w:rPr>
                <w:sz w:val="20"/>
                <w:szCs w:val="20"/>
                <w:color w:val="auto"/>
              </w:rPr>
            </w:pPr>
            <w:r>
              <w:rPr>
                <w:rFonts w:ascii="Arial" w:cs="Arial" w:eastAsia="Arial" w:hAnsi="Arial"/>
                <w:sz w:val="13"/>
                <w:szCs w:val="13"/>
                <w:b w:val="1"/>
                <w:bCs w:val="1"/>
                <w:color w:val="105EAB"/>
              </w:rPr>
              <w:t>65</w:t>
            </w:r>
          </w:p>
        </w:tc>
      </w:tr>
      <w:tr>
        <w:trPr>
          <w:trHeight w:val="213"/>
        </w:trPr>
        <w:tc>
          <w:tcPr>
            <w:tcW w:w="1112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-13970</wp:posOffset>
            </wp:positionV>
            <wp:extent cx="1270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b w:val="1"/>
          <w:bCs w:val="1"/>
          <w:color w:val="105EAB"/>
        </w:rPr>
        <w:t xml:space="preserve">Executive Compensation | </w:t>
      </w:r>
      <w:r>
        <w:rPr>
          <w:rFonts w:ascii="Arial" w:cs="Arial" w:eastAsia="Arial" w:hAnsi="Arial"/>
          <w:sz w:val="13"/>
          <w:szCs w:val="13"/>
          <w:b w:val="1"/>
          <w:bCs w:val="1"/>
          <w:color w:val="000000"/>
        </w:rPr>
        <w:t>Estimate of Potential Payments Upon Termination</w:t>
      </w:r>
    </w:p>
    <w:p>
      <w:pPr>
        <w:spacing w:after="0" w:line="198" w:lineRule="exact"/>
        <w:rPr>
          <w:sz w:val="20"/>
          <w:szCs w:val="20"/>
          <w:color w:val="auto"/>
        </w:rPr>
      </w:pPr>
    </w:p>
    <w:p>
      <w:pPr>
        <w:spacing w:after="0"/>
        <w:rPr>
          <w:sz w:val="20"/>
          <w:szCs w:val="20"/>
          <w:color w:val="auto"/>
        </w:rPr>
      </w:pPr>
      <w:r>
        <w:rPr>
          <w:rFonts w:ascii="Arial" w:cs="Arial" w:eastAsia="Arial" w:hAnsi="Arial"/>
          <w:sz w:val="31"/>
          <w:szCs w:val="31"/>
          <w:b w:val="1"/>
          <w:bCs w:val="1"/>
          <w:color w:val="959595"/>
        </w:rPr>
        <w:t>Estimate of Potential Payments Upon Termination</w:t>
      </w:r>
      <w:r>
        <w:rPr>
          <w:rFonts w:ascii="Arial" w:cs="Arial" w:eastAsia="Arial" w:hAnsi="Arial"/>
          <w:sz w:val="50"/>
          <w:szCs w:val="50"/>
          <w:b w:val="1"/>
          <w:bCs w:val="1"/>
          <w:color w:val="959595"/>
          <w:vertAlign w:val="superscript"/>
        </w:rPr>
        <w:t>(1)</w:t>
      </w:r>
    </w:p>
    <w:p>
      <w:pPr>
        <w:spacing w:after="0" w:line="95"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table below describes the value of compensation and benefits payable to each named executive upon termination that would exceed the compensation or benefits generally available to salaried employees in each termination scenario. The total column in the following table does not reflect compensation or benefits previously accrued or earned by the named executives, such as deferred compensation and non-qualified pension benefits. Benefits and payments are calculated assuming a December 31, 2018, employment termination date.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6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80" w:type="dxa"/>
            <w:vAlign w:val="bottom"/>
          </w:tcPr>
          <w:p>
            <w:pPr>
              <w:jc w:val="right"/>
              <w:ind w:right="33"/>
              <w:spacing w:after="0"/>
              <w:rPr>
                <w:sz w:val="20"/>
                <w:szCs w:val="20"/>
                <w:color w:val="auto"/>
              </w:rPr>
            </w:pPr>
            <w:r>
              <w:rPr>
                <w:rFonts w:ascii="Arial" w:cs="Arial" w:eastAsia="Arial" w:hAnsi="Arial"/>
                <w:sz w:val="13"/>
                <w:szCs w:val="13"/>
                <w:b w:val="1"/>
                <w:bCs w:val="1"/>
                <w:color w:val="105EAB"/>
              </w:rPr>
              <w:t>Restricted</w:t>
            </w:r>
          </w:p>
        </w:tc>
        <w:tc>
          <w:tcPr>
            <w:tcW w:w="1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3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80" w:type="dxa"/>
            <w:vAlign w:val="bottom"/>
          </w:tcPr>
          <w:p>
            <w:pPr>
              <w:jc w:val="right"/>
              <w:ind w:right="33"/>
              <w:spacing w:after="0" w:line="149" w:lineRule="exact"/>
              <w:rPr>
                <w:sz w:val="20"/>
                <w:szCs w:val="20"/>
                <w:color w:val="auto"/>
              </w:rPr>
            </w:pPr>
            <w:r>
              <w:rPr>
                <w:rFonts w:ascii="Arial" w:cs="Arial" w:eastAsia="Arial" w:hAnsi="Arial"/>
                <w:sz w:val="13"/>
                <w:szCs w:val="13"/>
                <w:b w:val="1"/>
                <w:bCs w:val="1"/>
                <w:color w:val="105EAB"/>
              </w:rPr>
              <w:t>Stock Units and</w:t>
            </w:r>
          </w:p>
        </w:tc>
        <w:tc>
          <w:tcPr>
            <w:tcW w:w="1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840" w:type="dxa"/>
            <w:vAlign w:val="bottom"/>
            <w:vMerge w:val="restart"/>
          </w:tcPr>
          <w:p>
            <w:pPr>
              <w:jc w:val="right"/>
              <w:ind w:right="53"/>
              <w:spacing w:after="0"/>
              <w:rPr>
                <w:sz w:val="20"/>
                <w:szCs w:val="20"/>
                <w:color w:val="auto"/>
              </w:rPr>
            </w:pPr>
            <w:r>
              <w:rPr>
                <w:rFonts w:ascii="Arial" w:cs="Arial" w:eastAsia="Arial" w:hAnsi="Arial"/>
                <w:sz w:val="13"/>
                <w:szCs w:val="13"/>
                <w:b w:val="1"/>
                <w:bCs w:val="1"/>
                <w:color w:val="105EAB"/>
              </w:rPr>
              <w:t>Annual</w:t>
            </w:r>
          </w:p>
        </w:tc>
        <w:tc>
          <w:tcPr>
            <w:tcW w:w="1100" w:type="dxa"/>
            <w:vAlign w:val="bottom"/>
          </w:tcPr>
          <w:p>
            <w:pPr>
              <w:jc w:val="right"/>
              <w:ind w:right="33"/>
              <w:spacing w:after="0" w:line="149" w:lineRule="exact"/>
              <w:rPr>
                <w:sz w:val="20"/>
                <w:szCs w:val="20"/>
                <w:color w:val="auto"/>
              </w:rPr>
            </w:pPr>
            <w:r>
              <w:rPr>
                <w:rFonts w:ascii="Arial" w:cs="Arial" w:eastAsia="Arial" w:hAnsi="Arial"/>
                <w:sz w:val="13"/>
                <w:szCs w:val="13"/>
                <w:b w:val="1"/>
                <w:bCs w:val="1"/>
                <w:color w:val="105EAB"/>
              </w:rPr>
              <w:t>Stock</w:t>
            </w:r>
          </w:p>
        </w:tc>
        <w:tc>
          <w:tcPr>
            <w:tcW w:w="1280" w:type="dxa"/>
            <w:vAlign w:val="bottom"/>
          </w:tcPr>
          <w:p>
            <w:pPr>
              <w:jc w:val="right"/>
              <w:ind w:right="33"/>
              <w:spacing w:after="0" w:line="149" w:lineRule="exact"/>
              <w:rPr>
                <w:sz w:val="20"/>
                <w:szCs w:val="20"/>
                <w:color w:val="auto"/>
              </w:rPr>
            </w:pPr>
            <w:r>
              <w:rPr>
                <w:rFonts w:ascii="Arial" w:cs="Arial" w:eastAsia="Arial" w:hAnsi="Arial"/>
                <w:sz w:val="13"/>
                <w:szCs w:val="13"/>
                <w:b w:val="1"/>
                <w:bCs w:val="1"/>
                <w:color w:val="105EAB"/>
              </w:rPr>
              <w:t>Performance</w:t>
            </w:r>
          </w:p>
        </w:tc>
        <w:tc>
          <w:tcPr>
            <w:tcW w:w="1280" w:type="dxa"/>
            <w:vAlign w:val="bottom"/>
          </w:tcPr>
          <w:p>
            <w:pPr>
              <w:jc w:val="right"/>
              <w:ind w:right="193"/>
              <w:spacing w:after="0" w:line="149" w:lineRule="exact"/>
              <w:rPr>
                <w:sz w:val="20"/>
                <w:szCs w:val="20"/>
                <w:color w:val="auto"/>
              </w:rPr>
            </w:pPr>
            <w:r>
              <w:rPr>
                <w:rFonts w:ascii="Arial" w:cs="Arial" w:eastAsia="Arial" w:hAnsi="Arial"/>
                <w:sz w:val="13"/>
                <w:szCs w:val="13"/>
                <w:b w:val="1"/>
                <w:bCs w:val="1"/>
                <w:color w:val="105EAB"/>
              </w:rPr>
              <w:t>Welfare</w:t>
            </w: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3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100" w:type="dxa"/>
            <w:vAlign w:val="bottom"/>
          </w:tcPr>
          <w:p>
            <w:pPr>
              <w:jc w:val="right"/>
              <w:ind w:right="33"/>
              <w:spacing w:after="0" w:line="138" w:lineRule="exact"/>
              <w:rPr>
                <w:sz w:val="20"/>
                <w:szCs w:val="20"/>
                <w:color w:val="auto"/>
              </w:rPr>
            </w:pPr>
            <w:r>
              <w:rPr>
                <w:rFonts w:ascii="Arial" w:cs="Arial" w:eastAsia="Arial" w:hAnsi="Arial"/>
                <w:sz w:val="13"/>
                <w:szCs w:val="13"/>
                <w:b w:val="1"/>
                <w:bCs w:val="1"/>
                <w:color w:val="105EAB"/>
              </w:rPr>
              <w:t>Options —</w:t>
            </w:r>
          </w:p>
        </w:tc>
        <w:tc>
          <w:tcPr>
            <w:tcW w:w="1280" w:type="dxa"/>
            <w:vAlign w:val="bottom"/>
          </w:tcPr>
          <w:p>
            <w:pPr>
              <w:jc w:val="right"/>
              <w:ind w:right="33"/>
              <w:spacing w:after="0" w:line="138" w:lineRule="exact"/>
              <w:rPr>
                <w:sz w:val="20"/>
                <w:szCs w:val="20"/>
                <w:color w:val="auto"/>
              </w:rPr>
            </w:pPr>
            <w:r>
              <w:rPr>
                <w:rFonts w:ascii="Arial" w:cs="Arial" w:eastAsia="Arial" w:hAnsi="Arial"/>
                <w:sz w:val="13"/>
                <w:szCs w:val="13"/>
                <w:b w:val="1"/>
                <w:bCs w:val="1"/>
                <w:color w:val="105EAB"/>
              </w:rPr>
              <w:t>Stock Awards —</w:t>
            </w:r>
          </w:p>
        </w:tc>
        <w:tc>
          <w:tcPr>
            <w:tcW w:w="1280" w:type="dxa"/>
            <w:vAlign w:val="bottom"/>
          </w:tcPr>
          <w:p>
            <w:pPr>
              <w:jc w:val="right"/>
              <w:ind w:right="193"/>
              <w:spacing w:after="0" w:line="138" w:lineRule="exact"/>
              <w:rPr>
                <w:sz w:val="20"/>
                <w:szCs w:val="20"/>
                <w:color w:val="auto"/>
              </w:rPr>
            </w:pPr>
            <w:r>
              <w:rPr>
                <w:rFonts w:ascii="Arial" w:cs="Arial" w:eastAsia="Arial" w:hAnsi="Arial"/>
                <w:sz w:val="13"/>
                <w:szCs w:val="13"/>
                <w:b w:val="1"/>
                <w:bCs w:val="1"/>
                <w:color w:val="105EAB"/>
              </w:rPr>
              <w:t>Benefits and</w:t>
            </w: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840" w:type="dxa"/>
            <w:vAlign w:val="bottom"/>
          </w:tcPr>
          <w:p>
            <w:pPr>
              <w:jc w:val="right"/>
              <w:ind w:right="53"/>
              <w:spacing w:after="0" w:line="149" w:lineRule="exact"/>
              <w:rPr>
                <w:sz w:val="20"/>
                <w:szCs w:val="20"/>
                <w:color w:val="auto"/>
              </w:rPr>
            </w:pPr>
            <w:r>
              <w:rPr>
                <w:rFonts w:ascii="Arial" w:cs="Arial" w:eastAsia="Arial" w:hAnsi="Arial"/>
                <w:sz w:val="13"/>
                <w:szCs w:val="13"/>
                <w:b w:val="1"/>
                <w:bCs w:val="1"/>
                <w:color w:val="105EAB"/>
              </w:rPr>
              <w:t>Incentive</w:t>
            </w:r>
          </w:p>
        </w:tc>
        <w:tc>
          <w:tcPr>
            <w:tcW w:w="1100" w:type="dxa"/>
            <w:vAlign w:val="bottom"/>
          </w:tcPr>
          <w:p>
            <w:pPr>
              <w:jc w:val="right"/>
              <w:ind w:right="33"/>
              <w:spacing w:after="0" w:line="149" w:lineRule="exact"/>
              <w:rPr>
                <w:sz w:val="20"/>
                <w:szCs w:val="20"/>
                <w:color w:val="auto"/>
              </w:rPr>
            </w:pPr>
            <w:r>
              <w:rPr>
                <w:rFonts w:ascii="Arial" w:cs="Arial" w:eastAsia="Arial" w:hAnsi="Arial"/>
                <w:sz w:val="13"/>
                <w:szCs w:val="13"/>
                <w:b w:val="1"/>
                <w:bCs w:val="1"/>
                <w:color w:val="105EAB"/>
              </w:rPr>
              <w:t>Unvested and</w:t>
            </w:r>
          </w:p>
        </w:tc>
        <w:tc>
          <w:tcPr>
            <w:tcW w:w="1280" w:type="dxa"/>
            <w:vAlign w:val="bottom"/>
          </w:tcPr>
          <w:p>
            <w:pPr>
              <w:jc w:val="right"/>
              <w:ind w:right="33"/>
              <w:spacing w:after="0" w:line="149" w:lineRule="exact"/>
              <w:rPr>
                <w:sz w:val="20"/>
                <w:szCs w:val="20"/>
                <w:color w:val="auto"/>
              </w:rPr>
            </w:pPr>
            <w:r>
              <w:rPr>
                <w:rFonts w:ascii="Arial" w:cs="Arial" w:eastAsia="Arial" w:hAnsi="Arial"/>
                <w:sz w:val="13"/>
                <w:szCs w:val="13"/>
                <w:b w:val="1"/>
                <w:bCs w:val="1"/>
                <w:color w:val="105EAB"/>
              </w:rPr>
              <w:t>Unvested and</w:t>
            </w:r>
          </w:p>
        </w:tc>
        <w:tc>
          <w:tcPr>
            <w:tcW w:w="1280" w:type="dxa"/>
            <w:vAlign w:val="bottom"/>
          </w:tcPr>
          <w:p>
            <w:pPr>
              <w:jc w:val="right"/>
              <w:ind w:right="193"/>
              <w:spacing w:after="0" w:line="149" w:lineRule="exact"/>
              <w:rPr>
                <w:sz w:val="20"/>
                <w:szCs w:val="20"/>
                <w:color w:val="auto"/>
              </w:rPr>
            </w:pPr>
            <w:r>
              <w:rPr>
                <w:rFonts w:ascii="Arial" w:cs="Arial" w:eastAsia="Arial" w:hAnsi="Arial"/>
                <w:sz w:val="13"/>
                <w:szCs w:val="13"/>
                <w:b w:val="1"/>
                <w:bCs w:val="1"/>
                <w:color w:val="105EAB"/>
              </w:rPr>
              <w:t>Outplacement</w:t>
            </w: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360" w:type="dxa"/>
            <w:vAlign w:val="bottom"/>
          </w:tcPr>
          <w:p>
            <w:pPr>
              <w:spacing w:after="0"/>
              <w:rPr>
                <w:sz w:val="13"/>
                <w:szCs w:val="13"/>
                <w:color w:val="auto"/>
              </w:rPr>
            </w:pPr>
          </w:p>
        </w:tc>
        <w:tc>
          <w:tcPr>
            <w:tcW w:w="2680" w:type="dxa"/>
            <w:vAlign w:val="bottom"/>
          </w:tcPr>
          <w:p>
            <w:pPr>
              <w:jc w:val="right"/>
              <w:ind w:right="213"/>
              <w:spacing w:after="0"/>
              <w:rPr>
                <w:sz w:val="20"/>
                <w:szCs w:val="20"/>
                <w:color w:val="auto"/>
              </w:rPr>
            </w:pPr>
            <w:r>
              <w:rPr>
                <w:rFonts w:ascii="Arial" w:cs="Arial" w:eastAsia="Arial" w:hAnsi="Arial"/>
                <w:sz w:val="13"/>
                <w:szCs w:val="13"/>
                <w:b w:val="1"/>
                <w:bCs w:val="1"/>
                <w:color w:val="105EAB"/>
              </w:rPr>
              <w:t>Severance</w:t>
            </w:r>
          </w:p>
        </w:tc>
        <w:tc>
          <w:tcPr>
            <w:tcW w:w="840" w:type="dxa"/>
            <w:vAlign w:val="bottom"/>
          </w:tcPr>
          <w:p>
            <w:pPr>
              <w:jc w:val="right"/>
              <w:ind w:right="53"/>
              <w:spacing w:after="0" w:line="159" w:lineRule="exact"/>
              <w:rPr>
                <w:sz w:val="20"/>
                <w:szCs w:val="20"/>
                <w:color w:val="auto"/>
              </w:rPr>
            </w:pPr>
            <w:r>
              <w:rPr>
                <w:rFonts w:ascii="Arial" w:cs="Arial" w:eastAsia="Arial" w:hAnsi="Arial"/>
                <w:sz w:val="11"/>
                <w:szCs w:val="11"/>
                <w:b w:val="1"/>
                <w:bCs w:val="1"/>
                <w:color w:val="105EAB"/>
              </w:rPr>
              <w:t>Plan</w:t>
            </w:r>
            <w:r>
              <w:rPr>
                <w:rFonts w:ascii="Arial" w:cs="Arial" w:eastAsia="Arial" w:hAnsi="Arial"/>
                <w:sz w:val="18"/>
                <w:szCs w:val="18"/>
                <w:b w:val="1"/>
                <w:bCs w:val="1"/>
                <w:color w:val="105EAB"/>
                <w:vertAlign w:val="superscript"/>
              </w:rPr>
              <w:t>(2)</w:t>
            </w:r>
          </w:p>
        </w:tc>
        <w:tc>
          <w:tcPr>
            <w:tcW w:w="1100" w:type="dxa"/>
            <w:vAlign w:val="bottom"/>
          </w:tcPr>
          <w:p>
            <w:pPr>
              <w:jc w:val="right"/>
              <w:ind w:right="33"/>
              <w:spacing w:after="0"/>
              <w:rPr>
                <w:sz w:val="20"/>
                <w:szCs w:val="20"/>
                <w:color w:val="auto"/>
              </w:rPr>
            </w:pPr>
            <w:r>
              <w:rPr>
                <w:rFonts w:ascii="Arial" w:cs="Arial" w:eastAsia="Arial" w:hAnsi="Arial"/>
                <w:sz w:val="13"/>
                <w:szCs w:val="13"/>
                <w:b w:val="1"/>
                <w:bCs w:val="1"/>
                <w:color w:val="105EAB"/>
              </w:rPr>
              <w:t>Accelerated</w:t>
            </w:r>
          </w:p>
        </w:tc>
        <w:tc>
          <w:tcPr>
            <w:tcW w:w="1280" w:type="dxa"/>
            <w:vAlign w:val="bottom"/>
          </w:tcPr>
          <w:p>
            <w:pPr>
              <w:jc w:val="right"/>
              <w:ind w:right="33"/>
              <w:spacing w:after="0"/>
              <w:rPr>
                <w:sz w:val="20"/>
                <w:szCs w:val="20"/>
                <w:color w:val="auto"/>
              </w:rPr>
            </w:pPr>
            <w:r>
              <w:rPr>
                <w:rFonts w:ascii="Arial" w:cs="Arial" w:eastAsia="Arial" w:hAnsi="Arial"/>
                <w:sz w:val="13"/>
                <w:szCs w:val="13"/>
                <w:b w:val="1"/>
                <w:bCs w:val="1"/>
                <w:color w:val="105EAB"/>
              </w:rPr>
              <w:t>Accelerated</w:t>
            </w:r>
          </w:p>
        </w:tc>
        <w:tc>
          <w:tcPr>
            <w:tcW w:w="1280" w:type="dxa"/>
            <w:vAlign w:val="bottom"/>
          </w:tcPr>
          <w:p>
            <w:pPr>
              <w:jc w:val="right"/>
              <w:ind w:right="193"/>
              <w:spacing w:after="0"/>
              <w:rPr>
                <w:sz w:val="20"/>
                <w:szCs w:val="20"/>
                <w:color w:val="auto"/>
              </w:rPr>
            </w:pPr>
            <w:r>
              <w:rPr>
                <w:rFonts w:ascii="Arial" w:cs="Arial" w:eastAsia="Arial" w:hAnsi="Arial"/>
                <w:sz w:val="13"/>
                <w:szCs w:val="13"/>
                <w:b w:val="1"/>
                <w:bCs w:val="1"/>
                <w:color w:val="105EAB"/>
              </w:rPr>
              <w:t>Services</w:t>
            </w:r>
          </w:p>
        </w:tc>
        <w:tc>
          <w:tcPr>
            <w:tcW w:w="880" w:type="dxa"/>
            <w:vAlign w:val="bottom"/>
          </w:tcPr>
          <w:p>
            <w:pPr>
              <w:jc w:val="right"/>
              <w:ind w:right="13"/>
              <w:spacing w:after="0"/>
              <w:rPr>
                <w:sz w:val="20"/>
                <w:szCs w:val="20"/>
                <w:color w:val="auto"/>
              </w:rPr>
            </w:pPr>
            <w:r>
              <w:rPr>
                <w:rFonts w:ascii="Arial" w:cs="Arial" w:eastAsia="Arial" w:hAnsi="Arial"/>
                <w:sz w:val="13"/>
                <w:szCs w:val="13"/>
                <w:b w:val="1"/>
                <w:bCs w:val="1"/>
                <w:color w:val="105EAB"/>
              </w:rPr>
              <w:t>Total</w:t>
            </w:r>
          </w:p>
        </w:tc>
        <w:tc>
          <w:tcPr>
            <w:tcW w:w="0" w:type="dxa"/>
            <w:vAlign w:val="bottom"/>
          </w:tcPr>
          <w:p>
            <w:pPr>
              <w:spacing w:after="0"/>
              <w:rPr>
                <w:sz w:val="1"/>
                <w:szCs w:val="1"/>
                <w:color w:val="auto"/>
              </w:rPr>
            </w:pPr>
          </w:p>
        </w:tc>
      </w:tr>
      <w:tr>
        <w:trPr>
          <w:trHeight w:val="199"/>
        </w:trPr>
        <w:tc>
          <w:tcPr>
            <w:tcW w:w="3360" w:type="dxa"/>
            <w:vAlign w:val="bottom"/>
            <w:tcBorders>
              <w:bottom w:val="single" w:sz="8" w:color="105EAB"/>
            </w:tcBorders>
          </w:tcPr>
          <w:p>
            <w:pPr>
              <w:ind w:left="80"/>
              <w:spacing w:after="0"/>
              <w:rPr>
                <w:sz w:val="20"/>
                <w:szCs w:val="20"/>
                <w:color w:val="auto"/>
              </w:rPr>
            </w:pPr>
            <w:r>
              <w:rPr>
                <w:rFonts w:ascii="Arial" w:cs="Arial" w:eastAsia="Arial" w:hAnsi="Arial"/>
                <w:sz w:val="13"/>
                <w:szCs w:val="13"/>
                <w:b w:val="1"/>
                <w:bCs w:val="1"/>
                <w:color w:val="105EAB"/>
              </w:rPr>
              <w:t>Name</w:t>
            </w:r>
          </w:p>
        </w:tc>
        <w:tc>
          <w:tcPr>
            <w:tcW w:w="2680" w:type="dxa"/>
            <w:vAlign w:val="bottom"/>
            <w:tcBorders>
              <w:bottom w:val="single" w:sz="8" w:color="105EAB"/>
            </w:tcBorders>
          </w:tcPr>
          <w:p>
            <w:pPr>
              <w:jc w:val="right"/>
              <w:ind w:right="213"/>
              <w:spacing w:after="0"/>
              <w:rPr>
                <w:sz w:val="20"/>
                <w:szCs w:val="20"/>
                <w:color w:val="auto"/>
              </w:rPr>
            </w:pPr>
            <w:r>
              <w:rPr>
                <w:rFonts w:ascii="Arial" w:cs="Arial" w:eastAsia="Arial" w:hAnsi="Arial"/>
                <w:sz w:val="13"/>
                <w:szCs w:val="13"/>
                <w:b w:val="1"/>
                <w:bCs w:val="1"/>
                <w:color w:val="105EAB"/>
              </w:rPr>
              <w:t>($)</w:t>
            </w:r>
          </w:p>
        </w:tc>
        <w:tc>
          <w:tcPr>
            <w:tcW w:w="840" w:type="dxa"/>
            <w:vAlign w:val="bottom"/>
            <w:tcBorders>
              <w:bottom w:val="single" w:sz="8" w:color="105EAB"/>
            </w:tcBorders>
          </w:tcPr>
          <w:p>
            <w:pPr>
              <w:jc w:val="right"/>
              <w:ind w:right="53"/>
              <w:spacing w:after="0"/>
              <w:rPr>
                <w:sz w:val="20"/>
                <w:szCs w:val="20"/>
                <w:color w:val="auto"/>
              </w:rPr>
            </w:pPr>
            <w:r>
              <w:rPr>
                <w:rFonts w:ascii="Arial" w:cs="Arial" w:eastAsia="Arial" w:hAnsi="Arial"/>
                <w:sz w:val="13"/>
                <w:szCs w:val="13"/>
                <w:b w:val="1"/>
                <w:bCs w:val="1"/>
                <w:color w:val="105EAB"/>
              </w:rPr>
              <w:t>($)</w:t>
            </w:r>
          </w:p>
        </w:tc>
        <w:tc>
          <w:tcPr>
            <w:tcW w:w="1100" w:type="dxa"/>
            <w:vAlign w:val="bottom"/>
            <w:tcBorders>
              <w:bottom w:val="single" w:sz="8" w:color="105EAB"/>
            </w:tcBorders>
          </w:tcPr>
          <w:p>
            <w:pPr>
              <w:jc w:val="right"/>
              <w:ind w:right="33"/>
              <w:spacing w:after="0"/>
              <w:rPr>
                <w:sz w:val="20"/>
                <w:szCs w:val="20"/>
                <w:color w:val="auto"/>
              </w:rPr>
            </w:pPr>
            <w:r>
              <w:rPr>
                <w:rFonts w:ascii="Arial" w:cs="Arial" w:eastAsia="Arial" w:hAnsi="Arial"/>
                <w:sz w:val="13"/>
                <w:szCs w:val="13"/>
                <w:b w:val="1"/>
                <w:bCs w:val="1"/>
                <w:color w:val="105EAB"/>
              </w:rPr>
              <w:t>($)</w:t>
            </w:r>
          </w:p>
        </w:tc>
        <w:tc>
          <w:tcPr>
            <w:tcW w:w="1280" w:type="dxa"/>
            <w:vAlign w:val="bottom"/>
            <w:tcBorders>
              <w:bottom w:val="single" w:sz="8" w:color="105EAB"/>
            </w:tcBorders>
          </w:tcPr>
          <w:p>
            <w:pPr>
              <w:jc w:val="right"/>
              <w:ind w:right="33"/>
              <w:spacing w:after="0"/>
              <w:rPr>
                <w:sz w:val="20"/>
                <w:szCs w:val="20"/>
                <w:color w:val="auto"/>
              </w:rPr>
            </w:pPr>
            <w:r>
              <w:rPr>
                <w:rFonts w:ascii="Arial" w:cs="Arial" w:eastAsia="Arial" w:hAnsi="Arial"/>
                <w:sz w:val="13"/>
                <w:szCs w:val="13"/>
                <w:b w:val="1"/>
                <w:bCs w:val="1"/>
                <w:color w:val="105EAB"/>
              </w:rPr>
              <w:t>($)</w:t>
            </w:r>
          </w:p>
        </w:tc>
        <w:tc>
          <w:tcPr>
            <w:tcW w:w="1280" w:type="dxa"/>
            <w:vAlign w:val="bottom"/>
            <w:tcBorders>
              <w:bottom w:val="single" w:sz="8" w:color="105EAB"/>
            </w:tcBorders>
          </w:tcPr>
          <w:p>
            <w:pPr>
              <w:jc w:val="right"/>
              <w:ind w:right="193"/>
              <w:spacing w:after="0"/>
              <w:rPr>
                <w:sz w:val="20"/>
                <w:szCs w:val="20"/>
                <w:color w:val="auto"/>
              </w:rPr>
            </w:pPr>
            <w:r>
              <w:rPr>
                <w:rFonts w:ascii="Arial" w:cs="Arial" w:eastAsia="Arial" w:hAnsi="Arial"/>
                <w:sz w:val="13"/>
                <w:szCs w:val="13"/>
                <w:b w:val="1"/>
                <w:bCs w:val="1"/>
                <w:color w:val="105EAB"/>
              </w:rPr>
              <w:t>($)</w:t>
            </w:r>
          </w:p>
        </w:tc>
        <w:tc>
          <w:tcPr>
            <w:tcW w:w="880" w:type="dxa"/>
            <w:vAlign w:val="bottom"/>
            <w:tcBorders>
              <w:bottom w:val="single" w:sz="8" w:color="105EAB"/>
            </w:tcBorders>
          </w:tcPr>
          <w:p>
            <w:pPr>
              <w:jc w:val="right"/>
              <w:ind w:right="13"/>
              <w:spacing w:after="0"/>
              <w:rPr>
                <w:sz w:val="20"/>
                <w:szCs w:val="20"/>
                <w:color w:val="auto"/>
              </w:rPr>
            </w:pPr>
            <w:r>
              <w:rPr>
                <w:rFonts w:ascii="Arial" w:cs="Arial" w:eastAsia="Arial" w:hAnsi="Arial"/>
                <w:sz w:val="13"/>
                <w:szCs w:val="13"/>
                <w:b w:val="1"/>
                <w:bCs w:val="1"/>
                <w:color w:val="105EAB"/>
              </w:rPr>
              <w:t>($)</w:t>
            </w:r>
          </w:p>
        </w:tc>
        <w:tc>
          <w:tcPr>
            <w:tcW w:w="0" w:type="dxa"/>
            <w:vAlign w:val="bottom"/>
          </w:tcPr>
          <w:p>
            <w:pPr>
              <w:spacing w:after="0"/>
              <w:rPr>
                <w:sz w:val="1"/>
                <w:szCs w:val="1"/>
                <w:color w:val="auto"/>
              </w:rPr>
            </w:pPr>
          </w:p>
        </w:tc>
      </w:tr>
      <w:tr>
        <w:trPr>
          <w:trHeight w:val="202"/>
        </w:trPr>
        <w:tc>
          <w:tcPr>
            <w:tcW w:w="3360" w:type="dxa"/>
            <w:vAlign w:val="bottom"/>
          </w:tcPr>
          <w:p>
            <w:pPr>
              <w:ind w:left="80"/>
              <w:spacing w:after="0"/>
              <w:rPr>
                <w:sz w:val="20"/>
                <w:szCs w:val="20"/>
                <w:color w:val="auto"/>
              </w:rPr>
            </w:pPr>
            <w:r>
              <w:rPr>
                <w:rFonts w:ascii="Arial" w:cs="Arial" w:eastAsia="Arial" w:hAnsi="Arial"/>
                <w:sz w:val="13"/>
                <w:szCs w:val="13"/>
                <w:b w:val="1"/>
                <w:bCs w:val="1"/>
                <w:color w:val="105EAB"/>
              </w:rPr>
              <w:t>Mr. Wilson</w:t>
            </w:r>
          </w:p>
        </w:tc>
        <w:tc>
          <w:tcPr>
            <w:tcW w:w="2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3360" w:type="dxa"/>
            <w:vAlign w:val="bottom"/>
            <w:tcBorders>
              <w:bottom w:val="single" w:sz="8" w:color="DFF1FB"/>
            </w:tcBorders>
          </w:tcPr>
          <w:p>
            <w:pPr>
              <w:ind w:left="80"/>
              <w:spacing w:after="0"/>
              <w:rPr>
                <w:sz w:val="20"/>
                <w:szCs w:val="20"/>
                <w:color w:val="auto"/>
              </w:rPr>
            </w:pPr>
            <w:r>
              <w:rPr>
                <w:rFonts w:ascii="Arial" w:cs="Arial" w:eastAsia="Arial" w:hAnsi="Arial"/>
                <w:sz w:val="13"/>
                <w:szCs w:val="13"/>
                <w:color w:val="auto"/>
              </w:rPr>
              <w:t>Termination/Retirement</w:t>
            </w:r>
            <w:r>
              <w:rPr>
                <w:rFonts w:ascii="Arial" w:cs="Arial" w:eastAsia="Arial" w:hAnsi="Arial"/>
                <w:sz w:val="22"/>
                <w:szCs w:val="22"/>
                <w:color w:val="auto"/>
                <w:vertAlign w:val="superscript"/>
              </w:rPr>
              <w:t>(3)</w:t>
            </w:r>
          </w:p>
        </w:tc>
        <w:tc>
          <w:tcPr>
            <w:tcW w:w="2680" w:type="dxa"/>
            <w:vAlign w:val="bottom"/>
            <w:tcBorders>
              <w:bottom w:val="single" w:sz="8" w:color="DFF1FB"/>
            </w:tcBorders>
          </w:tcPr>
          <w:p>
            <w:pPr>
              <w:jc w:val="right"/>
              <w:ind w:right="213"/>
              <w:spacing w:after="0"/>
              <w:rPr>
                <w:sz w:val="20"/>
                <w:szCs w:val="20"/>
                <w:color w:val="auto"/>
              </w:rPr>
            </w:pPr>
            <w:r>
              <w:rPr>
                <w:rFonts w:ascii="Arial" w:cs="Arial" w:eastAsia="Arial" w:hAnsi="Arial"/>
                <w:sz w:val="13"/>
                <w:szCs w:val="13"/>
                <w:color w:val="auto"/>
              </w:rPr>
              <w:t>0</w:t>
            </w:r>
          </w:p>
        </w:tc>
        <w:tc>
          <w:tcPr>
            <w:tcW w:w="840" w:type="dxa"/>
            <w:vAlign w:val="bottom"/>
            <w:tcBorders>
              <w:bottom w:val="single" w:sz="8" w:color="DFF1FB"/>
            </w:tcBorders>
          </w:tcPr>
          <w:p>
            <w:pPr>
              <w:jc w:val="right"/>
              <w:ind w:right="53"/>
              <w:spacing w:after="0"/>
              <w:rPr>
                <w:sz w:val="20"/>
                <w:szCs w:val="20"/>
                <w:color w:val="auto"/>
              </w:rPr>
            </w:pPr>
            <w:r>
              <w:rPr>
                <w:rFonts w:ascii="Arial" w:cs="Arial" w:eastAsia="Arial" w:hAnsi="Arial"/>
                <w:sz w:val="13"/>
                <w:szCs w:val="13"/>
                <w:color w:val="auto"/>
              </w:rPr>
              <w:t>6,719,194</w:t>
            </w:r>
          </w:p>
        </w:tc>
        <w:tc>
          <w:tcPr>
            <w:tcW w:w="1100" w:type="dxa"/>
            <w:vAlign w:val="bottom"/>
            <w:tcBorders>
              <w:bottom w:val="single" w:sz="8" w:color="DFF1FB"/>
            </w:tcBorders>
          </w:tcPr>
          <w:p>
            <w:pPr>
              <w:jc w:val="right"/>
              <w:ind w:right="33"/>
              <w:spacing w:after="0"/>
              <w:rPr>
                <w:sz w:val="20"/>
                <w:szCs w:val="20"/>
                <w:color w:val="auto"/>
              </w:rPr>
            </w:pPr>
            <w:r>
              <w:rPr>
                <w:rFonts w:ascii="Arial" w:cs="Arial" w:eastAsia="Arial" w:hAnsi="Arial"/>
                <w:sz w:val="13"/>
                <w:szCs w:val="13"/>
                <w:color w:val="auto"/>
              </w:rPr>
              <w:t>2,708,262</w:t>
            </w:r>
          </w:p>
        </w:tc>
        <w:tc>
          <w:tcPr>
            <w:tcW w:w="1280" w:type="dxa"/>
            <w:vAlign w:val="bottom"/>
            <w:tcBorders>
              <w:bottom w:val="single" w:sz="8" w:color="DFF1FB"/>
            </w:tcBorders>
          </w:tcPr>
          <w:p>
            <w:pPr>
              <w:jc w:val="right"/>
              <w:ind w:right="33"/>
              <w:spacing w:after="0"/>
              <w:rPr>
                <w:sz w:val="20"/>
                <w:szCs w:val="20"/>
                <w:color w:val="auto"/>
              </w:rPr>
            </w:pPr>
            <w:r>
              <w:rPr>
                <w:rFonts w:ascii="Arial" w:cs="Arial" w:eastAsia="Arial" w:hAnsi="Arial"/>
                <w:sz w:val="13"/>
                <w:szCs w:val="13"/>
                <w:color w:val="auto"/>
              </w:rPr>
              <w:t>21,696,489</w:t>
            </w:r>
          </w:p>
        </w:tc>
        <w:tc>
          <w:tcPr>
            <w:tcW w:w="1280" w:type="dxa"/>
            <w:vAlign w:val="bottom"/>
            <w:tcBorders>
              <w:bottom w:val="single" w:sz="8" w:color="DFF1FB"/>
            </w:tcBorders>
          </w:tcPr>
          <w:p>
            <w:pPr>
              <w:jc w:val="right"/>
              <w:ind w:right="193"/>
              <w:spacing w:after="0"/>
              <w:rPr>
                <w:sz w:val="20"/>
                <w:szCs w:val="20"/>
                <w:color w:val="auto"/>
              </w:rPr>
            </w:pPr>
            <w:r>
              <w:rPr>
                <w:rFonts w:ascii="Arial" w:cs="Arial" w:eastAsia="Arial" w:hAnsi="Arial"/>
                <w:sz w:val="13"/>
                <w:szCs w:val="13"/>
                <w:color w:val="auto"/>
              </w:rPr>
              <w:t>0</w:t>
            </w:r>
          </w:p>
        </w:tc>
        <w:tc>
          <w:tcPr>
            <w:tcW w:w="880" w:type="dxa"/>
            <w:vAlign w:val="bottom"/>
            <w:tcBorders>
              <w:bottom w:val="single" w:sz="8" w:color="DFF1FB"/>
            </w:tcBorders>
          </w:tcPr>
          <w:p>
            <w:pPr>
              <w:jc w:val="right"/>
              <w:ind w:right="13"/>
              <w:spacing w:after="0"/>
              <w:rPr>
                <w:sz w:val="20"/>
                <w:szCs w:val="20"/>
                <w:color w:val="auto"/>
              </w:rPr>
            </w:pPr>
            <w:r>
              <w:rPr>
                <w:rFonts w:ascii="Arial" w:cs="Arial" w:eastAsia="Arial" w:hAnsi="Arial"/>
                <w:sz w:val="13"/>
                <w:szCs w:val="13"/>
                <w:color w:val="auto"/>
              </w:rPr>
              <w:t>31,123,945</w:t>
            </w:r>
          </w:p>
        </w:tc>
        <w:tc>
          <w:tcPr>
            <w:tcW w:w="0" w:type="dxa"/>
            <w:vAlign w:val="bottom"/>
          </w:tcPr>
          <w:p>
            <w:pPr>
              <w:spacing w:after="0"/>
              <w:rPr>
                <w:sz w:val="1"/>
                <w:szCs w:val="1"/>
                <w:color w:val="auto"/>
              </w:rPr>
            </w:pPr>
          </w:p>
        </w:tc>
      </w:tr>
      <w:tr>
        <w:trPr>
          <w:trHeight w:val="340"/>
        </w:trPr>
        <w:tc>
          <w:tcPr>
            <w:tcW w:w="3360" w:type="dxa"/>
            <w:vAlign w:val="bottom"/>
          </w:tcPr>
          <w:p>
            <w:pPr>
              <w:ind w:left="80"/>
              <w:spacing w:after="0"/>
              <w:rPr>
                <w:sz w:val="20"/>
                <w:szCs w:val="20"/>
                <w:color w:val="auto"/>
              </w:rPr>
            </w:pPr>
            <w:r>
              <w:rPr>
                <w:rFonts w:ascii="Arial" w:cs="Arial" w:eastAsia="Arial" w:hAnsi="Arial"/>
                <w:sz w:val="13"/>
                <w:szCs w:val="13"/>
                <w:color w:val="auto"/>
              </w:rPr>
              <w:t>Termination due to</w:t>
            </w:r>
          </w:p>
        </w:tc>
        <w:tc>
          <w:tcPr>
            <w:tcW w:w="2680" w:type="dxa"/>
            <w:vAlign w:val="bottom"/>
          </w:tcPr>
          <w:p>
            <w:pPr>
              <w:jc w:val="right"/>
              <w:ind w:right="213"/>
              <w:spacing w:after="0"/>
              <w:rPr>
                <w:sz w:val="20"/>
                <w:szCs w:val="20"/>
                <w:color w:val="auto"/>
              </w:rPr>
            </w:pPr>
            <w:r>
              <w:rPr>
                <w:rFonts w:ascii="Arial" w:cs="Arial" w:eastAsia="Arial" w:hAnsi="Arial"/>
                <w:sz w:val="13"/>
                <w:szCs w:val="13"/>
                <w:color w:val="auto"/>
              </w:rPr>
              <w:t>15,600,000</w:t>
            </w:r>
          </w:p>
        </w:tc>
        <w:tc>
          <w:tcPr>
            <w:tcW w:w="840" w:type="dxa"/>
            <w:vAlign w:val="bottom"/>
          </w:tcPr>
          <w:p>
            <w:pPr>
              <w:jc w:val="right"/>
              <w:ind w:right="53"/>
              <w:spacing w:after="0"/>
              <w:rPr>
                <w:sz w:val="20"/>
                <w:szCs w:val="20"/>
                <w:color w:val="auto"/>
              </w:rPr>
            </w:pPr>
            <w:r>
              <w:rPr>
                <w:rFonts w:ascii="Arial" w:cs="Arial" w:eastAsia="Arial" w:hAnsi="Arial"/>
                <w:sz w:val="13"/>
                <w:szCs w:val="13"/>
                <w:color w:val="auto"/>
              </w:rPr>
              <w:t>3,900,000</w:t>
            </w:r>
          </w:p>
        </w:tc>
        <w:tc>
          <w:tcPr>
            <w:tcW w:w="1100" w:type="dxa"/>
            <w:vAlign w:val="bottom"/>
          </w:tcPr>
          <w:p>
            <w:pPr>
              <w:jc w:val="right"/>
              <w:ind w:right="33"/>
              <w:spacing w:after="0"/>
              <w:rPr>
                <w:sz w:val="20"/>
                <w:szCs w:val="20"/>
                <w:color w:val="auto"/>
              </w:rPr>
            </w:pPr>
            <w:r>
              <w:rPr>
                <w:rFonts w:ascii="Arial" w:cs="Arial" w:eastAsia="Arial" w:hAnsi="Arial"/>
                <w:sz w:val="13"/>
                <w:szCs w:val="13"/>
                <w:color w:val="auto"/>
              </w:rPr>
              <w:t>2,708,262</w:t>
            </w:r>
          </w:p>
        </w:tc>
        <w:tc>
          <w:tcPr>
            <w:tcW w:w="1280" w:type="dxa"/>
            <w:vAlign w:val="bottom"/>
          </w:tcPr>
          <w:p>
            <w:pPr>
              <w:jc w:val="right"/>
              <w:ind w:right="33"/>
              <w:spacing w:after="0"/>
              <w:rPr>
                <w:sz w:val="20"/>
                <w:szCs w:val="20"/>
                <w:color w:val="auto"/>
              </w:rPr>
            </w:pPr>
            <w:r>
              <w:rPr>
                <w:rFonts w:ascii="Arial" w:cs="Arial" w:eastAsia="Arial" w:hAnsi="Arial"/>
                <w:sz w:val="13"/>
                <w:szCs w:val="13"/>
                <w:color w:val="auto"/>
              </w:rPr>
              <w:t>22,433,797</w:t>
            </w:r>
          </w:p>
        </w:tc>
        <w:tc>
          <w:tcPr>
            <w:tcW w:w="1280" w:type="dxa"/>
            <w:vAlign w:val="bottom"/>
          </w:tcPr>
          <w:p>
            <w:pPr>
              <w:jc w:val="right"/>
              <w:ind w:right="53"/>
              <w:spacing w:after="0"/>
              <w:rPr>
                <w:sz w:val="20"/>
                <w:szCs w:val="20"/>
                <w:color w:val="auto"/>
              </w:rPr>
            </w:pPr>
            <w:r>
              <w:rPr>
                <w:rFonts w:ascii="Arial" w:cs="Arial" w:eastAsia="Arial" w:hAnsi="Arial"/>
                <w:sz w:val="13"/>
                <w:szCs w:val="13"/>
                <w:color w:val="auto"/>
              </w:rPr>
              <w:t>69,431</w:t>
            </w:r>
            <w:r>
              <w:rPr>
                <w:rFonts w:ascii="Arial" w:cs="Arial" w:eastAsia="Arial" w:hAnsi="Arial"/>
                <w:sz w:val="22"/>
                <w:szCs w:val="22"/>
                <w:color w:val="auto"/>
                <w:vertAlign w:val="superscript"/>
              </w:rPr>
              <w:t>(5)</w:t>
            </w:r>
          </w:p>
        </w:tc>
        <w:tc>
          <w:tcPr>
            <w:tcW w:w="880" w:type="dxa"/>
            <w:vAlign w:val="bottom"/>
          </w:tcPr>
          <w:p>
            <w:pPr>
              <w:jc w:val="right"/>
              <w:ind w:right="13"/>
              <w:spacing w:after="0"/>
              <w:rPr>
                <w:sz w:val="20"/>
                <w:szCs w:val="20"/>
                <w:color w:val="auto"/>
              </w:rPr>
            </w:pPr>
            <w:r>
              <w:rPr>
                <w:rFonts w:ascii="Arial" w:cs="Arial" w:eastAsia="Arial" w:hAnsi="Arial"/>
                <w:sz w:val="13"/>
                <w:szCs w:val="13"/>
                <w:color w:val="auto"/>
              </w:rPr>
              <w:t>44,711,490</w:t>
            </w:r>
          </w:p>
        </w:tc>
        <w:tc>
          <w:tcPr>
            <w:tcW w:w="0" w:type="dxa"/>
            <w:vAlign w:val="bottom"/>
          </w:tcPr>
          <w:p>
            <w:pPr>
              <w:spacing w:after="0"/>
              <w:rPr>
                <w:sz w:val="1"/>
                <w:szCs w:val="1"/>
                <w:color w:val="auto"/>
              </w:rPr>
            </w:pPr>
          </w:p>
        </w:tc>
      </w:tr>
      <w:tr>
        <w:trPr>
          <w:trHeight w:val="247"/>
        </w:trPr>
        <w:tc>
          <w:tcPr>
            <w:tcW w:w="3360" w:type="dxa"/>
            <w:vAlign w:val="bottom"/>
            <w:tcBorders>
              <w:bottom w:val="single" w:sz="8" w:color="DFF1FB"/>
            </w:tcBorders>
          </w:tcPr>
          <w:p>
            <w:pPr>
              <w:ind w:left="80"/>
              <w:spacing w:after="0" w:line="247" w:lineRule="exact"/>
              <w:rPr>
                <w:sz w:val="20"/>
                <w:szCs w:val="20"/>
                <w:color w:val="auto"/>
              </w:rPr>
            </w:pPr>
            <w:r>
              <w:rPr>
                <w:rFonts w:ascii="Arial" w:cs="Arial" w:eastAsia="Arial" w:hAnsi="Arial"/>
                <w:sz w:val="13"/>
                <w:szCs w:val="13"/>
                <w:color w:val="auto"/>
              </w:rPr>
              <w:t>Change in Control</w:t>
            </w:r>
            <w:r>
              <w:rPr>
                <w:rFonts w:ascii="Arial" w:cs="Arial" w:eastAsia="Arial" w:hAnsi="Arial"/>
                <w:sz w:val="22"/>
                <w:szCs w:val="22"/>
                <w:color w:val="auto"/>
                <w:vertAlign w:val="superscript"/>
              </w:rPr>
              <w:t>(4)</w:t>
            </w:r>
          </w:p>
        </w:tc>
        <w:tc>
          <w:tcPr>
            <w:tcW w:w="2680" w:type="dxa"/>
            <w:vAlign w:val="bottom"/>
            <w:tcBorders>
              <w:bottom w:val="single" w:sz="8" w:color="DFF1FB"/>
            </w:tcBorders>
          </w:tcPr>
          <w:p>
            <w:pPr>
              <w:spacing w:after="0"/>
              <w:rPr>
                <w:sz w:val="21"/>
                <w:szCs w:val="21"/>
                <w:color w:val="auto"/>
              </w:rPr>
            </w:pPr>
          </w:p>
        </w:tc>
        <w:tc>
          <w:tcPr>
            <w:tcW w:w="840" w:type="dxa"/>
            <w:vAlign w:val="bottom"/>
            <w:tcBorders>
              <w:bottom w:val="single" w:sz="8" w:color="DFF1FB"/>
            </w:tcBorders>
          </w:tcPr>
          <w:p>
            <w:pPr>
              <w:spacing w:after="0"/>
              <w:rPr>
                <w:sz w:val="21"/>
                <w:szCs w:val="21"/>
                <w:color w:val="auto"/>
              </w:rPr>
            </w:pPr>
          </w:p>
        </w:tc>
        <w:tc>
          <w:tcPr>
            <w:tcW w:w="1100" w:type="dxa"/>
            <w:vAlign w:val="bottom"/>
            <w:tcBorders>
              <w:bottom w:val="single" w:sz="8" w:color="DFF1FB"/>
            </w:tcBorders>
          </w:tcPr>
          <w:p>
            <w:pPr>
              <w:spacing w:after="0"/>
              <w:rPr>
                <w:sz w:val="21"/>
                <w:szCs w:val="21"/>
                <w:color w:val="auto"/>
              </w:rPr>
            </w:pPr>
          </w:p>
        </w:tc>
        <w:tc>
          <w:tcPr>
            <w:tcW w:w="1280" w:type="dxa"/>
            <w:vAlign w:val="bottom"/>
            <w:tcBorders>
              <w:bottom w:val="single" w:sz="8" w:color="DFF1FB"/>
            </w:tcBorders>
          </w:tcPr>
          <w:p>
            <w:pPr>
              <w:spacing w:after="0"/>
              <w:rPr>
                <w:sz w:val="21"/>
                <w:szCs w:val="21"/>
                <w:color w:val="auto"/>
              </w:rPr>
            </w:pPr>
          </w:p>
        </w:tc>
        <w:tc>
          <w:tcPr>
            <w:tcW w:w="1280" w:type="dxa"/>
            <w:vAlign w:val="bottom"/>
            <w:tcBorders>
              <w:bottom w:val="single" w:sz="8" w:color="DFF1FB"/>
            </w:tcBorders>
          </w:tcPr>
          <w:p>
            <w:pPr>
              <w:spacing w:after="0"/>
              <w:rPr>
                <w:sz w:val="21"/>
                <w:szCs w:val="21"/>
                <w:color w:val="auto"/>
              </w:rPr>
            </w:pPr>
          </w:p>
        </w:tc>
        <w:tc>
          <w:tcPr>
            <w:tcW w:w="880" w:type="dxa"/>
            <w:vAlign w:val="bottom"/>
            <w:tcBorders>
              <w:bottom w:val="single" w:sz="8" w:color="DFF1FB"/>
            </w:tcBorders>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3360" w:type="dxa"/>
            <w:vAlign w:val="bottom"/>
          </w:tcPr>
          <w:p>
            <w:pPr>
              <w:ind w:left="80"/>
              <w:spacing w:after="0"/>
              <w:rPr>
                <w:sz w:val="20"/>
                <w:szCs w:val="20"/>
                <w:color w:val="auto"/>
              </w:rPr>
            </w:pPr>
            <w:r>
              <w:rPr>
                <w:rFonts w:ascii="Arial" w:cs="Arial" w:eastAsia="Arial" w:hAnsi="Arial"/>
                <w:sz w:val="13"/>
                <w:szCs w:val="13"/>
                <w:color w:val="auto"/>
              </w:rPr>
              <w:t>Death</w:t>
            </w:r>
          </w:p>
        </w:tc>
        <w:tc>
          <w:tcPr>
            <w:tcW w:w="2680" w:type="dxa"/>
            <w:vAlign w:val="bottom"/>
          </w:tcPr>
          <w:p>
            <w:pPr>
              <w:jc w:val="right"/>
              <w:ind w:right="213"/>
              <w:spacing w:after="0"/>
              <w:rPr>
                <w:sz w:val="20"/>
                <w:szCs w:val="20"/>
                <w:color w:val="auto"/>
              </w:rPr>
            </w:pPr>
            <w:r>
              <w:rPr>
                <w:rFonts w:ascii="Arial" w:cs="Arial" w:eastAsia="Arial" w:hAnsi="Arial"/>
                <w:sz w:val="13"/>
                <w:szCs w:val="13"/>
                <w:color w:val="auto"/>
              </w:rPr>
              <w:t>0</w:t>
            </w:r>
          </w:p>
        </w:tc>
        <w:tc>
          <w:tcPr>
            <w:tcW w:w="840" w:type="dxa"/>
            <w:vAlign w:val="bottom"/>
          </w:tcPr>
          <w:p>
            <w:pPr>
              <w:jc w:val="right"/>
              <w:ind w:right="53"/>
              <w:spacing w:after="0"/>
              <w:rPr>
                <w:sz w:val="20"/>
                <w:szCs w:val="20"/>
                <w:color w:val="auto"/>
              </w:rPr>
            </w:pPr>
            <w:r>
              <w:rPr>
                <w:rFonts w:ascii="Arial" w:cs="Arial" w:eastAsia="Arial" w:hAnsi="Arial"/>
                <w:sz w:val="13"/>
                <w:szCs w:val="13"/>
                <w:color w:val="auto"/>
              </w:rPr>
              <w:t>6,719,194</w:t>
            </w:r>
          </w:p>
        </w:tc>
        <w:tc>
          <w:tcPr>
            <w:tcW w:w="1100" w:type="dxa"/>
            <w:vAlign w:val="bottom"/>
          </w:tcPr>
          <w:p>
            <w:pPr>
              <w:jc w:val="right"/>
              <w:ind w:right="33"/>
              <w:spacing w:after="0"/>
              <w:rPr>
                <w:sz w:val="20"/>
                <w:szCs w:val="20"/>
                <w:color w:val="auto"/>
              </w:rPr>
            </w:pPr>
            <w:r>
              <w:rPr>
                <w:rFonts w:ascii="Arial" w:cs="Arial" w:eastAsia="Arial" w:hAnsi="Arial"/>
                <w:sz w:val="13"/>
                <w:szCs w:val="13"/>
                <w:color w:val="auto"/>
              </w:rPr>
              <w:t>2,708,262</w:t>
            </w:r>
          </w:p>
        </w:tc>
        <w:tc>
          <w:tcPr>
            <w:tcW w:w="1280" w:type="dxa"/>
            <w:vAlign w:val="bottom"/>
          </w:tcPr>
          <w:p>
            <w:pPr>
              <w:jc w:val="right"/>
              <w:ind w:right="33"/>
              <w:spacing w:after="0"/>
              <w:rPr>
                <w:sz w:val="20"/>
                <w:szCs w:val="20"/>
                <w:color w:val="auto"/>
              </w:rPr>
            </w:pPr>
            <w:r>
              <w:rPr>
                <w:rFonts w:ascii="Arial" w:cs="Arial" w:eastAsia="Arial" w:hAnsi="Arial"/>
                <w:sz w:val="13"/>
                <w:szCs w:val="13"/>
                <w:color w:val="auto"/>
              </w:rPr>
              <w:t>22,433,797</w:t>
            </w:r>
          </w:p>
        </w:tc>
        <w:tc>
          <w:tcPr>
            <w:tcW w:w="1280" w:type="dxa"/>
            <w:vAlign w:val="bottom"/>
          </w:tcPr>
          <w:p>
            <w:pPr>
              <w:jc w:val="right"/>
              <w:ind w:right="193"/>
              <w:spacing w:after="0"/>
              <w:rPr>
                <w:sz w:val="20"/>
                <w:szCs w:val="20"/>
                <w:color w:val="auto"/>
              </w:rPr>
            </w:pPr>
            <w:r>
              <w:rPr>
                <w:rFonts w:ascii="Arial" w:cs="Arial" w:eastAsia="Arial" w:hAnsi="Arial"/>
                <w:sz w:val="13"/>
                <w:szCs w:val="13"/>
                <w:color w:val="auto"/>
              </w:rPr>
              <w:t>0</w:t>
            </w:r>
          </w:p>
        </w:tc>
        <w:tc>
          <w:tcPr>
            <w:tcW w:w="880" w:type="dxa"/>
            <w:vAlign w:val="bottom"/>
          </w:tcPr>
          <w:p>
            <w:pPr>
              <w:jc w:val="right"/>
              <w:ind w:right="13"/>
              <w:spacing w:after="0"/>
              <w:rPr>
                <w:sz w:val="20"/>
                <w:szCs w:val="20"/>
                <w:color w:val="auto"/>
              </w:rPr>
            </w:pPr>
            <w:r>
              <w:rPr>
                <w:rFonts w:ascii="Arial" w:cs="Arial" w:eastAsia="Arial" w:hAnsi="Arial"/>
                <w:sz w:val="13"/>
                <w:szCs w:val="13"/>
                <w:color w:val="auto"/>
              </w:rPr>
              <w:t>31,861,253</w:t>
            </w:r>
          </w:p>
        </w:tc>
        <w:tc>
          <w:tcPr>
            <w:tcW w:w="0" w:type="dxa"/>
            <w:vAlign w:val="bottom"/>
          </w:tcPr>
          <w:p>
            <w:pPr>
              <w:spacing w:after="0"/>
              <w:rPr>
                <w:sz w:val="1"/>
                <w:szCs w:val="1"/>
                <w:color w:val="auto"/>
              </w:rPr>
            </w:pPr>
          </w:p>
        </w:tc>
      </w:tr>
      <w:tr>
        <w:trPr>
          <w:trHeight w:val="41"/>
        </w:trPr>
        <w:tc>
          <w:tcPr>
            <w:tcW w:w="3360" w:type="dxa"/>
            <w:vAlign w:val="bottom"/>
            <w:tcBorders>
              <w:bottom w:val="single" w:sz="8" w:color="DFF1FB"/>
            </w:tcBorders>
          </w:tcPr>
          <w:p>
            <w:pPr>
              <w:spacing w:after="0"/>
              <w:rPr>
                <w:sz w:val="3"/>
                <w:szCs w:val="3"/>
                <w:color w:val="auto"/>
              </w:rPr>
            </w:pPr>
          </w:p>
        </w:tc>
        <w:tc>
          <w:tcPr>
            <w:tcW w:w="2680" w:type="dxa"/>
            <w:vAlign w:val="bottom"/>
            <w:tcBorders>
              <w:bottom w:val="single" w:sz="8" w:color="DFF1FB"/>
            </w:tcBorders>
          </w:tcPr>
          <w:p>
            <w:pPr>
              <w:spacing w:after="0"/>
              <w:rPr>
                <w:sz w:val="3"/>
                <w:szCs w:val="3"/>
                <w:color w:val="auto"/>
              </w:rPr>
            </w:pPr>
          </w:p>
        </w:tc>
        <w:tc>
          <w:tcPr>
            <w:tcW w:w="840" w:type="dxa"/>
            <w:vAlign w:val="bottom"/>
            <w:tcBorders>
              <w:bottom w:val="single" w:sz="8" w:color="DFF1FB"/>
            </w:tcBorders>
          </w:tcPr>
          <w:p>
            <w:pPr>
              <w:spacing w:after="0"/>
              <w:rPr>
                <w:sz w:val="3"/>
                <w:szCs w:val="3"/>
                <w:color w:val="auto"/>
              </w:rPr>
            </w:pPr>
          </w:p>
        </w:tc>
        <w:tc>
          <w:tcPr>
            <w:tcW w:w="1100" w:type="dxa"/>
            <w:vAlign w:val="bottom"/>
            <w:tcBorders>
              <w:bottom w:val="single" w:sz="8" w:color="DFF1FB"/>
            </w:tcBorders>
          </w:tcPr>
          <w:p>
            <w:pPr>
              <w:spacing w:after="0"/>
              <w:rPr>
                <w:sz w:val="3"/>
                <w:szCs w:val="3"/>
                <w:color w:val="auto"/>
              </w:rPr>
            </w:pPr>
          </w:p>
        </w:tc>
        <w:tc>
          <w:tcPr>
            <w:tcW w:w="1280" w:type="dxa"/>
            <w:vAlign w:val="bottom"/>
            <w:tcBorders>
              <w:bottom w:val="single" w:sz="8" w:color="DFF1FB"/>
            </w:tcBorders>
          </w:tcPr>
          <w:p>
            <w:pPr>
              <w:spacing w:after="0"/>
              <w:rPr>
                <w:sz w:val="3"/>
                <w:szCs w:val="3"/>
                <w:color w:val="auto"/>
              </w:rPr>
            </w:pPr>
          </w:p>
        </w:tc>
        <w:tc>
          <w:tcPr>
            <w:tcW w:w="1280" w:type="dxa"/>
            <w:vAlign w:val="bottom"/>
            <w:tcBorders>
              <w:bottom w:val="single" w:sz="8" w:color="DFF1FB"/>
            </w:tcBorders>
          </w:tcPr>
          <w:p>
            <w:pPr>
              <w:spacing w:after="0"/>
              <w:rPr>
                <w:sz w:val="3"/>
                <w:szCs w:val="3"/>
                <w:color w:val="auto"/>
              </w:rPr>
            </w:pPr>
          </w:p>
        </w:tc>
        <w:tc>
          <w:tcPr>
            <w:tcW w:w="880" w:type="dxa"/>
            <w:vAlign w:val="bottom"/>
            <w:tcBorders>
              <w:bottom w:val="single" w:sz="8" w:color="DFF1FB"/>
            </w:tcBorders>
          </w:tcPr>
          <w:p>
            <w:pPr>
              <w:spacing w:after="0"/>
              <w:rPr>
                <w:sz w:val="3"/>
                <w:szCs w:val="3"/>
                <w:color w:val="auto"/>
              </w:rPr>
            </w:pPr>
          </w:p>
        </w:tc>
        <w:tc>
          <w:tcPr>
            <w:tcW w:w="0" w:type="dxa"/>
            <w:vAlign w:val="bottom"/>
          </w:tcPr>
          <w:p>
            <w:pPr>
              <w:spacing w:after="0"/>
              <w:rPr>
                <w:sz w:val="1"/>
                <w:szCs w:val="1"/>
                <w:color w:val="auto"/>
              </w:rPr>
            </w:pPr>
          </w:p>
        </w:tc>
      </w:tr>
      <w:tr>
        <w:trPr>
          <w:trHeight w:val="290"/>
        </w:trPr>
        <w:tc>
          <w:tcPr>
            <w:tcW w:w="3360" w:type="dxa"/>
            <w:vAlign w:val="bottom"/>
            <w:tcBorders>
              <w:bottom w:val="single" w:sz="8" w:color="DFF1FB"/>
            </w:tcBorders>
          </w:tcPr>
          <w:p>
            <w:pPr>
              <w:ind w:left="80"/>
              <w:spacing w:after="0"/>
              <w:rPr>
                <w:sz w:val="20"/>
                <w:szCs w:val="20"/>
                <w:color w:val="auto"/>
              </w:rPr>
            </w:pPr>
            <w:r>
              <w:rPr>
                <w:rFonts w:ascii="Arial" w:cs="Arial" w:eastAsia="Arial" w:hAnsi="Arial"/>
                <w:sz w:val="13"/>
                <w:szCs w:val="13"/>
                <w:color w:val="auto"/>
              </w:rPr>
              <w:t>Disability</w:t>
            </w:r>
          </w:p>
        </w:tc>
        <w:tc>
          <w:tcPr>
            <w:tcW w:w="2680" w:type="dxa"/>
            <w:vAlign w:val="bottom"/>
            <w:tcBorders>
              <w:bottom w:val="single" w:sz="8" w:color="DFF1FB"/>
            </w:tcBorders>
          </w:tcPr>
          <w:p>
            <w:pPr>
              <w:jc w:val="right"/>
              <w:ind w:right="213"/>
              <w:spacing w:after="0"/>
              <w:rPr>
                <w:sz w:val="20"/>
                <w:szCs w:val="20"/>
                <w:color w:val="auto"/>
              </w:rPr>
            </w:pPr>
            <w:r>
              <w:rPr>
                <w:rFonts w:ascii="Arial" w:cs="Arial" w:eastAsia="Arial" w:hAnsi="Arial"/>
                <w:sz w:val="13"/>
                <w:szCs w:val="13"/>
                <w:color w:val="auto"/>
              </w:rPr>
              <w:t>0</w:t>
            </w:r>
          </w:p>
        </w:tc>
        <w:tc>
          <w:tcPr>
            <w:tcW w:w="840" w:type="dxa"/>
            <w:vAlign w:val="bottom"/>
            <w:tcBorders>
              <w:bottom w:val="single" w:sz="8" w:color="DFF1FB"/>
            </w:tcBorders>
          </w:tcPr>
          <w:p>
            <w:pPr>
              <w:jc w:val="right"/>
              <w:ind w:right="53"/>
              <w:spacing w:after="0"/>
              <w:rPr>
                <w:sz w:val="20"/>
                <w:szCs w:val="20"/>
                <w:color w:val="auto"/>
              </w:rPr>
            </w:pPr>
            <w:r>
              <w:rPr>
                <w:rFonts w:ascii="Arial" w:cs="Arial" w:eastAsia="Arial" w:hAnsi="Arial"/>
                <w:sz w:val="13"/>
                <w:szCs w:val="13"/>
                <w:color w:val="auto"/>
              </w:rPr>
              <w:t>6,719,194</w:t>
            </w:r>
          </w:p>
        </w:tc>
        <w:tc>
          <w:tcPr>
            <w:tcW w:w="1100" w:type="dxa"/>
            <w:vAlign w:val="bottom"/>
            <w:tcBorders>
              <w:bottom w:val="single" w:sz="8" w:color="DFF1FB"/>
            </w:tcBorders>
          </w:tcPr>
          <w:p>
            <w:pPr>
              <w:jc w:val="right"/>
              <w:ind w:right="33"/>
              <w:spacing w:after="0"/>
              <w:rPr>
                <w:sz w:val="20"/>
                <w:szCs w:val="20"/>
                <w:color w:val="auto"/>
              </w:rPr>
            </w:pPr>
            <w:r>
              <w:rPr>
                <w:rFonts w:ascii="Arial" w:cs="Arial" w:eastAsia="Arial" w:hAnsi="Arial"/>
                <w:sz w:val="13"/>
                <w:szCs w:val="13"/>
                <w:color w:val="auto"/>
              </w:rPr>
              <w:t>2,708,262</w:t>
            </w:r>
          </w:p>
        </w:tc>
        <w:tc>
          <w:tcPr>
            <w:tcW w:w="1280" w:type="dxa"/>
            <w:vAlign w:val="bottom"/>
            <w:tcBorders>
              <w:bottom w:val="single" w:sz="8" w:color="DFF1FB"/>
            </w:tcBorders>
          </w:tcPr>
          <w:p>
            <w:pPr>
              <w:jc w:val="right"/>
              <w:ind w:right="33"/>
              <w:spacing w:after="0"/>
              <w:rPr>
                <w:sz w:val="20"/>
                <w:szCs w:val="20"/>
                <w:color w:val="auto"/>
              </w:rPr>
            </w:pPr>
            <w:r>
              <w:rPr>
                <w:rFonts w:ascii="Arial" w:cs="Arial" w:eastAsia="Arial" w:hAnsi="Arial"/>
                <w:sz w:val="13"/>
                <w:szCs w:val="13"/>
                <w:color w:val="auto"/>
              </w:rPr>
              <w:t>22,433,797</w:t>
            </w:r>
          </w:p>
        </w:tc>
        <w:tc>
          <w:tcPr>
            <w:tcW w:w="1280" w:type="dxa"/>
            <w:vAlign w:val="bottom"/>
            <w:tcBorders>
              <w:bottom w:val="single" w:sz="8" w:color="DFF1FB"/>
            </w:tcBorders>
          </w:tcPr>
          <w:p>
            <w:pPr>
              <w:jc w:val="right"/>
              <w:ind w:right="53"/>
              <w:spacing w:after="0"/>
              <w:rPr>
                <w:sz w:val="20"/>
                <w:szCs w:val="20"/>
                <w:color w:val="auto"/>
              </w:rPr>
            </w:pPr>
            <w:r>
              <w:rPr>
                <w:rFonts w:ascii="Arial" w:cs="Arial" w:eastAsia="Arial" w:hAnsi="Arial"/>
                <w:sz w:val="13"/>
                <w:szCs w:val="13"/>
                <w:color w:val="auto"/>
              </w:rPr>
              <w:t>16,482,312</w:t>
            </w:r>
            <w:r>
              <w:rPr>
                <w:rFonts w:ascii="Arial" w:cs="Arial" w:eastAsia="Arial" w:hAnsi="Arial"/>
                <w:sz w:val="22"/>
                <w:szCs w:val="22"/>
                <w:color w:val="auto"/>
                <w:vertAlign w:val="superscript"/>
              </w:rPr>
              <w:t>(6)</w:t>
            </w:r>
          </w:p>
        </w:tc>
        <w:tc>
          <w:tcPr>
            <w:tcW w:w="880" w:type="dxa"/>
            <w:vAlign w:val="bottom"/>
            <w:tcBorders>
              <w:bottom w:val="single" w:sz="8" w:color="DFF1FB"/>
            </w:tcBorders>
          </w:tcPr>
          <w:p>
            <w:pPr>
              <w:jc w:val="right"/>
              <w:ind w:right="13"/>
              <w:spacing w:after="0"/>
              <w:rPr>
                <w:sz w:val="20"/>
                <w:szCs w:val="20"/>
                <w:color w:val="auto"/>
              </w:rPr>
            </w:pPr>
            <w:r>
              <w:rPr>
                <w:rFonts w:ascii="Arial" w:cs="Arial" w:eastAsia="Arial" w:hAnsi="Arial"/>
                <w:sz w:val="13"/>
                <w:szCs w:val="13"/>
                <w:color w:val="auto"/>
              </w:rPr>
              <w:t>48,343,565</w:t>
            </w:r>
          </w:p>
        </w:tc>
        <w:tc>
          <w:tcPr>
            <w:tcW w:w="0" w:type="dxa"/>
            <w:vAlign w:val="bottom"/>
          </w:tcPr>
          <w:p>
            <w:pPr>
              <w:spacing w:after="0"/>
              <w:rPr>
                <w:sz w:val="1"/>
                <w:szCs w:val="1"/>
                <w:color w:val="auto"/>
              </w:rPr>
            </w:pPr>
          </w:p>
        </w:tc>
      </w:tr>
      <w:tr>
        <w:trPr>
          <w:trHeight w:val="195"/>
        </w:trPr>
        <w:tc>
          <w:tcPr>
            <w:tcW w:w="3360" w:type="dxa"/>
            <w:vAlign w:val="bottom"/>
          </w:tcPr>
          <w:p>
            <w:pPr>
              <w:ind w:left="80"/>
              <w:spacing w:after="0"/>
              <w:rPr>
                <w:sz w:val="20"/>
                <w:szCs w:val="20"/>
                <w:color w:val="auto"/>
              </w:rPr>
            </w:pPr>
            <w:r>
              <w:rPr>
                <w:rFonts w:ascii="Arial" w:cs="Arial" w:eastAsia="Arial" w:hAnsi="Arial"/>
                <w:sz w:val="13"/>
                <w:szCs w:val="13"/>
                <w:b w:val="1"/>
                <w:bCs w:val="1"/>
                <w:color w:val="105EAB"/>
              </w:rPr>
              <w:t>Mr. Rizzo</w:t>
            </w:r>
          </w:p>
        </w:tc>
        <w:tc>
          <w:tcPr>
            <w:tcW w:w="26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8"/>
        </w:trPr>
        <w:tc>
          <w:tcPr>
            <w:tcW w:w="3360" w:type="dxa"/>
            <w:vAlign w:val="bottom"/>
            <w:tcBorders>
              <w:bottom w:val="single" w:sz="8" w:color="DFF1FB"/>
            </w:tcBorders>
          </w:tcPr>
          <w:p>
            <w:pPr>
              <w:ind w:left="80"/>
              <w:spacing w:after="0"/>
              <w:rPr>
                <w:sz w:val="20"/>
                <w:szCs w:val="20"/>
                <w:color w:val="auto"/>
              </w:rPr>
            </w:pPr>
            <w:r>
              <w:rPr>
                <w:rFonts w:ascii="Arial" w:cs="Arial" w:eastAsia="Arial" w:hAnsi="Arial"/>
                <w:sz w:val="13"/>
                <w:szCs w:val="13"/>
                <w:color w:val="auto"/>
              </w:rPr>
              <w:t>Termination/Retirement</w:t>
            </w:r>
            <w:r>
              <w:rPr>
                <w:rFonts w:ascii="Arial" w:cs="Arial" w:eastAsia="Arial" w:hAnsi="Arial"/>
                <w:sz w:val="22"/>
                <w:szCs w:val="22"/>
                <w:color w:val="auto"/>
                <w:vertAlign w:val="superscript"/>
              </w:rPr>
              <w:t>(3)</w:t>
            </w:r>
          </w:p>
        </w:tc>
        <w:tc>
          <w:tcPr>
            <w:tcW w:w="2680" w:type="dxa"/>
            <w:vAlign w:val="bottom"/>
            <w:tcBorders>
              <w:bottom w:val="single" w:sz="8" w:color="DFF1FB"/>
            </w:tcBorders>
          </w:tcPr>
          <w:p>
            <w:pPr>
              <w:jc w:val="right"/>
              <w:ind w:right="213"/>
              <w:spacing w:after="0"/>
              <w:rPr>
                <w:sz w:val="20"/>
                <w:szCs w:val="20"/>
                <w:color w:val="auto"/>
              </w:rPr>
            </w:pPr>
            <w:r>
              <w:rPr>
                <w:rFonts w:ascii="Arial" w:cs="Arial" w:eastAsia="Arial" w:hAnsi="Arial"/>
                <w:sz w:val="13"/>
                <w:szCs w:val="13"/>
                <w:color w:val="auto"/>
              </w:rPr>
              <w:t>0</w:t>
            </w:r>
          </w:p>
        </w:tc>
        <w:tc>
          <w:tcPr>
            <w:tcW w:w="840" w:type="dxa"/>
            <w:vAlign w:val="bottom"/>
            <w:tcBorders>
              <w:bottom w:val="single" w:sz="8" w:color="DFF1FB"/>
            </w:tcBorders>
          </w:tcPr>
          <w:p>
            <w:pPr>
              <w:jc w:val="right"/>
              <w:ind w:right="53"/>
              <w:spacing w:after="0"/>
              <w:rPr>
                <w:sz w:val="20"/>
                <w:szCs w:val="20"/>
                <w:color w:val="auto"/>
              </w:rPr>
            </w:pPr>
            <w:r>
              <w:rPr>
                <w:rFonts w:ascii="Arial" w:cs="Arial" w:eastAsia="Arial" w:hAnsi="Arial"/>
                <w:sz w:val="13"/>
                <w:szCs w:val="13"/>
                <w:color w:val="auto"/>
              </w:rPr>
              <w:t>0</w:t>
            </w:r>
          </w:p>
        </w:tc>
        <w:tc>
          <w:tcPr>
            <w:tcW w:w="1100" w:type="dxa"/>
            <w:vAlign w:val="bottom"/>
            <w:tcBorders>
              <w:bottom w:val="single" w:sz="8" w:color="DFF1FB"/>
            </w:tcBorders>
          </w:tcPr>
          <w:p>
            <w:pPr>
              <w:jc w:val="right"/>
              <w:ind w:right="33"/>
              <w:spacing w:after="0"/>
              <w:rPr>
                <w:sz w:val="20"/>
                <w:szCs w:val="20"/>
                <w:color w:val="auto"/>
              </w:rPr>
            </w:pPr>
            <w:r>
              <w:rPr>
                <w:rFonts w:ascii="Arial" w:cs="Arial" w:eastAsia="Arial" w:hAnsi="Arial"/>
                <w:sz w:val="13"/>
                <w:szCs w:val="13"/>
                <w:color w:val="auto"/>
              </w:rPr>
              <w:t>0</w:t>
            </w:r>
          </w:p>
        </w:tc>
        <w:tc>
          <w:tcPr>
            <w:tcW w:w="1280" w:type="dxa"/>
            <w:vAlign w:val="bottom"/>
            <w:tcBorders>
              <w:bottom w:val="single" w:sz="8" w:color="DFF1FB"/>
            </w:tcBorders>
          </w:tcPr>
          <w:p>
            <w:pPr>
              <w:jc w:val="right"/>
              <w:ind w:right="33"/>
              <w:spacing w:after="0"/>
              <w:rPr>
                <w:sz w:val="20"/>
                <w:szCs w:val="20"/>
                <w:color w:val="auto"/>
              </w:rPr>
            </w:pPr>
            <w:r>
              <w:rPr>
                <w:rFonts w:ascii="Arial" w:cs="Arial" w:eastAsia="Arial" w:hAnsi="Arial"/>
                <w:sz w:val="13"/>
                <w:szCs w:val="13"/>
                <w:color w:val="auto"/>
              </w:rPr>
              <w:t>0</w:t>
            </w:r>
          </w:p>
        </w:tc>
        <w:tc>
          <w:tcPr>
            <w:tcW w:w="1280" w:type="dxa"/>
            <w:vAlign w:val="bottom"/>
            <w:tcBorders>
              <w:bottom w:val="single" w:sz="8" w:color="DFF1FB"/>
            </w:tcBorders>
          </w:tcPr>
          <w:p>
            <w:pPr>
              <w:jc w:val="right"/>
              <w:ind w:right="193"/>
              <w:spacing w:after="0"/>
              <w:rPr>
                <w:sz w:val="20"/>
                <w:szCs w:val="20"/>
                <w:color w:val="auto"/>
              </w:rPr>
            </w:pPr>
            <w:r>
              <w:rPr>
                <w:rFonts w:ascii="Arial" w:cs="Arial" w:eastAsia="Arial" w:hAnsi="Arial"/>
                <w:sz w:val="13"/>
                <w:szCs w:val="13"/>
                <w:color w:val="auto"/>
              </w:rPr>
              <w:t>0</w:t>
            </w:r>
          </w:p>
        </w:tc>
        <w:tc>
          <w:tcPr>
            <w:tcW w:w="880" w:type="dxa"/>
            <w:vAlign w:val="bottom"/>
            <w:tcBorders>
              <w:bottom w:val="single" w:sz="8" w:color="DFF1FB"/>
            </w:tcBorders>
          </w:tcPr>
          <w:p>
            <w:pPr>
              <w:jc w:val="right"/>
              <w:ind w:right="13"/>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340"/>
        </w:trPr>
        <w:tc>
          <w:tcPr>
            <w:tcW w:w="3360" w:type="dxa"/>
            <w:vAlign w:val="bottom"/>
          </w:tcPr>
          <w:p>
            <w:pPr>
              <w:ind w:left="80"/>
              <w:spacing w:after="0"/>
              <w:rPr>
                <w:sz w:val="20"/>
                <w:szCs w:val="20"/>
                <w:color w:val="auto"/>
              </w:rPr>
            </w:pPr>
            <w:r>
              <w:rPr>
                <w:rFonts w:ascii="Arial" w:cs="Arial" w:eastAsia="Arial" w:hAnsi="Arial"/>
                <w:sz w:val="13"/>
                <w:szCs w:val="13"/>
                <w:color w:val="auto"/>
              </w:rPr>
              <w:t>Termination due to</w:t>
            </w:r>
          </w:p>
        </w:tc>
        <w:tc>
          <w:tcPr>
            <w:tcW w:w="2680" w:type="dxa"/>
            <w:vAlign w:val="bottom"/>
          </w:tcPr>
          <w:p>
            <w:pPr>
              <w:jc w:val="right"/>
              <w:ind w:right="73"/>
              <w:spacing w:after="0"/>
              <w:rPr>
                <w:sz w:val="20"/>
                <w:szCs w:val="20"/>
                <w:color w:val="auto"/>
              </w:rPr>
            </w:pPr>
            <w:r>
              <w:rPr>
                <w:rFonts w:ascii="Arial" w:cs="Arial" w:eastAsia="Arial" w:hAnsi="Arial"/>
                <w:sz w:val="13"/>
                <w:szCs w:val="13"/>
                <w:color w:val="auto"/>
              </w:rPr>
              <w:t>2,718,574</w:t>
            </w:r>
            <w:r>
              <w:rPr>
                <w:rFonts w:ascii="Arial" w:cs="Arial" w:eastAsia="Arial" w:hAnsi="Arial"/>
                <w:sz w:val="22"/>
                <w:szCs w:val="22"/>
                <w:color w:val="auto"/>
                <w:vertAlign w:val="superscript"/>
              </w:rPr>
              <w:t>(7)</w:t>
            </w:r>
          </w:p>
        </w:tc>
        <w:tc>
          <w:tcPr>
            <w:tcW w:w="840" w:type="dxa"/>
            <w:vAlign w:val="bottom"/>
          </w:tcPr>
          <w:p>
            <w:pPr>
              <w:jc w:val="right"/>
              <w:ind w:right="53"/>
              <w:spacing w:after="0"/>
              <w:rPr>
                <w:sz w:val="20"/>
                <w:szCs w:val="20"/>
                <w:color w:val="auto"/>
              </w:rPr>
            </w:pPr>
            <w:r>
              <w:rPr>
                <w:rFonts w:ascii="Arial" w:cs="Arial" w:eastAsia="Arial" w:hAnsi="Arial"/>
                <w:sz w:val="13"/>
                <w:szCs w:val="13"/>
                <w:color w:val="auto"/>
              </w:rPr>
              <w:t>875,000</w:t>
            </w:r>
          </w:p>
        </w:tc>
        <w:tc>
          <w:tcPr>
            <w:tcW w:w="1100" w:type="dxa"/>
            <w:vAlign w:val="bottom"/>
          </w:tcPr>
          <w:p>
            <w:pPr>
              <w:jc w:val="right"/>
              <w:ind w:right="33"/>
              <w:spacing w:after="0"/>
              <w:rPr>
                <w:sz w:val="20"/>
                <w:szCs w:val="20"/>
                <w:color w:val="auto"/>
              </w:rPr>
            </w:pPr>
            <w:r>
              <w:rPr>
                <w:rFonts w:ascii="Arial" w:cs="Arial" w:eastAsia="Arial" w:hAnsi="Arial"/>
                <w:sz w:val="13"/>
                <w:szCs w:val="13"/>
                <w:color w:val="auto"/>
              </w:rPr>
              <w:t>97,073</w:t>
            </w:r>
          </w:p>
        </w:tc>
        <w:tc>
          <w:tcPr>
            <w:tcW w:w="1280" w:type="dxa"/>
            <w:vAlign w:val="bottom"/>
          </w:tcPr>
          <w:p>
            <w:pPr>
              <w:jc w:val="right"/>
              <w:ind w:right="33"/>
              <w:spacing w:after="0"/>
              <w:rPr>
                <w:sz w:val="20"/>
                <w:szCs w:val="20"/>
                <w:color w:val="auto"/>
              </w:rPr>
            </w:pPr>
            <w:r>
              <w:rPr>
                <w:rFonts w:ascii="Arial" w:cs="Arial" w:eastAsia="Arial" w:hAnsi="Arial"/>
                <w:sz w:val="13"/>
                <w:szCs w:val="13"/>
                <w:color w:val="auto"/>
              </w:rPr>
              <w:t>1,751,095</w:t>
            </w:r>
          </w:p>
        </w:tc>
        <w:tc>
          <w:tcPr>
            <w:tcW w:w="1280" w:type="dxa"/>
            <w:vAlign w:val="bottom"/>
          </w:tcPr>
          <w:p>
            <w:pPr>
              <w:jc w:val="right"/>
              <w:ind w:right="53"/>
              <w:spacing w:after="0"/>
              <w:rPr>
                <w:sz w:val="20"/>
                <w:szCs w:val="20"/>
                <w:color w:val="auto"/>
              </w:rPr>
            </w:pPr>
            <w:r>
              <w:rPr>
                <w:rFonts w:ascii="Arial" w:cs="Arial" w:eastAsia="Arial" w:hAnsi="Arial"/>
                <w:sz w:val="13"/>
                <w:szCs w:val="13"/>
                <w:color w:val="auto"/>
              </w:rPr>
              <w:t>69,772</w:t>
            </w:r>
            <w:r>
              <w:rPr>
                <w:rFonts w:ascii="Arial" w:cs="Arial" w:eastAsia="Arial" w:hAnsi="Arial"/>
                <w:sz w:val="22"/>
                <w:szCs w:val="22"/>
                <w:color w:val="auto"/>
                <w:vertAlign w:val="superscript"/>
              </w:rPr>
              <w:t>(5)</w:t>
            </w:r>
          </w:p>
        </w:tc>
        <w:tc>
          <w:tcPr>
            <w:tcW w:w="880" w:type="dxa"/>
            <w:vAlign w:val="bottom"/>
          </w:tcPr>
          <w:p>
            <w:pPr>
              <w:jc w:val="right"/>
              <w:ind w:right="13"/>
              <w:spacing w:after="0"/>
              <w:rPr>
                <w:sz w:val="20"/>
                <w:szCs w:val="20"/>
                <w:color w:val="auto"/>
              </w:rPr>
            </w:pPr>
            <w:r>
              <w:rPr>
                <w:rFonts w:ascii="Arial" w:cs="Arial" w:eastAsia="Arial" w:hAnsi="Arial"/>
                <w:sz w:val="13"/>
                <w:szCs w:val="13"/>
                <w:color w:val="auto"/>
              </w:rPr>
              <w:t>5,511,514</w:t>
            </w:r>
          </w:p>
        </w:tc>
        <w:tc>
          <w:tcPr>
            <w:tcW w:w="0" w:type="dxa"/>
            <w:vAlign w:val="bottom"/>
          </w:tcPr>
          <w:p>
            <w:pPr>
              <w:spacing w:after="0"/>
              <w:rPr>
                <w:sz w:val="1"/>
                <w:szCs w:val="1"/>
                <w:color w:val="auto"/>
              </w:rPr>
            </w:pPr>
          </w:p>
        </w:tc>
      </w:tr>
      <w:tr>
        <w:trPr>
          <w:trHeight w:val="247"/>
        </w:trPr>
        <w:tc>
          <w:tcPr>
            <w:tcW w:w="3360" w:type="dxa"/>
            <w:vAlign w:val="bottom"/>
            <w:tcBorders>
              <w:bottom w:val="single" w:sz="8" w:color="DFF1FB"/>
            </w:tcBorders>
          </w:tcPr>
          <w:p>
            <w:pPr>
              <w:ind w:left="80"/>
              <w:spacing w:after="0" w:line="247" w:lineRule="exact"/>
              <w:rPr>
                <w:sz w:val="20"/>
                <w:szCs w:val="20"/>
                <w:color w:val="auto"/>
              </w:rPr>
            </w:pPr>
            <w:r>
              <w:rPr>
                <w:rFonts w:ascii="Arial" w:cs="Arial" w:eastAsia="Arial" w:hAnsi="Arial"/>
                <w:sz w:val="13"/>
                <w:szCs w:val="13"/>
                <w:color w:val="auto"/>
              </w:rPr>
              <w:t>Change in Control</w:t>
            </w:r>
            <w:r>
              <w:rPr>
                <w:rFonts w:ascii="Arial" w:cs="Arial" w:eastAsia="Arial" w:hAnsi="Arial"/>
                <w:sz w:val="22"/>
                <w:szCs w:val="22"/>
                <w:color w:val="auto"/>
                <w:vertAlign w:val="superscript"/>
              </w:rPr>
              <w:t>(4)</w:t>
            </w:r>
          </w:p>
        </w:tc>
        <w:tc>
          <w:tcPr>
            <w:tcW w:w="2680" w:type="dxa"/>
            <w:vAlign w:val="bottom"/>
            <w:tcBorders>
              <w:bottom w:val="single" w:sz="8" w:color="DFF1FB"/>
            </w:tcBorders>
          </w:tcPr>
          <w:p>
            <w:pPr>
              <w:spacing w:after="0"/>
              <w:rPr>
                <w:sz w:val="21"/>
                <w:szCs w:val="21"/>
                <w:color w:val="auto"/>
              </w:rPr>
            </w:pPr>
          </w:p>
        </w:tc>
        <w:tc>
          <w:tcPr>
            <w:tcW w:w="840" w:type="dxa"/>
            <w:vAlign w:val="bottom"/>
            <w:tcBorders>
              <w:bottom w:val="single" w:sz="8" w:color="DFF1FB"/>
            </w:tcBorders>
          </w:tcPr>
          <w:p>
            <w:pPr>
              <w:spacing w:after="0"/>
              <w:rPr>
                <w:sz w:val="21"/>
                <w:szCs w:val="21"/>
                <w:color w:val="auto"/>
              </w:rPr>
            </w:pPr>
          </w:p>
        </w:tc>
        <w:tc>
          <w:tcPr>
            <w:tcW w:w="1100" w:type="dxa"/>
            <w:vAlign w:val="bottom"/>
            <w:tcBorders>
              <w:bottom w:val="single" w:sz="8" w:color="DFF1FB"/>
            </w:tcBorders>
          </w:tcPr>
          <w:p>
            <w:pPr>
              <w:spacing w:after="0"/>
              <w:rPr>
                <w:sz w:val="21"/>
                <w:szCs w:val="21"/>
                <w:color w:val="auto"/>
              </w:rPr>
            </w:pPr>
          </w:p>
        </w:tc>
        <w:tc>
          <w:tcPr>
            <w:tcW w:w="1280" w:type="dxa"/>
            <w:vAlign w:val="bottom"/>
            <w:tcBorders>
              <w:bottom w:val="single" w:sz="8" w:color="DFF1FB"/>
            </w:tcBorders>
          </w:tcPr>
          <w:p>
            <w:pPr>
              <w:spacing w:after="0"/>
              <w:rPr>
                <w:sz w:val="21"/>
                <w:szCs w:val="21"/>
                <w:color w:val="auto"/>
              </w:rPr>
            </w:pPr>
          </w:p>
        </w:tc>
        <w:tc>
          <w:tcPr>
            <w:tcW w:w="1280" w:type="dxa"/>
            <w:vAlign w:val="bottom"/>
            <w:tcBorders>
              <w:bottom w:val="single" w:sz="8" w:color="DFF1FB"/>
            </w:tcBorders>
          </w:tcPr>
          <w:p>
            <w:pPr>
              <w:spacing w:after="0"/>
              <w:rPr>
                <w:sz w:val="21"/>
                <w:szCs w:val="21"/>
                <w:color w:val="auto"/>
              </w:rPr>
            </w:pPr>
          </w:p>
        </w:tc>
        <w:tc>
          <w:tcPr>
            <w:tcW w:w="880" w:type="dxa"/>
            <w:vAlign w:val="bottom"/>
            <w:tcBorders>
              <w:bottom w:val="single" w:sz="8" w:color="DFF1FB"/>
            </w:tcBorders>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3360" w:type="dxa"/>
            <w:vAlign w:val="bottom"/>
          </w:tcPr>
          <w:p>
            <w:pPr>
              <w:ind w:left="80"/>
              <w:spacing w:after="0"/>
              <w:rPr>
                <w:sz w:val="20"/>
                <w:szCs w:val="20"/>
                <w:color w:val="auto"/>
              </w:rPr>
            </w:pPr>
            <w:r>
              <w:rPr>
                <w:rFonts w:ascii="Arial" w:cs="Arial" w:eastAsia="Arial" w:hAnsi="Arial"/>
                <w:sz w:val="13"/>
                <w:szCs w:val="13"/>
                <w:color w:val="auto"/>
              </w:rPr>
              <w:t>Death</w:t>
            </w:r>
          </w:p>
        </w:tc>
        <w:tc>
          <w:tcPr>
            <w:tcW w:w="2680" w:type="dxa"/>
            <w:vAlign w:val="bottom"/>
          </w:tcPr>
          <w:p>
            <w:pPr>
              <w:jc w:val="right"/>
              <w:ind w:right="213"/>
              <w:spacing w:after="0"/>
              <w:rPr>
                <w:sz w:val="20"/>
                <w:szCs w:val="20"/>
                <w:color w:val="auto"/>
              </w:rPr>
            </w:pPr>
            <w:r>
              <w:rPr>
                <w:rFonts w:ascii="Arial" w:cs="Arial" w:eastAsia="Arial" w:hAnsi="Arial"/>
                <w:sz w:val="13"/>
                <w:szCs w:val="13"/>
                <w:color w:val="auto"/>
              </w:rPr>
              <w:t>0</w:t>
            </w:r>
          </w:p>
        </w:tc>
        <w:tc>
          <w:tcPr>
            <w:tcW w:w="840" w:type="dxa"/>
            <w:vAlign w:val="bottom"/>
          </w:tcPr>
          <w:p>
            <w:pPr>
              <w:jc w:val="right"/>
              <w:ind w:right="53"/>
              <w:spacing w:after="0"/>
              <w:rPr>
                <w:sz w:val="20"/>
                <w:szCs w:val="20"/>
                <w:color w:val="auto"/>
              </w:rPr>
            </w:pPr>
            <w:r>
              <w:rPr>
                <w:rFonts w:ascii="Arial" w:cs="Arial" w:eastAsia="Arial" w:hAnsi="Arial"/>
                <w:sz w:val="13"/>
                <w:szCs w:val="13"/>
                <w:color w:val="auto"/>
              </w:rPr>
              <w:t>1,510,788</w:t>
            </w:r>
          </w:p>
        </w:tc>
        <w:tc>
          <w:tcPr>
            <w:tcW w:w="1100" w:type="dxa"/>
            <w:vAlign w:val="bottom"/>
          </w:tcPr>
          <w:p>
            <w:pPr>
              <w:jc w:val="right"/>
              <w:ind w:right="33"/>
              <w:spacing w:after="0"/>
              <w:rPr>
                <w:sz w:val="20"/>
                <w:szCs w:val="20"/>
                <w:color w:val="auto"/>
              </w:rPr>
            </w:pPr>
            <w:r>
              <w:rPr>
                <w:rFonts w:ascii="Arial" w:cs="Arial" w:eastAsia="Arial" w:hAnsi="Arial"/>
                <w:sz w:val="13"/>
                <w:szCs w:val="13"/>
                <w:color w:val="auto"/>
              </w:rPr>
              <w:t>97,073</w:t>
            </w:r>
          </w:p>
        </w:tc>
        <w:tc>
          <w:tcPr>
            <w:tcW w:w="1280" w:type="dxa"/>
            <w:vAlign w:val="bottom"/>
          </w:tcPr>
          <w:p>
            <w:pPr>
              <w:jc w:val="right"/>
              <w:ind w:right="33"/>
              <w:spacing w:after="0"/>
              <w:rPr>
                <w:sz w:val="20"/>
                <w:szCs w:val="20"/>
                <w:color w:val="auto"/>
              </w:rPr>
            </w:pPr>
            <w:r>
              <w:rPr>
                <w:rFonts w:ascii="Arial" w:cs="Arial" w:eastAsia="Arial" w:hAnsi="Arial"/>
                <w:sz w:val="13"/>
                <w:szCs w:val="13"/>
                <w:color w:val="auto"/>
              </w:rPr>
              <w:t>1,751,095</w:t>
            </w:r>
          </w:p>
        </w:tc>
        <w:tc>
          <w:tcPr>
            <w:tcW w:w="1280" w:type="dxa"/>
            <w:vAlign w:val="bottom"/>
          </w:tcPr>
          <w:p>
            <w:pPr>
              <w:jc w:val="right"/>
              <w:ind w:right="193"/>
              <w:spacing w:after="0"/>
              <w:rPr>
                <w:sz w:val="20"/>
                <w:szCs w:val="20"/>
                <w:color w:val="auto"/>
              </w:rPr>
            </w:pPr>
            <w:r>
              <w:rPr>
                <w:rFonts w:ascii="Arial" w:cs="Arial" w:eastAsia="Arial" w:hAnsi="Arial"/>
                <w:sz w:val="13"/>
                <w:szCs w:val="13"/>
                <w:color w:val="auto"/>
              </w:rPr>
              <w:t>0</w:t>
            </w:r>
          </w:p>
        </w:tc>
        <w:tc>
          <w:tcPr>
            <w:tcW w:w="880" w:type="dxa"/>
            <w:vAlign w:val="bottom"/>
          </w:tcPr>
          <w:p>
            <w:pPr>
              <w:jc w:val="right"/>
              <w:ind w:right="13"/>
              <w:spacing w:after="0"/>
              <w:rPr>
                <w:sz w:val="20"/>
                <w:szCs w:val="20"/>
                <w:color w:val="auto"/>
              </w:rPr>
            </w:pPr>
            <w:r>
              <w:rPr>
                <w:rFonts w:ascii="Arial" w:cs="Arial" w:eastAsia="Arial" w:hAnsi="Arial"/>
                <w:sz w:val="13"/>
                <w:szCs w:val="13"/>
                <w:color w:val="auto"/>
              </w:rPr>
              <w:t>3,358,956</w:t>
            </w:r>
          </w:p>
        </w:tc>
        <w:tc>
          <w:tcPr>
            <w:tcW w:w="0" w:type="dxa"/>
            <w:vAlign w:val="bottom"/>
          </w:tcPr>
          <w:p>
            <w:pPr>
              <w:spacing w:after="0"/>
              <w:rPr>
                <w:sz w:val="1"/>
                <w:szCs w:val="1"/>
                <w:color w:val="auto"/>
              </w:rPr>
            </w:pPr>
          </w:p>
        </w:tc>
      </w:tr>
      <w:tr>
        <w:trPr>
          <w:trHeight w:val="41"/>
        </w:trPr>
        <w:tc>
          <w:tcPr>
            <w:tcW w:w="3360" w:type="dxa"/>
            <w:vAlign w:val="bottom"/>
            <w:tcBorders>
              <w:bottom w:val="single" w:sz="8" w:color="DFF1FB"/>
            </w:tcBorders>
          </w:tcPr>
          <w:p>
            <w:pPr>
              <w:spacing w:after="0"/>
              <w:rPr>
                <w:sz w:val="3"/>
                <w:szCs w:val="3"/>
                <w:color w:val="auto"/>
              </w:rPr>
            </w:pPr>
          </w:p>
        </w:tc>
        <w:tc>
          <w:tcPr>
            <w:tcW w:w="2680" w:type="dxa"/>
            <w:vAlign w:val="bottom"/>
            <w:tcBorders>
              <w:bottom w:val="single" w:sz="8" w:color="DFF1FB"/>
            </w:tcBorders>
          </w:tcPr>
          <w:p>
            <w:pPr>
              <w:spacing w:after="0"/>
              <w:rPr>
                <w:sz w:val="3"/>
                <w:szCs w:val="3"/>
                <w:color w:val="auto"/>
              </w:rPr>
            </w:pPr>
          </w:p>
        </w:tc>
        <w:tc>
          <w:tcPr>
            <w:tcW w:w="840" w:type="dxa"/>
            <w:vAlign w:val="bottom"/>
            <w:tcBorders>
              <w:bottom w:val="single" w:sz="8" w:color="DFF1FB"/>
            </w:tcBorders>
          </w:tcPr>
          <w:p>
            <w:pPr>
              <w:spacing w:after="0"/>
              <w:rPr>
                <w:sz w:val="3"/>
                <w:szCs w:val="3"/>
                <w:color w:val="auto"/>
              </w:rPr>
            </w:pPr>
          </w:p>
        </w:tc>
        <w:tc>
          <w:tcPr>
            <w:tcW w:w="1100" w:type="dxa"/>
            <w:vAlign w:val="bottom"/>
            <w:tcBorders>
              <w:bottom w:val="single" w:sz="8" w:color="DFF1FB"/>
            </w:tcBorders>
          </w:tcPr>
          <w:p>
            <w:pPr>
              <w:spacing w:after="0"/>
              <w:rPr>
                <w:sz w:val="3"/>
                <w:szCs w:val="3"/>
                <w:color w:val="auto"/>
              </w:rPr>
            </w:pPr>
          </w:p>
        </w:tc>
        <w:tc>
          <w:tcPr>
            <w:tcW w:w="1280" w:type="dxa"/>
            <w:vAlign w:val="bottom"/>
            <w:tcBorders>
              <w:bottom w:val="single" w:sz="8" w:color="DFF1FB"/>
            </w:tcBorders>
          </w:tcPr>
          <w:p>
            <w:pPr>
              <w:spacing w:after="0"/>
              <w:rPr>
                <w:sz w:val="3"/>
                <w:szCs w:val="3"/>
                <w:color w:val="auto"/>
              </w:rPr>
            </w:pPr>
          </w:p>
        </w:tc>
        <w:tc>
          <w:tcPr>
            <w:tcW w:w="1280" w:type="dxa"/>
            <w:vAlign w:val="bottom"/>
            <w:tcBorders>
              <w:bottom w:val="single" w:sz="8" w:color="DFF1FB"/>
            </w:tcBorders>
          </w:tcPr>
          <w:p>
            <w:pPr>
              <w:spacing w:after="0"/>
              <w:rPr>
                <w:sz w:val="3"/>
                <w:szCs w:val="3"/>
                <w:color w:val="auto"/>
              </w:rPr>
            </w:pPr>
          </w:p>
        </w:tc>
        <w:tc>
          <w:tcPr>
            <w:tcW w:w="880" w:type="dxa"/>
            <w:vAlign w:val="bottom"/>
            <w:tcBorders>
              <w:bottom w:val="single" w:sz="8" w:color="DFF1FB"/>
            </w:tcBorders>
          </w:tcPr>
          <w:p>
            <w:pPr>
              <w:spacing w:after="0"/>
              <w:rPr>
                <w:sz w:val="3"/>
                <w:szCs w:val="3"/>
                <w:color w:val="auto"/>
              </w:rPr>
            </w:pPr>
          </w:p>
        </w:tc>
        <w:tc>
          <w:tcPr>
            <w:tcW w:w="0" w:type="dxa"/>
            <w:vAlign w:val="bottom"/>
          </w:tcPr>
          <w:p>
            <w:pPr>
              <w:spacing w:after="0"/>
              <w:rPr>
                <w:sz w:val="1"/>
                <w:szCs w:val="1"/>
                <w:color w:val="auto"/>
              </w:rPr>
            </w:pPr>
          </w:p>
        </w:tc>
      </w:tr>
      <w:tr>
        <w:trPr>
          <w:trHeight w:val="290"/>
        </w:trPr>
        <w:tc>
          <w:tcPr>
            <w:tcW w:w="3360" w:type="dxa"/>
            <w:vAlign w:val="bottom"/>
            <w:tcBorders>
              <w:bottom w:val="single" w:sz="8" w:color="DFF1FB"/>
            </w:tcBorders>
          </w:tcPr>
          <w:p>
            <w:pPr>
              <w:ind w:left="80"/>
              <w:spacing w:after="0"/>
              <w:rPr>
                <w:sz w:val="20"/>
                <w:szCs w:val="20"/>
                <w:color w:val="auto"/>
              </w:rPr>
            </w:pPr>
            <w:r>
              <w:rPr>
                <w:rFonts w:ascii="Arial" w:cs="Arial" w:eastAsia="Arial" w:hAnsi="Arial"/>
                <w:sz w:val="13"/>
                <w:szCs w:val="13"/>
                <w:color w:val="auto"/>
              </w:rPr>
              <w:t>Disability</w:t>
            </w:r>
          </w:p>
        </w:tc>
        <w:tc>
          <w:tcPr>
            <w:tcW w:w="2680" w:type="dxa"/>
            <w:vAlign w:val="bottom"/>
            <w:tcBorders>
              <w:bottom w:val="single" w:sz="8" w:color="DFF1FB"/>
            </w:tcBorders>
          </w:tcPr>
          <w:p>
            <w:pPr>
              <w:jc w:val="right"/>
              <w:ind w:right="213"/>
              <w:spacing w:after="0"/>
              <w:rPr>
                <w:sz w:val="20"/>
                <w:szCs w:val="20"/>
                <w:color w:val="auto"/>
              </w:rPr>
            </w:pPr>
            <w:r>
              <w:rPr>
                <w:rFonts w:ascii="Arial" w:cs="Arial" w:eastAsia="Arial" w:hAnsi="Arial"/>
                <w:sz w:val="13"/>
                <w:szCs w:val="13"/>
                <w:color w:val="auto"/>
              </w:rPr>
              <w:t>0</w:t>
            </w:r>
          </w:p>
        </w:tc>
        <w:tc>
          <w:tcPr>
            <w:tcW w:w="840" w:type="dxa"/>
            <w:vAlign w:val="bottom"/>
            <w:tcBorders>
              <w:bottom w:val="single" w:sz="8" w:color="DFF1FB"/>
            </w:tcBorders>
          </w:tcPr>
          <w:p>
            <w:pPr>
              <w:jc w:val="right"/>
              <w:ind w:right="53"/>
              <w:spacing w:after="0"/>
              <w:rPr>
                <w:sz w:val="20"/>
                <w:szCs w:val="20"/>
                <w:color w:val="auto"/>
              </w:rPr>
            </w:pPr>
            <w:r>
              <w:rPr>
                <w:rFonts w:ascii="Arial" w:cs="Arial" w:eastAsia="Arial" w:hAnsi="Arial"/>
                <w:sz w:val="13"/>
                <w:szCs w:val="13"/>
                <w:color w:val="auto"/>
              </w:rPr>
              <w:t>1,510,788</w:t>
            </w:r>
          </w:p>
        </w:tc>
        <w:tc>
          <w:tcPr>
            <w:tcW w:w="1100" w:type="dxa"/>
            <w:vAlign w:val="bottom"/>
            <w:tcBorders>
              <w:bottom w:val="single" w:sz="8" w:color="DFF1FB"/>
            </w:tcBorders>
          </w:tcPr>
          <w:p>
            <w:pPr>
              <w:jc w:val="right"/>
              <w:ind w:right="33"/>
              <w:spacing w:after="0"/>
              <w:rPr>
                <w:sz w:val="20"/>
                <w:szCs w:val="20"/>
                <w:color w:val="auto"/>
              </w:rPr>
            </w:pPr>
            <w:r>
              <w:rPr>
                <w:rFonts w:ascii="Arial" w:cs="Arial" w:eastAsia="Arial" w:hAnsi="Arial"/>
                <w:sz w:val="13"/>
                <w:szCs w:val="13"/>
                <w:color w:val="auto"/>
              </w:rPr>
              <w:t>97,073</w:t>
            </w:r>
          </w:p>
        </w:tc>
        <w:tc>
          <w:tcPr>
            <w:tcW w:w="1280" w:type="dxa"/>
            <w:vAlign w:val="bottom"/>
            <w:tcBorders>
              <w:bottom w:val="single" w:sz="8" w:color="DFF1FB"/>
            </w:tcBorders>
          </w:tcPr>
          <w:p>
            <w:pPr>
              <w:jc w:val="right"/>
              <w:ind w:right="33"/>
              <w:spacing w:after="0"/>
              <w:rPr>
                <w:sz w:val="20"/>
                <w:szCs w:val="20"/>
                <w:color w:val="auto"/>
              </w:rPr>
            </w:pPr>
            <w:r>
              <w:rPr>
                <w:rFonts w:ascii="Arial" w:cs="Arial" w:eastAsia="Arial" w:hAnsi="Arial"/>
                <w:sz w:val="13"/>
                <w:szCs w:val="13"/>
                <w:color w:val="auto"/>
              </w:rPr>
              <w:t>1,751,095</w:t>
            </w:r>
          </w:p>
        </w:tc>
        <w:tc>
          <w:tcPr>
            <w:tcW w:w="1280" w:type="dxa"/>
            <w:vAlign w:val="bottom"/>
            <w:tcBorders>
              <w:bottom w:val="single" w:sz="8" w:color="DFF1FB"/>
            </w:tcBorders>
          </w:tcPr>
          <w:p>
            <w:pPr>
              <w:jc w:val="right"/>
              <w:ind w:right="53"/>
              <w:spacing w:after="0"/>
              <w:rPr>
                <w:sz w:val="20"/>
                <w:szCs w:val="20"/>
                <w:color w:val="auto"/>
              </w:rPr>
            </w:pPr>
            <w:r>
              <w:rPr>
                <w:rFonts w:ascii="Arial" w:cs="Arial" w:eastAsia="Arial" w:hAnsi="Arial"/>
                <w:sz w:val="13"/>
                <w:szCs w:val="13"/>
                <w:color w:val="auto"/>
              </w:rPr>
              <w:t>4,755,273</w:t>
            </w:r>
            <w:r>
              <w:rPr>
                <w:rFonts w:ascii="Arial" w:cs="Arial" w:eastAsia="Arial" w:hAnsi="Arial"/>
                <w:sz w:val="22"/>
                <w:szCs w:val="22"/>
                <w:color w:val="auto"/>
                <w:vertAlign w:val="superscript"/>
              </w:rPr>
              <w:t>(6)</w:t>
            </w:r>
          </w:p>
        </w:tc>
        <w:tc>
          <w:tcPr>
            <w:tcW w:w="880" w:type="dxa"/>
            <w:vAlign w:val="bottom"/>
            <w:tcBorders>
              <w:bottom w:val="single" w:sz="8" w:color="DFF1FB"/>
            </w:tcBorders>
          </w:tcPr>
          <w:p>
            <w:pPr>
              <w:jc w:val="right"/>
              <w:ind w:right="13"/>
              <w:spacing w:after="0"/>
              <w:rPr>
                <w:sz w:val="20"/>
                <w:szCs w:val="20"/>
                <w:color w:val="auto"/>
              </w:rPr>
            </w:pPr>
            <w:r>
              <w:rPr>
                <w:rFonts w:ascii="Arial" w:cs="Arial" w:eastAsia="Arial" w:hAnsi="Arial"/>
                <w:sz w:val="13"/>
                <w:szCs w:val="13"/>
                <w:color w:val="auto"/>
              </w:rPr>
              <w:t>8,114,229</w:t>
            </w:r>
          </w:p>
        </w:tc>
        <w:tc>
          <w:tcPr>
            <w:tcW w:w="0" w:type="dxa"/>
            <w:vAlign w:val="bottom"/>
          </w:tcPr>
          <w:p>
            <w:pPr>
              <w:spacing w:after="0"/>
              <w:rPr>
                <w:sz w:val="1"/>
                <w:szCs w:val="1"/>
                <w:color w:val="auto"/>
              </w:rPr>
            </w:pPr>
          </w:p>
        </w:tc>
      </w:tr>
      <w:tr>
        <w:trPr>
          <w:trHeight w:val="195"/>
        </w:trPr>
        <w:tc>
          <w:tcPr>
            <w:tcW w:w="3360" w:type="dxa"/>
            <w:vAlign w:val="bottom"/>
          </w:tcPr>
          <w:p>
            <w:pPr>
              <w:ind w:left="80"/>
              <w:spacing w:after="0"/>
              <w:rPr>
                <w:sz w:val="20"/>
                <w:szCs w:val="20"/>
                <w:color w:val="auto"/>
              </w:rPr>
            </w:pPr>
            <w:r>
              <w:rPr>
                <w:rFonts w:ascii="Arial" w:cs="Arial" w:eastAsia="Arial" w:hAnsi="Arial"/>
                <w:sz w:val="13"/>
                <w:szCs w:val="13"/>
                <w:b w:val="1"/>
                <w:bCs w:val="1"/>
                <w:color w:val="105EAB"/>
              </w:rPr>
              <w:t>Mr. Dugenske</w:t>
            </w:r>
          </w:p>
        </w:tc>
        <w:tc>
          <w:tcPr>
            <w:tcW w:w="26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8"/>
        </w:trPr>
        <w:tc>
          <w:tcPr>
            <w:tcW w:w="3360" w:type="dxa"/>
            <w:vAlign w:val="bottom"/>
            <w:tcBorders>
              <w:bottom w:val="single" w:sz="8" w:color="DFF1FB"/>
            </w:tcBorders>
          </w:tcPr>
          <w:p>
            <w:pPr>
              <w:ind w:left="80"/>
              <w:spacing w:after="0"/>
              <w:rPr>
                <w:sz w:val="20"/>
                <w:szCs w:val="20"/>
                <w:color w:val="auto"/>
              </w:rPr>
            </w:pPr>
            <w:r>
              <w:rPr>
                <w:rFonts w:ascii="Arial" w:cs="Arial" w:eastAsia="Arial" w:hAnsi="Arial"/>
                <w:sz w:val="13"/>
                <w:szCs w:val="13"/>
                <w:color w:val="auto"/>
              </w:rPr>
              <w:t>Termination/Retirement</w:t>
            </w:r>
            <w:r>
              <w:rPr>
                <w:rFonts w:ascii="Arial" w:cs="Arial" w:eastAsia="Arial" w:hAnsi="Arial"/>
                <w:sz w:val="22"/>
                <w:szCs w:val="22"/>
                <w:color w:val="auto"/>
                <w:vertAlign w:val="superscript"/>
              </w:rPr>
              <w:t>(3)</w:t>
            </w:r>
          </w:p>
        </w:tc>
        <w:tc>
          <w:tcPr>
            <w:tcW w:w="2680" w:type="dxa"/>
            <w:vAlign w:val="bottom"/>
            <w:tcBorders>
              <w:bottom w:val="single" w:sz="8" w:color="DFF1FB"/>
            </w:tcBorders>
          </w:tcPr>
          <w:p>
            <w:pPr>
              <w:jc w:val="right"/>
              <w:ind w:right="213"/>
              <w:spacing w:after="0"/>
              <w:rPr>
                <w:sz w:val="20"/>
                <w:szCs w:val="20"/>
                <w:color w:val="auto"/>
              </w:rPr>
            </w:pPr>
            <w:r>
              <w:rPr>
                <w:rFonts w:ascii="Arial" w:cs="Arial" w:eastAsia="Arial" w:hAnsi="Arial"/>
                <w:sz w:val="13"/>
                <w:szCs w:val="13"/>
                <w:color w:val="auto"/>
              </w:rPr>
              <w:t>0</w:t>
            </w:r>
          </w:p>
        </w:tc>
        <w:tc>
          <w:tcPr>
            <w:tcW w:w="840" w:type="dxa"/>
            <w:vAlign w:val="bottom"/>
            <w:tcBorders>
              <w:bottom w:val="single" w:sz="8" w:color="DFF1FB"/>
            </w:tcBorders>
          </w:tcPr>
          <w:p>
            <w:pPr>
              <w:jc w:val="right"/>
              <w:ind w:right="53"/>
              <w:spacing w:after="0"/>
              <w:rPr>
                <w:sz w:val="20"/>
                <w:szCs w:val="20"/>
                <w:color w:val="auto"/>
              </w:rPr>
            </w:pPr>
            <w:r>
              <w:rPr>
                <w:rFonts w:ascii="Arial" w:cs="Arial" w:eastAsia="Arial" w:hAnsi="Arial"/>
                <w:sz w:val="13"/>
                <w:szCs w:val="13"/>
                <w:color w:val="auto"/>
              </w:rPr>
              <w:t>0</w:t>
            </w:r>
          </w:p>
        </w:tc>
        <w:tc>
          <w:tcPr>
            <w:tcW w:w="1100" w:type="dxa"/>
            <w:vAlign w:val="bottom"/>
            <w:tcBorders>
              <w:bottom w:val="single" w:sz="8" w:color="DFF1FB"/>
            </w:tcBorders>
          </w:tcPr>
          <w:p>
            <w:pPr>
              <w:jc w:val="right"/>
              <w:ind w:right="33"/>
              <w:spacing w:after="0"/>
              <w:rPr>
                <w:sz w:val="20"/>
                <w:szCs w:val="20"/>
                <w:color w:val="auto"/>
              </w:rPr>
            </w:pPr>
            <w:r>
              <w:rPr>
                <w:rFonts w:ascii="Arial" w:cs="Arial" w:eastAsia="Arial" w:hAnsi="Arial"/>
                <w:sz w:val="13"/>
                <w:szCs w:val="13"/>
                <w:color w:val="auto"/>
              </w:rPr>
              <w:t>0</w:t>
            </w:r>
          </w:p>
        </w:tc>
        <w:tc>
          <w:tcPr>
            <w:tcW w:w="1280" w:type="dxa"/>
            <w:vAlign w:val="bottom"/>
            <w:tcBorders>
              <w:bottom w:val="single" w:sz="8" w:color="DFF1FB"/>
            </w:tcBorders>
          </w:tcPr>
          <w:p>
            <w:pPr>
              <w:jc w:val="right"/>
              <w:ind w:right="33"/>
              <w:spacing w:after="0"/>
              <w:rPr>
                <w:sz w:val="20"/>
                <w:szCs w:val="20"/>
                <w:color w:val="auto"/>
              </w:rPr>
            </w:pPr>
            <w:r>
              <w:rPr>
                <w:rFonts w:ascii="Arial" w:cs="Arial" w:eastAsia="Arial" w:hAnsi="Arial"/>
                <w:sz w:val="13"/>
                <w:szCs w:val="13"/>
                <w:color w:val="auto"/>
              </w:rPr>
              <w:t>0</w:t>
            </w:r>
          </w:p>
        </w:tc>
        <w:tc>
          <w:tcPr>
            <w:tcW w:w="1280" w:type="dxa"/>
            <w:vAlign w:val="bottom"/>
            <w:tcBorders>
              <w:bottom w:val="single" w:sz="8" w:color="DFF1FB"/>
            </w:tcBorders>
          </w:tcPr>
          <w:p>
            <w:pPr>
              <w:jc w:val="right"/>
              <w:ind w:right="193"/>
              <w:spacing w:after="0"/>
              <w:rPr>
                <w:sz w:val="20"/>
                <w:szCs w:val="20"/>
                <w:color w:val="auto"/>
              </w:rPr>
            </w:pPr>
            <w:r>
              <w:rPr>
                <w:rFonts w:ascii="Arial" w:cs="Arial" w:eastAsia="Arial" w:hAnsi="Arial"/>
                <w:sz w:val="13"/>
                <w:szCs w:val="13"/>
                <w:color w:val="auto"/>
              </w:rPr>
              <w:t>0</w:t>
            </w:r>
          </w:p>
        </w:tc>
        <w:tc>
          <w:tcPr>
            <w:tcW w:w="880" w:type="dxa"/>
            <w:vAlign w:val="bottom"/>
            <w:tcBorders>
              <w:bottom w:val="single" w:sz="8" w:color="DFF1FB"/>
            </w:tcBorders>
          </w:tcPr>
          <w:p>
            <w:pPr>
              <w:jc w:val="right"/>
              <w:ind w:right="13"/>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340"/>
        </w:trPr>
        <w:tc>
          <w:tcPr>
            <w:tcW w:w="3360" w:type="dxa"/>
            <w:vAlign w:val="bottom"/>
          </w:tcPr>
          <w:p>
            <w:pPr>
              <w:ind w:left="80"/>
              <w:spacing w:after="0"/>
              <w:rPr>
                <w:sz w:val="20"/>
                <w:szCs w:val="20"/>
                <w:color w:val="auto"/>
              </w:rPr>
            </w:pPr>
            <w:r>
              <w:rPr>
                <w:rFonts w:ascii="Arial" w:cs="Arial" w:eastAsia="Arial" w:hAnsi="Arial"/>
                <w:sz w:val="13"/>
                <w:szCs w:val="13"/>
                <w:color w:val="auto"/>
              </w:rPr>
              <w:t>Termination due to</w:t>
            </w:r>
          </w:p>
        </w:tc>
        <w:tc>
          <w:tcPr>
            <w:tcW w:w="2680" w:type="dxa"/>
            <w:vAlign w:val="bottom"/>
          </w:tcPr>
          <w:p>
            <w:pPr>
              <w:jc w:val="right"/>
              <w:ind w:right="213"/>
              <w:spacing w:after="0"/>
              <w:rPr>
                <w:sz w:val="20"/>
                <w:szCs w:val="20"/>
                <w:color w:val="auto"/>
              </w:rPr>
            </w:pPr>
            <w:r>
              <w:rPr>
                <w:rFonts w:ascii="Arial" w:cs="Arial" w:eastAsia="Arial" w:hAnsi="Arial"/>
                <w:sz w:val="13"/>
                <w:szCs w:val="13"/>
                <w:color w:val="auto"/>
              </w:rPr>
              <w:t>3,375,000</w:t>
            </w:r>
          </w:p>
        </w:tc>
        <w:tc>
          <w:tcPr>
            <w:tcW w:w="840" w:type="dxa"/>
            <w:vAlign w:val="bottom"/>
          </w:tcPr>
          <w:p>
            <w:pPr>
              <w:jc w:val="right"/>
              <w:ind w:right="53"/>
              <w:spacing w:after="0"/>
              <w:rPr>
                <w:sz w:val="20"/>
                <w:szCs w:val="20"/>
                <w:color w:val="auto"/>
              </w:rPr>
            </w:pPr>
            <w:r>
              <w:rPr>
                <w:rFonts w:ascii="Arial" w:cs="Arial" w:eastAsia="Arial" w:hAnsi="Arial"/>
                <w:sz w:val="13"/>
                <w:szCs w:val="13"/>
                <w:color w:val="auto"/>
              </w:rPr>
              <w:t>937,500</w:t>
            </w:r>
          </w:p>
        </w:tc>
        <w:tc>
          <w:tcPr>
            <w:tcW w:w="1100" w:type="dxa"/>
            <w:vAlign w:val="bottom"/>
          </w:tcPr>
          <w:p>
            <w:pPr>
              <w:jc w:val="right"/>
              <w:ind w:right="33"/>
              <w:spacing w:after="0"/>
              <w:rPr>
                <w:sz w:val="20"/>
                <w:szCs w:val="20"/>
                <w:color w:val="auto"/>
              </w:rPr>
            </w:pPr>
            <w:r>
              <w:rPr>
                <w:rFonts w:ascii="Arial" w:cs="Arial" w:eastAsia="Arial" w:hAnsi="Arial"/>
                <w:sz w:val="13"/>
                <w:szCs w:val="13"/>
                <w:color w:val="auto"/>
              </w:rPr>
              <w:t>29,537</w:t>
            </w:r>
          </w:p>
        </w:tc>
        <w:tc>
          <w:tcPr>
            <w:tcW w:w="1280" w:type="dxa"/>
            <w:vAlign w:val="bottom"/>
          </w:tcPr>
          <w:p>
            <w:pPr>
              <w:jc w:val="right"/>
              <w:ind w:right="33"/>
              <w:spacing w:after="0"/>
              <w:rPr>
                <w:sz w:val="20"/>
                <w:szCs w:val="20"/>
                <w:color w:val="auto"/>
              </w:rPr>
            </w:pPr>
            <w:r>
              <w:rPr>
                <w:rFonts w:ascii="Arial" w:cs="Arial" w:eastAsia="Arial" w:hAnsi="Arial"/>
                <w:sz w:val="13"/>
                <w:szCs w:val="13"/>
                <w:color w:val="auto"/>
              </w:rPr>
              <w:t>6,605,525</w:t>
            </w:r>
          </w:p>
        </w:tc>
        <w:tc>
          <w:tcPr>
            <w:tcW w:w="1280" w:type="dxa"/>
            <w:vAlign w:val="bottom"/>
          </w:tcPr>
          <w:p>
            <w:pPr>
              <w:jc w:val="right"/>
              <w:ind w:right="53"/>
              <w:spacing w:after="0"/>
              <w:rPr>
                <w:sz w:val="20"/>
                <w:szCs w:val="20"/>
                <w:color w:val="auto"/>
              </w:rPr>
            </w:pPr>
            <w:r>
              <w:rPr>
                <w:rFonts w:ascii="Arial" w:cs="Arial" w:eastAsia="Arial" w:hAnsi="Arial"/>
                <w:sz w:val="13"/>
                <w:szCs w:val="13"/>
                <w:color w:val="auto"/>
              </w:rPr>
              <w:t>69,431</w:t>
            </w:r>
            <w:r>
              <w:rPr>
                <w:rFonts w:ascii="Arial" w:cs="Arial" w:eastAsia="Arial" w:hAnsi="Arial"/>
                <w:sz w:val="22"/>
                <w:szCs w:val="22"/>
                <w:color w:val="auto"/>
                <w:vertAlign w:val="superscript"/>
              </w:rPr>
              <w:t>(5)</w:t>
            </w:r>
          </w:p>
        </w:tc>
        <w:tc>
          <w:tcPr>
            <w:tcW w:w="880" w:type="dxa"/>
            <w:vAlign w:val="bottom"/>
          </w:tcPr>
          <w:p>
            <w:pPr>
              <w:jc w:val="right"/>
              <w:ind w:right="13"/>
              <w:spacing w:after="0"/>
              <w:rPr>
                <w:sz w:val="20"/>
                <w:szCs w:val="20"/>
                <w:color w:val="auto"/>
              </w:rPr>
            </w:pPr>
            <w:r>
              <w:rPr>
                <w:rFonts w:ascii="Arial" w:cs="Arial" w:eastAsia="Arial" w:hAnsi="Arial"/>
                <w:sz w:val="13"/>
                <w:szCs w:val="13"/>
                <w:color w:val="auto"/>
              </w:rPr>
              <w:t>11,016,993</w:t>
            </w:r>
          </w:p>
        </w:tc>
        <w:tc>
          <w:tcPr>
            <w:tcW w:w="0" w:type="dxa"/>
            <w:vAlign w:val="bottom"/>
          </w:tcPr>
          <w:p>
            <w:pPr>
              <w:spacing w:after="0"/>
              <w:rPr>
                <w:sz w:val="1"/>
                <w:szCs w:val="1"/>
                <w:color w:val="auto"/>
              </w:rPr>
            </w:pPr>
          </w:p>
        </w:tc>
      </w:tr>
      <w:tr>
        <w:trPr>
          <w:trHeight w:val="247"/>
        </w:trPr>
        <w:tc>
          <w:tcPr>
            <w:tcW w:w="3360" w:type="dxa"/>
            <w:vAlign w:val="bottom"/>
            <w:tcBorders>
              <w:bottom w:val="single" w:sz="8" w:color="DFF1FB"/>
            </w:tcBorders>
          </w:tcPr>
          <w:p>
            <w:pPr>
              <w:ind w:left="80"/>
              <w:spacing w:after="0" w:line="247" w:lineRule="exact"/>
              <w:rPr>
                <w:sz w:val="20"/>
                <w:szCs w:val="20"/>
                <w:color w:val="auto"/>
              </w:rPr>
            </w:pPr>
            <w:r>
              <w:rPr>
                <w:rFonts w:ascii="Arial" w:cs="Arial" w:eastAsia="Arial" w:hAnsi="Arial"/>
                <w:sz w:val="13"/>
                <w:szCs w:val="13"/>
                <w:color w:val="auto"/>
              </w:rPr>
              <w:t>Change in Control</w:t>
            </w:r>
            <w:r>
              <w:rPr>
                <w:rFonts w:ascii="Arial" w:cs="Arial" w:eastAsia="Arial" w:hAnsi="Arial"/>
                <w:sz w:val="22"/>
                <w:szCs w:val="22"/>
                <w:color w:val="auto"/>
                <w:vertAlign w:val="superscript"/>
              </w:rPr>
              <w:t>(4)</w:t>
            </w:r>
          </w:p>
        </w:tc>
        <w:tc>
          <w:tcPr>
            <w:tcW w:w="2680" w:type="dxa"/>
            <w:vAlign w:val="bottom"/>
            <w:tcBorders>
              <w:bottom w:val="single" w:sz="8" w:color="DFF1FB"/>
            </w:tcBorders>
          </w:tcPr>
          <w:p>
            <w:pPr>
              <w:spacing w:after="0"/>
              <w:rPr>
                <w:sz w:val="21"/>
                <w:szCs w:val="21"/>
                <w:color w:val="auto"/>
              </w:rPr>
            </w:pPr>
          </w:p>
        </w:tc>
        <w:tc>
          <w:tcPr>
            <w:tcW w:w="840" w:type="dxa"/>
            <w:vAlign w:val="bottom"/>
            <w:tcBorders>
              <w:bottom w:val="single" w:sz="8" w:color="DFF1FB"/>
            </w:tcBorders>
          </w:tcPr>
          <w:p>
            <w:pPr>
              <w:spacing w:after="0"/>
              <w:rPr>
                <w:sz w:val="21"/>
                <w:szCs w:val="21"/>
                <w:color w:val="auto"/>
              </w:rPr>
            </w:pPr>
          </w:p>
        </w:tc>
        <w:tc>
          <w:tcPr>
            <w:tcW w:w="1100" w:type="dxa"/>
            <w:vAlign w:val="bottom"/>
            <w:tcBorders>
              <w:bottom w:val="single" w:sz="8" w:color="DFF1FB"/>
            </w:tcBorders>
          </w:tcPr>
          <w:p>
            <w:pPr>
              <w:spacing w:after="0"/>
              <w:rPr>
                <w:sz w:val="21"/>
                <w:szCs w:val="21"/>
                <w:color w:val="auto"/>
              </w:rPr>
            </w:pPr>
          </w:p>
        </w:tc>
        <w:tc>
          <w:tcPr>
            <w:tcW w:w="1280" w:type="dxa"/>
            <w:vAlign w:val="bottom"/>
            <w:tcBorders>
              <w:bottom w:val="single" w:sz="8" w:color="DFF1FB"/>
            </w:tcBorders>
          </w:tcPr>
          <w:p>
            <w:pPr>
              <w:spacing w:after="0"/>
              <w:rPr>
                <w:sz w:val="21"/>
                <w:szCs w:val="21"/>
                <w:color w:val="auto"/>
              </w:rPr>
            </w:pPr>
          </w:p>
        </w:tc>
        <w:tc>
          <w:tcPr>
            <w:tcW w:w="1280" w:type="dxa"/>
            <w:vAlign w:val="bottom"/>
            <w:tcBorders>
              <w:bottom w:val="single" w:sz="8" w:color="DFF1FB"/>
            </w:tcBorders>
          </w:tcPr>
          <w:p>
            <w:pPr>
              <w:spacing w:after="0"/>
              <w:rPr>
                <w:sz w:val="21"/>
                <w:szCs w:val="21"/>
                <w:color w:val="auto"/>
              </w:rPr>
            </w:pPr>
          </w:p>
        </w:tc>
        <w:tc>
          <w:tcPr>
            <w:tcW w:w="880" w:type="dxa"/>
            <w:vAlign w:val="bottom"/>
            <w:tcBorders>
              <w:bottom w:val="single" w:sz="8" w:color="DFF1FB"/>
            </w:tcBorders>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3360" w:type="dxa"/>
            <w:vAlign w:val="bottom"/>
          </w:tcPr>
          <w:p>
            <w:pPr>
              <w:ind w:left="80"/>
              <w:spacing w:after="0"/>
              <w:rPr>
                <w:sz w:val="20"/>
                <w:szCs w:val="20"/>
                <w:color w:val="auto"/>
              </w:rPr>
            </w:pPr>
            <w:r>
              <w:rPr>
                <w:rFonts w:ascii="Arial" w:cs="Arial" w:eastAsia="Arial" w:hAnsi="Arial"/>
                <w:sz w:val="13"/>
                <w:szCs w:val="13"/>
                <w:color w:val="auto"/>
              </w:rPr>
              <w:t>Death</w:t>
            </w:r>
          </w:p>
        </w:tc>
        <w:tc>
          <w:tcPr>
            <w:tcW w:w="2680" w:type="dxa"/>
            <w:vAlign w:val="bottom"/>
          </w:tcPr>
          <w:p>
            <w:pPr>
              <w:jc w:val="right"/>
              <w:ind w:right="213"/>
              <w:spacing w:after="0"/>
              <w:rPr>
                <w:sz w:val="20"/>
                <w:szCs w:val="20"/>
                <w:color w:val="auto"/>
              </w:rPr>
            </w:pPr>
            <w:r>
              <w:rPr>
                <w:rFonts w:ascii="Arial" w:cs="Arial" w:eastAsia="Arial" w:hAnsi="Arial"/>
                <w:sz w:val="13"/>
                <w:szCs w:val="13"/>
                <w:color w:val="auto"/>
              </w:rPr>
              <w:t>0</w:t>
            </w:r>
          </w:p>
        </w:tc>
        <w:tc>
          <w:tcPr>
            <w:tcW w:w="840" w:type="dxa"/>
            <w:vAlign w:val="bottom"/>
          </w:tcPr>
          <w:p>
            <w:pPr>
              <w:jc w:val="right"/>
              <w:ind w:right="53"/>
              <w:spacing w:after="0"/>
              <w:rPr>
                <w:sz w:val="20"/>
                <w:szCs w:val="20"/>
                <w:color w:val="auto"/>
              </w:rPr>
            </w:pPr>
            <w:r>
              <w:rPr>
                <w:rFonts w:ascii="Arial" w:cs="Arial" w:eastAsia="Arial" w:hAnsi="Arial"/>
                <w:sz w:val="13"/>
                <w:szCs w:val="13"/>
                <w:color w:val="auto"/>
              </w:rPr>
              <w:t>1,616,607</w:t>
            </w:r>
          </w:p>
        </w:tc>
        <w:tc>
          <w:tcPr>
            <w:tcW w:w="1100" w:type="dxa"/>
            <w:vAlign w:val="bottom"/>
          </w:tcPr>
          <w:p>
            <w:pPr>
              <w:jc w:val="right"/>
              <w:ind w:right="33"/>
              <w:spacing w:after="0"/>
              <w:rPr>
                <w:sz w:val="20"/>
                <w:szCs w:val="20"/>
                <w:color w:val="auto"/>
              </w:rPr>
            </w:pPr>
            <w:r>
              <w:rPr>
                <w:rFonts w:ascii="Arial" w:cs="Arial" w:eastAsia="Arial" w:hAnsi="Arial"/>
                <w:sz w:val="13"/>
                <w:szCs w:val="13"/>
                <w:color w:val="auto"/>
              </w:rPr>
              <w:t>29,537</w:t>
            </w:r>
          </w:p>
        </w:tc>
        <w:tc>
          <w:tcPr>
            <w:tcW w:w="1280" w:type="dxa"/>
            <w:vAlign w:val="bottom"/>
          </w:tcPr>
          <w:p>
            <w:pPr>
              <w:jc w:val="right"/>
              <w:ind w:right="33"/>
              <w:spacing w:after="0"/>
              <w:rPr>
                <w:sz w:val="20"/>
                <w:szCs w:val="20"/>
                <w:color w:val="auto"/>
              </w:rPr>
            </w:pPr>
            <w:r>
              <w:rPr>
                <w:rFonts w:ascii="Arial" w:cs="Arial" w:eastAsia="Arial" w:hAnsi="Arial"/>
                <w:sz w:val="13"/>
                <w:szCs w:val="13"/>
                <w:color w:val="auto"/>
              </w:rPr>
              <w:t>6,605,525</w:t>
            </w:r>
          </w:p>
        </w:tc>
        <w:tc>
          <w:tcPr>
            <w:tcW w:w="1280" w:type="dxa"/>
            <w:vAlign w:val="bottom"/>
          </w:tcPr>
          <w:p>
            <w:pPr>
              <w:jc w:val="right"/>
              <w:ind w:right="193"/>
              <w:spacing w:after="0"/>
              <w:rPr>
                <w:sz w:val="20"/>
                <w:szCs w:val="20"/>
                <w:color w:val="auto"/>
              </w:rPr>
            </w:pPr>
            <w:r>
              <w:rPr>
                <w:rFonts w:ascii="Arial" w:cs="Arial" w:eastAsia="Arial" w:hAnsi="Arial"/>
                <w:sz w:val="13"/>
                <w:szCs w:val="13"/>
                <w:color w:val="auto"/>
              </w:rPr>
              <w:t>0</w:t>
            </w:r>
          </w:p>
        </w:tc>
        <w:tc>
          <w:tcPr>
            <w:tcW w:w="880" w:type="dxa"/>
            <w:vAlign w:val="bottom"/>
          </w:tcPr>
          <w:p>
            <w:pPr>
              <w:jc w:val="right"/>
              <w:ind w:right="13"/>
              <w:spacing w:after="0"/>
              <w:rPr>
                <w:sz w:val="20"/>
                <w:szCs w:val="20"/>
                <w:color w:val="auto"/>
              </w:rPr>
            </w:pPr>
            <w:r>
              <w:rPr>
                <w:rFonts w:ascii="Arial" w:cs="Arial" w:eastAsia="Arial" w:hAnsi="Arial"/>
                <w:sz w:val="13"/>
                <w:szCs w:val="13"/>
                <w:color w:val="auto"/>
              </w:rPr>
              <w:t>8,251,669</w:t>
            </w:r>
          </w:p>
        </w:tc>
        <w:tc>
          <w:tcPr>
            <w:tcW w:w="0" w:type="dxa"/>
            <w:vAlign w:val="bottom"/>
          </w:tcPr>
          <w:p>
            <w:pPr>
              <w:spacing w:after="0"/>
              <w:rPr>
                <w:sz w:val="1"/>
                <w:szCs w:val="1"/>
                <w:color w:val="auto"/>
              </w:rPr>
            </w:pPr>
          </w:p>
        </w:tc>
      </w:tr>
      <w:tr>
        <w:trPr>
          <w:trHeight w:val="41"/>
        </w:trPr>
        <w:tc>
          <w:tcPr>
            <w:tcW w:w="3360" w:type="dxa"/>
            <w:vAlign w:val="bottom"/>
            <w:tcBorders>
              <w:bottom w:val="single" w:sz="8" w:color="DFF1FB"/>
            </w:tcBorders>
          </w:tcPr>
          <w:p>
            <w:pPr>
              <w:spacing w:after="0"/>
              <w:rPr>
                <w:sz w:val="3"/>
                <w:szCs w:val="3"/>
                <w:color w:val="auto"/>
              </w:rPr>
            </w:pPr>
          </w:p>
        </w:tc>
        <w:tc>
          <w:tcPr>
            <w:tcW w:w="2680" w:type="dxa"/>
            <w:vAlign w:val="bottom"/>
            <w:tcBorders>
              <w:bottom w:val="single" w:sz="8" w:color="DFF1FB"/>
            </w:tcBorders>
          </w:tcPr>
          <w:p>
            <w:pPr>
              <w:spacing w:after="0"/>
              <w:rPr>
                <w:sz w:val="3"/>
                <w:szCs w:val="3"/>
                <w:color w:val="auto"/>
              </w:rPr>
            </w:pPr>
          </w:p>
        </w:tc>
        <w:tc>
          <w:tcPr>
            <w:tcW w:w="840" w:type="dxa"/>
            <w:vAlign w:val="bottom"/>
            <w:tcBorders>
              <w:bottom w:val="single" w:sz="8" w:color="DFF1FB"/>
            </w:tcBorders>
          </w:tcPr>
          <w:p>
            <w:pPr>
              <w:spacing w:after="0"/>
              <w:rPr>
                <w:sz w:val="3"/>
                <w:szCs w:val="3"/>
                <w:color w:val="auto"/>
              </w:rPr>
            </w:pPr>
          </w:p>
        </w:tc>
        <w:tc>
          <w:tcPr>
            <w:tcW w:w="1100" w:type="dxa"/>
            <w:vAlign w:val="bottom"/>
            <w:tcBorders>
              <w:bottom w:val="single" w:sz="8" w:color="DFF1FB"/>
            </w:tcBorders>
          </w:tcPr>
          <w:p>
            <w:pPr>
              <w:spacing w:after="0"/>
              <w:rPr>
                <w:sz w:val="3"/>
                <w:szCs w:val="3"/>
                <w:color w:val="auto"/>
              </w:rPr>
            </w:pPr>
          </w:p>
        </w:tc>
        <w:tc>
          <w:tcPr>
            <w:tcW w:w="1280" w:type="dxa"/>
            <w:vAlign w:val="bottom"/>
            <w:tcBorders>
              <w:bottom w:val="single" w:sz="8" w:color="DFF1FB"/>
            </w:tcBorders>
          </w:tcPr>
          <w:p>
            <w:pPr>
              <w:spacing w:after="0"/>
              <w:rPr>
                <w:sz w:val="3"/>
                <w:szCs w:val="3"/>
                <w:color w:val="auto"/>
              </w:rPr>
            </w:pPr>
          </w:p>
        </w:tc>
        <w:tc>
          <w:tcPr>
            <w:tcW w:w="1280" w:type="dxa"/>
            <w:vAlign w:val="bottom"/>
            <w:tcBorders>
              <w:bottom w:val="single" w:sz="8" w:color="DFF1FB"/>
            </w:tcBorders>
          </w:tcPr>
          <w:p>
            <w:pPr>
              <w:spacing w:after="0"/>
              <w:rPr>
                <w:sz w:val="3"/>
                <w:szCs w:val="3"/>
                <w:color w:val="auto"/>
              </w:rPr>
            </w:pPr>
          </w:p>
        </w:tc>
        <w:tc>
          <w:tcPr>
            <w:tcW w:w="880" w:type="dxa"/>
            <w:vAlign w:val="bottom"/>
            <w:tcBorders>
              <w:bottom w:val="single" w:sz="8" w:color="DFF1FB"/>
            </w:tcBorders>
          </w:tcPr>
          <w:p>
            <w:pPr>
              <w:spacing w:after="0"/>
              <w:rPr>
                <w:sz w:val="3"/>
                <w:szCs w:val="3"/>
                <w:color w:val="auto"/>
              </w:rPr>
            </w:pPr>
          </w:p>
        </w:tc>
        <w:tc>
          <w:tcPr>
            <w:tcW w:w="0" w:type="dxa"/>
            <w:vAlign w:val="bottom"/>
          </w:tcPr>
          <w:p>
            <w:pPr>
              <w:spacing w:after="0"/>
              <w:rPr>
                <w:sz w:val="1"/>
                <w:szCs w:val="1"/>
                <w:color w:val="auto"/>
              </w:rPr>
            </w:pPr>
          </w:p>
        </w:tc>
      </w:tr>
      <w:tr>
        <w:trPr>
          <w:trHeight w:val="290"/>
        </w:trPr>
        <w:tc>
          <w:tcPr>
            <w:tcW w:w="3360" w:type="dxa"/>
            <w:vAlign w:val="bottom"/>
            <w:tcBorders>
              <w:bottom w:val="single" w:sz="8" w:color="DFF1FB"/>
            </w:tcBorders>
          </w:tcPr>
          <w:p>
            <w:pPr>
              <w:ind w:left="80"/>
              <w:spacing w:after="0"/>
              <w:rPr>
                <w:sz w:val="20"/>
                <w:szCs w:val="20"/>
                <w:color w:val="auto"/>
              </w:rPr>
            </w:pPr>
            <w:r>
              <w:rPr>
                <w:rFonts w:ascii="Arial" w:cs="Arial" w:eastAsia="Arial" w:hAnsi="Arial"/>
                <w:sz w:val="13"/>
                <w:szCs w:val="13"/>
                <w:color w:val="auto"/>
              </w:rPr>
              <w:t>Disability</w:t>
            </w:r>
          </w:p>
        </w:tc>
        <w:tc>
          <w:tcPr>
            <w:tcW w:w="2680" w:type="dxa"/>
            <w:vAlign w:val="bottom"/>
            <w:tcBorders>
              <w:bottom w:val="single" w:sz="8" w:color="DFF1FB"/>
            </w:tcBorders>
          </w:tcPr>
          <w:p>
            <w:pPr>
              <w:jc w:val="right"/>
              <w:ind w:right="213"/>
              <w:spacing w:after="0"/>
              <w:rPr>
                <w:sz w:val="20"/>
                <w:szCs w:val="20"/>
                <w:color w:val="auto"/>
              </w:rPr>
            </w:pPr>
            <w:r>
              <w:rPr>
                <w:rFonts w:ascii="Arial" w:cs="Arial" w:eastAsia="Arial" w:hAnsi="Arial"/>
                <w:sz w:val="13"/>
                <w:szCs w:val="13"/>
                <w:color w:val="auto"/>
              </w:rPr>
              <w:t>0</w:t>
            </w:r>
          </w:p>
        </w:tc>
        <w:tc>
          <w:tcPr>
            <w:tcW w:w="840" w:type="dxa"/>
            <w:vAlign w:val="bottom"/>
            <w:tcBorders>
              <w:bottom w:val="single" w:sz="8" w:color="DFF1FB"/>
            </w:tcBorders>
          </w:tcPr>
          <w:p>
            <w:pPr>
              <w:jc w:val="right"/>
              <w:ind w:right="53"/>
              <w:spacing w:after="0"/>
              <w:rPr>
                <w:sz w:val="20"/>
                <w:szCs w:val="20"/>
                <w:color w:val="auto"/>
              </w:rPr>
            </w:pPr>
            <w:r>
              <w:rPr>
                <w:rFonts w:ascii="Arial" w:cs="Arial" w:eastAsia="Arial" w:hAnsi="Arial"/>
                <w:sz w:val="13"/>
                <w:szCs w:val="13"/>
                <w:color w:val="auto"/>
              </w:rPr>
              <w:t>1,616,607</w:t>
            </w:r>
          </w:p>
        </w:tc>
        <w:tc>
          <w:tcPr>
            <w:tcW w:w="1100" w:type="dxa"/>
            <w:vAlign w:val="bottom"/>
            <w:tcBorders>
              <w:bottom w:val="single" w:sz="8" w:color="DFF1FB"/>
            </w:tcBorders>
          </w:tcPr>
          <w:p>
            <w:pPr>
              <w:jc w:val="right"/>
              <w:ind w:right="33"/>
              <w:spacing w:after="0"/>
              <w:rPr>
                <w:sz w:val="20"/>
                <w:szCs w:val="20"/>
                <w:color w:val="auto"/>
              </w:rPr>
            </w:pPr>
            <w:r>
              <w:rPr>
                <w:rFonts w:ascii="Arial" w:cs="Arial" w:eastAsia="Arial" w:hAnsi="Arial"/>
                <w:sz w:val="13"/>
                <w:szCs w:val="13"/>
                <w:color w:val="auto"/>
              </w:rPr>
              <w:t>29,537</w:t>
            </w:r>
          </w:p>
        </w:tc>
        <w:tc>
          <w:tcPr>
            <w:tcW w:w="1280" w:type="dxa"/>
            <w:vAlign w:val="bottom"/>
            <w:tcBorders>
              <w:bottom w:val="single" w:sz="8" w:color="DFF1FB"/>
            </w:tcBorders>
          </w:tcPr>
          <w:p>
            <w:pPr>
              <w:jc w:val="right"/>
              <w:ind w:right="33"/>
              <w:spacing w:after="0"/>
              <w:rPr>
                <w:sz w:val="20"/>
                <w:szCs w:val="20"/>
                <w:color w:val="auto"/>
              </w:rPr>
            </w:pPr>
            <w:r>
              <w:rPr>
                <w:rFonts w:ascii="Arial" w:cs="Arial" w:eastAsia="Arial" w:hAnsi="Arial"/>
                <w:sz w:val="13"/>
                <w:szCs w:val="13"/>
                <w:color w:val="auto"/>
              </w:rPr>
              <w:t>6,605,525</w:t>
            </w:r>
          </w:p>
        </w:tc>
        <w:tc>
          <w:tcPr>
            <w:tcW w:w="1280" w:type="dxa"/>
            <w:vAlign w:val="bottom"/>
            <w:tcBorders>
              <w:bottom w:val="single" w:sz="8" w:color="DFF1FB"/>
            </w:tcBorders>
          </w:tcPr>
          <w:p>
            <w:pPr>
              <w:jc w:val="right"/>
              <w:ind w:right="53"/>
              <w:spacing w:after="0"/>
              <w:rPr>
                <w:sz w:val="20"/>
                <w:szCs w:val="20"/>
                <w:color w:val="auto"/>
              </w:rPr>
            </w:pPr>
            <w:r>
              <w:rPr>
                <w:rFonts w:ascii="Arial" w:cs="Arial" w:eastAsia="Arial" w:hAnsi="Arial"/>
                <w:sz w:val="13"/>
                <w:szCs w:val="13"/>
                <w:color w:val="auto"/>
              </w:rPr>
              <w:t>10,106,704</w:t>
            </w:r>
            <w:r>
              <w:rPr>
                <w:rFonts w:ascii="Arial" w:cs="Arial" w:eastAsia="Arial" w:hAnsi="Arial"/>
                <w:sz w:val="22"/>
                <w:szCs w:val="22"/>
                <w:color w:val="auto"/>
                <w:vertAlign w:val="superscript"/>
              </w:rPr>
              <w:t>(6)</w:t>
            </w:r>
          </w:p>
        </w:tc>
        <w:tc>
          <w:tcPr>
            <w:tcW w:w="880" w:type="dxa"/>
            <w:vAlign w:val="bottom"/>
            <w:tcBorders>
              <w:bottom w:val="single" w:sz="8" w:color="DFF1FB"/>
            </w:tcBorders>
          </w:tcPr>
          <w:p>
            <w:pPr>
              <w:jc w:val="right"/>
              <w:ind w:right="13"/>
              <w:spacing w:after="0"/>
              <w:rPr>
                <w:sz w:val="20"/>
                <w:szCs w:val="20"/>
                <w:color w:val="auto"/>
              </w:rPr>
            </w:pPr>
            <w:r>
              <w:rPr>
                <w:rFonts w:ascii="Arial" w:cs="Arial" w:eastAsia="Arial" w:hAnsi="Arial"/>
                <w:sz w:val="13"/>
                <w:szCs w:val="13"/>
                <w:color w:val="auto"/>
              </w:rPr>
              <w:t>18,358,373</w:t>
            </w:r>
          </w:p>
        </w:tc>
        <w:tc>
          <w:tcPr>
            <w:tcW w:w="0" w:type="dxa"/>
            <w:vAlign w:val="bottom"/>
          </w:tcPr>
          <w:p>
            <w:pPr>
              <w:spacing w:after="0"/>
              <w:rPr>
                <w:sz w:val="1"/>
                <w:szCs w:val="1"/>
                <w:color w:val="auto"/>
              </w:rPr>
            </w:pPr>
          </w:p>
        </w:tc>
      </w:tr>
      <w:tr>
        <w:trPr>
          <w:trHeight w:val="195"/>
        </w:trPr>
        <w:tc>
          <w:tcPr>
            <w:tcW w:w="3360" w:type="dxa"/>
            <w:vAlign w:val="bottom"/>
          </w:tcPr>
          <w:p>
            <w:pPr>
              <w:ind w:left="80"/>
              <w:spacing w:after="0"/>
              <w:rPr>
                <w:sz w:val="20"/>
                <w:szCs w:val="20"/>
                <w:color w:val="auto"/>
              </w:rPr>
            </w:pPr>
            <w:r>
              <w:rPr>
                <w:rFonts w:ascii="Arial" w:cs="Arial" w:eastAsia="Arial" w:hAnsi="Arial"/>
                <w:sz w:val="13"/>
                <w:szCs w:val="13"/>
                <w:b w:val="1"/>
                <w:bCs w:val="1"/>
                <w:color w:val="105EAB"/>
              </w:rPr>
              <w:t>Mr. Shapiro</w:t>
            </w:r>
          </w:p>
        </w:tc>
        <w:tc>
          <w:tcPr>
            <w:tcW w:w="26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8"/>
        </w:trPr>
        <w:tc>
          <w:tcPr>
            <w:tcW w:w="3360" w:type="dxa"/>
            <w:vAlign w:val="bottom"/>
            <w:tcBorders>
              <w:bottom w:val="single" w:sz="8" w:color="DFF1FB"/>
            </w:tcBorders>
          </w:tcPr>
          <w:p>
            <w:pPr>
              <w:ind w:left="80"/>
              <w:spacing w:after="0"/>
              <w:rPr>
                <w:sz w:val="20"/>
                <w:szCs w:val="20"/>
                <w:color w:val="auto"/>
              </w:rPr>
            </w:pPr>
            <w:r>
              <w:rPr>
                <w:rFonts w:ascii="Arial" w:cs="Arial" w:eastAsia="Arial" w:hAnsi="Arial"/>
                <w:sz w:val="13"/>
                <w:szCs w:val="13"/>
                <w:color w:val="auto"/>
              </w:rPr>
              <w:t>Termination/Retirement</w:t>
            </w:r>
            <w:r>
              <w:rPr>
                <w:rFonts w:ascii="Arial" w:cs="Arial" w:eastAsia="Arial" w:hAnsi="Arial"/>
                <w:sz w:val="22"/>
                <w:szCs w:val="22"/>
                <w:color w:val="auto"/>
                <w:vertAlign w:val="superscript"/>
              </w:rPr>
              <w:t>(3)</w:t>
            </w:r>
          </w:p>
        </w:tc>
        <w:tc>
          <w:tcPr>
            <w:tcW w:w="2680" w:type="dxa"/>
            <w:vAlign w:val="bottom"/>
            <w:tcBorders>
              <w:bottom w:val="single" w:sz="8" w:color="DFF1FB"/>
            </w:tcBorders>
          </w:tcPr>
          <w:p>
            <w:pPr>
              <w:jc w:val="right"/>
              <w:ind w:right="213"/>
              <w:spacing w:after="0"/>
              <w:rPr>
                <w:sz w:val="20"/>
                <w:szCs w:val="20"/>
                <w:color w:val="auto"/>
              </w:rPr>
            </w:pPr>
            <w:r>
              <w:rPr>
                <w:rFonts w:ascii="Arial" w:cs="Arial" w:eastAsia="Arial" w:hAnsi="Arial"/>
                <w:sz w:val="13"/>
                <w:szCs w:val="13"/>
                <w:color w:val="auto"/>
              </w:rPr>
              <w:t>0</w:t>
            </w:r>
          </w:p>
        </w:tc>
        <w:tc>
          <w:tcPr>
            <w:tcW w:w="840" w:type="dxa"/>
            <w:vAlign w:val="bottom"/>
            <w:tcBorders>
              <w:bottom w:val="single" w:sz="8" w:color="DFF1FB"/>
            </w:tcBorders>
          </w:tcPr>
          <w:p>
            <w:pPr>
              <w:jc w:val="right"/>
              <w:ind w:right="53"/>
              <w:spacing w:after="0"/>
              <w:rPr>
                <w:sz w:val="20"/>
                <w:szCs w:val="20"/>
                <w:color w:val="auto"/>
              </w:rPr>
            </w:pPr>
            <w:r>
              <w:rPr>
                <w:rFonts w:ascii="Arial" w:cs="Arial" w:eastAsia="Arial" w:hAnsi="Arial"/>
                <w:sz w:val="13"/>
                <w:szCs w:val="13"/>
                <w:color w:val="auto"/>
              </w:rPr>
              <w:t>0</w:t>
            </w:r>
          </w:p>
        </w:tc>
        <w:tc>
          <w:tcPr>
            <w:tcW w:w="1100" w:type="dxa"/>
            <w:vAlign w:val="bottom"/>
            <w:tcBorders>
              <w:bottom w:val="single" w:sz="8" w:color="DFF1FB"/>
            </w:tcBorders>
          </w:tcPr>
          <w:p>
            <w:pPr>
              <w:jc w:val="right"/>
              <w:ind w:right="33"/>
              <w:spacing w:after="0"/>
              <w:rPr>
                <w:sz w:val="20"/>
                <w:szCs w:val="20"/>
                <w:color w:val="auto"/>
              </w:rPr>
            </w:pPr>
            <w:r>
              <w:rPr>
                <w:rFonts w:ascii="Arial" w:cs="Arial" w:eastAsia="Arial" w:hAnsi="Arial"/>
                <w:sz w:val="13"/>
                <w:szCs w:val="13"/>
                <w:color w:val="auto"/>
              </w:rPr>
              <w:t>0</w:t>
            </w:r>
          </w:p>
        </w:tc>
        <w:tc>
          <w:tcPr>
            <w:tcW w:w="1280" w:type="dxa"/>
            <w:vAlign w:val="bottom"/>
            <w:tcBorders>
              <w:bottom w:val="single" w:sz="8" w:color="DFF1FB"/>
            </w:tcBorders>
          </w:tcPr>
          <w:p>
            <w:pPr>
              <w:jc w:val="right"/>
              <w:ind w:right="33"/>
              <w:spacing w:after="0"/>
              <w:rPr>
                <w:sz w:val="20"/>
                <w:szCs w:val="20"/>
                <w:color w:val="auto"/>
              </w:rPr>
            </w:pPr>
            <w:r>
              <w:rPr>
                <w:rFonts w:ascii="Arial" w:cs="Arial" w:eastAsia="Arial" w:hAnsi="Arial"/>
                <w:sz w:val="13"/>
                <w:szCs w:val="13"/>
                <w:color w:val="auto"/>
              </w:rPr>
              <w:t>0</w:t>
            </w:r>
          </w:p>
        </w:tc>
        <w:tc>
          <w:tcPr>
            <w:tcW w:w="1280" w:type="dxa"/>
            <w:vAlign w:val="bottom"/>
            <w:tcBorders>
              <w:bottom w:val="single" w:sz="8" w:color="DFF1FB"/>
            </w:tcBorders>
          </w:tcPr>
          <w:p>
            <w:pPr>
              <w:jc w:val="right"/>
              <w:ind w:right="193"/>
              <w:spacing w:after="0"/>
              <w:rPr>
                <w:sz w:val="20"/>
                <w:szCs w:val="20"/>
                <w:color w:val="auto"/>
              </w:rPr>
            </w:pPr>
            <w:r>
              <w:rPr>
                <w:rFonts w:ascii="Arial" w:cs="Arial" w:eastAsia="Arial" w:hAnsi="Arial"/>
                <w:sz w:val="13"/>
                <w:szCs w:val="13"/>
                <w:color w:val="auto"/>
              </w:rPr>
              <w:t>0</w:t>
            </w:r>
          </w:p>
        </w:tc>
        <w:tc>
          <w:tcPr>
            <w:tcW w:w="880" w:type="dxa"/>
            <w:vAlign w:val="bottom"/>
            <w:tcBorders>
              <w:bottom w:val="single" w:sz="8" w:color="DFF1FB"/>
            </w:tcBorders>
          </w:tcPr>
          <w:p>
            <w:pPr>
              <w:jc w:val="right"/>
              <w:ind w:right="13"/>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340"/>
        </w:trPr>
        <w:tc>
          <w:tcPr>
            <w:tcW w:w="3360" w:type="dxa"/>
            <w:vAlign w:val="bottom"/>
          </w:tcPr>
          <w:p>
            <w:pPr>
              <w:ind w:left="80"/>
              <w:spacing w:after="0"/>
              <w:rPr>
                <w:sz w:val="20"/>
                <w:szCs w:val="20"/>
                <w:color w:val="auto"/>
              </w:rPr>
            </w:pPr>
            <w:r>
              <w:rPr>
                <w:rFonts w:ascii="Arial" w:cs="Arial" w:eastAsia="Arial" w:hAnsi="Arial"/>
                <w:sz w:val="13"/>
                <w:szCs w:val="13"/>
                <w:color w:val="auto"/>
              </w:rPr>
              <w:t>Termination due to</w:t>
            </w:r>
          </w:p>
        </w:tc>
        <w:tc>
          <w:tcPr>
            <w:tcW w:w="2680" w:type="dxa"/>
            <w:vAlign w:val="bottom"/>
          </w:tcPr>
          <w:p>
            <w:pPr>
              <w:jc w:val="right"/>
              <w:ind w:right="213"/>
              <w:spacing w:after="0"/>
              <w:rPr>
                <w:sz w:val="20"/>
                <w:szCs w:val="20"/>
                <w:color w:val="auto"/>
              </w:rPr>
            </w:pPr>
            <w:r>
              <w:rPr>
                <w:rFonts w:ascii="Arial" w:cs="Arial" w:eastAsia="Arial" w:hAnsi="Arial"/>
                <w:sz w:val="13"/>
                <w:szCs w:val="13"/>
                <w:color w:val="auto"/>
              </w:rPr>
              <w:t>3,750,000</w:t>
            </w:r>
          </w:p>
        </w:tc>
        <w:tc>
          <w:tcPr>
            <w:tcW w:w="840" w:type="dxa"/>
            <w:vAlign w:val="bottom"/>
          </w:tcPr>
          <w:p>
            <w:pPr>
              <w:jc w:val="right"/>
              <w:ind w:right="53"/>
              <w:spacing w:after="0"/>
              <w:rPr>
                <w:sz w:val="20"/>
                <w:szCs w:val="20"/>
                <w:color w:val="auto"/>
              </w:rPr>
            </w:pPr>
            <w:r>
              <w:rPr>
                <w:rFonts w:ascii="Arial" w:cs="Arial" w:eastAsia="Arial" w:hAnsi="Arial"/>
                <w:sz w:val="13"/>
                <w:szCs w:val="13"/>
                <w:color w:val="auto"/>
              </w:rPr>
              <w:t>1,125,000</w:t>
            </w:r>
          </w:p>
        </w:tc>
        <w:tc>
          <w:tcPr>
            <w:tcW w:w="1100" w:type="dxa"/>
            <w:vAlign w:val="bottom"/>
          </w:tcPr>
          <w:p>
            <w:pPr>
              <w:jc w:val="right"/>
              <w:ind w:right="33"/>
              <w:spacing w:after="0"/>
              <w:rPr>
                <w:sz w:val="20"/>
                <w:szCs w:val="20"/>
                <w:color w:val="auto"/>
              </w:rPr>
            </w:pPr>
            <w:r>
              <w:rPr>
                <w:rFonts w:ascii="Arial" w:cs="Arial" w:eastAsia="Arial" w:hAnsi="Arial"/>
                <w:sz w:val="13"/>
                <w:szCs w:val="13"/>
                <w:color w:val="auto"/>
              </w:rPr>
              <w:t>318,521</w:t>
            </w:r>
          </w:p>
        </w:tc>
        <w:tc>
          <w:tcPr>
            <w:tcW w:w="1280" w:type="dxa"/>
            <w:vAlign w:val="bottom"/>
          </w:tcPr>
          <w:p>
            <w:pPr>
              <w:jc w:val="right"/>
              <w:ind w:right="33"/>
              <w:spacing w:after="0"/>
              <w:rPr>
                <w:sz w:val="20"/>
                <w:szCs w:val="20"/>
                <w:color w:val="auto"/>
              </w:rPr>
            </w:pPr>
            <w:r>
              <w:rPr>
                <w:rFonts w:ascii="Arial" w:cs="Arial" w:eastAsia="Arial" w:hAnsi="Arial"/>
                <w:sz w:val="13"/>
                <w:szCs w:val="13"/>
                <w:color w:val="auto"/>
              </w:rPr>
              <w:t>3,049,213</w:t>
            </w:r>
          </w:p>
        </w:tc>
        <w:tc>
          <w:tcPr>
            <w:tcW w:w="1280" w:type="dxa"/>
            <w:vAlign w:val="bottom"/>
          </w:tcPr>
          <w:p>
            <w:pPr>
              <w:jc w:val="right"/>
              <w:ind w:right="53"/>
              <w:spacing w:after="0"/>
              <w:rPr>
                <w:sz w:val="20"/>
                <w:szCs w:val="20"/>
                <w:color w:val="auto"/>
              </w:rPr>
            </w:pPr>
            <w:r>
              <w:rPr>
                <w:rFonts w:ascii="Arial" w:cs="Arial" w:eastAsia="Arial" w:hAnsi="Arial"/>
                <w:sz w:val="13"/>
                <w:szCs w:val="13"/>
                <w:color w:val="auto"/>
              </w:rPr>
              <w:t>63,702</w:t>
            </w:r>
            <w:r>
              <w:rPr>
                <w:rFonts w:ascii="Arial" w:cs="Arial" w:eastAsia="Arial" w:hAnsi="Arial"/>
                <w:sz w:val="22"/>
                <w:szCs w:val="22"/>
                <w:color w:val="auto"/>
                <w:vertAlign w:val="superscript"/>
              </w:rPr>
              <w:t>(5)</w:t>
            </w:r>
          </w:p>
        </w:tc>
        <w:tc>
          <w:tcPr>
            <w:tcW w:w="880" w:type="dxa"/>
            <w:vAlign w:val="bottom"/>
          </w:tcPr>
          <w:p>
            <w:pPr>
              <w:jc w:val="right"/>
              <w:ind w:right="13"/>
              <w:spacing w:after="0"/>
              <w:rPr>
                <w:sz w:val="20"/>
                <w:szCs w:val="20"/>
                <w:color w:val="auto"/>
              </w:rPr>
            </w:pPr>
            <w:r>
              <w:rPr>
                <w:rFonts w:ascii="Arial" w:cs="Arial" w:eastAsia="Arial" w:hAnsi="Arial"/>
                <w:sz w:val="13"/>
                <w:szCs w:val="13"/>
                <w:color w:val="auto"/>
              </w:rPr>
              <w:t>8,306,436</w:t>
            </w:r>
          </w:p>
        </w:tc>
        <w:tc>
          <w:tcPr>
            <w:tcW w:w="0" w:type="dxa"/>
            <w:vAlign w:val="bottom"/>
          </w:tcPr>
          <w:p>
            <w:pPr>
              <w:spacing w:after="0"/>
              <w:rPr>
                <w:sz w:val="1"/>
                <w:szCs w:val="1"/>
                <w:color w:val="auto"/>
              </w:rPr>
            </w:pPr>
          </w:p>
        </w:tc>
      </w:tr>
      <w:tr>
        <w:trPr>
          <w:trHeight w:val="247"/>
        </w:trPr>
        <w:tc>
          <w:tcPr>
            <w:tcW w:w="3360" w:type="dxa"/>
            <w:vAlign w:val="bottom"/>
            <w:tcBorders>
              <w:bottom w:val="single" w:sz="8" w:color="DFF1FB"/>
            </w:tcBorders>
          </w:tcPr>
          <w:p>
            <w:pPr>
              <w:ind w:left="80"/>
              <w:spacing w:after="0" w:line="247" w:lineRule="exact"/>
              <w:rPr>
                <w:sz w:val="20"/>
                <w:szCs w:val="20"/>
                <w:color w:val="auto"/>
              </w:rPr>
            </w:pPr>
            <w:r>
              <w:rPr>
                <w:rFonts w:ascii="Arial" w:cs="Arial" w:eastAsia="Arial" w:hAnsi="Arial"/>
                <w:sz w:val="13"/>
                <w:szCs w:val="13"/>
                <w:color w:val="auto"/>
              </w:rPr>
              <w:t>Change in Control</w:t>
            </w:r>
            <w:r>
              <w:rPr>
                <w:rFonts w:ascii="Arial" w:cs="Arial" w:eastAsia="Arial" w:hAnsi="Arial"/>
                <w:sz w:val="22"/>
                <w:szCs w:val="22"/>
                <w:color w:val="auto"/>
                <w:vertAlign w:val="superscript"/>
              </w:rPr>
              <w:t>(4)</w:t>
            </w:r>
          </w:p>
        </w:tc>
        <w:tc>
          <w:tcPr>
            <w:tcW w:w="2680" w:type="dxa"/>
            <w:vAlign w:val="bottom"/>
            <w:tcBorders>
              <w:bottom w:val="single" w:sz="8" w:color="DFF1FB"/>
            </w:tcBorders>
          </w:tcPr>
          <w:p>
            <w:pPr>
              <w:spacing w:after="0"/>
              <w:rPr>
                <w:sz w:val="21"/>
                <w:szCs w:val="21"/>
                <w:color w:val="auto"/>
              </w:rPr>
            </w:pPr>
          </w:p>
        </w:tc>
        <w:tc>
          <w:tcPr>
            <w:tcW w:w="840" w:type="dxa"/>
            <w:vAlign w:val="bottom"/>
            <w:tcBorders>
              <w:bottom w:val="single" w:sz="8" w:color="DFF1FB"/>
            </w:tcBorders>
          </w:tcPr>
          <w:p>
            <w:pPr>
              <w:spacing w:after="0"/>
              <w:rPr>
                <w:sz w:val="21"/>
                <w:szCs w:val="21"/>
                <w:color w:val="auto"/>
              </w:rPr>
            </w:pPr>
          </w:p>
        </w:tc>
        <w:tc>
          <w:tcPr>
            <w:tcW w:w="1100" w:type="dxa"/>
            <w:vAlign w:val="bottom"/>
            <w:tcBorders>
              <w:bottom w:val="single" w:sz="8" w:color="DFF1FB"/>
            </w:tcBorders>
          </w:tcPr>
          <w:p>
            <w:pPr>
              <w:spacing w:after="0"/>
              <w:rPr>
                <w:sz w:val="21"/>
                <w:szCs w:val="21"/>
                <w:color w:val="auto"/>
              </w:rPr>
            </w:pPr>
          </w:p>
        </w:tc>
        <w:tc>
          <w:tcPr>
            <w:tcW w:w="1280" w:type="dxa"/>
            <w:vAlign w:val="bottom"/>
            <w:tcBorders>
              <w:bottom w:val="single" w:sz="8" w:color="DFF1FB"/>
            </w:tcBorders>
          </w:tcPr>
          <w:p>
            <w:pPr>
              <w:spacing w:after="0"/>
              <w:rPr>
                <w:sz w:val="21"/>
                <w:szCs w:val="21"/>
                <w:color w:val="auto"/>
              </w:rPr>
            </w:pPr>
          </w:p>
        </w:tc>
        <w:tc>
          <w:tcPr>
            <w:tcW w:w="1280" w:type="dxa"/>
            <w:vAlign w:val="bottom"/>
            <w:tcBorders>
              <w:bottom w:val="single" w:sz="8" w:color="DFF1FB"/>
            </w:tcBorders>
          </w:tcPr>
          <w:p>
            <w:pPr>
              <w:spacing w:after="0"/>
              <w:rPr>
                <w:sz w:val="21"/>
                <w:szCs w:val="21"/>
                <w:color w:val="auto"/>
              </w:rPr>
            </w:pPr>
          </w:p>
        </w:tc>
        <w:tc>
          <w:tcPr>
            <w:tcW w:w="880" w:type="dxa"/>
            <w:vAlign w:val="bottom"/>
            <w:tcBorders>
              <w:bottom w:val="single" w:sz="8" w:color="DFF1FB"/>
            </w:tcBorders>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3360" w:type="dxa"/>
            <w:vAlign w:val="bottom"/>
          </w:tcPr>
          <w:p>
            <w:pPr>
              <w:ind w:left="80"/>
              <w:spacing w:after="0"/>
              <w:rPr>
                <w:sz w:val="20"/>
                <w:szCs w:val="20"/>
                <w:color w:val="auto"/>
              </w:rPr>
            </w:pPr>
            <w:r>
              <w:rPr>
                <w:rFonts w:ascii="Arial" w:cs="Arial" w:eastAsia="Arial" w:hAnsi="Arial"/>
                <w:sz w:val="13"/>
                <w:szCs w:val="13"/>
                <w:color w:val="auto"/>
              </w:rPr>
              <w:t>Death</w:t>
            </w:r>
          </w:p>
        </w:tc>
        <w:tc>
          <w:tcPr>
            <w:tcW w:w="2680" w:type="dxa"/>
            <w:vAlign w:val="bottom"/>
          </w:tcPr>
          <w:p>
            <w:pPr>
              <w:jc w:val="right"/>
              <w:ind w:right="213"/>
              <w:spacing w:after="0"/>
              <w:rPr>
                <w:sz w:val="20"/>
                <w:szCs w:val="20"/>
                <w:color w:val="auto"/>
              </w:rPr>
            </w:pPr>
            <w:r>
              <w:rPr>
                <w:rFonts w:ascii="Arial" w:cs="Arial" w:eastAsia="Arial" w:hAnsi="Arial"/>
                <w:sz w:val="13"/>
                <w:szCs w:val="13"/>
                <w:color w:val="auto"/>
              </w:rPr>
              <w:t>0</w:t>
            </w:r>
          </w:p>
        </w:tc>
        <w:tc>
          <w:tcPr>
            <w:tcW w:w="840" w:type="dxa"/>
            <w:vAlign w:val="bottom"/>
          </w:tcPr>
          <w:p>
            <w:pPr>
              <w:jc w:val="right"/>
              <w:ind w:right="53"/>
              <w:spacing w:after="0"/>
              <w:rPr>
                <w:sz w:val="20"/>
                <w:szCs w:val="20"/>
                <w:color w:val="auto"/>
              </w:rPr>
            </w:pPr>
            <w:r>
              <w:rPr>
                <w:rFonts w:ascii="Arial" w:cs="Arial" w:eastAsia="Arial" w:hAnsi="Arial"/>
                <w:sz w:val="13"/>
                <w:szCs w:val="13"/>
                <w:color w:val="auto"/>
              </w:rPr>
              <w:t>2,050,000</w:t>
            </w:r>
          </w:p>
        </w:tc>
        <w:tc>
          <w:tcPr>
            <w:tcW w:w="1100" w:type="dxa"/>
            <w:vAlign w:val="bottom"/>
          </w:tcPr>
          <w:p>
            <w:pPr>
              <w:jc w:val="right"/>
              <w:ind w:right="33"/>
              <w:spacing w:after="0"/>
              <w:rPr>
                <w:sz w:val="20"/>
                <w:szCs w:val="20"/>
                <w:color w:val="auto"/>
              </w:rPr>
            </w:pPr>
            <w:r>
              <w:rPr>
                <w:rFonts w:ascii="Arial" w:cs="Arial" w:eastAsia="Arial" w:hAnsi="Arial"/>
                <w:sz w:val="13"/>
                <w:szCs w:val="13"/>
                <w:color w:val="auto"/>
              </w:rPr>
              <w:t>318,521</w:t>
            </w:r>
          </w:p>
        </w:tc>
        <w:tc>
          <w:tcPr>
            <w:tcW w:w="1280" w:type="dxa"/>
            <w:vAlign w:val="bottom"/>
          </w:tcPr>
          <w:p>
            <w:pPr>
              <w:jc w:val="right"/>
              <w:ind w:right="33"/>
              <w:spacing w:after="0"/>
              <w:rPr>
                <w:sz w:val="20"/>
                <w:szCs w:val="20"/>
                <w:color w:val="auto"/>
              </w:rPr>
            </w:pPr>
            <w:r>
              <w:rPr>
                <w:rFonts w:ascii="Arial" w:cs="Arial" w:eastAsia="Arial" w:hAnsi="Arial"/>
                <w:sz w:val="13"/>
                <w:szCs w:val="13"/>
                <w:color w:val="auto"/>
              </w:rPr>
              <w:t>3,049,213</w:t>
            </w:r>
          </w:p>
        </w:tc>
        <w:tc>
          <w:tcPr>
            <w:tcW w:w="1280" w:type="dxa"/>
            <w:vAlign w:val="bottom"/>
          </w:tcPr>
          <w:p>
            <w:pPr>
              <w:jc w:val="right"/>
              <w:ind w:right="193"/>
              <w:spacing w:after="0"/>
              <w:rPr>
                <w:sz w:val="20"/>
                <w:szCs w:val="20"/>
                <w:color w:val="auto"/>
              </w:rPr>
            </w:pPr>
            <w:r>
              <w:rPr>
                <w:rFonts w:ascii="Arial" w:cs="Arial" w:eastAsia="Arial" w:hAnsi="Arial"/>
                <w:sz w:val="13"/>
                <w:szCs w:val="13"/>
                <w:color w:val="auto"/>
              </w:rPr>
              <w:t>0</w:t>
            </w:r>
          </w:p>
        </w:tc>
        <w:tc>
          <w:tcPr>
            <w:tcW w:w="880" w:type="dxa"/>
            <w:vAlign w:val="bottom"/>
          </w:tcPr>
          <w:p>
            <w:pPr>
              <w:jc w:val="right"/>
              <w:ind w:right="13"/>
              <w:spacing w:after="0"/>
              <w:rPr>
                <w:sz w:val="20"/>
                <w:szCs w:val="20"/>
                <w:color w:val="auto"/>
              </w:rPr>
            </w:pPr>
            <w:r>
              <w:rPr>
                <w:rFonts w:ascii="Arial" w:cs="Arial" w:eastAsia="Arial" w:hAnsi="Arial"/>
                <w:sz w:val="13"/>
                <w:szCs w:val="13"/>
                <w:color w:val="auto"/>
              </w:rPr>
              <w:t>5,417,734</w:t>
            </w:r>
          </w:p>
        </w:tc>
        <w:tc>
          <w:tcPr>
            <w:tcW w:w="0" w:type="dxa"/>
            <w:vAlign w:val="bottom"/>
          </w:tcPr>
          <w:p>
            <w:pPr>
              <w:spacing w:after="0"/>
              <w:rPr>
                <w:sz w:val="1"/>
                <w:szCs w:val="1"/>
                <w:color w:val="auto"/>
              </w:rPr>
            </w:pPr>
          </w:p>
        </w:tc>
      </w:tr>
      <w:tr>
        <w:trPr>
          <w:trHeight w:val="41"/>
        </w:trPr>
        <w:tc>
          <w:tcPr>
            <w:tcW w:w="3360" w:type="dxa"/>
            <w:vAlign w:val="bottom"/>
            <w:tcBorders>
              <w:bottom w:val="single" w:sz="8" w:color="DFF1FB"/>
            </w:tcBorders>
          </w:tcPr>
          <w:p>
            <w:pPr>
              <w:spacing w:after="0"/>
              <w:rPr>
                <w:sz w:val="3"/>
                <w:szCs w:val="3"/>
                <w:color w:val="auto"/>
              </w:rPr>
            </w:pPr>
          </w:p>
        </w:tc>
        <w:tc>
          <w:tcPr>
            <w:tcW w:w="2680" w:type="dxa"/>
            <w:vAlign w:val="bottom"/>
            <w:tcBorders>
              <w:bottom w:val="single" w:sz="8" w:color="DFF1FB"/>
            </w:tcBorders>
          </w:tcPr>
          <w:p>
            <w:pPr>
              <w:spacing w:after="0"/>
              <w:rPr>
                <w:sz w:val="3"/>
                <w:szCs w:val="3"/>
                <w:color w:val="auto"/>
              </w:rPr>
            </w:pPr>
          </w:p>
        </w:tc>
        <w:tc>
          <w:tcPr>
            <w:tcW w:w="840" w:type="dxa"/>
            <w:vAlign w:val="bottom"/>
            <w:tcBorders>
              <w:bottom w:val="single" w:sz="8" w:color="DFF1FB"/>
            </w:tcBorders>
          </w:tcPr>
          <w:p>
            <w:pPr>
              <w:spacing w:after="0"/>
              <w:rPr>
                <w:sz w:val="3"/>
                <w:szCs w:val="3"/>
                <w:color w:val="auto"/>
              </w:rPr>
            </w:pPr>
          </w:p>
        </w:tc>
        <w:tc>
          <w:tcPr>
            <w:tcW w:w="1100" w:type="dxa"/>
            <w:vAlign w:val="bottom"/>
            <w:tcBorders>
              <w:bottom w:val="single" w:sz="8" w:color="DFF1FB"/>
            </w:tcBorders>
          </w:tcPr>
          <w:p>
            <w:pPr>
              <w:spacing w:after="0"/>
              <w:rPr>
                <w:sz w:val="3"/>
                <w:szCs w:val="3"/>
                <w:color w:val="auto"/>
              </w:rPr>
            </w:pPr>
          </w:p>
        </w:tc>
        <w:tc>
          <w:tcPr>
            <w:tcW w:w="1280" w:type="dxa"/>
            <w:vAlign w:val="bottom"/>
            <w:tcBorders>
              <w:bottom w:val="single" w:sz="8" w:color="DFF1FB"/>
            </w:tcBorders>
          </w:tcPr>
          <w:p>
            <w:pPr>
              <w:spacing w:after="0"/>
              <w:rPr>
                <w:sz w:val="3"/>
                <w:szCs w:val="3"/>
                <w:color w:val="auto"/>
              </w:rPr>
            </w:pPr>
          </w:p>
        </w:tc>
        <w:tc>
          <w:tcPr>
            <w:tcW w:w="1280" w:type="dxa"/>
            <w:vAlign w:val="bottom"/>
            <w:tcBorders>
              <w:bottom w:val="single" w:sz="8" w:color="DFF1FB"/>
            </w:tcBorders>
          </w:tcPr>
          <w:p>
            <w:pPr>
              <w:spacing w:after="0"/>
              <w:rPr>
                <w:sz w:val="3"/>
                <w:szCs w:val="3"/>
                <w:color w:val="auto"/>
              </w:rPr>
            </w:pPr>
          </w:p>
        </w:tc>
        <w:tc>
          <w:tcPr>
            <w:tcW w:w="880" w:type="dxa"/>
            <w:vAlign w:val="bottom"/>
            <w:tcBorders>
              <w:bottom w:val="single" w:sz="8" w:color="DFF1FB"/>
            </w:tcBorders>
          </w:tcPr>
          <w:p>
            <w:pPr>
              <w:spacing w:after="0"/>
              <w:rPr>
                <w:sz w:val="3"/>
                <w:szCs w:val="3"/>
                <w:color w:val="auto"/>
              </w:rPr>
            </w:pPr>
          </w:p>
        </w:tc>
        <w:tc>
          <w:tcPr>
            <w:tcW w:w="0" w:type="dxa"/>
            <w:vAlign w:val="bottom"/>
          </w:tcPr>
          <w:p>
            <w:pPr>
              <w:spacing w:after="0"/>
              <w:rPr>
                <w:sz w:val="1"/>
                <w:szCs w:val="1"/>
                <w:color w:val="auto"/>
              </w:rPr>
            </w:pPr>
          </w:p>
        </w:tc>
      </w:tr>
      <w:tr>
        <w:trPr>
          <w:trHeight w:val="290"/>
        </w:trPr>
        <w:tc>
          <w:tcPr>
            <w:tcW w:w="3360" w:type="dxa"/>
            <w:vAlign w:val="bottom"/>
            <w:tcBorders>
              <w:bottom w:val="single" w:sz="8" w:color="DFF1FB"/>
            </w:tcBorders>
          </w:tcPr>
          <w:p>
            <w:pPr>
              <w:ind w:left="80"/>
              <w:spacing w:after="0"/>
              <w:rPr>
                <w:sz w:val="20"/>
                <w:szCs w:val="20"/>
                <w:color w:val="auto"/>
              </w:rPr>
            </w:pPr>
            <w:r>
              <w:rPr>
                <w:rFonts w:ascii="Arial" w:cs="Arial" w:eastAsia="Arial" w:hAnsi="Arial"/>
                <w:sz w:val="13"/>
                <w:szCs w:val="13"/>
                <w:color w:val="auto"/>
              </w:rPr>
              <w:t>Disability</w:t>
            </w:r>
          </w:p>
        </w:tc>
        <w:tc>
          <w:tcPr>
            <w:tcW w:w="2680" w:type="dxa"/>
            <w:vAlign w:val="bottom"/>
            <w:tcBorders>
              <w:bottom w:val="single" w:sz="8" w:color="DFF1FB"/>
            </w:tcBorders>
          </w:tcPr>
          <w:p>
            <w:pPr>
              <w:jc w:val="right"/>
              <w:ind w:right="213"/>
              <w:spacing w:after="0"/>
              <w:rPr>
                <w:sz w:val="20"/>
                <w:szCs w:val="20"/>
                <w:color w:val="auto"/>
              </w:rPr>
            </w:pPr>
            <w:r>
              <w:rPr>
                <w:rFonts w:ascii="Arial" w:cs="Arial" w:eastAsia="Arial" w:hAnsi="Arial"/>
                <w:sz w:val="13"/>
                <w:szCs w:val="13"/>
                <w:color w:val="auto"/>
              </w:rPr>
              <w:t>0</w:t>
            </w:r>
          </w:p>
        </w:tc>
        <w:tc>
          <w:tcPr>
            <w:tcW w:w="840" w:type="dxa"/>
            <w:vAlign w:val="bottom"/>
            <w:tcBorders>
              <w:bottom w:val="single" w:sz="8" w:color="DFF1FB"/>
            </w:tcBorders>
          </w:tcPr>
          <w:p>
            <w:pPr>
              <w:jc w:val="right"/>
              <w:ind w:right="53"/>
              <w:spacing w:after="0"/>
              <w:rPr>
                <w:sz w:val="20"/>
                <w:szCs w:val="20"/>
                <w:color w:val="auto"/>
              </w:rPr>
            </w:pPr>
            <w:r>
              <w:rPr>
                <w:rFonts w:ascii="Arial" w:cs="Arial" w:eastAsia="Arial" w:hAnsi="Arial"/>
                <w:sz w:val="13"/>
                <w:szCs w:val="13"/>
                <w:color w:val="auto"/>
              </w:rPr>
              <w:t>2,050,000</w:t>
            </w:r>
          </w:p>
        </w:tc>
        <w:tc>
          <w:tcPr>
            <w:tcW w:w="1100" w:type="dxa"/>
            <w:vAlign w:val="bottom"/>
            <w:tcBorders>
              <w:bottom w:val="single" w:sz="8" w:color="DFF1FB"/>
            </w:tcBorders>
          </w:tcPr>
          <w:p>
            <w:pPr>
              <w:jc w:val="right"/>
              <w:ind w:right="33"/>
              <w:spacing w:after="0"/>
              <w:rPr>
                <w:sz w:val="20"/>
                <w:szCs w:val="20"/>
                <w:color w:val="auto"/>
              </w:rPr>
            </w:pPr>
            <w:r>
              <w:rPr>
                <w:rFonts w:ascii="Arial" w:cs="Arial" w:eastAsia="Arial" w:hAnsi="Arial"/>
                <w:sz w:val="13"/>
                <w:szCs w:val="13"/>
                <w:color w:val="auto"/>
              </w:rPr>
              <w:t>318,521</w:t>
            </w:r>
          </w:p>
        </w:tc>
        <w:tc>
          <w:tcPr>
            <w:tcW w:w="1280" w:type="dxa"/>
            <w:vAlign w:val="bottom"/>
            <w:tcBorders>
              <w:bottom w:val="single" w:sz="8" w:color="DFF1FB"/>
            </w:tcBorders>
          </w:tcPr>
          <w:p>
            <w:pPr>
              <w:jc w:val="right"/>
              <w:ind w:right="33"/>
              <w:spacing w:after="0"/>
              <w:rPr>
                <w:sz w:val="20"/>
                <w:szCs w:val="20"/>
                <w:color w:val="auto"/>
              </w:rPr>
            </w:pPr>
            <w:r>
              <w:rPr>
                <w:rFonts w:ascii="Arial" w:cs="Arial" w:eastAsia="Arial" w:hAnsi="Arial"/>
                <w:sz w:val="13"/>
                <w:szCs w:val="13"/>
                <w:color w:val="auto"/>
              </w:rPr>
              <w:t>3,049,213</w:t>
            </w:r>
          </w:p>
        </w:tc>
        <w:tc>
          <w:tcPr>
            <w:tcW w:w="1280" w:type="dxa"/>
            <w:vAlign w:val="bottom"/>
            <w:tcBorders>
              <w:bottom w:val="single" w:sz="8" w:color="DFF1FB"/>
            </w:tcBorders>
          </w:tcPr>
          <w:p>
            <w:pPr>
              <w:jc w:val="right"/>
              <w:ind w:right="53"/>
              <w:spacing w:after="0"/>
              <w:rPr>
                <w:sz w:val="20"/>
                <w:szCs w:val="20"/>
                <w:color w:val="auto"/>
              </w:rPr>
            </w:pPr>
            <w:r>
              <w:rPr>
                <w:rFonts w:ascii="Arial" w:cs="Arial" w:eastAsia="Arial" w:hAnsi="Arial"/>
                <w:sz w:val="13"/>
                <w:szCs w:val="13"/>
                <w:color w:val="auto"/>
              </w:rPr>
              <w:t>8,563,879</w:t>
            </w:r>
            <w:r>
              <w:rPr>
                <w:rFonts w:ascii="Arial" w:cs="Arial" w:eastAsia="Arial" w:hAnsi="Arial"/>
                <w:sz w:val="22"/>
                <w:szCs w:val="22"/>
                <w:color w:val="auto"/>
                <w:vertAlign w:val="superscript"/>
              </w:rPr>
              <w:t>(6)</w:t>
            </w:r>
          </w:p>
        </w:tc>
        <w:tc>
          <w:tcPr>
            <w:tcW w:w="880" w:type="dxa"/>
            <w:vAlign w:val="bottom"/>
            <w:tcBorders>
              <w:bottom w:val="single" w:sz="8" w:color="DFF1FB"/>
            </w:tcBorders>
          </w:tcPr>
          <w:p>
            <w:pPr>
              <w:jc w:val="right"/>
              <w:ind w:right="13"/>
              <w:spacing w:after="0"/>
              <w:rPr>
                <w:sz w:val="20"/>
                <w:szCs w:val="20"/>
                <w:color w:val="auto"/>
              </w:rPr>
            </w:pPr>
            <w:r>
              <w:rPr>
                <w:rFonts w:ascii="Arial" w:cs="Arial" w:eastAsia="Arial" w:hAnsi="Arial"/>
                <w:sz w:val="13"/>
                <w:szCs w:val="13"/>
                <w:color w:val="auto"/>
              </w:rPr>
              <w:t>13,981,613</w:t>
            </w:r>
          </w:p>
        </w:tc>
        <w:tc>
          <w:tcPr>
            <w:tcW w:w="0" w:type="dxa"/>
            <w:vAlign w:val="bottom"/>
          </w:tcPr>
          <w:p>
            <w:pPr>
              <w:spacing w:after="0"/>
              <w:rPr>
                <w:sz w:val="1"/>
                <w:szCs w:val="1"/>
                <w:color w:val="auto"/>
              </w:rPr>
            </w:pPr>
          </w:p>
        </w:tc>
      </w:tr>
      <w:tr>
        <w:trPr>
          <w:trHeight w:val="195"/>
        </w:trPr>
        <w:tc>
          <w:tcPr>
            <w:tcW w:w="3360" w:type="dxa"/>
            <w:vAlign w:val="bottom"/>
          </w:tcPr>
          <w:p>
            <w:pPr>
              <w:ind w:left="80"/>
              <w:spacing w:after="0"/>
              <w:rPr>
                <w:sz w:val="20"/>
                <w:szCs w:val="20"/>
                <w:color w:val="auto"/>
              </w:rPr>
            </w:pPr>
            <w:r>
              <w:rPr>
                <w:rFonts w:ascii="Arial" w:cs="Arial" w:eastAsia="Arial" w:hAnsi="Arial"/>
                <w:sz w:val="13"/>
                <w:szCs w:val="13"/>
                <w:b w:val="1"/>
                <w:bCs w:val="1"/>
                <w:color w:val="105EAB"/>
              </w:rPr>
              <w:t>Mr. Shebik</w:t>
            </w:r>
          </w:p>
        </w:tc>
        <w:tc>
          <w:tcPr>
            <w:tcW w:w="26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8"/>
        </w:trPr>
        <w:tc>
          <w:tcPr>
            <w:tcW w:w="3360" w:type="dxa"/>
            <w:vAlign w:val="bottom"/>
            <w:tcBorders>
              <w:bottom w:val="single" w:sz="8" w:color="DFF1FB"/>
            </w:tcBorders>
          </w:tcPr>
          <w:p>
            <w:pPr>
              <w:ind w:left="80"/>
              <w:spacing w:after="0"/>
              <w:rPr>
                <w:sz w:val="20"/>
                <w:szCs w:val="20"/>
                <w:color w:val="auto"/>
              </w:rPr>
            </w:pPr>
            <w:r>
              <w:rPr>
                <w:rFonts w:ascii="Arial" w:cs="Arial" w:eastAsia="Arial" w:hAnsi="Arial"/>
                <w:sz w:val="13"/>
                <w:szCs w:val="13"/>
                <w:color w:val="auto"/>
              </w:rPr>
              <w:t>Termination/Retirement</w:t>
            </w:r>
            <w:r>
              <w:rPr>
                <w:rFonts w:ascii="Arial" w:cs="Arial" w:eastAsia="Arial" w:hAnsi="Arial"/>
                <w:sz w:val="22"/>
                <w:szCs w:val="22"/>
                <w:color w:val="auto"/>
                <w:vertAlign w:val="superscript"/>
              </w:rPr>
              <w:t>(3)</w:t>
            </w:r>
          </w:p>
        </w:tc>
        <w:tc>
          <w:tcPr>
            <w:tcW w:w="2680" w:type="dxa"/>
            <w:vAlign w:val="bottom"/>
            <w:tcBorders>
              <w:bottom w:val="single" w:sz="8" w:color="DFF1FB"/>
            </w:tcBorders>
          </w:tcPr>
          <w:p>
            <w:pPr>
              <w:jc w:val="right"/>
              <w:ind w:right="213"/>
              <w:spacing w:after="0"/>
              <w:rPr>
                <w:sz w:val="20"/>
                <w:szCs w:val="20"/>
                <w:color w:val="auto"/>
              </w:rPr>
            </w:pPr>
            <w:r>
              <w:rPr>
                <w:rFonts w:ascii="Arial" w:cs="Arial" w:eastAsia="Arial" w:hAnsi="Arial"/>
                <w:sz w:val="13"/>
                <w:szCs w:val="13"/>
                <w:color w:val="auto"/>
              </w:rPr>
              <w:t>0</w:t>
            </w:r>
          </w:p>
        </w:tc>
        <w:tc>
          <w:tcPr>
            <w:tcW w:w="840" w:type="dxa"/>
            <w:vAlign w:val="bottom"/>
            <w:tcBorders>
              <w:bottom w:val="single" w:sz="8" w:color="DFF1FB"/>
            </w:tcBorders>
          </w:tcPr>
          <w:p>
            <w:pPr>
              <w:jc w:val="right"/>
              <w:ind w:right="53"/>
              <w:spacing w:after="0"/>
              <w:rPr>
                <w:sz w:val="20"/>
                <w:szCs w:val="20"/>
                <w:color w:val="auto"/>
              </w:rPr>
            </w:pPr>
            <w:r>
              <w:rPr>
                <w:rFonts w:ascii="Arial" w:cs="Arial" w:eastAsia="Arial" w:hAnsi="Arial"/>
                <w:sz w:val="13"/>
                <w:szCs w:val="13"/>
                <w:color w:val="auto"/>
              </w:rPr>
              <w:t>2,945,289</w:t>
            </w:r>
          </w:p>
        </w:tc>
        <w:tc>
          <w:tcPr>
            <w:tcW w:w="1100" w:type="dxa"/>
            <w:vAlign w:val="bottom"/>
            <w:tcBorders>
              <w:bottom w:val="single" w:sz="8" w:color="DFF1FB"/>
            </w:tcBorders>
          </w:tcPr>
          <w:p>
            <w:pPr>
              <w:jc w:val="right"/>
              <w:ind w:right="33"/>
              <w:spacing w:after="0"/>
              <w:rPr>
                <w:sz w:val="20"/>
                <w:szCs w:val="20"/>
                <w:color w:val="auto"/>
              </w:rPr>
            </w:pPr>
            <w:r>
              <w:rPr>
                <w:rFonts w:ascii="Arial" w:cs="Arial" w:eastAsia="Arial" w:hAnsi="Arial"/>
                <w:sz w:val="13"/>
                <w:szCs w:val="13"/>
                <w:color w:val="auto"/>
              </w:rPr>
              <w:t>872,827</w:t>
            </w:r>
          </w:p>
        </w:tc>
        <w:tc>
          <w:tcPr>
            <w:tcW w:w="1280" w:type="dxa"/>
            <w:vAlign w:val="bottom"/>
            <w:tcBorders>
              <w:bottom w:val="single" w:sz="8" w:color="DFF1FB"/>
            </w:tcBorders>
          </w:tcPr>
          <w:p>
            <w:pPr>
              <w:jc w:val="right"/>
              <w:ind w:right="33"/>
              <w:spacing w:after="0"/>
              <w:rPr>
                <w:sz w:val="20"/>
                <w:szCs w:val="20"/>
                <w:color w:val="auto"/>
              </w:rPr>
            </w:pPr>
            <w:r>
              <w:rPr>
                <w:rFonts w:ascii="Arial" w:cs="Arial" w:eastAsia="Arial" w:hAnsi="Arial"/>
                <w:sz w:val="13"/>
                <w:szCs w:val="13"/>
                <w:color w:val="auto"/>
              </w:rPr>
              <w:t>7,000,166</w:t>
            </w:r>
          </w:p>
        </w:tc>
        <w:tc>
          <w:tcPr>
            <w:tcW w:w="1280" w:type="dxa"/>
            <w:vAlign w:val="bottom"/>
            <w:tcBorders>
              <w:bottom w:val="single" w:sz="8" w:color="DFF1FB"/>
            </w:tcBorders>
          </w:tcPr>
          <w:p>
            <w:pPr>
              <w:jc w:val="right"/>
              <w:ind w:right="193"/>
              <w:spacing w:after="0"/>
              <w:rPr>
                <w:sz w:val="20"/>
                <w:szCs w:val="20"/>
                <w:color w:val="auto"/>
              </w:rPr>
            </w:pPr>
            <w:r>
              <w:rPr>
                <w:rFonts w:ascii="Arial" w:cs="Arial" w:eastAsia="Arial" w:hAnsi="Arial"/>
                <w:sz w:val="13"/>
                <w:szCs w:val="13"/>
                <w:color w:val="auto"/>
              </w:rPr>
              <w:t>0</w:t>
            </w:r>
          </w:p>
        </w:tc>
        <w:tc>
          <w:tcPr>
            <w:tcW w:w="880" w:type="dxa"/>
            <w:vAlign w:val="bottom"/>
            <w:tcBorders>
              <w:bottom w:val="single" w:sz="8" w:color="DFF1FB"/>
            </w:tcBorders>
          </w:tcPr>
          <w:p>
            <w:pPr>
              <w:jc w:val="right"/>
              <w:ind w:right="13"/>
              <w:spacing w:after="0"/>
              <w:rPr>
                <w:sz w:val="20"/>
                <w:szCs w:val="20"/>
                <w:color w:val="auto"/>
              </w:rPr>
            </w:pPr>
            <w:r>
              <w:rPr>
                <w:rFonts w:ascii="Arial" w:cs="Arial" w:eastAsia="Arial" w:hAnsi="Arial"/>
                <w:sz w:val="13"/>
                <w:szCs w:val="13"/>
                <w:color w:val="auto"/>
              </w:rPr>
              <w:t>10,818,282</w:t>
            </w:r>
          </w:p>
        </w:tc>
        <w:tc>
          <w:tcPr>
            <w:tcW w:w="0" w:type="dxa"/>
            <w:vAlign w:val="bottom"/>
          </w:tcPr>
          <w:p>
            <w:pPr>
              <w:spacing w:after="0"/>
              <w:rPr>
                <w:sz w:val="1"/>
                <w:szCs w:val="1"/>
                <w:color w:val="auto"/>
              </w:rPr>
            </w:pPr>
          </w:p>
        </w:tc>
      </w:tr>
      <w:tr>
        <w:trPr>
          <w:trHeight w:val="340"/>
        </w:trPr>
        <w:tc>
          <w:tcPr>
            <w:tcW w:w="3360" w:type="dxa"/>
            <w:vAlign w:val="bottom"/>
          </w:tcPr>
          <w:p>
            <w:pPr>
              <w:ind w:left="80"/>
              <w:spacing w:after="0"/>
              <w:rPr>
                <w:sz w:val="20"/>
                <w:szCs w:val="20"/>
                <w:color w:val="auto"/>
              </w:rPr>
            </w:pPr>
            <w:r>
              <w:rPr>
                <w:rFonts w:ascii="Arial" w:cs="Arial" w:eastAsia="Arial" w:hAnsi="Arial"/>
                <w:sz w:val="13"/>
                <w:szCs w:val="13"/>
                <w:color w:val="auto"/>
              </w:rPr>
              <w:t>Termination due to</w:t>
            </w:r>
          </w:p>
        </w:tc>
        <w:tc>
          <w:tcPr>
            <w:tcW w:w="2680" w:type="dxa"/>
            <w:vAlign w:val="bottom"/>
          </w:tcPr>
          <w:p>
            <w:pPr>
              <w:jc w:val="right"/>
              <w:ind w:right="213"/>
              <w:spacing w:after="0"/>
              <w:rPr>
                <w:sz w:val="20"/>
                <w:szCs w:val="20"/>
                <w:color w:val="auto"/>
              </w:rPr>
            </w:pPr>
            <w:r>
              <w:rPr>
                <w:rFonts w:ascii="Arial" w:cs="Arial" w:eastAsia="Arial" w:hAnsi="Arial"/>
                <w:sz w:val="13"/>
                <w:szCs w:val="13"/>
                <w:color w:val="auto"/>
              </w:rPr>
              <w:t>5,100,000</w:t>
            </w:r>
          </w:p>
        </w:tc>
        <w:tc>
          <w:tcPr>
            <w:tcW w:w="840" w:type="dxa"/>
            <w:vAlign w:val="bottom"/>
          </w:tcPr>
          <w:p>
            <w:pPr>
              <w:jc w:val="right"/>
              <w:ind w:right="53"/>
              <w:spacing w:after="0"/>
              <w:rPr>
                <w:sz w:val="20"/>
                <w:szCs w:val="20"/>
                <w:color w:val="auto"/>
              </w:rPr>
            </w:pPr>
            <w:r>
              <w:rPr>
                <w:rFonts w:ascii="Arial" w:cs="Arial" w:eastAsia="Arial" w:hAnsi="Arial"/>
                <w:sz w:val="13"/>
                <w:szCs w:val="13"/>
                <w:color w:val="auto"/>
              </w:rPr>
              <w:t>1,700,000</w:t>
            </w:r>
          </w:p>
        </w:tc>
        <w:tc>
          <w:tcPr>
            <w:tcW w:w="1100" w:type="dxa"/>
            <w:vAlign w:val="bottom"/>
          </w:tcPr>
          <w:p>
            <w:pPr>
              <w:jc w:val="right"/>
              <w:ind w:right="33"/>
              <w:spacing w:after="0"/>
              <w:rPr>
                <w:sz w:val="20"/>
                <w:szCs w:val="20"/>
                <w:color w:val="auto"/>
              </w:rPr>
            </w:pPr>
            <w:r>
              <w:rPr>
                <w:rFonts w:ascii="Arial" w:cs="Arial" w:eastAsia="Arial" w:hAnsi="Arial"/>
                <w:sz w:val="13"/>
                <w:szCs w:val="13"/>
                <w:color w:val="auto"/>
              </w:rPr>
              <w:t>872,827</w:t>
            </w:r>
          </w:p>
        </w:tc>
        <w:tc>
          <w:tcPr>
            <w:tcW w:w="1280" w:type="dxa"/>
            <w:vAlign w:val="bottom"/>
          </w:tcPr>
          <w:p>
            <w:pPr>
              <w:jc w:val="right"/>
              <w:ind w:right="33"/>
              <w:spacing w:after="0"/>
              <w:rPr>
                <w:sz w:val="20"/>
                <w:szCs w:val="20"/>
                <w:color w:val="auto"/>
              </w:rPr>
            </w:pPr>
            <w:r>
              <w:rPr>
                <w:rFonts w:ascii="Arial" w:cs="Arial" w:eastAsia="Arial" w:hAnsi="Arial"/>
                <w:sz w:val="13"/>
                <w:szCs w:val="13"/>
                <w:color w:val="auto"/>
              </w:rPr>
              <w:t>7,226,572</w:t>
            </w:r>
          </w:p>
        </w:tc>
        <w:tc>
          <w:tcPr>
            <w:tcW w:w="1280" w:type="dxa"/>
            <w:vAlign w:val="bottom"/>
          </w:tcPr>
          <w:p>
            <w:pPr>
              <w:jc w:val="right"/>
              <w:ind w:right="53"/>
              <w:spacing w:after="0"/>
              <w:rPr>
                <w:sz w:val="20"/>
                <w:szCs w:val="20"/>
                <w:color w:val="auto"/>
              </w:rPr>
            </w:pPr>
            <w:r>
              <w:rPr>
                <w:rFonts w:ascii="Arial" w:cs="Arial" w:eastAsia="Arial" w:hAnsi="Arial"/>
                <w:sz w:val="13"/>
                <w:szCs w:val="13"/>
                <w:color w:val="auto"/>
              </w:rPr>
              <w:t>69,431</w:t>
            </w:r>
            <w:r>
              <w:rPr>
                <w:rFonts w:ascii="Arial" w:cs="Arial" w:eastAsia="Arial" w:hAnsi="Arial"/>
                <w:sz w:val="22"/>
                <w:szCs w:val="22"/>
                <w:color w:val="auto"/>
                <w:vertAlign w:val="superscript"/>
              </w:rPr>
              <w:t>(5)</w:t>
            </w:r>
          </w:p>
        </w:tc>
        <w:tc>
          <w:tcPr>
            <w:tcW w:w="880" w:type="dxa"/>
            <w:vAlign w:val="bottom"/>
          </w:tcPr>
          <w:p>
            <w:pPr>
              <w:jc w:val="right"/>
              <w:ind w:right="13"/>
              <w:spacing w:after="0"/>
              <w:rPr>
                <w:sz w:val="20"/>
                <w:szCs w:val="20"/>
                <w:color w:val="auto"/>
              </w:rPr>
            </w:pPr>
            <w:r>
              <w:rPr>
                <w:rFonts w:ascii="Arial" w:cs="Arial" w:eastAsia="Arial" w:hAnsi="Arial"/>
                <w:sz w:val="13"/>
                <w:szCs w:val="13"/>
                <w:color w:val="auto"/>
              </w:rPr>
              <w:t>14,968,830</w:t>
            </w:r>
          </w:p>
        </w:tc>
        <w:tc>
          <w:tcPr>
            <w:tcW w:w="0" w:type="dxa"/>
            <w:vAlign w:val="bottom"/>
          </w:tcPr>
          <w:p>
            <w:pPr>
              <w:spacing w:after="0"/>
              <w:rPr>
                <w:sz w:val="1"/>
                <w:szCs w:val="1"/>
                <w:color w:val="auto"/>
              </w:rPr>
            </w:pPr>
          </w:p>
        </w:tc>
      </w:tr>
      <w:tr>
        <w:trPr>
          <w:trHeight w:val="247"/>
        </w:trPr>
        <w:tc>
          <w:tcPr>
            <w:tcW w:w="3360" w:type="dxa"/>
            <w:vAlign w:val="bottom"/>
            <w:tcBorders>
              <w:bottom w:val="single" w:sz="8" w:color="DFF1FB"/>
            </w:tcBorders>
          </w:tcPr>
          <w:p>
            <w:pPr>
              <w:ind w:left="80"/>
              <w:spacing w:after="0" w:line="247" w:lineRule="exact"/>
              <w:rPr>
                <w:sz w:val="20"/>
                <w:szCs w:val="20"/>
                <w:color w:val="auto"/>
              </w:rPr>
            </w:pPr>
            <w:r>
              <w:rPr>
                <w:rFonts w:ascii="Arial" w:cs="Arial" w:eastAsia="Arial" w:hAnsi="Arial"/>
                <w:sz w:val="13"/>
                <w:szCs w:val="13"/>
                <w:color w:val="auto"/>
              </w:rPr>
              <w:t>Change in Control</w:t>
            </w:r>
            <w:r>
              <w:rPr>
                <w:rFonts w:ascii="Arial" w:cs="Arial" w:eastAsia="Arial" w:hAnsi="Arial"/>
                <w:sz w:val="22"/>
                <w:szCs w:val="22"/>
                <w:color w:val="auto"/>
                <w:vertAlign w:val="superscript"/>
              </w:rPr>
              <w:t>(4)</w:t>
            </w:r>
          </w:p>
        </w:tc>
        <w:tc>
          <w:tcPr>
            <w:tcW w:w="2680" w:type="dxa"/>
            <w:vAlign w:val="bottom"/>
            <w:tcBorders>
              <w:bottom w:val="single" w:sz="8" w:color="DFF1FB"/>
            </w:tcBorders>
          </w:tcPr>
          <w:p>
            <w:pPr>
              <w:spacing w:after="0"/>
              <w:rPr>
                <w:sz w:val="21"/>
                <w:szCs w:val="21"/>
                <w:color w:val="auto"/>
              </w:rPr>
            </w:pPr>
          </w:p>
        </w:tc>
        <w:tc>
          <w:tcPr>
            <w:tcW w:w="840" w:type="dxa"/>
            <w:vAlign w:val="bottom"/>
            <w:tcBorders>
              <w:bottom w:val="single" w:sz="8" w:color="DFF1FB"/>
            </w:tcBorders>
          </w:tcPr>
          <w:p>
            <w:pPr>
              <w:spacing w:after="0"/>
              <w:rPr>
                <w:sz w:val="21"/>
                <w:szCs w:val="21"/>
                <w:color w:val="auto"/>
              </w:rPr>
            </w:pPr>
          </w:p>
        </w:tc>
        <w:tc>
          <w:tcPr>
            <w:tcW w:w="1100" w:type="dxa"/>
            <w:vAlign w:val="bottom"/>
            <w:tcBorders>
              <w:bottom w:val="single" w:sz="8" w:color="DFF1FB"/>
            </w:tcBorders>
          </w:tcPr>
          <w:p>
            <w:pPr>
              <w:spacing w:after="0"/>
              <w:rPr>
                <w:sz w:val="21"/>
                <w:szCs w:val="21"/>
                <w:color w:val="auto"/>
              </w:rPr>
            </w:pPr>
          </w:p>
        </w:tc>
        <w:tc>
          <w:tcPr>
            <w:tcW w:w="1280" w:type="dxa"/>
            <w:vAlign w:val="bottom"/>
            <w:tcBorders>
              <w:bottom w:val="single" w:sz="8" w:color="DFF1FB"/>
            </w:tcBorders>
          </w:tcPr>
          <w:p>
            <w:pPr>
              <w:spacing w:after="0"/>
              <w:rPr>
                <w:sz w:val="21"/>
                <w:szCs w:val="21"/>
                <w:color w:val="auto"/>
              </w:rPr>
            </w:pPr>
          </w:p>
        </w:tc>
        <w:tc>
          <w:tcPr>
            <w:tcW w:w="1280" w:type="dxa"/>
            <w:vAlign w:val="bottom"/>
            <w:tcBorders>
              <w:bottom w:val="single" w:sz="8" w:color="DFF1FB"/>
            </w:tcBorders>
          </w:tcPr>
          <w:p>
            <w:pPr>
              <w:spacing w:after="0"/>
              <w:rPr>
                <w:sz w:val="21"/>
                <w:szCs w:val="21"/>
                <w:color w:val="auto"/>
              </w:rPr>
            </w:pPr>
          </w:p>
        </w:tc>
        <w:tc>
          <w:tcPr>
            <w:tcW w:w="880" w:type="dxa"/>
            <w:vAlign w:val="bottom"/>
            <w:tcBorders>
              <w:bottom w:val="single" w:sz="8" w:color="DFF1FB"/>
            </w:tcBorders>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3360" w:type="dxa"/>
            <w:vAlign w:val="bottom"/>
          </w:tcPr>
          <w:p>
            <w:pPr>
              <w:ind w:left="80"/>
              <w:spacing w:after="0"/>
              <w:rPr>
                <w:sz w:val="20"/>
                <w:szCs w:val="20"/>
                <w:color w:val="auto"/>
              </w:rPr>
            </w:pPr>
            <w:r>
              <w:rPr>
                <w:rFonts w:ascii="Arial" w:cs="Arial" w:eastAsia="Arial" w:hAnsi="Arial"/>
                <w:sz w:val="13"/>
                <w:szCs w:val="13"/>
                <w:color w:val="auto"/>
              </w:rPr>
              <w:t>Death</w:t>
            </w:r>
          </w:p>
        </w:tc>
        <w:tc>
          <w:tcPr>
            <w:tcW w:w="2680" w:type="dxa"/>
            <w:vAlign w:val="bottom"/>
          </w:tcPr>
          <w:p>
            <w:pPr>
              <w:jc w:val="right"/>
              <w:ind w:right="213"/>
              <w:spacing w:after="0"/>
              <w:rPr>
                <w:sz w:val="20"/>
                <w:szCs w:val="20"/>
                <w:color w:val="auto"/>
              </w:rPr>
            </w:pPr>
            <w:r>
              <w:rPr>
                <w:rFonts w:ascii="Arial" w:cs="Arial" w:eastAsia="Arial" w:hAnsi="Arial"/>
                <w:sz w:val="13"/>
                <w:szCs w:val="13"/>
                <w:color w:val="auto"/>
              </w:rPr>
              <w:t>0</w:t>
            </w:r>
          </w:p>
        </w:tc>
        <w:tc>
          <w:tcPr>
            <w:tcW w:w="840" w:type="dxa"/>
            <w:vAlign w:val="bottom"/>
          </w:tcPr>
          <w:p>
            <w:pPr>
              <w:jc w:val="right"/>
              <w:ind w:right="53"/>
              <w:spacing w:after="0"/>
              <w:rPr>
                <w:sz w:val="20"/>
                <w:szCs w:val="20"/>
                <w:color w:val="auto"/>
              </w:rPr>
            </w:pPr>
            <w:r>
              <w:rPr>
                <w:rFonts w:ascii="Arial" w:cs="Arial" w:eastAsia="Arial" w:hAnsi="Arial"/>
                <w:sz w:val="13"/>
                <w:szCs w:val="13"/>
                <w:color w:val="auto"/>
              </w:rPr>
              <w:t>2,945,289</w:t>
            </w:r>
          </w:p>
        </w:tc>
        <w:tc>
          <w:tcPr>
            <w:tcW w:w="1100" w:type="dxa"/>
            <w:vAlign w:val="bottom"/>
          </w:tcPr>
          <w:p>
            <w:pPr>
              <w:jc w:val="right"/>
              <w:ind w:right="33"/>
              <w:spacing w:after="0"/>
              <w:rPr>
                <w:sz w:val="20"/>
                <w:szCs w:val="20"/>
                <w:color w:val="auto"/>
              </w:rPr>
            </w:pPr>
            <w:r>
              <w:rPr>
                <w:rFonts w:ascii="Arial" w:cs="Arial" w:eastAsia="Arial" w:hAnsi="Arial"/>
                <w:sz w:val="13"/>
                <w:szCs w:val="13"/>
                <w:color w:val="auto"/>
              </w:rPr>
              <w:t>872,827</w:t>
            </w:r>
          </w:p>
        </w:tc>
        <w:tc>
          <w:tcPr>
            <w:tcW w:w="1280" w:type="dxa"/>
            <w:vAlign w:val="bottom"/>
          </w:tcPr>
          <w:p>
            <w:pPr>
              <w:jc w:val="right"/>
              <w:ind w:right="33"/>
              <w:spacing w:after="0"/>
              <w:rPr>
                <w:sz w:val="20"/>
                <w:szCs w:val="20"/>
                <w:color w:val="auto"/>
              </w:rPr>
            </w:pPr>
            <w:r>
              <w:rPr>
                <w:rFonts w:ascii="Arial" w:cs="Arial" w:eastAsia="Arial" w:hAnsi="Arial"/>
                <w:sz w:val="13"/>
                <w:szCs w:val="13"/>
                <w:color w:val="auto"/>
              </w:rPr>
              <w:t>7,226,572</w:t>
            </w:r>
          </w:p>
        </w:tc>
        <w:tc>
          <w:tcPr>
            <w:tcW w:w="1280" w:type="dxa"/>
            <w:vAlign w:val="bottom"/>
          </w:tcPr>
          <w:p>
            <w:pPr>
              <w:jc w:val="right"/>
              <w:ind w:right="193"/>
              <w:spacing w:after="0"/>
              <w:rPr>
                <w:sz w:val="20"/>
                <w:szCs w:val="20"/>
                <w:color w:val="auto"/>
              </w:rPr>
            </w:pPr>
            <w:r>
              <w:rPr>
                <w:rFonts w:ascii="Arial" w:cs="Arial" w:eastAsia="Arial" w:hAnsi="Arial"/>
                <w:sz w:val="13"/>
                <w:szCs w:val="13"/>
                <w:color w:val="auto"/>
              </w:rPr>
              <w:t>0</w:t>
            </w:r>
          </w:p>
        </w:tc>
        <w:tc>
          <w:tcPr>
            <w:tcW w:w="880" w:type="dxa"/>
            <w:vAlign w:val="bottom"/>
          </w:tcPr>
          <w:p>
            <w:pPr>
              <w:jc w:val="right"/>
              <w:ind w:right="13"/>
              <w:spacing w:after="0"/>
              <w:rPr>
                <w:sz w:val="20"/>
                <w:szCs w:val="20"/>
                <w:color w:val="auto"/>
              </w:rPr>
            </w:pPr>
            <w:r>
              <w:rPr>
                <w:rFonts w:ascii="Arial" w:cs="Arial" w:eastAsia="Arial" w:hAnsi="Arial"/>
                <w:sz w:val="13"/>
                <w:szCs w:val="13"/>
                <w:color w:val="auto"/>
              </w:rPr>
              <w:t>11,044,688</w:t>
            </w:r>
          </w:p>
        </w:tc>
        <w:tc>
          <w:tcPr>
            <w:tcW w:w="0" w:type="dxa"/>
            <w:vAlign w:val="bottom"/>
          </w:tcPr>
          <w:p>
            <w:pPr>
              <w:spacing w:after="0"/>
              <w:rPr>
                <w:sz w:val="1"/>
                <w:szCs w:val="1"/>
                <w:color w:val="auto"/>
              </w:rPr>
            </w:pPr>
          </w:p>
        </w:tc>
      </w:tr>
      <w:tr>
        <w:trPr>
          <w:trHeight w:val="41"/>
        </w:trPr>
        <w:tc>
          <w:tcPr>
            <w:tcW w:w="3360" w:type="dxa"/>
            <w:vAlign w:val="bottom"/>
            <w:tcBorders>
              <w:bottom w:val="single" w:sz="8" w:color="DFF1FB"/>
            </w:tcBorders>
          </w:tcPr>
          <w:p>
            <w:pPr>
              <w:spacing w:after="0"/>
              <w:rPr>
                <w:sz w:val="3"/>
                <w:szCs w:val="3"/>
                <w:color w:val="auto"/>
              </w:rPr>
            </w:pPr>
          </w:p>
        </w:tc>
        <w:tc>
          <w:tcPr>
            <w:tcW w:w="2680" w:type="dxa"/>
            <w:vAlign w:val="bottom"/>
            <w:tcBorders>
              <w:bottom w:val="single" w:sz="8" w:color="DFF1FB"/>
            </w:tcBorders>
          </w:tcPr>
          <w:p>
            <w:pPr>
              <w:spacing w:after="0"/>
              <w:rPr>
                <w:sz w:val="3"/>
                <w:szCs w:val="3"/>
                <w:color w:val="auto"/>
              </w:rPr>
            </w:pPr>
          </w:p>
        </w:tc>
        <w:tc>
          <w:tcPr>
            <w:tcW w:w="840" w:type="dxa"/>
            <w:vAlign w:val="bottom"/>
            <w:tcBorders>
              <w:bottom w:val="single" w:sz="8" w:color="DFF1FB"/>
            </w:tcBorders>
          </w:tcPr>
          <w:p>
            <w:pPr>
              <w:spacing w:after="0"/>
              <w:rPr>
                <w:sz w:val="3"/>
                <w:szCs w:val="3"/>
                <w:color w:val="auto"/>
              </w:rPr>
            </w:pPr>
          </w:p>
        </w:tc>
        <w:tc>
          <w:tcPr>
            <w:tcW w:w="1100" w:type="dxa"/>
            <w:vAlign w:val="bottom"/>
            <w:tcBorders>
              <w:bottom w:val="single" w:sz="8" w:color="DFF1FB"/>
            </w:tcBorders>
          </w:tcPr>
          <w:p>
            <w:pPr>
              <w:spacing w:after="0"/>
              <w:rPr>
                <w:sz w:val="3"/>
                <w:szCs w:val="3"/>
                <w:color w:val="auto"/>
              </w:rPr>
            </w:pPr>
          </w:p>
        </w:tc>
        <w:tc>
          <w:tcPr>
            <w:tcW w:w="1280" w:type="dxa"/>
            <w:vAlign w:val="bottom"/>
            <w:tcBorders>
              <w:bottom w:val="single" w:sz="8" w:color="DFF1FB"/>
            </w:tcBorders>
          </w:tcPr>
          <w:p>
            <w:pPr>
              <w:spacing w:after="0"/>
              <w:rPr>
                <w:sz w:val="3"/>
                <w:szCs w:val="3"/>
                <w:color w:val="auto"/>
              </w:rPr>
            </w:pPr>
          </w:p>
        </w:tc>
        <w:tc>
          <w:tcPr>
            <w:tcW w:w="1280" w:type="dxa"/>
            <w:vAlign w:val="bottom"/>
            <w:tcBorders>
              <w:bottom w:val="single" w:sz="8" w:color="DFF1FB"/>
            </w:tcBorders>
          </w:tcPr>
          <w:p>
            <w:pPr>
              <w:spacing w:after="0"/>
              <w:rPr>
                <w:sz w:val="3"/>
                <w:szCs w:val="3"/>
                <w:color w:val="auto"/>
              </w:rPr>
            </w:pPr>
          </w:p>
        </w:tc>
        <w:tc>
          <w:tcPr>
            <w:tcW w:w="880" w:type="dxa"/>
            <w:vAlign w:val="bottom"/>
            <w:tcBorders>
              <w:bottom w:val="single" w:sz="8" w:color="DFF1FB"/>
            </w:tcBorders>
          </w:tcPr>
          <w:p>
            <w:pPr>
              <w:spacing w:after="0"/>
              <w:rPr>
                <w:sz w:val="3"/>
                <w:szCs w:val="3"/>
                <w:color w:val="auto"/>
              </w:rPr>
            </w:pPr>
          </w:p>
        </w:tc>
        <w:tc>
          <w:tcPr>
            <w:tcW w:w="0" w:type="dxa"/>
            <w:vAlign w:val="bottom"/>
          </w:tcPr>
          <w:p>
            <w:pPr>
              <w:spacing w:after="0"/>
              <w:rPr>
                <w:sz w:val="1"/>
                <w:szCs w:val="1"/>
                <w:color w:val="auto"/>
              </w:rPr>
            </w:pPr>
          </w:p>
        </w:tc>
      </w:tr>
      <w:tr>
        <w:trPr>
          <w:trHeight w:val="297"/>
        </w:trPr>
        <w:tc>
          <w:tcPr>
            <w:tcW w:w="3360" w:type="dxa"/>
            <w:vAlign w:val="bottom"/>
            <w:tcBorders>
              <w:bottom w:val="single" w:sz="8" w:color="105EAB"/>
            </w:tcBorders>
          </w:tcPr>
          <w:p>
            <w:pPr>
              <w:ind w:left="80"/>
              <w:spacing w:after="0"/>
              <w:rPr>
                <w:sz w:val="20"/>
                <w:szCs w:val="20"/>
                <w:color w:val="auto"/>
              </w:rPr>
            </w:pPr>
            <w:r>
              <w:rPr>
                <w:rFonts w:ascii="Arial" w:cs="Arial" w:eastAsia="Arial" w:hAnsi="Arial"/>
                <w:sz w:val="13"/>
                <w:szCs w:val="13"/>
                <w:color w:val="auto"/>
              </w:rPr>
              <w:t>Disability</w:t>
            </w:r>
          </w:p>
        </w:tc>
        <w:tc>
          <w:tcPr>
            <w:tcW w:w="2680" w:type="dxa"/>
            <w:vAlign w:val="bottom"/>
            <w:tcBorders>
              <w:bottom w:val="single" w:sz="8" w:color="105EAB"/>
            </w:tcBorders>
          </w:tcPr>
          <w:p>
            <w:pPr>
              <w:jc w:val="right"/>
              <w:ind w:right="213"/>
              <w:spacing w:after="0"/>
              <w:rPr>
                <w:sz w:val="20"/>
                <w:szCs w:val="20"/>
                <w:color w:val="auto"/>
              </w:rPr>
            </w:pPr>
            <w:r>
              <w:rPr>
                <w:rFonts w:ascii="Arial" w:cs="Arial" w:eastAsia="Arial" w:hAnsi="Arial"/>
                <w:sz w:val="13"/>
                <w:szCs w:val="13"/>
                <w:color w:val="auto"/>
              </w:rPr>
              <w:t>0</w:t>
            </w:r>
          </w:p>
        </w:tc>
        <w:tc>
          <w:tcPr>
            <w:tcW w:w="840" w:type="dxa"/>
            <w:vAlign w:val="bottom"/>
            <w:tcBorders>
              <w:bottom w:val="single" w:sz="8" w:color="105EAB"/>
            </w:tcBorders>
          </w:tcPr>
          <w:p>
            <w:pPr>
              <w:jc w:val="right"/>
              <w:ind w:right="53"/>
              <w:spacing w:after="0"/>
              <w:rPr>
                <w:sz w:val="20"/>
                <w:szCs w:val="20"/>
                <w:color w:val="auto"/>
              </w:rPr>
            </w:pPr>
            <w:r>
              <w:rPr>
                <w:rFonts w:ascii="Arial" w:cs="Arial" w:eastAsia="Arial" w:hAnsi="Arial"/>
                <w:sz w:val="13"/>
                <w:szCs w:val="13"/>
                <w:color w:val="auto"/>
              </w:rPr>
              <w:t>2,945,289</w:t>
            </w:r>
          </w:p>
        </w:tc>
        <w:tc>
          <w:tcPr>
            <w:tcW w:w="1100" w:type="dxa"/>
            <w:vAlign w:val="bottom"/>
            <w:tcBorders>
              <w:bottom w:val="single" w:sz="8" w:color="105EAB"/>
            </w:tcBorders>
          </w:tcPr>
          <w:p>
            <w:pPr>
              <w:jc w:val="right"/>
              <w:ind w:right="33"/>
              <w:spacing w:after="0"/>
              <w:rPr>
                <w:sz w:val="20"/>
                <w:szCs w:val="20"/>
                <w:color w:val="auto"/>
              </w:rPr>
            </w:pPr>
            <w:r>
              <w:rPr>
                <w:rFonts w:ascii="Arial" w:cs="Arial" w:eastAsia="Arial" w:hAnsi="Arial"/>
                <w:sz w:val="13"/>
                <w:szCs w:val="13"/>
                <w:color w:val="auto"/>
              </w:rPr>
              <w:t>872,827</w:t>
            </w:r>
          </w:p>
        </w:tc>
        <w:tc>
          <w:tcPr>
            <w:tcW w:w="1280" w:type="dxa"/>
            <w:vAlign w:val="bottom"/>
            <w:tcBorders>
              <w:bottom w:val="single" w:sz="8" w:color="105EAB"/>
            </w:tcBorders>
          </w:tcPr>
          <w:p>
            <w:pPr>
              <w:jc w:val="right"/>
              <w:ind w:right="33"/>
              <w:spacing w:after="0"/>
              <w:rPr>
                <w:sz w:val="20"/>
                <w:szCs w:val="20"/>
                <w:color w:val="auto"/>
              </w:rPr>
            </w:pPr>
            <w:r>
              <w:rPr>
                <w:rFonts w:ascii="Arial" w:cs="Arial" w:eastAsia="Arial" w:hAnsi="Arial"/>
                <w:sz w:val="13"/>
                <w:szCs w:val="13"/>
                <w:color w:val="auto"/>
              </w:rPr>
              <w:t>7,226,572</w:t>
            </w:r>
          </w:p>
        </w:tc>
        <w:tc>
          <w:tcPr>
            <w:tcW w:w="1280" w:type="dxa"/>
            <w:vAlign w:val="bottom"/>
            <w:tcBorders>
              <w:bottom w:val="single" w:sz="8" w:color="105EAB"/>
            </w:tcBorders>
          </w:tcPr>
          <w:p>
            <w:pPr>
              <w:jc w:val="right"/>
              <w:ind w:right="53"/>
              <w:spacing w:after="0"/>
              <w:rPr>
                <w:sz w:val="20"/>
                <w:szCs w:val="20"/>
                <w:color w:val="auto"/>
              </w:rPr>
            </w:pPr>
            <w:r>
              <w:rPr>
                <w:rFonts w:ascii="Arial" w:cs="Arial" w:eastAsia="Arial" w:hAnsi="Arial"/>
                <w:sz w:val="13"/>
                <w:szCs w:val="13"/>
                <w:color w:val="auto"/>
              </w:rPr>
              <w:t>4,618,345</w:t>
            </w:r>
            <w:r>
              <w:rPr>
                <w:rFonts w:ascii="Arial" w:cs="Arial" w:eastAsia="Arial" w:hAnsi="Arial"/>
                <w:sz w:val="22"/>
                <w:szCs w:val="22"/>
                <w:color w:val="auto"/>
                <w:vertAlign w:val="superscript"/>
              </w:rPr>
              <w:t>(6)</w:t>
            </w:r>
          </w:p>
        </w:tc>
        <w:tc>
          <w:tcPr>
            <w:tcW w:w="880" w:type="dxa"/>
            <w:vAlign w:val="bottom"/>
            <w:tcBorders>
              <w:bottom w:val="single" w:sz="8" w:color="105EAB"/>
            </w:tcBorders>
          </w:tcPr>
          <w:p>
            <w:pPr>
              <w:jc w:val="right"/>
              <w:ind w:right="13"/>
              <w:spacing w:after="0"/>
              <w:rPr>
                <w:sz w:val="20"/>
                <w:szCs w:val="20"/>
                <w:color w:val="auto"/>
              </w:rPr>
            </w:pPr>
            <w:r>
              <w:rPr>
                <w:rFonts w:ascii="Arial" w:cs="Arial" w:eastAsia="Arial" w:hAnsi="Arial"/>
                <w:sz w:val="13"/>
                <w:szCs w:val="13"/>
                <w:color w:val="auto"/>
              </w:rPr>
              <w:t>15,663,033</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300" w:hanging="292"/>
        <w:spacing w:after="0"/>
        <w:tabs>
          <w:tab w:leader="none" w:pos="300" w:val="left"/>
        </w:tabs>
        <w:numPr>
          <w:ilvl w:val="0"/>
          <w:numId w:val="211"/>
        </w:numPr>
        <w:rPr>
          <w:rFonts w:ascii="Arial" w:cs="Arial" w:eastAsia="Arial" w:hAnsi="Arial"/>
          <w:sz w:val="11"/>
          <w:szCs w:val="11"/>
          <w:color w:val="auto"/>
        </w:rPr>
      </w:pPr>
      <w:r>
        <w:rPr>
          <w:rFonts w:ascii="Arial" w:cs="Arial" w:eastAsia="Arial" w:hAnsi="Arial"/>
          <w:sz w:val="13"/>
          <w:szCs w:val="13"/>
          <w:color w:val="auto"/>
        </w:rPr>
        <w:t>A “0” indicates either that there is no amount payable to the named executive, or the amount payable is the same for both the named executives and all salaried employees.</w:t>
      </w:r>
    </w:p>
    <w:p>
      <w:pPr>
        <w:spacing w:after="0" w:line="12" w:lineRule="exact"/>
        <w:rPr>
          <w:rFonts w:ascii="Arial" w:cs="Arial" w:eastAsia="Arial" w:hAnsi="Arial"/>
          <w:sz w:val="11"/>
          <w:szCs w:val="11"/>
          <w:color w:val="auto"/>
        </w:rPr>
      </w:pPr>
    </w:p>
    <w:p>
      <w:pPr>
        <w:ind w:left="300" w:right="440" w:hanging="292"/>
        <w:spacing w:after="0" w:line="238" w:lineRule="auto"/>
        <w:tabs>
          <w:tab w:leader="none" w:pos="300" w:val="left"/>
        </w:tabs>
        <w:numPr>
          <w:ilvl w:val="0"/>
          <w:numId w:val="211"/>
        </w:numPr>
        <w:rPr>
          <w:rFonts w:ascii="Arial" w:cs="Arial" w:eastAsia="Arial" w:hAnsi="Arial"/>
          <w:sz w:val="11"/>
          <w:szCs w:val="11"/>
          <w:color w:val="auto"/>
        </w:rPr>
      </w:pPr>
      <w:r>
        <w:rPr>
          <w:rFonts w:ascii="Arial" w:cs="Arial" w:eastAsia="Arial" w:hAnsi="Arial"/>
          <w:sz w:val="13"/>
          <w:szCs w:val="13"/>
          <w:color w:val="auto"/>
        </w:rPr>
        <w:t>The 2018 annual incentive plan payment is payable to all named executives as a result of death and disability. In addition, it is payable to Messrs. Wilson and Shebik in the event of retirement. The amount listed for the annual incentive plan payment upon termination due to a change in control is shown at target as defined in the CIC Plan.</w:t>
      </w:r>
    </w:p>
    <w:p>
      <w:pPr>
        <w:ind w:left="300" w:right="820" w:hanging="292"/>
        <w:spacing w:after="0" w:line="238" w:lineRule="auto"/>
        <w:tabs>
          <w:tab w:leader="none" w:pos="300" w:val="left"/>
        </w:tabs>
        <w:numPr>
          <w:ilvl w:val="0"/>
          <w:numId w:val="211"/>
        </w:numPr>
        <w:rPr>
          <w:rFonts w:ascii="Arial" w:cs="Arial" w:eastAsia="Arial" w:hAnsi="Arial"/>
          <w:sz w:val="11"/>
          <w:szCs w:val="11"/>
          <w:color w:val="auto"/>
        </w:rPr>
      </w:pPr>
      <w:r>
        <w:rPr>
          <w:rFonts w:ascii="Arial" w:cs="Arial" w:eastAsia="Arial" w:hAnsi="Arial"/>
          <w:sz w:val="13"/>
          <w:szCs w:val="13"/>
          <w:color w:val="auto"/>
        </w:rPr>
        <w:t>As of December 31, 2018, Messrs. Wilson and Shebik are the only named executives eligible to retire in accordance with Allstate’s policy and the terms of its equity incentive compensation and benefit plans.</w:t>
      </w:r>
    </w:p>
    <w:p>
      <w:pPr>
        <w:ind w:left="300" w:right="100" w:hanging="292"/>
        <w:spacing w:after="0" w:line="258" w:lineRule="auto"/>
        <w:tabs>
          <w:tab w:leader="none" w:pos="300" w:val="left"/>
        </w:tabs>
        <w:numPr>
          <w:ilvl w:val="0"/>
          <w:numId w:val="211"/>
        </w:numPr>
        <w:rPr>
          <w:rFonts w:ascii="Arial" w:cs="Arial" w:eastAsia="Arial" w:hAnsi="Arial"/>
          <w:sz w:val="11"/>
          <w:szCs w:val="11"/>
          <w:color w:val="auto"/>
        </w:rPr>
      </w:pPr>
      <w:r>
        <w:rPr>
          <w:rFonts w:ascii="Arial" w:cs="Arial" w:eastAsia="Arial" w:hAnsi="Arial"/>
          <w:sz w:val="13"/>
          <w:szCs w:val="13"/>
          <w:color w:val="auto"/>
        </w:rPr>
        <w:t>The values in this change-in-control row represent amounts paid if both the change in control and qualifying termination occur on December 31, 2018. PSAs are paid out based on actual performance; for purposes of this table, the 2016-2018 cycle is shown at 161.5% of target, 2017-2019, and 2018-2020 cycles are reflected at target.</w:t>
      </w:r>
    </w:p>
    <w:p>
      <w:pPr>
        <w:spacing w:after="0" w:line="191" w:lineRule="exact"/>
        <w:rPr>
          <w:sz w:val="20"/>
          <w:szCs w:val="20"/>
          <w:color w:val="auto"/>
        </w:rPr>
      </w:pPr>
    </w:p>
    <w:p>
      <w:pPr>
        <w:ind w:left="460" w:hanging="452"/>
        <w:spacing w:after="0"/>
        <w:tabs>
          <w:tab w:leader="none" w:pos="460" w:val="left"/>
        </w:tabs>
        <w:numPr>
          <w:ilvl w:val="0"/>
          <w:numId w:val="212"/>
        </w:numPr>
        <w:rPr>
          <w:rFonts w:ascii="Arial" w:cs="Arial" w:eastAsia="Arial" w:hAnsi="Arial"/>
          <w:sz w:val="13"/>
          <w:szCs w:val="13"/>
          <w:b w:val="1"/>
          <w:bCs w:val="1"/>
          <w:color w:val="105EAB"/>
        </w:rPr>
      </w:pPr>
      <w:r>
        <w:rPr>
          <w:rFonts w:ascii="Arial" w:cs="Arial" w:eastAsia="Arial" w:hAnsi="Arial"/>
          <w:sz w:val="13"/>
          <w:szCs w:val="13"/>
          <w:color w:val="105EAB"/>
        </w:rPr>
        <w:t>www.allstateproxy.com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134620</wp:posOffset>
            </wp:positionV>
            <wp:extent cx="7268210" cy="209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ind w:left="7580"/>
        <w:spacing w:after="0"/>
        <w:rPr>
          <w:sz w:val="20"/>
          <w:szCs w:val="20"/>
          <w:color w:val="auto"/>
        </w:rPr>
      </w:pPr>
      <w:r>
        <w:rPr>
          <w:rFonts w:ascii="Arial" w:cs="Arial" w:eastAsia="Arial" w:hAnsi="Arial"/>
          <w:sz w:val="13"/>
          <w:szCs w:val="13"/>
          <w:b w:val="1"/>
          <w:bCs w:val="1"/>
          <w:color w:val="auto"/>
        </w:rPr>
        <w:t xml:space="preserve">Performance Measures for 2018 </w:t>
      </w:r>
      <w:r>
        <w:rPr>
          <w:rFonts w:ascii="Arial" w:cs="Arial" w:eastAsia="Arial" w:hAnsi="Arial"/>
          <w:sz w:val="13"/>
          <w:szCs w:val="13"/>
          <w:b w:val="1"/>
          <w:bCs w:val="1"/>
          <w:color w:val="105EAB"/>
        </w:rPr>
        <w:t>| Executive Compensation</w:t>
      </w:r>
    </w:p>
    <w:p>
      <w:pPr>
        <w:spacing w:after="0" w:line="231" w:lineRule="exact"/>
        <w:rPr>
          <w:sz w:val="20"/>
          <w:szCs w:val="20"/>
          <w:color w:val="auto"/>
        </w:rPr>
      </w:pPr>
    </w:p>
    <w:p>
      <w:pPr>
        <w:jc w:val="both"/>
        <w:ind w:left="300" w:right="60"/>
        <w:spacing w:after="0" w:line="238" w:lineRule="auto"/>
        <w:rPr>
          <w:sz w:val="20"/>
          <w:szCs w:val="20"/>
          <w:color w:val="auto"/>
        </w:rPr>
      </w:pPr>
      <w:r>
        <w:rPr>
          <w:rFonts w:ascii="Arial" w:cs="Arial" w:eastAsia="Arial" w:hAnsi="Arial"/>
          <w:sz w:val="13"/>
          <w:szCs w:val="13"/>
          <w:color w:val="auto"/>
        </w:rPr>
        <w:t xml:space="preserve">Beginning with awards granted in 2012, equity awards do not accelerate in the event of a change in control unless also accompanied by a qualifying termination of employment. A change in control also would accelerate the distribution of each named executive’s non-qualified deferred compensation and SRIP benefits. Please see the </w:t>
      </w:r>
      <w:r>
        <w:rPr>
          <w:rFonts w:ascii="Arial" w:cs="Arial" w:eastAsia="Arial" w:hAnsi="Arial"/>
          <w:sz w:val="13"/>
          <w:szCs w:val="13"/>
          <w:i w:val="1"/>
          <w:iCs w:val="1"/>
          <w:color w:val="auto"/>
        </w:rPr>
        <w:t>Non-Qualified Deferred Compensation</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at Fiscal Year-end 2018 </w:t>
      </w:r>
      <w:r>
        <w:rPr>
          <w:rFonts w:ascii="Arial" w:cs="Arial" w:eastAsia="Arial" w:hAnsi="Arial"/>
          <w:sz w:val="13"/>
          <w:szCs w:val="13"/>
          <w:color w:val="auto"/>
        </w:rPr>
        <w:t>table and footnote 2 to the</w:t>
      </w:r>
      <w:r>
        <w:rPr>
          <w:rFonts w:ascii="Arial" w:cs="Arial" w:eastAsia="Arial" w:hAnsi="Arial"/>
          <w:sz w:val="13"/>
          <w:szCs w:val="13"/>
          <w:i w:val="1"/>
          <w:iCs w:val="1"/>
          <w:color w:val="auto"/>
        </w:rPr>
        <w:t xml:space="preserve"> Pension Benefits </w:t>
      </w:r>
      <w:r>
        <w:rPr>
          <w:rFonts w:ascii="Arial" w:cs="Arial" w:eastAsia="Arial" w:hAnsi="Arial"/>
          <w:sz w:val="13"/>
          <w:szCs w:val="13"/>
          <w:color w:val="auto"/>
        </w:rPr>
        <w:t>table in the</w:t>
      </w:r>
      <w:r>
        <w:rPr>
          <w:rFonts w:ascii="Arial" w:cs="Arial" w:eastAsia="Arial" w:hAnsi="Arial"/>
          <w:sz w:val="13"/>
          <w:szCs w:val="13"/>
          <w:i w:val="1"/>
          <w:iCs w:val="1"/>
          <w:color w:val="auto"/>
        </w:rPr>
        <w:t xml:space="preserve"> Retirement Benefits </w:t>
      </w:r>
      <w:r>
        <w:rPr>
          <w:rFonts w:ascii="Arial" w:cs="Arial" w:eastAsia="Arial" w:hAnsi="Arial"/>
          <w:sz w:val="13"/>
          <w:szCs w:val="13"/>
          <w:color w:val="auto"/>
        </w:rPr>
        <w:t>section for details regarding the applicable amounts for each named executive.</w:t>
      </w:r>
    </w:p>
    <w:p>
      <w:pPr>
        <w:jc w:val="both"/>
        <w:ind w:left="300" w:right="60" w:hanging="292"/>
        <w:spacing w:after="0" w:line="238" w:lineRule="auto"/>
        <w:tabs>
          <w:tab w:leader="none" w:pos="300" w:val="left"/>
        </w:tabs>
        <w:numPr>
          <w:ilvl w:val="0"/>
          <w:numId w:val="213"/>
        </w:numPr>
        <w:rPr>
          <w:rFonts w:ascii="Arial" w:cs="Arial" w:eastAsia="Arial" w:hAnsi="Arial"/>
          <w:sz w:val="11"/>
          <w:szCs w:val="11"/>
          <w:color w:val="auto"/>
        </w:rPr>
      </w:pPr>
      <w:r>
        <w:rPr>
          <w:rFonts w:ascii="Arial" w:cs="Arial" w:eastAsia="Arial" w:hAnsi="Arial"/>
          <w:sz w:val="13"/>
          <w:szCs w:val="13"/>
          <w:color w:val="auto"/>
        </w:rPr>
        <w:t>The Welfare Benefits and Outplacement Services amount includes the cost to provide certain welfare benefits to the named executive and family during the period the named executive is eligible for continuation coverage under applicable law. The amount shown reflects Allstate’s costs for these benefits or programs assuming an 18-month continuation period. The value of outplacement services is $50,000 for each named executive.</w:t>
      </w:r>
    </w:p>
    <w:p>
      <w:pPr>
        <w:ind w:left="300" w:right="80" w:hanging="292"/>
        <w:spacing w:after="0" w:line="238" w:lineRule="auto"/>
        <w:tabs>
          <w:tab w:leader="none" w:pos="300" w:val="left"/>
        </w:tabs>
        <w:numPr>
          <w:ilvl w:val="0"/>
          <w:numId w:val="213"/>
        </w:numPr>
        <w:rPr>
          <w:rFonts w:ascii="Arial" w:cs="Arial" w:eastAsia="Arial" w:hAnsi="Arial"/>
          <w:sz w:val="11"/>
          <w:szCs w:val="11"/>
          <w:color w:val="auto"/>
        </w:rPr>
      </w:pPr>
      <w:r>
        <w:rPr>
          <w:rFonts w:ascii="Arial" w:cs="Arial" w:eastAsia="Arial" w:hAnsi="Arial"/>
          <w:sz w:val="13"/>
          <w:szCs w:val="13"/>
          <w:color w:val="auto"/>
        </w:rPr>
        <w:t>The named executives who participate in the long-term disability plan are eligible to participate in Allstate’s supplemental long-term disability plan for employees whose annual earnings exceed the level that produces the maximum monthly benefit provided by the long-term disability plan (basic plan). The monthly benefit is equal to 60% of the named executive’s qualified annual earnings divided by twelve and rounded to the nearest $100, reduced by $7,500, which is the maximum monthly benefit payment that can be received under the basic plan. The amount reflected assumes the named executive remains totally disabled until age 65 and represents the present value of the monthly benefit payable until age 65.</w:t>
      </w:r>
    </w:p>
    <w:p>
      <w:pPr>
        <w:ind w:left="300" w:right="100" w:hanging="292"/>
        <w:spacing w:after="0" w:line="258" w:lineRule="auto"/>
        <w:tabs>
          <w:tab w:leader="none" w:pos="300" w:val="left"/>
        </w:tabs>
        <w:numPr>
          <w:ilvl w:val="0"/>
          <w:numId w:val="213"/>
        </w:numPr>
        <w:rPr>
          <w:rFonts w:ascii="Arial" w:cs="Arial" w:eastAsia="Arial" w:hAnsi="Arial"/>
          <w:sz w:val="11"/>
          <w:szCs w:val="11"/>
          <w:color w:val="auto"/>
        </w:rPr>
      </w:pPr>
      <w:r>
        <w:rPr>
          <w:rFonts w:ascii="Arial" w:cs="Arial" w:eastAsia="Arial" w:hAnsi="Arial"/>
          <w:sz w:val="13"/>
          <w:szCs w:val="13"/>
          <w:color w:val="auto"/>
        </w:rPr>
        <w:t>Under the change in control plan, severance benefits for Mr. Rizzo were reduced by $431,426 to avoid the imposition of excise taxes and maximize the severance benefit available under the plan.</w:t>
      </w:r>
    </w:p>
    <w:p>
      <w:pPr>
        <w:spacing w:after="0" w:line="161" w:lineRule="exact"/>
        <w:rPr>
          <w:sz w:val="20"/>
          <w:szCs w:val="20"/>
          <w:color w:val="auto"/>
        </w:rPr>
      </w:pPr>
    </w:p>
    <w:p>
      <w:pPr>
        <w:spacing w:after="0"/>
        <w:rPr>
          <w:sz w:val="20"/>
          <w:szCs w:val="20"/>
          <w:color w:val="auto"/>
        </w:rPr>
      </w:pPr>
      <w:r>
        <w:rPr>
          <w:rFonts w:ascii="Arial" w:cs="Arial" w:eastAsia="Arial" w:hAnsi="Arial"/>
          <w:sz w:val="31"/>
          <w:szCs w:val="31"/>
          <w:b w:val="1"/>
          <w:bCs w:val="1"/>
          <w:color w:val="959595"/>
        </w:rPr>
        <w:t>Performance Measures for 2018</w:t>
      </w:r>
    </w:p>
    <w:p>
      <w:pPr>
        <w:spacing w:after="0" w:line="258"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The following pages contain descriptions of the performance measures used for executive incentive compensation. They were developed uniquely for incentive compensation purposes, are non-GAAP measures and are not reported in our financial statements. The committee has approved the use of non-GAAP measures when appropriate to drive executive focus on particular strategic, operational, or financial factors, or to exclude factors over which our executives have little influence or control. The committee monitors compensation estimates during the year based on actual performance on these measures, and the internal audit department reviews the final results.</w:t>
      </w:r>
    </w:p>
    <w:p>
      <w:pPr>
        <w:spacing w:after="0" w:line="210"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105EAB"/>
        </w:rPr>
        <w:t xml:space="preserve">Performance Net Income: </w:t>
      </w:r>
      <w:r>
        <w:rPr>
          <w:rFonts w:ascii="Arial" w:cs="Arial" w:eastAsia="Arial" w:hAnsi="Arial"/>
          <w:sz w:val="18"/>
          <w:szCs w:val="18"/>
          <w:color w:val="000000"/>
        </w:rPr>
        <w:t>This measure is calculated uniquely for annual cash incentive awards and each PSA performance cycle. For each plan,</w:t>
      </w:r>
      <w:r>
        <w:rPr>
          <w:rFonts w:ascii="Arial" w:cs="Arial" w:eastAsia="Arial" w:hAnsi="Arial"/>
          <w:sz w:val="18"/>
          <w:szCs w:val="18"/>
          <w:color w:val="105EAB"/>
        </w:rPr>
        <w:t xml:space="preserve"> </w:t>
      </w:r>
      <w:r>
        <w:rPr>
          <w:rFonts w:ascii="Arial" w:cs="Arial" w:eastAsia="Arial" w:hAnsi="Arial"/>
          <w:sz w:val="18"/>
          <w:szCs w:val="18"/>
          <w:color w:val="000000"/>
        </w:rPr>
        <w:t>Performance Net Income is equal to net income applicable to common shareholders as reported in The Allstate Corporation Annual Report on Form 10-K adjusted for the after-tax effect of the items indicated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420" w:type="dxa"/>
            <w:vAlign w:val="bottom"/>
          </w:tcPr>
          <w:p>
            <w:pPr>
              <w:spacing w:after="0"/>
              <w:rPr>
                <w:sz w:val="15"/>
                <w:szCs w:val="15"/>
                <w:color w:val="auto"/>
              </w:rPr>
            </w:pPr>
          </w:p>
        </w:tc>
        <w:tc>
          <w:tcPr>
            <w:tcW w:w="4280" w:type="dxa"/>
            <w:vAlign w:val="bottom"/>
          </w:tcPr>
          <w:p>
            <w:pPr>
              <w:jc w:val="center"/>
              <w:ind w:left="2313"/>
              <w:spacing w:after="0"/>
              <w:rPr>
                <w:sz w:val="20"/>
                <w:szCs w:val="20"/>
                <w:color w:val="auto"/>
              </w:rPr>
            </w:pPr>
            <w:r>
              <w:rPr>
                <w:rFonts w:ascii="Arial" w:cs="Arial" w:eastAsia="Arial" w:hAnsi="Arial"/>
                <w:sz w:val="13"/>
                <w:szCs w:val="13"/>
                <w:b w:val="1"/>
                <w:bCs w:val="1"/>
                <w:color w:val="105EAB"/>
              </w:rPr>
              <w:t>Annual Cash</w:t>
            </w:r>
          </w:p>
        </w:tc>
        <w:tc>
          <w:tcPr>
            <w:tcW w:w="1720" w:type="dxa"/>
            <w:vAlign w:val="bottom"/>
          </w:tcPr>
          <w:p>
            <w:pPr>
              <w:jc w:val="center"/>
              <w:ind w:left="73"/>
              <w:spacing w:after="0"/>
              <w:rPr>
                <w:sz w:val="20"/>
                <w:szCs w:val="20"/>
                <w:color w:val="auto"/>
              </w:rPr>
            </w:pPr>
            <w:r>
              <w:rPr>
                <w:rFonts w:ascii="Arial" w:cs="Arial" w:eastAsia="Arial" w:hAnsi="Arial"/>
                <w:sz w:val="13"/>
                <w:szCs w:val="13"/>
                <w:b w:val="1"/>
                <w:bCs w:val="1"/>
                <w:color w:val="105EAB"/>
              </w:rPr>
              <w:t>Performance</w:t>
            </w:r>
          </w:p>
        </w:tc>
      </w:tr>
      <w:tr>
        <w:trPr>
          <w:trHeight w:val="209"/>
        </w:trPr>
        <w:tc>
          <w:tcPr>
            <w:tcW w:w="5420" w:type="dxa"/>
            <w:vAlign w:val="bottom"/>
            <w:tcBorders>
              <w:bottom w:val="single" w:sz="8" w:color="105EAB"/>
            </w:tcBorders>
          </w:tcPr>
          <w:p>
            <w:pPr>
              <w:ind w:left="300"/>
              <w:spacing w:after="0"/>
              <w:rPr>
                <w:sz w:val="20"/>
                <w:szCs w:val="20"/>
                <w:color w:val="auto"/>
              </w:rPr>
            </w:pPr>
            <w:r>
              <w:rPr>
                <w:rFonts w:ascii="Arial" w:cs="Arial" w:eastAsia="Arial" w:hAnsi="Arial"/>
                <w:sz w:val="13"/>
                <w:szCs w:val="13"/>
                <w:b w:val="1"/>
                <w:bCs w:val="1"/>
                <w:color w:val="105EAB"/>
              </w:rPr>
              <w:t>Indicates adjustments to Net Income</w:t>
            </w:r>
          </w:p>
        </w:tc>
        <w:tc>
          <w:tcPr>
            <w:tcW w:w="4280" w:type="dxa"/>
            <w:vAlign w:val="bottom"/>
            <w:tcBorders>
              <w:bottom w:val="single" w:sz="8" w:color="105EAB"/>
            </w:tcBorders>
          </w:tcPr>
          <w:p>
            <w:pPr>
              <w:jc w:val="center"/>
              <w:ind w:left="2293"/>
              <w:spacing w:after="0"/>
              <w:rPr>
                <w:sz w:val="20"/>
                <w:szCs w:val="20"/>
                <w:color w:val="auto"/>
              </w:rPr>
            </w:pPr>
            <w:r>
              <w:rPr>
                <w:rFonts w:ascii="Arial" w:cs="Arial" w:eastAsia="Arial" w:hAnsi="Arial"/>
                <w:sz w:val="13"/>
                <w:szCs w:val="13"/>
                <w:b w:val="1"/>
                <w:bCs w:val="1"/>
                <w:color w:val="105EAB"/>
              </w:rPr>
              <w:t>Incentive Awards</w:t>
            </w:r>
          </w:p>
        </w:tc>
        <w:tc>
          <w:tcPr>
            <w:tcW w:w="1720" w:type="dxa"/>
            <w:vAlign w:val="bottom"/>
            <w:tcBorders>
              <w:bottom w:val="single" w:sz="8" w:color="105EAB"/>
            </w:tcBorders>
          </w:tcPr>
          <w:p>
            <w:pPr>
              <w:jc w:val="center"/>
              <w:ind w:left="73"/>
              <w:spacing w:after="0" w:line="202" w:lineRule="exact"/>
              <w:rPr>
                <w:sz w:val="20"/>
                <w:szCs w:val="20"/>
                <w:color w:val="auto"/>
              </w:rPr>
            </w:pPr>
            <w:r>
              <w:rPr>
                <w:rFonts w:ascii="Arial" w:cs="Arial" w:eastAsia="Arial" w:hAnsi="Arial"/>
                <w:sz w:val="13"/>
                <w:szCs w:val="13"/>
                <w:b w:val="1"/>
                <w:bCs w:val="1"/>
                <w:color w:val="105EAB"/>
                <w:w w:val="98"/>
              </w:rPr>
              <w:t>Stock Awards</w:t>
            </w:r>
            <w:r>
              <w:rPr>
                <w:rFonts w:ascii="Arial" w:cs="Arial" w:eastAsia="Arial" w:hAnsi="Arial"/>
                <w:sz w:val="22"/>
                <w:szCs w:val="22"/>
                <w:b w:val="1"/>
                <w:bCs w:val="1"/>
                <w:color w:val="105EAB"/>
                <w:w w:val="98"/>
                <w:vertAlign w:val="superscript"/>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-170815</wp:posOffset>
            </wp:positionV>
            <wp:extent cx="111125" cy="12001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11125" cy="120015"/>
                    </a:xfrm>
                    <a:prstGeom prst="rect">
                      <a:avLst/>
                    </a:prstGeom>
                    <a:noFill/>
                  </pic:spPr>
                </pic:pic>
              </a:graphicData>
            </a:graphic>
          </wp:anchor>
        </w:drawing>
      </w:r>
    </w:p>
    <w:p>
      <w:pPr>
        <w:spacing w:after="0" w:line="10" w:lineRule="exact"/>
        <w:rPr>
          <w:sz w:val="20"/>
          <w:szCs w:val="20"/>
          <w:color w:val="auto"/>
        </w:rPr>
      </w:pPr>
    </w:p>
    <w:p>
      <w:pPr>
        <w:ind w:left="80"/>
        <w:spacing w:after="0"/>
        <w:rPr>
          <w:sz w:val="20"/>
          <w:szCs w:val="20"/>
          <w:color w:val="auto"/>
        </w:rPr>
      </w:pPr>
      <w:r>
        <w:rPr>
          <w:rFonts w:ascii="Arial" w:cs="Arial" w:eastAsia="Arial" w:hAnsi="Arial"/>
          <w:sz w:val="18"/>
          <w:szCs w:val="18"/>
          <w:color w:val="auto"/>
        </w:rPr>
        <w:t>Net income applicable to common shareholders, excluding: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6775450" cy="13716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775450" cy="137160"/>
                    </a:xfrm>
                    <a:prstGeom prst="rect">
                      <a:avLst/>
                    </a:prstGeom>
                    <a:noFill/>
                  </pic:spPr>
                </pic:pic>
              </a:graphicData>
            </a:graphic>
          </wp:anchor>
        </w:drawing>
      </w:r>
    </w:p>
    <w:p>
      <w:pPr>
        <w:spacing w:after="0" w:line="43" w:lineRule="exact"/>
        <w:rPr>
          <w:sz w:val="20"/>
          <w:szCs w:val="20"/>
          <w:color w:val="auto"/>
        </w:rPr>
      </w:pPr>
    </w:p>
    <w:p>
      <w:pPr>
        <w:ind w:left="360" w:right="3800"/>
        <w:spacing w:after="0" w:line="237" w:lineRule="auto"/>
        <w:rPr>
          <w:sz w:val="20"/>
          <w:szCs w:val="20"/>
          <w:color w:val="auto"/>
        </w:rPr>
      </w:pPr>
      <w:r>
        <w:rPr>
          <w:rFonts w:ascii="Arial" w:cs="Arial" w:eastAsia="Arial" w:hAnsi="Arial"/>
          <w:sz w:val="18"/>
          <w:szCs w:val="18"/>
          <w:color w:val="auto"/>
        </w:rPr>
        <w:t>Realized capital gains and losses (which includes the related effect on amortization of deferred acquisition and deferred sales inducement costs) except for periodic settlements and accruals on certain non-hedge derivative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46620" cy="8255"/>
                    </a:xfrm>
                    <a:prstGeom prst="rect">
                      <a:avLst/>
                    </a:prstGeom>
                    <a:noFill/>
                  </pic:spPr>
                </pic:pic>
              </a:graphicData>
            </a:graphic>
          </wp:anchor>
        </w:drawing>
        <w:drawing>
          <wp:anchor simplePos="0" relativeHeight="251657728" behindDoc="1" locked="0" layoutInCell="0" allowOverlap="1">
            <wp:simplePos x="0" y="0"/>
            <wp:positionH relativeFrom="column">
              <wp:posOffset>5495925</wp:posOffset>
            </wp:positionH>
            <wp:positionV relativeFrom="paragraph">
              <wp:posOffset>36830</wp:posOffset>
            </wp:positionV>
            <wp:extent cx="111125" cy="12001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11125" cy="120015"/>
                    </a:xfrm>
                    <a:prstGeom prst="rect">
                      <a:avLst/>
                    </a:prstGeom>
                    <a:noFill/>
                  </pic:spPr>
                </pic:pic>
              </a:graphicData>
            </a:graphic>
          </wp:anchor>
        </w:drawing>
        <w:drawing>
          <wp:anchor simplePos="0" relativeHeight="251657728" behindDoc="1" locked="0" layoutInCell="0" allowOverlap="1">
            <wp:simplePos x="0" y="0"/>
            <wp:positionH relativeFrom="column">
              <wp:posOffset>6669405</wp:posOffset>
            </wp:positionH>
            <wp:positionV relativeFrom="paragraph">
              <wp:posOffset>36830</wp:posOffset>
            </wp:positionV>
            <wp:extent cx="111125" cy="12001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11125" cy="120015"/>
                    </a:xfrm>
                    <a:prstGeom prst="rect">
                      <a:avLst/>
                    </a:prstGeom>
                    <a:noFill/>
                  </pic:spPr>
                </pic:pic>
              </a:graphicData>
            </a:graphic>
          </wp:anchor>
        </w:drawing>
      </w:r>
    </w:p>
    <w:p>
      <w:pPr>
        <w:spacing w:after="0" w:line="41" w:lineRule="exact"/>
        <w:rPr>
          <w:sz w:val="20"/>
          <w:szCs w:val="20"/>
          <w:color w:val="auto"/>
        </w:rPr>
      </w:pPr>
    </w:p>
    <w:p>
      <w:pPr>
        <w:ind w:left="360" w:right="3860"/>
        <w:spacing w:after="0" w:line="239" w:lineRule="auto"/>
        <w:rPr>
          <w:sz w:val="20"/>
          <w:szCs w:val="20"/>
          <w:color w:val="auto"/>
        </w:rPr>
      </w:pPr>
      <w:r>
        <w:rPr>
          <w:rFonts w:ascii="Arial" w:cs="Arial" w:eastAsia="Arial" w:hAnsi="Arial"/>
          <w:sz w:val="18"/>
          <w:szCs w:val="18"/>
          <w:color w:val="auto"/>
        </w:rPr>
        <w:t>Valuation changes on embedded derivatives not hedged (which includes the related effect on amortization of deferred acquisition and deferred sales inducement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46620" cy="8255"/>
                    </a:xfrm>
                    <a:prstGeom prst="rect">
                      <a:avLst/>
                    </a:prstGeom>
                    <a:noFill/>
                  </pic:spPr>
                </pic:pic>
              </a:graphicData>
            </a:graphic>
          </wp:anchor>
        </w:drawing>
        <w:drawing>
          <wp:anchor simplePos="0" relativeHeight="251657728" behindDoc="1" locked="0" layoutInCell="0" allowOverlap="1">
            <wp:simplePos x="0" y="0"/>
            <wp:positionH relativeFrom="column">
              <wp:posOffset>5495925</wp:posOffset>
            </wp:positionH>
            <wp:positionV relativeFrom="paragraph">
              <wp:posOffset>36195</wp:posOffset>
            </wp:positionV>
            <wp:extent cx="111125" cy="12001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11125" cy="120015"/>
                    </a:xfrm>
                    <a:prstGeom prst="rect">
                      <a:avLst/>
                    </a:prstGeom>
                    <a:noFill/>
                  </pic:spPr>
                </pic:pic>
              </a:graphicData>
            </a:graphic>
          </wp:anchor>
        </w:drawing>
        <w:drawing>
          <wp:anchor simplePos="0" relativeHeight="251657728" behindDoc="1" locked="0" layoutInCell="0" allowOverlap="1">
            <wp:simplePos x="0" y="0"/>
            <wp:positionH relativeFrom="column">
              <wp:posOffset>6669405</wp:posOffset>
            </wp:positionH>
            <wp:positionV relativeFrom="paragraph">
              <wp:posOffset>36195</wp:posOffset>
            </wp:positionV>
            <wp:extent cx="111125" cy="12001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11125" cy="120015"/>
                    </a:xfrm>
                    <a:prstGeom prst="rect">
                      <a:avLst/>
                    </a:prstGeom>
                    <a:noFill/>
                  </pic:spPr>
                </pic:pic>
              </a:graphicData>
            </a:graphic>
          </wp:anchor>
        </w:drawing>
      </w:r>
    </w:p>
    <w:p>
      <w:pPr>
        <w:spacing w:after="0" w:line="40" w:lineRule="exact"/>
        <w:rPr>
          <w:sz w:val="20"/>
          <w:szCs w:val="20"/>
          <w:color w:val="auto"/>
        </w:rPr>
      </w:pPr>
    </w:p>
    <w:p>
      <w:pPr>
        <w:ind w:left="360" w:right="4800"/>
        <w:spacing w:after="0" w:line="312" w:lineRule="auto"/>
        <w:rPr>
          <w:sz w:val="20"/>
          <w:szCs w:val="20"/>
          <w:color w:val="auto"/>
        </w:rPr>
      </w:pPr>
      <w:r>
        <w:rPr>
          <w:rFonts w:ascii="Arial" w:cs="Arial" w:eastAsia="Arial" w:hAnsi="Arial"/>
          <w:sz w:val="18"/>
          <w:szCs w:val="18"/>
          <w:color w:val="auto"/>
        </w:rPr>
        <w:t>Business combination expenses and amortization of purchased intangible assets Gain (loss) on disposition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466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24662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46620" cy="8255"/>
                    </a:xfrm>
                    <a:prstGeom prst="rect">
                      <a:avLst/>
                    </a:prstGeom>
                    <a:noFill/>
                  </pic:spPr>
                </pic:pic>
              </a:graphicData>
            </a:graphic>
          </wp:anchor>
        </w:drawing>
        <w:drawing>
          <wp:anchor simplePos="0" relativeHeight="251657728" behindDoc="1" locked="0" layoutInCell="0" allowOverlap="1">
            <wp:simplePos x="0" y="0"/>
            <wp:positionH relativeFrom="column">
              <wp:posOffset>5495925</wp:posOffset>
            </wp:positionH>
            <wp:positionV relativeFrom="paragraph">
              <wp:posOffset>-172085</wp:posOffset>
            </wp:positionV>
            <wp:extent cx="111125" cy="12001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11125" cy="120015"/>
                    </a:xfrm>
                    <a:prstGeom prst="rect">
                      <a:avLst/>
                    </a:prstGeom>
                    <a:noFill/>
                  </pic:spPr>
                </pic:pic>
              </a:graphicData>
            </a:graphic>
          </wp:anchor>
        </w:drawing>
        <w:drawing>
          <wp:anchor simplePos="0" relativeHeight="251657728" behindDoc="1" locked="0" layoutInCell="0" allowOverlap="1">
            <wp:simplePos x="0" y="0"/>
            <wp:positionH relativeFrom="column">
              <wp:posOffset>6669405</wp:posOffset>
            </wp:positionH>
            <wp:positionV relativeFrom="paragraph">
              <wp:posOffset>-172085</wp:posOffset>
            </wp:positionV>
            <wp:extent cx="111125" cy="12001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11125" cy="120015"/>
                    </a:xfrm>
                    <a:prstGeom prst="rect">
                      <a:avLst/>
                    </a:prstGeom>
                    <a:noFill/>
                  </pic:spPr>
                </pic:pic>
              </a:graphicData>
            </a:graphic>
          </wp:anchor>
        </w:drawing>
        <w:drawing>
          <wp:anchor simplePos="0" relativeHeight="251657728" behindDoc="1" locked="0" layoutInCell="0" allowOverlap="1">
            <wp:simplePos x="0" y="0"/>
            <wp:positionH relativeFrom="column">
              <wp:posOffset>6669405</wp:posOffset>
            </wp:positionH>
            <wp:positionV relativeFrom="paragraph">
              <wp:posOffset>-635</wp:posOffset>
            </wp:positionV>
            <wp:extent cx="111125" cy="12001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11125" cy="120015"/>
                    </a:xfrm>
                    <a:prstGeom prst="rect">
                      <a:avLst/>
                    </a:prstGeom>
                    <a:noFill/>
                  </pic:spPr>
                </pic:pic>
              </a:graphicData>
            </a:graphic>
          </wp:anchor>
        </w:drawing>
      </w:r>
    </w:p>
    <w:p>
      <w:pPr>
        <w:ind w:left="360" w:right="3860"/>
        <w:spacing w:after="0" w:line="237" w:lineRule="auto"/>
        <w:rPr>
          <w:sz w:val="20"/>
          <w:szCs w:val="20"/>
          <w:color w:val="auto"/>
        </w:rPr>
      </w:pPr>
      <w:r>
        <w:rPr>
          <w:rFonts w:ascii="Arial" w:cs="Arial" w:eastAsia="Arial" w:hAnsi="Arial"/>
          <w:sz w:val="18"/>
          <w:szCs w:val="18"/>
          <w:color w:val="auto"/>
        </w:rPr>
        <w:t>Other significant non-recurring, infrequent or unusual items, when the nature of the charge or gain is such that it is reasonably unlikely to recur within two years or there has been no similar charge or gain within the prior two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pacing w:after="0" w:line="34" w:lineRule="exact"/>
        <w:rPr>
          <w:sz w:val="20"/>
          <w:szCs w:val="20"/>
          <w:color w:val="auto"/>
        </w:rPr>
      </w:pPr>
    </w:p>
    <w:p>
      <w:pPr>
        <w:ind w:left="360"/>
        <w:spacing w:after="0"/>
        <w:rPr>
          <w:sz w:val="20"/>
          <w:szCs w:val="20"/>
          <w:color w:val="auto"/>
        </w:rPr>
      </w:pPr>
      <w:r>
        <w:rPr>
          <w:rFonts w:ascii="Arial" w:cs="Arial" w:eastAsia="Arial" w:hAnsi="Arial"/>
          <w:sz w:val="17"/>
          <w:szCs w:val="17"/>
          <w:color w:val="135DA7"/>
        </w:rPr>
        <w:t xml:space="preserve">►  </w:t>
      </w:r>
      <w:r>
        <w:rPr>
          <w:rFonts w:ascii="Arial" w:cs="Arial" w:eastAsia="Arial" w:hAnsi="Arial"/>
          <w:sz w:val="17"/>
          <w:szCs w:val="17"/>
          <w:color w:val="000000"/>
        </w:rPr>
        <w:t>Goodwill impairment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24662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46620" cy="8255"/>
                    </a:xfrm>
                    <a:prstGeom prst="rect">
                      <a:avLst/>
                    </a:prstGeom>
                    <a:noFill/>
                  </pic:spPr>
                </pic:pic>
              </a:graphicData>
            </a:graphic>
          </wp:anchor>
        </w:drawing>
        <w:drawing>
          <wp:anchor simplePos="0" relativeHeight="251657728" behindDoc="1" locked="0" layoutInCell="0" allowOverlap="1">
            <wp:simplePos x="0" y="0"/>
            <wp:positionH relativeFrom="column">
              <wp:posOffset>6669405</wp:posOffset>
            </wp:positionH>
            <wp:positionV relativeFrom="paragraph">
              <wp:posOffset>-120650</wp:posOffset>
            </wp:positionV>
            <wp:extent cx="111125" cy="12001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11125" cy="120015"/>
                    </a:xfrm>
                    <a:prstGeom prst="rect">
                      <a:avLst/>
                    </a:prstGeom>
                    <a:noFill/>
                  </pic:spPr>
                </pic:pic>
              </a:graphicData>
            </a:graphic>
          </wp:anchor>
        </w:drawing>
      </w:r>
    </w:p>
    <w:p>
      <w:pPr>
        <w:spacing w:after="0" w:line="68" w:lineRule="exact"/>
        <w:rPr>
          <w:sz w:val="20"/>
          <w:szCs w:val="20"/>
          <w:color w:val="auto"/>
        </w:rPr>
      </w:pPr>
    </w:p>
    <w:p>
      <w:pPr>
        <w:ind w:left="360"/>
        <w:spacing w:after="0"/>
        <w:rPr>
          <w:sz w:val="20"/>
          <w:szCs w:val="20"/>
          <w:color w:val="auto"/>
        </w:rPr>
      </w:pPr>
      <w:r>
        <w:rPr>
          <w:rFonts w:ascii="Arial" w:cs="Arial" w:eastAsia="Arial" w:hAnsi="Arial"/>
          <w:sz w:val="17"/>
          <w:szCs w:val="17"/>
          <w:color w:val="135DA7"/>
        </w:rPr>
        <w:t xml:space="preserve">►  </w:t>
      </w:r>
      <w:r>
        <w:rPr>
          <w:rFonts w:ascii="Arial" w:cs="Arial" w:eastAsia="Arial" w:hAnsi="Arial"/>
          <w:sz w:val="17"/>
          <w:szCs w:val="17"/>
          <w:color w:val="000000"/>
        </w:rPr>
        <w:t>Tax Legislation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24662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46620" cy="8255"/>
                    </a:xfrm>
                    <a:prstGeom prst="rect">
                      <a:avLst/>
                    </a:prstGeom>
                    <a:noFill/>
                  </pic:spPr>
                </pic:pic>
              </a:graphicData>
            </a:graphic>
          </wp:anchor>
        </w:drawing>
        <w:drawing>
          <wp:anchor simplePos="0" relativeHeight="251657728" behindDoc="1" locked="0" layoutInCell="0" allowOverlap="1">
            <wp:simplePos x="0" y="0"/>
            <wp:positionH relativeFrom="column">
              <wp:posOffset>5495925</wp:posOffset>
            </wp:positionH>
            <wp:positionV relativeFrom="paragraph">
              <wp:posOffset>-120650</wp:posOffset>
            </wp:positionV>
            <wp:extent cx="111125" cy="12001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11125" cy="120015"/>
                    </a:xfrm>
                    <a:prstGeom prst="rect">
                      <a:avLst/>
                    </a:prstGeom>
                    <a:noFill/>
                  </pic:spPr>
                </pic:pic>
              </a:graphicData>
            </a:graphic>
          </wp:anchor>
        </w:drawing>
        <w:drawing>
          <wp:anchor simplePos="0" relativeHeight="251657728" behindDoc="1" locked="0" layoutInCell="0" allowOverlap="1">
            <wp:simplePos x="0" y="0"/>
            <wp:positionH relativeFrom="column">
              <wp:posOffset>6669405</wp:posOffset>
            </wp:positionH>
            <wp:positionV relativeFrom="paragraph">
              <wp:posOffset>-120650</wp:posOffset>
            </wp:positionV>
            <wp:extent cx="111125" cy="12001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11125" cy="120015"/>
                    </a:xfrm>
                    <a:prstGeom prst="rect">
                      <a:avLst/>
                    </a:prstGeom>
                    <a:noFill/>
                  </pic:spPr>
                </pic:pic>
              </a:graphicData>
            </a:graphic>
          </wp:anchor>
        </w:drawing>
      </w:r>
    </w:p>
    <w:p>
      <w:pPr>
        <w:spacing w:after="0" w:line="75" w:lineRule="exact"/>
        <w:rPr>
          <w:sz w:val="20"/>
          <w:szCs w:val="20"/>
          <w:color w:val="auto"/>
        </w:rPr>
      </w:pPr>
    </w:p>
    <w:p>
      <w:pPr>
        <w:ind w:left="80"/>
        <w:spacing w:after="0"/>
        <w:rPr>
          <w:sz w:val="20"/>
          <w:szCs w:val="20"/>
          <w:color w:val="auto"/>
        </w:rPr>
      </w:pPr>
      <w:r>
        <w:rPr>
          <w:rFonts w:ascii="Arial" w:cs="Arial" w:eastAsia="Arial" w:hAnsi="Arial"/>
          <w:sz w:val="18"/>
          <w:szCs w:val="18"/>
          <w:color w:val="auto"/>
        </w:rPr>
        <w:t>Adjusted Net Income subtotal (See 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46620" cy="8255"/>
                    </a:xfrm>
                    <a:prstGeom prst="rect">
                      <a:avLst/>
                    </a:prstGeom>
                    <a:noFill/>
                  </pic:spPr>
                </pic:pic>
              </a:graphicData>
            </a:graphic>
          </wp:anchor>
        </w:drawing>
        <w:drawing>
          <wp:anchor simplePos="0" relativeHeight="251657728" behindDoc="1" locked="0" layoutInCell="0" allowOverlap="1">
            <wp:simplePos x="0" y="0"/>
            <wp:positionH relativeFrom="column">
              <wp:posOffset>5495925</wp:posOffset>
            </wp:positionH>
            <wp:positionV relativeFrom="paragraph">
              <wp:posOffset>38100</wp:posOffset>
            </wp:positionV>
            <wp:extent cx="111125" cy="12001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11125" cy="120015"/>
                    </a:xfrm>
                    <a:prstGeom prst="rect">
                      <a:avLst/>
                    </a:prstGeom>
                    <a:noFill/>
                  </pic:spPr>
                </pic:pic>
              </a:graphicData>
            </a:graphic>
          </wp:anchor>
        </w:drawing>
        <w:drawing>
          <wp:anchor simplePos="0" relativeHeight="251657728" behindDoc="1" locked="0" layoutInCell="0" allowOverlap="1">
            <wp:simplePos x="0" y="0"/>
            <wp:positionH relativeFrom="column">
              <wp:posOffset>6669405</wp:posOffset>
            </wp:positionH>
            <wp:positionV relativeFrom="paragraph">
              <wp:posOffset>38100</wp:posOffset>
            </wp:positionV>
            <wp:extent cx="111125" cy="12001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11125" cy="120015"/>
                    </a:xfrm>
                    <a:prstGeom prst="rect">
                      <a:avLst/>
                    </a:prstGeom>
                    <a:noFill/>
                  </pic:spPr>
                </pic:pic>
              </a:graphicData>
            </a:graphic>
          </wp:anchor>
        </w:drawing>
      </w:r>
    </w:p>
    <w:p>
      <w:pPr>
        <w:spacing w:after="0" w:line="4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Restructuring and related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46620" cy="8255"/>
                    </a:xfrm>
                    <a:prstGeom prst="rect">
                      <a:avLst/>
                    </a:prstGeom>
                    <a:noFill/>
                  </pic:spPr>
                </pic:pic>
              </a:graphicData>
            </a:graphic>
          </wp:anchor>
        </w:drawing>
        <w:drawing>
          <wp:anchor simplePos="0" relativeHeight="251657728" behindDoc="1" locked="0" layoutInCell="0" allowOverlap="1">
            <wp:simplePos x="0" y="0"/>
            <wp:positionH relativeFrom="column">
              <wp:posOffset>5495925</wp:posOffset>
            </wp:positionH>
            <wp:positionV relativeFrom="paragraph">
              <wp:posOffset>38100</wp:posOffset>
            </wp:positionV>
            <wp:extent cx="111125" cy="12001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11125" cy="120015"/>
                    </a:xfrm>
                    <a:prstGeom prst="rect">
                      <a:avLst/>
                    </a:prstGeom>
                    <a:noFill/>
                  </pic:spPr>
                </pic:pic>
              </a:graphicData>
            </a:graphic>
          </wp:anchor>
        </w:drawing>
        <w:drawing>
          <wp:anchor simplePos="0" relativeHeight="251657728" behindDoc="1" locked="0" layoutInCell="0" allowOverlap="1">
            <wp:simplePos x="0" y="0"/>
            <wp:positionH relativeFrom="column">
              <wp:posOffset>6669405</wp:posOffset>
            </wp:positionH>
            <wp:positionV relativeFrom="paragraph">
              <wp:posOffset>38100</wp:posOffset>
            </wp:positionV>
            <wp:extent cx="111125" cy="12001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11125" cy="120015"/>
                    </a:xfrm>
                    <a:prstGeom prst="rect">
                      <a:avLst/>
                    </a:prstGeom>
                    <a:noFill/>
                  </pic:spPr>
                </pic:pic>
              </a:graphicData>
            </a:graphic>
          </wp:anchor>
        </w:drawing>
      </w:r>
    </w:p>
    <w:p>
      <w:pPr>
        <w:spacing w:after="0" w:line="4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Underwriting results of Discontinued Lines and Coverages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46620" cy="8255"/>
                    </a:xfrm>
                    <a:prstGeom prst="rect">
                      <a:avLst/>
                    </a:prstGeom>
                    <a:noFill/>
                  </pic:spPr>
                </pic:pic>
              </a:graphicData>
            </a:graphic>
          </wp:anchor>
        </w:drawing>
        <w:drawing>
          <wp:anchor simplePos="0" relativeHeight="251657728" behindDoc="1" locked="0" layoutInCell="0" allowOverlap="1">
            <wp:simplePos x="0" y="0"/>
            <wp:positionH relativeFrom="column">
              <wp:posOffset>6669405</wp:posOffset>
            </wp:positionH>
            <wp:positionV relativeFrom="paragraph">
              <wp:posOffset>38100</wp:posOffset>
            </wp:positionV>
            <wp:extent cx="111125" cy="12001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11125" cy="120015"/>
                    </a:xfrm>
                    <a:prstGeom prst="rect">
                      <a:avLst/>
                    </a:prstGeom>
                    <a:noFill/>
                  </pic:spPr>
                </pic:pic>
              </a:graphicData>
            </a:graphic>
          </wp:anchor>
        </w:drawing>
      </w:r>
    </w:p>
    <w:p>
      <w:pPr>
        <w:spacing w:after="0" w:line="4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Effects of acquiring and selling businesses in excess of $20 million after-tax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1120" w:type="dxa"/>
            <w:vAlign w:val="bottom"/>
          </w:tcPr>
          <w:p>
            <w:pPr>
              <w:ind w:left="9640"/>
              <w:spacing w:after="0"/>
              <w:rPr>
                <w:sz w:val="20"/>
                <w:szCs w:val="20"/>
                <w:color w:val="auto"/>
              </w:rPr>
            </w:pPr>
            <w:r>
              <w:rPr>
                <w:rFonts w:ascii="Arial" w:cs="Arial" w:eastAsia="Arial" w:hAnsi="Arial"/>
                <w:sz w:val="13"/>
                <w:szCs w:val="13"/>
                <w:color w:val="105EAB"/>
              </w:rPr>
              <w:t>2019 Proxy Statement</w:t>
            </w:r>
          </w:p>
        </w:tc>
        <w:tc>
          <w:tcPr>
            <w:tcW w:w="320" w:type="dxa"/>
            <w:vAlign w:val="bottom"/>
          </w:tcPr>
          <w:p>
            <w:pPr>
              <w:jc w:val="right"/>
              <w:spacing w:after="0"/>
              <w:rPr>
                <w:sz w:val="20"/>
                <w:szCs w:val="20"/>
                <w:color w:val="auto"/>
              </w:rPr>
            </w:pPr>
            <w:r>
              <w:rPr>
                <w:rFonts w:ascii="Arial" w:cs="Arial" w:eastAsia="Arial" w:hAnsi="Arial"/>
                <w:sz w:val="13"/>
                <w:szCs w:val="13"/>
                <w:b w:val="1"/>
                <w:bCs w:val="1"/>
                <w:color w:val="105EAB"/>
              </w:rPr>
              <w:t>67</w:t>
            </w:r>
          </w:p>
        </w:tc>
      </w:tr>
      <w:tr>
        <w:trPr>
          <w:trHeight w:val="213"/>
        </w:trPr>
        <w:tc>
          <w:tcPr>
            <w:tcW w:w="1112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-13970</wp:posOffset>
            </wp:positionV>
            <wp:extent cx="1270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b w:val="1"/>
          <w:bCs w:val="1"/>
          <w:color w:val="105EAB"/>
        </w:rPr>
        <w:t xml:space="preserve">Executive Compensation | </w:t>
      </w:r>
      <w:r>
        <w:rPr>
          <w:rFonts w:ascii="Arial" w:cs="Arial" w:eastAsia="Arial" w:hAnsi="Arial"/>
          <w:sz w:val="13"/>
          <w:szCs w:val="13"/>
          <w:b w:val="1"/>
          <w:bCs w:val="1"/>
          <w:color w:val="000000"/>
        </w:rPr>
        <w:t>Performance Measures for 2018</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7600" w:type="dxa"/>
            <w:vAlign w:val="bottom"/>
          </w:tcPr>
          <w:p>
            <w:pPr>
              <w:spacing w:after="0"/>
              <w:rPr>
                <w:sz w:val="15"/>
                <w:szCs w:val="15"/>
                <w:color w:val="auto"/>
              </w:rPr>
            </w:pPr>
          </w:p>
        </w:tc>
        <w:tc>
          <w:tcPr>
            <w:tcW w:w="2080" w:type="dxa"/>
            <w:vAlign w:val="bottom"/>
          </w:tcPr>
          <w:p>
            <w:pPr>
              <w:ind w:left="740"/>
              <w:spacing w:after="0"/>
              <w:rPr>
                <w:sz w:val="20"/>
                <w:szCs w:val="20"/>
                <w:color w:val="auto"/>
              </w:rPr>
            </w:pPr>
            <w:r>
              <w:rPr>
                <w:rFonts w:ascii="Arial" w:cs="Arial" w:eastAsia="Arial" w:hAnsi="Arial"/>
                <w:sz w:val="13"/>
                <w:szCs w:val="13"/>
                <w:b w:val="1"/>
                <w:bCs w:val="1"/>
                <w:color w:val="105EAB"/>
              </w:rPr>
              <w:t>Annual Cash</w:t>
            </w:r>
          </w:p>
        </w:tc>
        <w:tc>
          <w:tcPr>
            <w:tcW w:w="1740" w:type="dxa"/>
            <w:vAlign w:val="bottom"/>
          </w:tcPr>
          <w:p>
            <w:pPr>
              <w:ind w:left="540"/>
              <w:spacing w:after="0"/>
              <w:rPr>
                <w:sz w:val="20"/>
                <w:szCs w:val="20"/>
                <w:color w:val="auto"/>
              </w:rPr>
            </w:pPr>
            <w:r>
              <w:rPr>
                <w:rFonts w:ascii="Arial" w:cs="Arial" w:eastAsia="Arial" w:hAnsi="Arial"/>
                <w:sz w:val="13"/>
                <w:szCs w:val="13"/>
                <w:b w:val="1"/>
                <w:bCs w:val="1"/>
                <w:color w:val="105EAB"/>
              </w:rPr>
              <w:t>Performance</w:t>
            </w:r>
          </w:p>
        </w:tc>
      </w:tr>
      <w:tr>
        <w:trPr>
          <w:trHeight w:val="209"/>
        </w:trPr>
        <w:tc>
          <w:tcPr>
            <w:tcW w:w="7600" w:type="dxa"/>
            <w:vAlign w:val="bottom"/>
            <w:tcBorders>
              <w:bottom w:val="single" w:sz="8" w:color="105EAB"/>
            </w:tcBorders>
          </w:tcPr>
          <w:p>
            <w:pPr>
              <w:ind w:left="300"/>
              <w:spacing w:after="0"/>
              <w:rPr>
                <w:sz w:val="20"/>
                <w:szCs w:val="20"/>
                <w:color w:val="auto"/>
              </w:rPr>
            </w:pPr>
            <w:r>
              <w:rPr>
                <w:rFonts w:ascii="Arial" w:cs="Arial" w:eastAsia="Arial" w:hAnsi="Arial"/>
                <w:sz w:val="13"/>
                <w:szCs w:val="13"/>
                <w:b w:val="1"/>
                <w:bCs w:val="1"/>
                <w:color w:val="105EAB"/>
              </w:rPr>
              <w:t>Indicates adjustments to Net Income</w:t>
            </w:r>
          </w:p>
        </w:tc>
        <w:tc>
          <w:tcPr>
            <w:tcW w:w="2080" w:type="dxa"/>
            <w:vAlign w:val="bottom"/>
            <w:tcBorders>
              <w:bottom w:val="single" w:sz="8" w:color="105EAB"/>
            </w:tcBorders>
          </w:tcPr>
          <w:p>
            <w:pPr>
              <w:ind w:left="580"/>
              <w:spacing w:after="0"/>
              <w:rPr>
                <w:sz w:val="20"/>
                <w:szCs w:val="20"/>
                <w:color w:val="auto"/>
              </w:rPr>
            </w:pPr>
            <w:r>
              <w:rPr>
                <w:rFonts w:ascii="Arial" w:cs="Arial" w:eastAsia="Arial" w:hAnsi="Arial"/>
                <w:sz w:val="13"/>
                <w:szCs w:val="13"/>
                <w:b w:val="1"/>
                <w:bCs w:val="1"/>
                <w:color w:val="105EAB"/>
              </w:rPr>
              <w:t>Incentive Awards</w:t>
            </w:r>
          </w:p>
        </w:tc>
        <w:tc>
          <w:tcPr>
            <w:tcW w:w="1740" w:type="dxa"/>
            <w:vAlign w:val="bottom"/>
            <w:tcBorders>
              <w:bottom w:val="single" w:sz="8" w:color="105EAB"/>
            </w:tcBorders>
          </w:tcPr>
          <w:p>
            <w:pPr>
              <w:ind w:left="440"/>
              <w:spacing w:after="0" w:line="202" w:lineRule="exact"/>
              <w:rPr>
                <w:sz w:val="20"/>
                <w:szCs w:val="20"/>
                <w:color w:val="auto"/>
              </w:rPr>
            </w:pPr>
            <w:r>
              <w:rPr>
                <w:rFonts w:ascii="Arial" w:cs="Arial" w:eastAsia="Arial" w:hAnsi="Arial"/>
                <w:sz w:val="13"/>
                <w:szCs w:val="13"/>
                <w:b w:val="1"/>
                <w:bCs w:val="1"/>
                <w:color w:val="105EAB"/>
              </w:rPr>
              <w:t>Stock Awards</w:t>
            </w:r>
            <w:r>
              <w:rPr>
                <w:rFonts w:ascii="Arial" w:cs="Arial" w:eastAsia="Arial" w:hAnsi="Arial"/>
                <w:sz w:val="22"/>
                <w:szCs w:val="22"/>
                <w:b w:val="1"/>
                <w:bCs w:val="1"/>
                <w:color w:val="105EAB"/>
                <w:vertAlign w:val="superscript"/>
              </w:rPr>
              <w:t>(1)</w:t>
            </w:r>
          </w:p>
        </w:tc>
      </w:tr>
      <w:tr>
        <w:trPr>
          <w:trHeight w:val="232"/>
        </w:trPr>
        <w:tc>
          <w:tcPr>
            <w:tcW w:w="7600" w:type="dxa"/>
            <w:vAlign w:val="bottom"/>
          </w:tcPr>
          <w:p>
            <w:pPr>
              <w:ind w:left="360"/>
              <w:spacing w:after="0"/>
              <w:rPr>
                <w:sz w:val="20"/>
                <w:szCs w:val="20"/>
                <w:color w:val="auto"/>
              </w:rPr>
            </w:pPr>
            <w:r>
              <w:rPr>
                <w:rFonts w:ascii="Arial" w:cs="Arial" w:eastAsia="Arial" w:hAnsi="Arial"/>
                <w:sz w:val="18"/>
                <w:szCs w:val="18"/>
                <w:color w:val="auto"/>
              </w:rPr>
              <w:t>Adjustments to be consistent with financial reporting used in establishing the measure for</w:t>
            </w:r>
          </w:p>
        </w:tc>
        <w:tc>
          <w:tcPr>
            <w:tcW w:w="208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220"/>
        </w:trPr>
        <w:tc>
          <w:tcPr>
            <w:tcW w:w="7600" w:type="dxa"/>
            <w:vAlign w:val="bottom"/>
            <w:tcBorders>
              <w:bottom w:val="single" w:sz="8" w:color="DFF1FB"/>
            </w:tcBorders>
          </w:tcPr>
          <w:p>
            <w:pPr>
              <w:ind w:left="360"/>
              <w:spacing w:after="0"/>
              <w:rPr>
                <w:sz w:val="20"/>
                <w:szCs w:val="20"/>
                <w:color w:val="auto"/>
              </w:rPr>
            </w:pPr>
            <w:r>
              <w:rPr>
                <w:rFonts w:ascii="Arial" w:cs="Arial" w:eastAsia="Arial" w:hAnsi="Arial"/>
                <w:sz w:val="18"/>
                <w:szCs w:val="18"/>
                <w:color w:val="auto"/>
              </w:rPr>
              <w:t>items exceeding $20 million after-tax</w:t>
            </w:r>
          </w:p>
        </w:tc>
        <w:tc>
          <w:tcPr>
            <w:tcW w:w="2080" w:type="dxa"/>
            <w:vAlign w:val="bottom"/>
            <w:tcBorders>
              <w:bottom w:val="single" w:sz="8" w:color="DFF1FB"/>
            </w:tcBorders>
          </w:tcPr>
          <w:p>
            <w:pPr>
              <w:spacing w:after="0"/>
              <w:rPr>
                <w:sz w:val="19"/>
                <w:szCs w:val="19"/>
                <w:color w:val="auto"/>
              </w:rPr>
            </w:pPr>
          </w:p>
        </w:tc>
        <w:tc>
          <w:tcPr>
            <w:tcW w:w="1740" w:type="dxa"/>
            <w:vAlign w:val="bottom"/>
            <w:tcBorders>
              <w:bottom w:val="single" w:sz="8" w:color="DFF1FB"/>
            </w:tcBorders>
          </w:tcPr>
          <w:p>
            <w:pPr>
              <w:spacing w:after="0"/>
              <w:rPr>
                <w:sz w:val="19"/>
                <w:szCs w:val="19"/>
                <w:color w:val="auto"/>
              </w:rPr>
            </w:pPr>
          </w:p>
        </w:tc>
      </w:tr>
      <w:tr>
        <w:trPr>
          <w:trHeight w:val="250"/>
        </w:trPr>
        <w:tc>
          <w:tcPr>
            <w:tcW w:w="7600" w:type="dxa"/>
            <w:vAlign w:val="bottom"/>
            <w:tcBorders>
              <w:bottom w:val="single" w:sz="8" w:color="DFF1FB"/>
            </w:tcBorders>
          </w:tcPr>
          <w:p>
            <w:pPr>
              <w:ind w:left="360"/>
              <w:spacing w:after="0"/>
              <w:rPr>
                <w:sz w:val="20"/>
                <w:szCs w:val="20"/>
                <w:color w:val="auto"/>
              </w:rPr>
            </w:pPr>
            <w:r>
              <w:rPr>
                <w:rFonts w:ascii="Arial" w:cs="Arial" w:eastAsia="Arial" w:hAnsi="Arial"/>
                <w:sz w:val="18"/>
                <w:szCs w:val="18"/>
                <w:color w:val="auto"/>
              </w:rPr>
              <w:t>Adjustments for other significant, non-recurring, infrequent or unusual items</w:t>
            </w:r>
          </w:p>
        </w:tc>
        <w:tc>
          <w:tcPr>
            <w:tcW w:w="2080" w:type="dxa"/>
            <w:vAlign w:val="bottom"/>
            <w:tcBorders>
              <w:bottom w:val="single" w:sz="8" w:color="DFF1FB"/>
            </w:tcBorders>
          </w:tcPr>
          <w:p>
            <w:pPr>
              <w:spacing w:after="0"/>
              <w:rPr>
                <w:sz w:val="21"/>
                <w:szCs w:val="21"/>
                <w:color w:val="auto"/>
              </w:rPr>
            </w:pPr>
          </w:p>
        </w:tc>
        <w:tc>
          <w:tcPr>
            <w:tcW w:w="1740" w:type="dxa"/>
            <w:vAlign w:val="bottom"/>
            <w:tcBorders>
              <w:bottom w:val="single" w:sz="8" w:color="DFF1FB"/>
            </w:tcBorders>
          </w:tcPr>
          <w:p>
            <w:pPr>
              <w:spacing w:after="0"/>
              <w:rPr>
                <w:sz w:val="21"/>
                <w:szCs w:val="21"/>
                <w:color w:val="auto"/>
              </w:rPr>
            </w:pPr>
          </w:p>
        </w:tc>
      </w:tr>
      <w:tr>
        <w:trPr>
          <w:trHeight w:val="232"/>
        </w:trPr>
        <w:tc>
          <w:tcPr>
            <w:tcW w:w="7600" w:type="dxa"/>
            <w:vAlign w:val="bottom"/>
          </w:tcPr>
          <w:p>
            <w:pPr>
              <w:ind w:left="360"/>
              <w:spacing w:after="0"/>
              <w:rPr>
                <w:sz w:val="20"/>
                <w:szCs w:val="20"/>
                <w:color w:val="auto"/>
              </w:rPr>
            </w:pPr>
            <w:r>
              <w:rPr>
                <w:rFonts w:ascii="Arial" w:cs="Arial" w:eastAsia="Arial" w:hAnsi="Arial"/>
                <w:sz w:val="18"/>
                <w:szCs w:val="18"/>
                <w:color w:val="auto"/>
              </w:rPr>
              <w:t>Adjustment to exclude income associated with parent holding company level deployable</w:t>
            </w:r>
          </w:p>
        </w:tc>
        <w:tc>
          <w:tcPr>
            <w:tcW w:w="208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267"/>
        </w:trPr>
        <w:tc>
          <w:tcPr>
            <w:tcW w:w="7600" w:type="dxa"/>
            <w:vAlign w:val="bottom"/>
            <w:tcBorders>
              <w:bottom w:val="single" w:sz="8" w:color="DFF1FB"/>
            </w:tcBorders>
          </w:tcPr>
          <w:p>
            <w:pPr>
              <w:ind w:left="360"/>
              <w:spacing w:after="0" w:line="267" w:lineRule="exact"/>
              <w:rPr>
                <w:sz w:val="20"/>
                <w:szCs w:val="20"/>
                <w:color w:val="auto"/>
              </w:rPr>
            </w:pPr>
            <w:r>
              <w:rPr>
                <w:rFonts w:ascii="Arial" w:cs="Arial" w:eastAsia="Arial" w:hAnsi="Arial"/>
                <w:sz w:val="18"/>
                <w:szCs w:val="18"/>
                <w:color w:val="auto"/>
              </w:rPr>
              <w:t>assets in excess of $1 billion</w:t>
            </w:r>
            <w:r>
              <w:rPr>
                <w:rFonts w:ascii="Arial" w:cs="Arial" w:eastAsia="Arial" w:hAnsi="Arial"/>
                <w:sz w:val="29"/>
                <w:szCs w:val="29"/>
                <w:color w:val="auto"/>
                <w:vertAlign w:val="superscript"/>
              </w:rPr>
              <w:t>(2)</w:t>
            </w:r>
          </w:p>
        </w:tc>
        <w:tc>
          <w:tcPr>
            <w:tcW w:w="2080" w:type="dxa"/>
            <w:vAlign w:val="bottom"/>
            <w:tcBorders>
              <w:bottom w:val="single" w:sz="8" w:color="DFF1FB"/>
            </w:tcBorders>
          </w:tcPr>
          <w:p>
            <w:pPr>
              <w:spacing w:after="0"/>
              <w:rPr>
                <w:sz w:val="23"/>
                <w:szCs w:val="23"/>
                <w:color w:val="auto"/>
              </w:rPr>
            </w:pPr>
          </w:p>
        </w:tc>
        <w:tc>
          <w:tcPr>
            <w:tcW w:w="1740" w:type="dxa"/>
            <w:vAlign w:val="bottom"/>
            <w:tcBorders>
              <w:bottom w:val="single" w:sz="8" w:color="DFF1FB"/>
            </w:tcBorders>
          </w:tcPr>
          <w:p>
            <w:pPr>
              <w:spacing w:after="0"/>
              <w:rPr>
                <w:sz w:val="23"/>
                <w:szCs w:val="23"/>
                <w:color w:val="auto"/>
              </w:rPr>
            </w:pPr>
          </w:p>
        </w:tc>
      </w:tr>
      <w:tr>
        <w:trPr>
          <w:trHeight w:val="290"/>
        </w:trPr>
        <w:tc>
          <w:tcPr>
            <w:tcW w:w="7600" w:type="dxa"/>
            <w:vAlign w:val="bottom"/>
            <w:tcBorders>
              <w:bottom w:val="single" w:sz="8" w:color="DFF1FB"/>
            </w:tcBorders>
          </w:tcPr>
          <w:p>
            <w:pPr>
              <w:ind w:left="360"/>
              <w:spacing w:after="0" w:line="290" w:lineRule="exact"/>
              <w:rPr>
                <w:sz w:val="20"/>
                <w:szCs w:val="20"/>
                <w:color w:val="auto"/>
              </w:rPr>
            </w:pPr>
            <w:r>
              <w:rPr>
                <w:rFonts w:ascii="Arial" w:cs="Arial" w:eastAsia="Arial" w:hAnsi="Arial"/>
                <w:sz w:val="18"/>
                <w:szCs w:val="18"/>
                <w:color w:val="auto"/>
              </w:rPr>
              <w:t>Adjustment to include unutilized tax savings investment</w:t>
            </w:r>
            <w:r>
              <w:rPr>
                <w:rFonts w:ascii="Arial" w:cs="Arial" w:eastAsia="Arial" w:hAnsi="Arial"/>
                <w:sz w:val="29"/>
                <w:szCs w:val="29"/>
                <w:color w:val="auto"/>
                <w:vertAlign w:val="superscript"/>
              </w:rPr>
              <w:t>(3)</w:t>
            </w:r>
          </w:p>
        </w:tc>
        <w:tc>
          <w:tcPr>
            <w:tcW w:w="2080" w:type="dxa"/>
            <w:vAlign w:val="bottom"/>
            <w:tcBorders>
              <w:bottom w:val="single" w:sz="8" w:color="DFF1FB"/>
            </w:tcBorders>
          </w:tcPr>
          <w:p>
            <w:pPr>
              <w:spacing w:after="0"/>
              <w:rPr>
                <w:sz w:val="24"/>
                <w:szCs w:val="24"/>
                <w:color w:val="auto"/>
              </w:rPr>
            </w:pPr>
          </w:p>
        </w:tc>
        <w:tc>
          <w:tcPr>
            <w:tcW w:w="1740" w:type="dxa"/>
            <w:vAlign w:val="bottom"/>
            <w:tcBorders>
              <w:bottom w:val="single" w:sz="8" w:color="DFF1FB"/>
            </w:tcBorders>
          </w:tcPr>
          <w:p>
            <w:pPr>
              <w:spacing w:after="0"/>
              <w:rPr>
                <w:sz w:val="24"/>
                <w:szCs w:val="24"/>
                <w:color w:val="auto"/>
              </w:rPr>
            </w:pPr>
          </w:p>
        </w:tc>
      </w:tr>
      <w:tr>
        <w:trPr>
          <w:trHeight w:val="290"/>
        </w:trPr>
        <w:tc>
          <w:tcPr>
            <w:tcW w:w="7600" w:type="dxa"/>
            <w:vAlign w:val="bottom"/>
            <w:tcBorders>
              <w:bottom w:val="single" w:sz="8" w:color="DFF1FB"/>
            </w:tcBorders>
          </w:tcPr>
          <w:p>
            <w:pPr>
              <w:ind w:left="80"/>
              <w:spacing w:after="0" w:line="290" w:lineRule="exact"/>
              <w:rPr>
                <w:sz w:val="20"/>
                <w:szCs w:val="20"/>
                <w:color w:val="auto"/>
              </w:rPr>
            </w:pPr>
            <w:r>
              <w:rPr>
                <w:rFonts w:ascii="Arial" w:cs="Arial" w:eastAsia="Arial" w:hAnsi="Arial"/>
                <w:sz w:val="18"/>
                <w:szCs w:val="18"/>
                <w:b w:val="1"/>
                <w:bCs w:val="1"/>
                <w:color w:val="auto"/>
              </w:rPr>
              <w:t xml:space="preserve">Performance Net Income </w:t>
            </w:r>
            <w:r>
              <w:rPr>
                <w:rFonts w:ascii="Arial" w:cs="Arial" w:eastAsia="Arial" w:hAnsi="Arial"/>
                <w:sz w:val="18"/>
                <w:szCs w:val="18"/>
                <w:color w:val="auto"/>
              </w:rPr>
              <w:t>before adjustment for volatile items</w:t>
            </w:r>
            <w:r>
              <w:rPr>
                <w:rFonts w:ascii="Arial" w:cs="Arial" w:eastAsia="Arial" w:hAnsi="Arial"/>
                <w:sz w:val="29"/>
                <w:szCs w:val="29"/>
                <w:color w:val="auto"/>
                <w:vertAlign w:val="superscript"/>
              </w:rPr>
              <w:t>(4)</w:t>
            </w:r>
          </w:p>
        </w:tc>
        <w:tc>
          <w:tcPr>
            <w:tcW w:w="2080" w:type="dxa"/>
            <w:vAlign w:val="bottom"/>
            <w:tcBorders>
              <w:bottom w:val="single" w:sz="8" w:color="DFF1FB"/>
            </w:tcBorders>
          </w:tcPr>
          <w:p>
            <w:pPr>
              <w:spacing w:after="0"/>
              <w:rPr>
                <w:sz w:val="24"/>
                <w:szCs w:val="24"/>
                <w:color w:val="auto"/>
              </w:rPr>
            </w:pPr>
          </w:p>
        </w:tc>
        <w:tc>
          <w:tcPr>
            <w:tcW w:w="1740" w:type="dxa"/>
            <w:vAlign w:val="bottom"/>
            <w:tcBorders>
              <w:bottom w:val="single" w:sz="8" w:color="DFF1FB"/>
            </w:tcBorders>
          </w:tcPr>
          <w:p>
            <w:pPr>
              <w:spacing w:after="0"/>
              <w:rPr>
                <w:sz w:val="24"/>
                <w:szCs w:val="24"/>
                <w:color w:val="auto"/>
              </w:rPr>
            </w:pPr>
          </w:p>
        </w:tc>
      </w:tr>
      <w:tr>
        <w:trPr>
          <w:trHeight w:val="226"/>
        </w:trPr>
        <w:tc>
          <w:tcPr>
            <w:tcW w:w="7600" w:type="dxa"/>
            <w:vAlign w:val="bottom"/>
          </w:tcPr>
          <w:p>
            <w:pPr>
              <w:ind w:left="80"/>
              <w:spacing w:after="0"/>
              <w:rPr>
                <w:sz w:val="20"/>
                <w:szCs w:val="20"/>
                <w:color w:val="auto"/>
              </w:rPr>
            </w:pPr>
            <w:r>
              <w:rPr>
                <w:rFonts w:ascii="Arial" w:cs="Arial" w:eastAsia="Arial" w:hAnsi="Arial"/>
                <w:sz w:val="18"/>
                <w:szCs w:val="18"/>
                <w:b w:val="1"/>
                <w:bCs w:val="1"/>
                <w:color w:val="auto"/>
              </w:rPr>
              <w:t>Adjustment for after-tax volatile items</w:t>
            </w:r>
          </w:p>
        </w:tc>
        <w:tc>
          <w:tcPr>
            <w:tcW w:w="2080" w:type="dxa"/>
            <w:vAlign w:val="bottom"/>
          </w:tcPr>
          <w:p>
            <w:pPr>
              <w:ind w:left="320"/>
              <w:spacing w:after="0"/>
              <w:rPr>
                <w:sz w:val="20"/>
                <w:szCs w:val="20"/>
                <w:color w:val="auto"/>
              </w:rPr>
            </w:pPr>
            <w:r>
              <w:rPr>
                <w:rFonts w:ascii="Arial" w:cs="Arial" w:eastAsia="Arial" w:hAnsi="Arial"/>
                <w:sz w:val="18"/>
                <w:szCs w:val="18"/>
                <w:color w:val="auto"/>
              </w:rPr>
              <w:t>Adjusted to include</w:t>
            </w:r>
          </w:p>
        </w:tc>
        <w:tc>
          <w:tcPr>
            <w:tcW w:w="1740" w:type="dxa"/>
            <w:vAlign w:val="bottom"/>
          </w:tcPr>
          <w:p>
            <w:pPr>
              <w:ind w:left="160"/>
              <w:spacing w:after="0"/>
              <w:rPr>
                <w:sz w:val="20"/>
                <w:szCs w:val="20"/>
                <w:color w:val="auto"/>
              </w:rPr>
            </w:pPr>
            <w:r>
              <w:rPr>
                <w:rFonts w:ascii="Arial" w:cs="Arial" w:eastAsia="Arial" w:hAnsi="Arial"/>
                <w:sz w:val="18"/>
                <w:szCs w:val="18"/>
                <w:color w:val="auto"/>
              </w:rPr>
              <w:t>Three-year</w:t>
            </w:r>
          </w:p>
        </w:tc>
      </w:tr>
      <w:tr>
        <w:trPr>
          <w:trHeight w:val="202"/>
        </w:trPr>
        <w:tc>
          <w:tcPr>
            <w:tcW w:w="7600" w:type="dxa"/>
            <w:vAlign w:val="bottom"/>
          </w:tcPr>
          <w:p>
            <w:pPr>
              <w:spacing w:after="0"/>
              <w:rPr>
                <w:sz w:val="17"/>
                <w:szCs w:val="17"/>
                <w:color w:val="auto"/>
              </w:rPr>
            </w:pPr>
          </w:p>
        </w:tc>
        <w:tc>
          <w:tcPr>
            <w:tcW w:w="2080" w:type="dxa"/>
            <w:vAlign w:val="bottom"/>
          </w:tcPr>
          <w:p>
            <w:pPr>
              <w:ind w:left="320"/>
              <w:spacing w:after="0" w:line="202" w:lineRule="exact"/>
              <w:rPr>
                <w:sz w:val="20"/>
                <w:szCs w:val="20"/>
                <w:color w:val="auto"/>
              </w:rPr>
            </w:pPr>
            <w:r>
              <w:rPr>
                <w:rFonts w:ascii="Arial" w:cs="Arial" w:eastAsia="Arial" w:hAnsi="Arial"/>
                <w:sz w:val="18"/>
                <w:szCs w:val="18"/>
                <w:color w:val="auto"/>
              </w:rPr>
              <w:t>minimum or</w:t>
            </w:r>
          </w:p>
        </w:tc>
        <w:tc>
          <w:tcPr>
            <w:tcW w:w="1740" w:type="dxa"/>
            <w:vAlign w:val="bottom"/>
          </w:tcPr>
          <w:p>
            <w:pPr>
              <w:ind w:left="160"/>
              <w:spacing w:after="0" w:line="202" w:lineRule="exact"/>
              <w:rPr>
                <w:sz w:val="20"/>
                <w:szCs w:val="20"/>
                <w:color w:val="auto"/>
              </w:rPr>
            </w:pPr>
            <w:r>
              <w:rPr>
                <w:rFonts w:ascii="Arial" w:cs="Arial" w:eastAsia="Arial" w:hAnsi="Arial"/>
                <w:sz w:val="18"/>
                <w:szCs w:val="18"/>
                <w:color w:val="auto"/>
              </w:rPr>
              <w:t>average adjusted</w:t>
            </w:r>
          </w:p>
        </w:tc>
      </w:tr>
      <w:tr>
        <w:trPr>
          <w:trHeight w:val="202"/>
        </w:trPr>
        <w:tc>
          <w:tcPr>
            <w:tcW w:w="7600" w:type="dxa"/>
            <w:vAlign w:val="bottom"/>
          </w:tcPr>
          <w:p>
            <w:pPr>
              <w:spacing w:after="0"/>
              <w:rPr>
                <w:sz w:val="17"/>
                <w:szCs w:val="17"/>
                <w:color w:val="auto"/>
              </w:rPr>
            </w:pPr>
          </w:p>
        </w:tc>
        <w:tc>
          <w:tcPr>
            <w:tcW w:w="2080" w:type="dxa"/>
            <w:vAlign w:val="bottom"/>
          </w:tcPr>
          <w:p>
            <w:pPr>
              <w:ind w:left="320"/>
              <w:spacing w:after="0" w:line="202" w:lineRule="exact"/>
              <w:rPr>
                <w:sz w:val="20"/>
                <w:szCs w:val="20"/>
                <w:color w:val="auto"/>
              </w:rPr>
            </w:pPr>
            <w:r>
              <w:rPr>
                <w:rFonts w:ascii="Arial" w:cs="Arial" w:eastAsia="Arial" w:hAnsi="Arial"/>
                <w:sz w:val="18"/>
                <w:szCs w:val="18"/>
                <w:color w:val="auto"/>
              </w:rPr>
              <w:t>maximum amount of</w:t>
            </w:r>
          </w:p>
        </w:tc>
        <w:tc>
          <w:tcPr>
            <w:tcW w:w="1740" w:type="dxa"/>
            <w:vAlign w:val="bottom"/>
          </w:tcPr>
          <w:p>
            <w:pPr>
              <w:ind w:left="160"/>
              <w:spacing w:after="0" w:line="202" w:lineRule="exact"/>
              <w:rPr>
                <w:sz w:val="20"/>
                <w:szCs w:val="20"/>
                <w:color w:val="auto"/>
              </w:rPr>
            </w:pPr>
            <w:r>
              <w:rPr>
                <w:rFonts w:ascii="Arial" w:cs="Arial" w:eastAsia="Arial" w:hAnsi="Arial"/>
                <w:sz w:val="18"/>
                <w:szCs w:val="18"/>
                <w:color w:val="auto"/>
              </w:rPr>
              <w:t>to include a</w:t>
            </w:r>
          </w:p>
        </w:tc>
      </w:tr>
      <w:tr>
        <w:trPr>
          <w:trHeight w:val="202"/>
        </w:trPr>
        <w:tc>
          <w:tcPr>
            <w:tcW w:w="7600" w:type="dxa"/>
            <w:vAlign w:val="bottom"/>
          </w:tcPr>
          <w:p>
            <w:pPr>
              <w:spacing w:after="0"/>
              <w:rPr>
                <w:sz w:val="17"/>
                <w:szCs w:val="17"/>
                <w:color w:val="auto"/>
              </w:rPr>
            </w:pPr>
          </w:p>
        </w:tc>
        <w:tc>
          <w:tcPr>
            <w:tcW w:w="2080" w:type="dxa"/>
            <w:vAlign w:val="bottom"/>
          </w:tcPr>
          <w:p>
            <w:pPr>
              <w:ind w:left="320"/>
              <w:spacing w:after="0" w:line="202" w:lineRule="exact"/>
              <w:rPr>
                <w:sz w:val="20"/>
                <w:szCs w:val="20"/>
                <w:color w:val="auto"/>
              </w:rPr>
            </w:pPr>
            <w:r>
              <w:rPr>
                <w:rFonts w:ascii="Arial" w:cs="Arial" w:eastAsia="Arial" w:hAnsi="Arial"/>
                <w:sz w:val="18"/>
                <w:szCs w:val="18"/>
                <w:color w:val="auto"/>
              </w:rPr>
              <w:t>after-tax catastrophe</w:t>
            </w:r>
          </w:p>
        </w:tc>
        <w:tc>
          <w:tcPr>
            <w:tcW w:w="1740" w:type="dxa"/>
            <w:vAlign w:val="bottom"/>
          </w:tcPr>
          <w:p>
            <w:pPr>
              <w:ind w:left="160"/>
              <w:spacing w:after="0" w:line="202" w:lineRule="exact"/>
              <w:rPr>
                <w:sz w:val="20"/>
                <w:szCs w:val="20"/>
                <w:color w:val="auto"/>
              </w:rPr>
            </w:pPr>
            <w:r>
              <w:rPr>
                <w:rFonts w:ascii="Arial" w:cs="Arial" w:eastAsia="Arial" w:hAnsi="Arial"/>
                <w:sz w:val="18"/>
                <w:szCs w:val="18"/>
                <w:color w:val="auto"/>
              </w:rPr>
              <w:t>minimum or</w:t>
            </w:r>
          </w:p>
        </w:tc>
      </w:tr>
      <w:tr>
        <w:trPr>
          <w:trHeight w:val="202"/>
        </w:trPr>
        <w:tc>
          <w:tcPr>
            <w:tcW w:w="7600" w:type="dxa"/>
            <w:vAlign w:val="bottom"/>
          </w:tcPr>
          <w:p>
            <w:pPr>
              <w:spacing w:after="0"/>
              <w:rPr>
                <w:sz w:val="17"/>
                <w:szCs w:val="17"/>
                <w:color w:val="auto"/>
              </w:rPr>
            </w:pPr>
          </w:p>
        </w:tc>
        <w:tc>
          <w:tcPr>
            <w:tcW w:w="2080" w:type="dxa"/>
            <w:vAlign w:val="bottom"/>
          </w:tcPr>
          <w:p>
            <w:pPr>
              <w:ind w:left="320"/>
              <w:spacing w:after="0" w:line="202" w:lineRule="exact"/>
              <w:rPr>
                <w:sz w:val="20"/>
                <w:szCs w:val="20"/>
                <w:color w:val="auto"/>
              </w:rPr>
            </w:pPr>
            <w:r>
              <w:rPr>
                <w:rFonts w:ascii="Arial" w:cs="Arial" w:eastAsia="Arial" w:hAnsi="Arial"/>
                <w:sz w:val="18"/>
                <w:szCs w:val="18"/>
                <w:color w:val="auto"/>
              </w:rPr>
              <w:t>losses and income</w:t>
            </w:r>
          </w:p>
        </w:tc>
        <w:tc>
          <w:tcPr>
            <w:tcW w:w="1740" w:type="dxa"/>
            <w:vAlign w:val="bottom"/>
          </w:tcPr>
          <w:p>
            <w:pPr>
              <w:ind w:left="160"/>
              <w:spacing w:after="0" w:line="202" w:lineRule="exact"/>
              <w:rPr>
                <w:sz w:val="20"/>
                <w:szCs w:val="20"/>
                <w:color w:val="auto"/>
              </w:rPr>
            </w:pPr>
            <w:r>
              <w:rPr>
                <w:rFonts w:ascii="Arial" w:cs="Arial" w:eastAsia="Arial" w:hAnsi="Arial"/>
                <w:sz w:val="18"/>
                <w:szCs w:val="18"/>
                <w:color w:val="auto"/>
              </w:rPr>
              <w:t>maximum amount</w:t>
            </w:r>
          </w:p>
        </w:tc>
      </w:tr>
      <w:tr>
        <w:trPr>
          <w:trHeight w:val="202"/>
        </w:trPr>
        <w:tc>
          <w:tcPr>
            <w:tcW w:w="7600" w:type="dxa"/>
            <w:vAlign w:val="bottom"/>
          </w:tcPr>
          <w:p>
            <w:pPr>
              <w:spacing w:after="0"/>
              <w:rPr>
                <w:sz w:val="17"/>
                <w:szCs w:val="17"/>
                <w:color w:val="auto"/>
              </w:rPr>
            </w:pPr>
          </w:p>
        </w:tc>
        <w:tc>
          <w:tcPr>
            <w:tcW w:w="2080" w:type="dxa"/>
            <w:vAlign w:val="bottom"/>
          </w:tcPr>
          <w:p>
            <w:pPr>
              <w:ind w:left="320"/>
              <w:spacing w:after="0" w:line="202" w:lineRule="exact"/>
              <w:rPr>
                <w:sz w:val="20"/>
                <w:szCs w:val="20"/>
                <w:color w:val="auto"/>
              </w:rPr>
            </w:pPr>
            <w:r>
              <w:rPr>
                <w:rFonts w:ascii="Arial" w:cs="Arial" w:eastAsia="Arial" w:hAnsi="Arial"/>
                <w:sz w:val="18"/>
                <w:szCs w:val="18"/>
                <w:color w:val="auto"/>
              </w:rPr>
              <w:t>from performance-</w:t>
            </w:r>
          </w:p>
        </w:tc>
        <w:tc>
          <w:tcPr>
            <w:tcW w:w="1740" w:type="dxa"/>
            <w:vAlign w:val="bottom"/>
          </w:tcPr>
          <w:p>
            <w:pPr>
              <w:ind w:left="160"/>
              <w:spacing w:after="0" w:line="202" w:lineRule="exact"/>
              <w:rPr>
                <w:sz w:val="20"/>
                <w:szCs w:val="20"/>
                <w:color w:val="auto"/>
              </w:rPr>
            </w:pPr>
            <w:r>
              <w:rPr>
                <w:rFonts w:ascii="Arial" w:cs="Arial" w:eastAsia="Arial" w:hAnsi="Arial"/>
                <w:sz w:val="18"/>
                <w:szCs w:val="18"/>
                <w:color w:val="auto"/>
              </w:rPr>
              <w:t>of after-tax</w:t>
            </w:r>
          </w:p>
        </w:tc>
      </w:tr>
      <w:tr>
        <w:trPr>
          <w:trHeight w:val="220"/>
        </w:trPr>
        <w:tc>
          <w:tcPr>
            <w:tcW w:w="7600" w:type="dxa"/>
            <w:vAlign w:val="bottom"/>
            <w:tcBorders>
              <w:bottom w:val="single" w:sz="8" w:color="DFF1FB"/>
            </w:tcBorders>
          </w:tcPr>
          <w:p>
            <w:pPr>
              <w:spacing w:after="0"/>
              <w:rPr>
                <w:sz w:val="19"/>
                <w:szCs w:val="19"/>
                <w:color w:val="auto"/>
              </w:rPr>
            </w:pPr>
          </w:p>
        </w:tc>
        <w:tc>
          <w:tcPr>
            <w:tcW w:w="2080" w:type="dxa"/>
            <w:vAlign w:val="bottom"/>
            <w:tcBorders>
              <w:bottom w:val="single" w:sz="8" w:color="DFF1FB"/>
            </w:tcBorders>
          </w:tcPr>
          <w:p>
            <w:pPr>
              <w:ind w:left="320"/>
              <w:spacing w:after="0"/>
              <w:rPr>
                <w:sz w:val="20"/>
                <w:szCs w:val="20"/>
                <w:color w:val="auto"/>
              </w:rPr>
            </w:pPr>
            <w:r>
              <w:rPr>
                <w:rFonts w:ascii="Arial" w:cs="Arial" w:eastAsia="Arial" w:hAnsi="Arial"/>
                <w:sz w:val="18"/>
                <w:szCs w:val="18"/>
                <w:color w:val="auto"/>
              </w:rPr>
              <w:t>based investments</w:t>
            </w:r>
          </w:p>
        </w:tc>
        <w:tc>
          <w:tcPr>
            <w:tcW w:w="1740" w:type="dxa"/>
            <w:vAlign w:val="bottom"/>
            <w:tcBorders>
              <w:bottom w:val="single" w:sz="8" w:color="DFF1FB"/>
            </w:tcBorders>
          </w:tcPr>
          <w:p>
            <w:pPr>
              <w:ind w:left="160"/>
              <w:spacing w:after="0"/>
              <w:rPr>
                <w:sz w:val="20"/>
                <w:szCs w:val="20"/>
                <w:color w:val="auto"/>
              </w:rPr>
            </w:pPr>
            <w:r>
              <w:rPr>
                <w:rFonts w:ascii="Arial" w:cs="Arial" w:eastAsia="Arial" w:hAnsi="Arial"/>
                <w:sz w:val="18"/>
                <w:szCs w:val="18"/>
                <w:color w:val="auto"/>
              </w:rPr>
              <w:t>catastrophe losses</w:t>
            </w:r>
          </w:p>
        </w:tc>
      </w:tr>
      <w:tr>
        <w:trPr>
          <w:trHeight w:val="263"/>
        </w:trPr>
        <w:tc>
          <w:tcPr>
            <w:tcW w:w="7600" w:type="dxa"/>
            <w:vAlign w:val="bottom"/>
            <w:tcBorders>
              <w:bottom w:val="single" w:sz="8" w:color="105EAB"/>
            </w:tcBorders>
          </w:tcPr>
          <w:p>
            <w:pPr>
              <w:ind w:left="80"/>
              <w:spacing w:after="0"/>
              <w:rPr>
                <w:sz w:val="20"/>
                <w:szCs w:val="20"/>
                <w:color w:val="auto"/>
              </w:rPr>
            </w:pPr>
            <w:r>
              <w:rPr>
                <w:rFonts w:ascii="Arial" w:cs="Arial" w:eastAsia="Arial" w:hAnsi="Arial"/>
                <w:sz w:val="18"/>
                <w:szCs w:val="18"/>
                <w:b w:val="1"/>
                <w:bCs w:val="1"/>
                <w:color w:val="auto"/>
              </w:rPr>
              <w:t>Performance Net Income</w:t>
            </w:r>
          </w:p>
        </w:tc>
        <w:tc>
          <w:tcPr>
            <w:tcW w:w="2080" w:type="dxa"/>
            <w:vAlign w:val="bottom"/>
            <w:tcBorders>
              <w:bottom w:val="single" w:sz="8" w:color="105EAB"/>
            </w:tcBorders>
          </w:tcPr>
          <w:p>
            <w:pPr>
              <w:spacing w:after="0"/>
              <w:rPr>
                <w:sz w:val="22"/>
                <w:szCs w:val="22"/>
                <w:color w:val="auto"/>
              </w:rPr>
            </w:pPr>
          </w:p>
        </w:tc>
        <w:tc>
          <w:tcPr>
            <w:tcW w:w="1740" w:type="dxa"/>
            <w:vAlign w:val="bottom"/>
            <w:tcBorders>
              <w:bottom w:val="single" w:sz="8" w:color="105EAB"/>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-2483485</wp:posOffset>
            </wp:positionV>
            <wp:extent cx="111125" cy="12001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11125" cy="120015"/>
                    </a:xfrm>
                    <a:prstGeom prst="rect">
                      <a:avLst/>
                    </a:prstGeom>
                    <a:noFill/>
                  </pic:spPr>
                </pic:pic>
              </a:graphicData>
            </a:graphic>
          </wp:anchor>
        </w:drawing>
        <w:drawing>
          <wp:anchor simplePos="0" relativeHeight="251657728" behindDoc="1" locked="0" layoutInCell="0" allowOverlap="1">
            <wp:simplePos x="0" y="0"/>
            <wp:positionH relativeFrom="column">
              <wp:posOffset>6669405</wp:posOffset>
            </wp:positionH>
            <wp:positionV relativeFrom="paragraph">
              <wp:posOffset>-2294890</wp:posOffset>
            </wp:positionV>
            <wp:extent cx="111125" cy="12001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11125" cy="120015"/>
                    </a:xfrm>
                    <a:prstGeom prst="rect">
                      <a:avLst/>
                    </a:prstGeom>
                    <a:noFill/>
                  </pic:spPr>
                </pic:pic>
              </a:graphicData>
            </a:graphic>
          </wp:anchor>
        </w:drawing>
        <w:drawing>
          <wp:anchor simplePos="0" relativeHeight="251657728" behindDoc="1" locked="0" layoutInCell="0" allowOverlap="1">
            <wp:simplePos x="0" y="0"/>
            <wp:positionH relativeFrom="column">
              <wp:posOffset>5495925</wp:posOffset>
            </wp:positionH>
            <wp:positionV relativeFrom="paragraph">
              <wp:posOffset>-1995170</wp:posOffset>
            </wp:positionV>
            <wp:extent cx="111125" cy="12001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11125" cy="120015"/>
                    </a:xfrm>
                    <a:prstGeom prst="rect">
                      <a:avLst/>
                    </a:prstGeom>
                    <a:noFill/>
                  </pic:spPr>
                </pic:pic>
              </a:graphicData>
            </a:graphic>
          </wp:anchor>
        </w:drawing>
        <w:drawing>
          <wp:anchor simplePos="0" relativeHeight="251657728" behindDoc="1" locked="0" layoutInCell="0" allowOverlap="1">
            <wp:simplePos x="0" y="0"/>
            <wp:positionH relativeFrom="column">
              <wp:posOffset>6669405</wp:posOffset>
            </wp:positionH>
            <wp:positionV relativeFrom="paragraph">
              <wp:posOffset>-1995170</wp:posOffset>
            </wp:positionV>
            <wp:extent cx="111125" cy="12001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11125" cy="120015"/>
                    </a:xfrm>
                    <a:prstGeom prst="rect">
                      <a:avLst/>
                    </a:prstGeom>
                    <a:noFill/>
                  </pic:spPr>
                </pic:pic>
              </a:graphicData>
            </a:graphic>
          </wp:anchor>
        </w:drawing>
        <w:drawing>
          <wp:anchor simplePos="0" relativeHeight="251657728" behindDoc="1" locked="0" layoutInCell="0" allowOverlap="1">
            <wp:simplePos x="0" y="0"/>
            <wp:positionH relativeFrom="column">
              <wp:posOffset>6669405</wp:posOffset>
            </wp:positionH>
            <wp:positionV relativeFrom="paragraph">
              <wp:posOffset>-1823720</wp:posOffset>
            </wp:positionV>
            <wp:extent cx="111125" cy="12001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11125" cy="120015"/>
                    </a:xfrm>
                    <a:prstGeom prst="rect">
                      <a:avLst/>
                    </a:prstGeom>
                    <a:noFill/>
                  </pic:spPr>
                </pic:pic>
              </a:graphicData>
            </a:graphic>
          </wp:anchor>
        </w:drawing>
        <w:drawing>
          <wp:anchor simplePos="0" relativeHeight="251657728" behindDoc="1" locked="0" layoutInCell="0" allowOverlap="1">
            <wp:simplePos x="0" y="0"/>
            <wp:positionH relativeFrom="column">
              <wp:posOffset>5495925</wp:posOffset>
            </wp:positionH>
            <wp:positionV relativeFrom="paragraph">
              <wp:posOffset>-1498600</wp:posOffset>
            </wp:positionV>
            <wp:extent cx="111125" cy="12001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11125" cy="120015"/>
                    </a:xfrm>
                    <a:prstGeom prst="rect">
                      <a:avLst/>
                    </a:prstGeom>
                    <a:noFill/>
                  </pic:spPr>
                </pic:pic>
              </a:graphicData>
            </a:graphic>
          </wp:anchor>
        </w:drawing>
      </w:r>
    </w:p>
    <w:p>
      <w:pPr>
        <w:spacing w:after="0" w:line="87" w:lineRule="exact"/>
        <w:rPr>
          <w:sz w:val="20"/>
          <w:szCs w:val="20"/>
          <w:color w:val="auto"/>
        </w:rPr>
      </w:pPr>
    </w:p>
    <w:p>
      <w:pPr>
        <w:ind w:left="300" w:right="220" w:hanging="292"/>
        <w:spacing w:after="0" w:line="238" w:lineRule="auto"/>
        <w:tabs>
          <w:tab w:leader="none" w:pos="300" w:val="left"/>
        </w:tabs>
        <w:numPr>
          <w:ilvl w:val="0"/>
          <w:numId w:val="214"/>
        </w:numPr>
        <w:rPr>
          <w:rFonts w:ascii="Arial" w:cs="Arial" w:eastAsia="Arial" w:hAnsi="Arial"/>
          <w:sz w:val="11"/>
          <w:szCs w:val="11"/>
          <w:color w:val="auto"/>
        </w:rPr>
      </w:pPr>
      <w:r>
        <w:rPr>
          <w:rFonts w:ascii="Arial" w:cs="Arial" w:eastAsia="Arial" w:hAnsi="Arial"/>
          <w:sz w:val="13"/>
          <w:szCs w:val="13"/>
          <w:color w:val="auto"/>
        </w:rPr>
        <w:t>Performance Net Income is a performance measure for the 2016-2018, 2017-2019, 2018-2020, and 2019-2021 performance cycles. The 2017-2019, 2018-2020, and 2019-2021 performance cycles do not qualify for final measurement as of December 31, 2018; the items checked above and after-tax volatile items indicate items that by definition may impact the final measurement when the three-year cycle and final measurement is completed.</w:t>
      </w:r>
    </w:p>
    <w:p>
      <w:pPr>
        <w:ind w:left="300" w:hanging="292"/>
        <w:spacing w:after="0"/>
        <w:tabs>
          <w:tab w:leader="none" w:pos="300" w:val="left"/>
        </w:tabs>
        <w:numPr>
          <w:ilvl w:val="0"/>
          <w:numId w:val="214"/>
        </w:numPr>
        <w:rPr>
          <w:rFonts w:ascii="Arial" w:cs="Arial" w:eastAsia="Arial" w:hAnsi="Arial"/>
          <w:sz w:val="11"/>
          <w:szCs w:val="11"/>
          <w:color w:val="auto"/>
        </w:rPr>
      </w:pPr>
      <w:r>
        <w:rPr>
          <w:rFonts w:ascii="Arial" w:cs="Arial" w:eastAsia="Arial" w:hAnsi="Arial"/>
          <w:sz w:val="13"/>
          <w:szCs w:val="13"/>
          <w:color w:val="auto"/>
        </w:rPr>
        <w:t>Adjustment for 2018-2020 and 2019-2021 performance cycles.</w:t>
      </w:r>
    </w:p>
    <w:p>
      <w:pPr>
        <w:spacing w:after="0" w:line="12" w:lineRule="exact"/>
        <w:rPr>
          <w:rFonts w:ascii="Arial" w:cs="Arial" w:eastAsia="Arial" w:hAnsi="Arial"/>
          <w:sz w:val="11"/>
          <w:szCs w:val="11"/>
          <w:color w:val="auto"/>
        </w:rPr>
      </w:pPr>
    </w:p>
    <w:p>
      <w:pPr>
        <w:ind w:left="300" w:hanging="292"/>
        <w:spacing w:after="0"/>
        <w:tabs>
          <w:tab w:leader="none" w:pos="300" w:val="left"/>
        </w:tabs>
        <w:numPr>
          <w:ilvl w:val="0"/>
          <w:numId w:val="214"/>
        </w:numPr>
        <w:rPr>
          <w:rFonts w:ascii="Arial" w:cs="Arial" w:eastAsia="Arial" w:hAnsi="Arial"/>
          <w:sz w:val="11"/>
          <w:szCs w:val="11"/>
          <w:color w:val="auto"/>
        </w:rPr>
      </w:pPr>
      <w:r>
        <w:rPr>
          <w:rFonts w:ascii="Arial" w:cs="Arial" w:eastAsia="Arial" w:hAnsi="Arial"/>
          <w:sz w:val="13"/>
          <w:szCs w:val="13"/>
          <w:color w:val="auto"/>
        </w:rPr>
        <w:t>The committee exercised negative discretion to adjust this measure to reflect tax savings that were not utilized as planned during the year.</w:t>
      </w:r>
    </w:p>
    <w:p>
      <w:pPr>
        <w:spacing w:after="0" w:line="12" w:lineRule="exact"/>
        <w:rPr>
          <w:rFonts w:ascii="Arial" w:cs="Arial" w:eastAsia="Arial" w:hAnsi="Arial"/>
          <w:sz w:val="11"/>
          <w:szCs w:val="11"/>
          <w:color w:val="auto"/>
        </w:rPr>
      </w:pPr>
    </w:p>
    <w:p>
      <w:pPr>
        <w:ind w:left="300" w:hanging="292"/>
        <w:spacing w:after="0"/>
        <w:tabs>
          <w:tab w:leader="none" w:pos="300" w:val="left"/>
        </w:tabs>
        <w:numPr>
          <w:ilvl w:val="0"/>
          <w:numId w:val="214"/>
        </w:numPr>
        <w:rPr>
          <w:rFonts w:ascii="Arial" w:cs="Arial" w:eastAsia="Arial" w:hAnsi="Arial"/>
          <w:sz w:val="11"/>
          <w:szCs w:val="11"/>
          <w:color w:val="auto"/>
        </w:rPr>
      </w:pPr>
      <w:r>
        <w:rPr>
          <w:rFonts w:ascii="Arial" w:cs="Arial" w:eastAsia="Arial" w:hAnsi="Arial"/>
          <w:sz w:val="13"/>
          <w:szCs w:val="13"/>
          <w:color w:val="auto"/>
        </w:rPr>
        <w:t>Volatile items include catastrophe losses and income from performance-based investments (“PB income”) depending on the measure.</w:t>
      </w:r>
    </w:p>
    <w:p>
      <w:pPr>
        <w:spacing w:after="0" w:line="198" w:lineRule="exact"/>
        <w:rPr>
          <w:sz w:val="20"/>
          <w:szCs w:val="20"/>
          <w:color w:val="auto"/>
        </w:rPr>
      </w:pPr>
    </w:p>
    <w:p>
      <w:pPr>
        <w:spacing w:after="0"/>
        <w:rPr>
          <w:sz w:val="20"/>
          <w:szCs w:val="20"/>
          <w:color w:val="auto"/>
        </w:rPr>
      </w:pPr>
      <w:r>
        <w:rPr>
          <w:rFonts w:ascii="Arial" w:cs="Arial" w:eastAsia="Arial" w:hAnsi="Arial"/>
          <w:sz w:val="25"/>
          <w:szCs w:val="25"/>
          <w:b w:val="1"/>
          <w:bCs w:val="1"/>
          <w:color w:val="105EAB"/>
        </w:rPr>
        <w:t>Annual Cash Incentive Award Performance Measures for 2018</w:t>
      </w:r>
    </w:p>
    <w:p>
      <w:pPr>
        <w:spacing w:after="0" w:line="259" w:lineRule="exact"/>
        <w:rPr>
          <w:sz w:val="20"/>
          <w:szCs w:val="20"/>
          <w:color w:val="auto"/>
        </w:rPr>
      </w:pPr>
    </w:p>
    <w:p>
      <w:pPr>
        <w:jc w:val="both"/>
        <w:ind w:left="340" w:right="80" w:hanging="332"/>
        <w:spacing w:after="0" w:line="237" w:lineRule="auto"/>
        <w:tabs>
          <w:tab w:leader="none" w:pos="340" w:val="left"/>
        </w:tabs>
        <w:numPr>
          <w:ilvl w:val="0"/>
          <w:numId w:val="215"/>
        </w:numPr>
        <w:rPr>
          <w:rFonts w:ascii="Arial" w:cs="Arial" w:eastAsia="Arial" w:hAnsi="Arial"/>
          <w:sz w:val="17"/>
          <w:szCs w:val="17"/>
          <w:color w:val="105EAB"/>
        </w:rPr>
      </w:pPr>
      <w:r>
        <w:rPr>
          <w:rFonts w:ascii="Arial" w:cs="Arial" w:eastAsia="Arial" w:hAnsi="Arial"/>
          <w:sz w:val="18"/>
          <w:szCs w:val="18"/>
          <w:color w:val="105EAB"/>
        </w:rPr>
        <w:t xml:space="preserve">Total Premiums: </w:t>
      </w:r>
      <w:r>
        <w:rPr>
          <w:rFonts w:ascii="Arial" w:cs="Arial" w:eastAsia="Arial" w:hAnsi="Arial"/>
          <w:sz w:val="18"/>
          <w:szCs w:val="18"/>
          <w:color w:val="000000"/>
        </w:rPr>
        <w:t>This measure is used to assess growth within the Allstate Protection, Service Businesses, Allstate Life, Allstate Benefits, and</w:t>
      </w:r>
      <w:r>
        <w:rPr>
          <w:rFonts w:ascii="Arial" w:cs="Arial" w:eastAsia="Arial" w:hAnsi="Arial"/>
          <w:sz w:val="18"/>
          <w:szCs w:val="18"/>
          <w:color w:val="105EAB"/>
        </w:rPr>
        <w:t xml:space="preserve"> </w:t>
      </w:r>
      <w:r>
        <w:rPr>
          <w:rFonts w:ascii="Arial" w:cs="Arial" w:eastAsia="Arial" w:hAnsi="Arial"/>
          <w:sz w:val="18"/>
          <w:szCs w:val="18"/>
          <w:color w:val="000000"/>
        </w:rPr>
        <w:t>Allstate Annuities businesses. It is equal to the sum of Allstate Protection and Service Businesses premiums written and Allstate Life, Benefits, and Annuities premiums and contract charges as described below.</w:t>
      </w:r>
    </w:p>
    <w:p>
      <w:pPr>
        <w:spacing w:after="0" w:line="101" w:lineRule="exact"/>
        <w:rPr>
          <w:rFonts w:ascii="Arial" w:cs="Arial" w:eastAsia="Arial" w:hAnsi="Arial"/>
          <w:sz w:val="17"/>
          <w:szCs w:val="17"/>
          <w:color w:val="105EAB"/>
        </w:rPr>
      </w:pPr>
    </w:p>
    <w:p>
      <w:pPr>
        <w:ind w:left="340"/>
        <w:spacing w:after="0" w:line="239" w:lineRule="auto"/>
        <w:rPr>
          <w:rFonts w:ascii="Arial" w:cs="Arial" w:eastAsia="Arial" w:hAnsi="Arial"/>
          <w:sz w:val="17"/>
          <w:szCs w:val="17"/>
          <w:color w:val="105EAB"/>
        </w:rPr>
      </w:pPr>
      <w:r>
        <w:rPr>
          <w:rFonts w:ascii="Arial" w:cs="Arial" w:eastAsia="Arial" w:hAnsi="Arial"/>
          <w:sz w:val="18"/>
          <w:szCs w:val="18"/>
          <w:color w:val="auto"/>
        </w:rPr>
        <w:t>Premiums written is equal to the Allstate Protection and Service Businesses net premiums written as reported in management’s discussion and analysis in The Allstate Corporation Annual Report on Form 10-K.</w:t>
      </w:r>
    </w:p>
    <w:p>
      <w:pPr>
        <w:spacing w:after="0" w:line="100" w:lineRule="exact"/>
        <w:rPr>
          <w:rFonts w:ascii="Arial" w:cs="Arial" w:eastAsia="Arial" w:hAnsi="Arial"/>
          <w:sz w:val="17"/>
          <w:szCs w:val="17"/>
          <w:color w:val="105EAB"/>
        </w:rPr>
      </w:pPr>
    </w:p>
    <w:p>
      <w:pPr>
        <w:ind w:left="340" w:right="240"/>
        <w:spacing w:after="0" w:line="239" w:lineRule="auto"/>
        <w:rPr>
          <w:rFonts w:ascii="Arial" w:cs="Arial" w:eastAsia="Arial" w:hAnsi="Arial"/>
          <w:sz w:val="17"/>
          <w:szCs w:val="17"/>
          <w:color w:val="105EAB"/>
        </w:rPr>
      </w:pPr>
      <w:r>
        <w:rPr>
          <w:rFonts w:ascii="Arial" w:cs="Arial" w:eastAsia="Arial" w:hAnsi="Arial"/>
          <w:sz w:val="18"/>
          <w:szCs w:val="18"/>
          <w:color w:val="auto"/>
        </w:rPr>
        <w:t>Premiums and contract charges are equal to life premiums and contract charges reported in the consolidated statement of operations in The Allstate Corporation Annual Report on Form 10-K.</w:t>
      </w:r>
    </w:p>
    <w:p>
      <w:pPr>
        <w:spacing w:after="0" w:line="100" w:lineRule="exact"/>
        <w:rPr>
          <w:rFonts w:ascii="Arial" w:cs="Arial" w:eastAsia="Arial" w:hAnsi="Arial"/>
          <w:sz w:val="17"/>
          <w:szCs w:val="17"/>
          <w:color w:val="105EAB"/>
        </w:rPr>
      </w:pPr>
    </w:p>
    <w:p>
      <w:pPr>
        <w:ind w:left="340" w:right="260"/>
        <w:spacing w:after="0" w:line="237" w:lineRule="auto"/>
        <w:rPr>
          <w:rFonts w:ascii="Arial" w:cs="Arial" w:eastAsia="Arial" w:hAnsi="Arial"/>
          <w:sz w:val="17"/>
          <w:szCs w:val="17"/>
          <w:color w:val="105EAB"/>
        </w:rPr>
      </w:pPr>
      <w:r>
        <w:rPr>
          <w:rFonts w:ascii="Arial" w:cs="Arial" w:eastAsia="Arial" w:hAnsi="Arial"/>
          <w:sz w:val="18"/>
          <w:szCs w:val="18"/>
          <w:color w:val="auto"/>
        </w:rPr>
        <w:t>Total Premiums is subject to adjustment for the following individual items to the extent they exceed $30 million: adjustments to be consistent with financial reporting standards and foreign exchange rates used in establishing the measure and adjustments to exclude the effects of acquiring and selling businesses. No such adjustments were necessary in 2018.</w:t>
      </w:r>
    </w:p>
    <w:p>
      <w:pPr>
        <w:spacing w:after="0" w:line="101" w:lineRule="exact"/>
        <w:rPr>
          <w:rFonts w:ascii="Arial" w:cs="Arial" w:eastAsia="Arial" w:hAnsi="Arial"/>
          <w:sz w:val="17"/>
          <w:szCs w:val="17"/>
          <w:color w:val="105EAB"/>
        </w:rPr>
      </w:pPr>
    </w:p>
    <w:p>
      <w:pPr>
        <w:ind w:left="340"/>
        <w:spacing w:after="0"/>
        <w:rPr>
          <w:rFonts w:ascii="Arial" w:cs="Arial" w:eastAsia="Arial" w:hAnsi="Arial"/>
          <w:sz w:val="17"/>
          <w:szCs w:val="17"/>
          <w:color w:val="105EAB"/>
        </w:rPr>
      </w:pPr>
      <w:r>
        <w:rPr>
          <w:rFonts w:ascii="Arial" w:cs="Arial" w:eastAsia="Arial" w:hAnsi="Arial"/>
          <w:sz w:val="18"/>
          <w:szCs w:val="18"/>
          <w:color w:val="auto"/>
        </w:rPr>
        <w:t>Total Premiums of $37,451 million were equal to reported Total Premiums in 2018.</w:t>
      </w:r>
    </w:p>
    <w:p>
      <w:pPr>
        <w:spacing w:after="0" w:line="103" w:lineRule="exact"/>
        <w:rPr>
          <w:rFonts w:ascii="Arial" w:cs="Arial" w:eastAsia="Arial" w:hAnsi="Arial"/>
          <w:sz w:val="17"/>
          <w:szCs w:val="17"/>
          <w:color w:val="105EAB"/>
        </w:rPr>
      </w:pPr>
    </w:p>
    <w:p>
      <w:pPr>
        <w:ind w:left="340" w:right="140" w:hanging="332"/>
        <w:spacing w:after="0" w:line="237" w:lineRule="auto"/>
        <w:tabs>
          <w:tab w:leader="none" w:pos="340" w:val="left"/>
        </w:tabs>
        <w:numPr>
          <w:ilvl w:val="0"/>
          <w:numId w:val="215"/>
        </w:numPr>
        <w:rPr>
          <w:rFonts w:ascii="Arial" w:cs="Arial" w:eastAsia="Arial" w:hAnsi="Arial"/>
          <w:sz w:val="17"/>
          <w:szCs w:val="17"/>
          <w:color w:val="105EAB"/>
        </w:rPr>
      </w:pPr>
      <w:r>
        <w:rPr>
          <w:rFonts w:ascii="Arial" w:cs="Arial" w:eastAsia="Arial" w:hAnsi="Arial"/>
          <w:sz w:val="18"/>
          <w:szCs w:val="18"/>
          <w:color w:val="105EAB"/>
        </w:rPr>
        <w:t xml:space="preserve">Performance Net Income: </w:t>
      </w:r>
      <w:r>
        <w:rPr>
          <w:rFonts w:ascii="Arial" w:cs="Arial" w:eastAsia="Arial" w:hAnsi="Arial"/>
          <w:sz w:val="18"/>
          <w:szCs w:val="18"/>
          <w:color w:val="000000"/>
        </w:rPr>
        <w:t>This measure is used to assess financial performance. In 2018, Performance Net Income was $3,095 million</w:t>
      </w:r>
      <w:r>
        <w:rPr>
          <w:rFonts w:ascii="Arial" w:cs="Arial" w:eastAsia="Arial" w:hAnsi="Arial"/>
          <w:sz w:val="18"/>
          <w:szCs w:val="18"/>
          <w:color w:val="105EAB"/>
        </w:rPr>
        <w:t xml:space="preserve"> </w:t>
      </w:r>
      <w:r>
        <w:rPr>
          <w:rFonts w:ascii="Arial" w:cs="Arial" w:eastAsia="Arial" w:hAnsi="Arial"/>
          <w:sz w:val="18"/>
          <w:szCs w:val="18"/>
          <w:color w:val="000000"/>
        </w:rPr>
        <w:t>compared to reported Adjusted Net Income* of $2,851 million, an increase of $244 million. It was adjusted to remove the impacts of the underwriting loss of the Discontinued Lines and Coverages segment, restructuring and related charges and a pension settlement charge. The committee also exercised negative discretion to reflect an unutilized tax savings investment.</w:t>
      </w:r>
    </w:p>
    <w:p>
      <w:pPr>
        <w:spacing w:after="0" w:line="99" w:lineRule="exact"/>
        <w:rPr>
          <w:rFonts w:ascii="Arial" w:cs="Arial" w:eastAsia="Arial" w:hAnsi="Arial"/>
          <w:sz w:val="17"/>
          <w:szCs w:val="17"/>
          <w:color w:val="105EAB"/>
        </w:rPr>
      </w:pPr>
    </w:p>
    <w:p>
      <w:pPr>
        <w:ind w:left="340" w:right="300" w:hanging="332"/>
        <w:spacing w:after="0" w:line="236" w:lineRule="auto"/>
        <w:tabs>
          <w:tab w:leader="none" w:pos="340" w:val="left"/>
        </w:tabs>
        <w:numPr>
          <w:ilvl w:val="0"/>
          <w:numId w:val="215"/>
        </w:numPr>
        <w:rPr>
          <w:rFonts w:ascii="Arial" w:cs="Arial" w:eastAsia="Arial" w:hAnsi="Arial"/>
          <w:sz w:val="17"/>
          <w:szCs w:val="17"/>
          <w:color w:val="105EAB"/>
        </w:rPr>
      </w:pPr>
      <w:r>
        <w:rPr>
          <w:rFonts w:ascii="Arial" w:cs="Arial" w:eastAsia="Arial" w:hAnsi="Arial"/>
          <w:sz w:val="18"/>
          <w:szCs w:val="18"/>
          <w:color w:val="105EAB"/>
        </w:rPr>
        <w:t xml:space="preserve">Net Investment Income: </w:t>
      </w:r>
      <w:r>
        <w:rPr>
          <w:rFonts w:ascii="Arial" w:cs="Arial" w:eastAsia="Arial" w:hAnsi="Arial"/>
          <w:sz w:val="18"/>
          <w:szCs w:val="18"/>
          <w:color w:val="000000"/>
        </w:rPr>
        <w:t>This measure is used to assess the financial operating performance provided from investments. Net Investment</w:t>
      </w:r>
      <w:r>
        <w:rPr>
          <w:rFonts w:ascii="Arial" w:cs="Arial" w:eastAsia="Arial" w:hAnsi="Arial"/>
          <w:sz w:val="18"/>
          <w:szCs w:val="18"/>
          <w:color w:val="105EAB"/>
        </w:rPr>
        <w:t xml:space="preserve"> </w:t>
      </w:r>
      <w:r>
        <w:rPr>
          <w:rFonts w:ascii="Arial" w:cs="Arial" w:eastAsia="Arial" w:hAnsi="Arial"/>
          <w:sz w:val="18"/>
          <w:szCs w:val="18"/>
          <w:color w:val="000000"/>
        </w:rPr>
        <w:t>Income as reported in the consolidated statement of operations is adjusted to include a minimum or maximum amount of PB income if the actual amounts are less than or exceed those amounts, respectively. Net Investment Income is also subject to adjustments to be consistent with the financial reporting used in establishing the measure and to exclude the effects of acquiring and selling businesses in excess of a threshold. No such adjustments were necessary in 2018.</w:t>
      </w:r>
    </w:p>
    <w:p>
      <w:pPr>
        <w:spacing w:after="0" w:line="101" w:lineRule="exact"/>
        <w:rPr>
          <w:rFonts w:ascii="Arial" w:cs="Arial" w:eastAsia="Arial" w:hAnsi="Arial"/>
          <w:sz w:val="17"/>
          <w:szCs w:val="17"/>
          <w:color w:val="105EAB"/>
        </w:rPr>
      </w:pPr>
    </w:p>
    <w:p>
      <w:pPr>
        <w:ind w:left="340"/>
        <w:spacing w:after="0"/>
        <w:rPr>
          <w:rFonts w:ascii="Arial" w:cs="Arial" w:eastAsia="Arial" w:hAnsi="Arial"/>
          <w:sz w:val="17"/>
          <w:szCs w:val="17"/>
          <w:color w:val="105EAB"/>
        </w:rPr>
      </w:pPr>
      <w:r>
        <w:rPr>
          <w:rFonts w:ascii="Arial" w:cs="Arial" w:eastAsia="Arial" w:hAnsi="Arial"/>
          <w:sz w:val="18"/>
          <w:szCs w:val="18"/>
          <w:color w:val="auto"/>
        </w:rPr>
        <w:t>Net Investment Income of $3,240 million was equal to reported Net Investment Income in 2018.</w:t>
      </w:r>
    </w:p>
    <w:p>
      <w:pPr>
        <w:spacing w:after="0" w:line="207" w:lineRule="exact"/>
        <w:rPr>
          <w:sz w:val="20"/>
          <w:szCs w:val="20"/>
          <w:color w:val="auto"/>
        </w:rPr>
      </w:pPr>
    </w:p>
    <w:p>
      <w:pPr>
        <w:ind w:left="460" w:hanging="452"/>
        <w:spacing w:after="0"/>
        <w:tabs>
          <w:tab w:leader="none" w:pos="460" w:val="left"/>
        </w:tabs>
        <w:numPr>
          <w:ilvl w:val="0"/>
          <w:numId w:val="216"/>
        </w:numPr>
        <w:rPr>
          <w:rFonts w:ascii="Arial" w:cs="Arial" w:eastAsia="Arial" w:hAnsi="Arial"/>
          <w:sz w:val="13"/>
          <w:szCs w:val="13"/>
          <w:b w:val="1"/>
          <w:bCs w:val="1"/>
          <w:color w:val="105EAB"/>
        </w:rPr>
      </w:pPr>
      <w:r>
        <w:rPr>
          <w:rFonts w:ascii="Arial" w:cs="Arial" w:eastAsia="Arial" w:hAnsi="Arial"/>
          <w:sz w:val="13"/>
          <w:szCs w:val="13"/>
          <w:color w:val="105EAB"/>
        </w:rPr>
        <w:t>www.allstateproxy.com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134620</wp:posOffset>
            </wp:positionV>
            <wp:extent cx="7268210" cy="209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jc w:val="right"/>
        <w:ind w:right="20"/>
        <w:spacing w:after="0"/>
        <w:rPr>
          <w:sz w:val="20"/>
          <w:szCs w:val="20"/>
          <w:color w:val="auto"/>
        </w:rPr>
      </w:pPr>
      <w:r>
        <w:rPr>
          <w:rFonts w:ascii="Arial" w:cs="Arial" w:eastAsia="Arial" w:hAnsi="Arial"/>
          <w:sz w:val="13"/>
          <w:szCs w:val="13"/>
          <w:b w:val="1"/>
          <w:bCs w:val="1"/>
          <w:color w:val="auto"/>
        </w:rPr>
        <w:t xml:space="preserve">Performance Measures for 2018 </w:t>
      </w:r>
      <w:r>
        <w:rPr>
          <w:rFonts w:ascii="Arial" w:cs="Arial" w:eastAsia="Arial" w:hAnsi="Arial"/>
          <w:sz w:val="13"/>
          <w:szCs w:val="13"/>
          <w:b w:val="1"/>
          <w:bCs w:val="1"/>
          <w:color w:val="105EAB"/>
        </w:rPr>
        <w:t>| Executive Compensation</w:t>
      </w:r>
    </w:p>
    <w:p>
      <w:pPr>
        <w:spacing w:after="0" w:line="201" w:lineRule="exact"/>
        <w:rPr>
          <w:sz w:val="20"/>
          <w:szCs w:val="20"/>
          <w:color w:val="auto"/>
        </w:rPr>
      </w:pPr>
    </w:p>
    <w:p>
      <w:pPr>
        <w:ind w:right="60"/>
        <w:spacing w:after="0" w:line="288" w:lineRule="auto"/>
        <w:rPr>
          <w:sz w:val="20"/>
          <w:szCs w:val="20"/>
          <w:color w:val="auto"/>
        </w:rPr>
      </w:pPr>
      <w:r>
        <w:rPr>
          <w:rFonts w:ascii="Arial" w:cs="Arial" w:eastAsia="Arial" w:hAnsi="Arial"/>
          <w:sz w:val="25"/>
          <w:szCs w:val="25"/>
          <w:b w:val="1"/>
          <w:bCs w:val="1"/>
          <w:color w:val="105EAB"/>
        </w:rPr>
        <w:t>Performance Stock Award Performance Measures for the 2016-2018, 2017-2019, 2018-2020, and 2019-2021 Performance Cycles</w:t>
      </w:r>
    </w:p>
    <w:p>
      <w:pPr>
        <w:spacing w:after="0" w:line="153" w:lineRule="exact"/>
        <w:rPr>
          <w:sz w:val="20"/>
          <w:szCs w:val="20"/>
          <w:color w:val="auto"/>
        </w:rPr>
      </w:pPr>
    </w:p>
    <w:p>
      <w:pPr>
        <w:ind w:left="340" w:right="100" w:hanging="332"/>
        <w:spacing w:after="0" w:line="235" w:lineRule="auto"/>
        <w:tabs>
          <w:tab w:leader="none" w:pos="340" w:val="left"/>
        </w:tabs>
        <w:numPr>
          <w:ilvl w:val="0"/>
          <w:numId w:val="217"/>
        </w:numPr>
        <w:rPr>
          <w:rFonts w:ascii="Arial" w:cs="Arial" w:eastAsia="Arial" w:hAnsi="Arial"/>
          <w:sz w:val="17"/>
          <w:szCs w:val="17"/>
          <w:color w:val="105EAB"/>
        </w:rPr>
      </w:pPr>
      <w:r>
        <w:rPr>
          <w:rFonts w:ascii="Arial" w:cs="Arial" w:eastAsia="Arial" w:hAnsi="Arial"/>
          <w:sz w:val="18"/>
          <w:szCs w:val="18"/>
          <w:color w:val="105EAB"/>
        </w:rPr>
        <w:t xml:space="preserve">Three-Year Average Performance Net Income Return on Equity (measure weighted at 70%): </w:t>
      </w:r>
      <w:r>
        <w:rPr>
          <w:rFonts w:ascii="Arial" w:cs="Arial" w:eastAsia="Arial" w:hAnsi="Arial"/>
          <w:sz w:val="18"/>
          <w:szCs w:val="18"/>
          <w:color w:val="000000"/>
        </w:rPr>
        <w:t>It is calculated as the ratio of the average</w:t>
      </w:r>
      <w:r>
        <w:rPr>
          <w:rFonts w:ascii="Arial" w:cs="Arial" w:eastAsia="Arial" w:hAnsi="Arial"/>
          <w:sz w:val="18"/>
          <w:szCs w:val="18"/>
          <w:color w:val="105EAB"/>
        </w:rPr>
        <w:t xml:space="preserve"> </w:t>
      </w:r>
      <w:r>
        <w:rPr>
          <w:rFonts w:ascii="Arial" w:cs="Arial" w:eastAsia="Arial" w:hAnsi="Arial"/>
          <w:sz w:val="18"/>
          <w:szCs w:val="18"/>
          <w:color w:val="000000"/>
        </w:rPr>
        <w:t>Performance Net Income for the three years in the period divided by the average of Adjusted Common Shareholders’ Equity at December 31 of the year-end immediately preceding the period and at the end of each year in the three-year period. It is adjusted to reflect the foreign exchange rate used in establishing the measure (in place of actual foreign currency translation) for any period if the Total Premiums measure for the Annual Incentive Plan is adjusted for foreign exchange rates. For the 2018-2020 and 2019-2021 performance cycles, average common shareholders’ equity will also be adjusted to remove the impact of other significant non-recurring, infrequent or unusual items in excess of a threshold and parent holding company level deployable assets in excess of $1 billion. The 2019-2021 performance cycle will also be adjusted for unplanned utilization of alternative capital exceeding $20 million after-tax. Also, Average Performance Net Income Return On Equity requires positive Net Income applicable to common shareholders’ for the three-year performance cycle, and for the 2019-2021 performance cycle, subject to adjustments to exclude the effects of acquiring and selling businesses exceeding $20 million after-tax and to exclude certain fair value adjustments.</w:t>
      </w:r>
    </w:p>
    <w:p>
      <w:pPr>
        <w:spacing w:after="0" w:line="104" w:lineRule="exact"/>
        <w:rPr>
          <w:rFonts w:ascii="Arial" w:cs="Arial" w:eastAsia="Arial" w:hAnsi="Arial"/>
          <w:sz w:val="17"/>
          <w:szCs w:val="17"/>
          <w:color w:val="105EAB"/>
        </w:rPr>
      </w:pPr>
    </w:p>
    <w:p>
      <w:pPr>
        <w:ind w:left="340" w:right="140" w:hanging="332"/>
        <w:spacing w:after="0" w:line="237" w:lineRule="auto"/>
        <w:tabs>
          <w:tab w:leader="none" w:pos="340" w:val="left"/>
        </w:tabs>
        <w:numPr>
          <w:ilvl w:val="0"/>
          <w:numId w:val="217"/>
        </w:numPr>
        <w:rPr>
          <w:rFonts w:ascii="Arial" w:cs="Arial" w:eastAsia="Arial" w:hAnsi="Arial"/>
          <w:sz w:val="17"/>
          <w:szCs w:val="17"/>
          <w:color w:val="105EAB"/>
        </w:rPr>
      </w:pPr>
      <w:r>
        <w:rPr>
          <w:rFonts w:ascii="Arial" w:cs="Arial" w:eastAsia="Arial" w:hAnsi="Arial"/>
          <w:sz w:val="18"/>
          <w:szCs w:val="18"/>
          <w:color w:val="auto"/>
        </w:rPr>
        <w:t>Adjusted Common Shareholders’ Equity is equal to common shareholders’ equity excluding the net effects of unrealized net capital gains and losses. It is subject to adjustments to be consistent with the financial reporting used in establishing the measure and to exclude the net effects of acquiring and selling businesses in excess of a threshold. Adjusted Common Shareholders’ Equity at December 31 of the year-end immediately preceding the period is not subject to adjustment.</w:t>
      </w:r>
    </w:p>
    <w:p>
      <w:pPr>
        <w:spacing w:after="0" w:line="99" w:lineRule="exact"/>
        <w:rPr>
          <w:rFonts w:ascii="Arial" w:cs="Arial" w:eastAsia="Arial" w:hAnsi="Arial"/>
          <w:sz w:val="17"/>
          <w:szCs w:val="17"/>
          <w:color w:val="105EAB"/>
        </w:rPr>
      </w:pPr>
    </w:p>
    <w:p>
      <w:pPr>
        <w:ind w:left="340" w:right="60" w:hanging="332"/>
        <w:spacing w:after="0" w:line="236" w:lineRule="auto"/>
        <w:tabs>
          <w:tab w:leader="none" w:pos="340" w:val="left"/>
        </w:tabs>
        <w:numPr>
          <w:ilvl w:val="0"/>
          <w:numId w:val="217"/>
        </w:numPr>
        <w:rPr>
          <w:rFonts w:ascii="Arial" w:cs="Arial" w:eastAsia="Arial" w:hAnsi="Arial"/>
          <w:sz w:val="17"/>
          <w:szCs w:val="17"/>
          <w:color w:val="105EAB"/>
        </w:rPr>
      </w:pPr>
      <w:r>
        <w:rPr>
          <w:rFonts w:ascii="Arial" w:cs="Arial" w:eastAsia="Arial" w:hAnsi="Arial"/>
          <w:sz w:val="18"/>
          <w:szCs w:val="18"/>
          <w:color w:val="auto"/>
        </w:rPr>
        <w:t>Three-year Average Performance Net Income Return on Equity for the 2016-2018 performance cycle was 13.9%, compared to our reported Adjusted Net Income return on equity* of 14.8%, 13.4% and 10.4% for the years ended 2018, 2017, and 2016, respectively, and the three-year average of 12.9%. The primary adjustments relate to underwriting loss of the Discontinued Lines and Coverages segment, restructuring and related charges, net effects of acquiring business, employee share-based accounting tax benefit, pension settlement charges, and changes in investment accounting rules.</w:t>
      </w:r>
    </w:p>
    <w:p>
      <w:pPr>
        <w:spacing w:after="0" w:line="101" w:lineRule="exact"/>
        <w:rPr>
          <w:rFonts w:ascii="Arial" w:cs="Arial" w:eastAsia="Arial" w:hAnsi="Arial"/>
          <w:sz w:val="17"/>
          <w:szCs w:val="17"/>
          <w:color w:val="105EAB"/>
        </w:rPr>
      </w:pPr>
    </w:p>
    <w:p>
      <w:pPr>
        <w:ind w:left="340" w:right="60" w:hanging="332"/>
        <w:spacing w:after="0" w:line="237" w:lineRule="auto"/>
        <w:tabs>
          <w:tab w:leader="none" w:pos="340" w:val="left"/>
        </w:tabs>
        <w:numPr>
          <w:ilvl w:val="0"/>
          <w:numId w:val="217"/>
        </w:numPr>
        <w:rPr>
          <w:rFonts w:ascii="Arial" w:cs="Arial" w:eastAsia="Arial" w:hAnsi="Arial"/>
          <w:sz w:val="17"/>
          <w:szCs w:val="17"/>
          <w:color w:val="105EAB"/>
        </w:rPr>
      </w:pPr>
      <w:r>
        <w:rPr>
          <w:rFonts w:ascii="Arial" w:cs="Arial" w:eastAsia="Arial" w:hAnsi="Arial"/>
          <w:sz w:val="18"/>
          <w:szCs w:val="18"/>
          <w:color w:val="auto"/>
        </w:rPr>
        <w:t>The committee requires positive Net Income in order for our executives to earn PSAs for Average Performance Net Income ROE above target. For the 2019-2021 performance cycle, net income is adjusted to exclude gains and losses related to fair value accounting for pension and post-retirement plans, after-tax valuation of equity securities included in realized capital gains and losses, and the effects of acquiring and selling businesses.</w:t>
      </w:r>
    </w:p>
    <w:p>
      <w:pPr>
        <w:spacing w:after="0" w:line="99" w:lineRule="exact"/>
        <w:rPr>
          <w:rFonts w:ascii="Arial" w:cs="Arial" w:eastAsia="Arial" w:hAnsi="Arial"/>
          <w:sz w:val="17"/>
          <w:szCs w:val="17"/>
          <w:color w:val="105EAB"/>
        </w:rPr>
      </w:pPr>
    </w:p>
    <w:p>
      <w:pPr>
        <w:ind w:left="340" w:right="100" w:hanging="332"/>
        <w:spacing w:after="0" w:line="237" w:lineRule="auto"/>
        <w:tabs>
          <w:tab w:leader="none" w:pos="340" w:val="left"/>
        </w:tabs>
        <w:numPr>
          <w:ilvl w:val="0"/>
          <w:numId w:val="217"/>
        </w:numPr>
        <w:rPr>
          <w:rFonts w:ascii="Arial" w:cs="Arial" w:eastAsia="Arial" w:hAnsi="Arial"/>
          <w:sz w:val="17"/>
          <w:szCs w:val="17"/>
          <w:color w:val="105EAB"/>
        </w:rPr>
      </w:pPr>
      <w:r>
        <w:rPr>
          <w:rFonts w:ascii="Arial" w:cs="Arial" w:eastAsia="Arial" w:hAnsi="Arial"/>
          <w:sz w:val="18"/>
          <w:szCs w:val="18"/>
          <w:color w:val="105EAB"/>
        </w:rPr>
        <w:t xml:space="preserve">Earned Book Value (measure weighted at 30%): </w:t>
      </w:r>
      <w:r>
        <w:rPr>
          <w:rFonts w:ascii="Arial" w:cs="Arial" w:eastAsia="Arial" w:hAnsi="Arial"/>
          <w:sz w:val="18"/>
          <w:szCs w:val="18"/>
          <w:color w:val="000000"/>
        </w:rPr>
        <w:t>Earned Book Value is the increase between common shareholders’ equity at December 31 of</w:t>
      </w:r>
      <w:r>
        <w:rPr>
          <w:rFonts w:ascii="Arial" w:cs="Arial" w:eastAsia="Arial" w:hAnsi="Arial"/>
          <w:sz w:val="18"/>
          <w:szCs w:val="18"/>
          <w:color w:val="105EAB"/>
        </w:rPr>
        <w:t xml:space="preserve"> </w:t>
      </w:r>
      <w:r>
        <w:rPr>
          <w:rFonts w:ascii="Arial" w:cs="Arial" w:eastAsia="Arial" w:hAnsi="Arial"/>
          <w:sz w:val="18"/>
          <w:szCs w:val="18"/>
          <w:color w:val="000000"/>
        </w:rPr>
        <w:t>the year-end immediately preceding the three-year period and adjusted common shareholders’ equity at December 31 of the last year of the three-year period expressed as a compound annual growth rate. Adjusted common shareholders’ equity is equal to common shareholders’ equity at December 31 of the last year of the three-year period adjusted to:</w:t>
      </w:r>
    </w:p>
    <w:p>
      <w:pPr>
        <w:spacing w:after="0" w:line="99" w:lineRule="exact"/>
        <w:rPr>
          <w:rFonts w:ascii="Arial" w:cs="Arial" w:eastAsia="Arial" w:hAnsi="Arial"/>
          <w:sz w:val="17"/>
          <w:szCs w:val="17"/>
          <w:color w:val="105EAB"/>
        </w:rPr>
      </w:pPr>
    </w:p>
    <w:p>
      <w:pPr>
        <w:ind w:left="620" w:hanging="306"/>
        <w:spacing w:after="0"/>
        <w:tabs>
          <w:tab w:leader="none" w:pos="620" w:val="left"/>
        </w:tabs>
        <w:numPr>
          <w:ilvl w:val="1"/>
          <w:numId w:val="217"/>
        </w:numPr>
        <w:rPr>
          <w:rFonts w:ascii="Arial" w:cs="Arial" w:eastAsia="Arial" w:hAnsi="Arial"/>
          <w:sz w:val="17"/>
          <w:szCs w:val="17"/>
          <w:color w:val="105EAB"/>
        </w:rPr>
      </w:pPr>
      <w:r>
        <w:rPr>
          <w:rFonts w:ascii="Arial" w:cs="Arial" w:eastAsia="Arial" w:hAnsi="Arial"/>
          <w:sz w:val="18"/>
          <w:szCs w:val="18"/>
          <w:color w:val="auto"/>
        </w:rPr>
        <w:t>Add back reductions for common share repurchases and declared common shareholder dividends during the three-year period.</w:t>
      </w:r>
    </w:p>
    <w:p>
      <w:pPr>
        <w:spacing w:after="0" w:line="103" w:lineRule="exact"/>
        <w:rPr>
          <w:rFonts w:ascii="Arial" w:cs="Arial" w:eastAsia="Arial" w:hAnsi="Arial"/>
          <w:sz w:val="17"/>
          <w:szCs w:val="17"/>
          <w:color w:val="105EAB"/>
        </w:rPr>
      </w:pPr>
    </w:p>
    <w:p>
      <w:pPr>
        <w:ind w:left="620" w:hanging="306"/>
        <w:spacing w:after="0"/>
        <w:tabs>
          <w:tab w:leader="none" w:pos="620" w:val="left"/>
        </w:tabs>
        <w:numPr>
          <w:ilvl w:val="1"/>
          <w:numId w:val="217"/>
        </w:numPr>
        <w:rPr>
          <w:rFonts w:ascii="Arial" w:cs="Arial" w:eastAsia="Arial" w:hAnsi="Arial"/>
          <w:sz w:val="17"/>
          <w:szCs w:val="17"/>
          <w:color w:val="105EAB"/>
        </w:rPr>
      </w:pPr>
      <w:r>
        <w:rPr>
          <w:rFonts w:ascii="Arial" w:cs="Arial" w:eastAsia="Arial" w:hAnsi="Arial"/>
          <w:sz w:val="18"/>
          <w:szCs w:val="18"/>
          <w:color w:val="auto"/>
        </w:rPr>
        <w:t>Remove the impact of other significant non-recurring, infrequent or unusual items exceeding $20 million after-tax.</w:t>
      </w:r>
    </w:p>
    <w:p>
      <w:pPr>
        <w:spacing w:after="0" w:line="103" w:lineRule="exact"/>
        <w:rPr>
          <w:rFonts w:ascii="Arial" w:cs="Arial" w:eastAsia="Arial" w:hAnsi="Arial"/>
          <w:sz w:val="17"/>
          <w:szCs w:val="17"/>
          <w:color w:val="105EAB"/>
        </w:rPr>
      </w:pPr>
    </w:p>
    <w:p>
      <w:pPr>
        <w:ind w:left="620" w:right="300" w:hanging="306"/>
        <w:spacing w:after="0" w:line="239" w:lineRule="auto"/>
        <w:tabs>
          <w:tab w:leader="none" w:pos="620" w:val="left"/>
        </w:tabs>
        <w:numPr>
          <w:ilvl w:val="1"/>
          <w:numId w:val="217"/>
        </w:numPr>
        <w:rPr>
          <w:rFonts w:ascii="Arial" w:cs="Arial" w:eastAsia="Arial" w:hAnsi="Arial"/>
          <w:sz w:val="17"/>
          <w:szCs w:val="17"/>
          <w:color w:val="105EAB"/>
        </w:rPr>
      </w:pPr>
      <w:r>
        <w:rPr>
          <w:rFonts w:ascii="Arial" w:cs="Arial" w:eastAsia="Arial" w:hAnsi="Arial"/>
          <w:sz w:val="18"/>
          <w:szCs w:val="18"/>
          <w:color w:val="auto"/>
        </w:rPr>
        <w:t>Reflect a minimum or maximum amount of after-tax catastrophe losses if the actual pre-tax catastrophe losses are more or less than +/-20% respectively of the three years of catastrophe losses used to establish the measure.</w:t>
      </w:r>
    </w:p>
    <w:p>
      <w:pPr>
        <w:spacing w:after="0" w:line="100" w:lineRule="exact"/>
        <w:rPr>
          <w:rFonts w:ascii="Arial" w:cs="Arial" w:eastAsia="Arial" w:hAnsi="Arial"/>
          <w:sz w:val="17"/>
          <w:szCs w:val="17"/>
          <w:color w:val="105EAB"/>
        </w:rPr>
      </w:pPr>
    </w:p>
    <w:p>
      <w:pPr>
        <w:ind w:left="620" w:hanging="306"/>
        <w:spacing w:after="0"/>
        <w:tabs>
          <w:tab w:leader="none" w:pos="620" w:val="left"/>
        </w:tabs>
        <w:numPr>
          <w:ilvl w:val="1"/>
          <w:numId w:val="217"/>
        </w:numPr>
        <w:rPr>
          <w:rFonts w:ascii="Arial" w:cs="Arial" w:eastAsia="Arial" w:hAnsi="Arial"/>
          <w:sz w:val="17"/>
          <w:szCs w:val="17"/>
          <w:color w:val="105EAB"/>
        </w:rPr>
      </w:pPr>
      <w:r>
        <w:rPr>
          <w:rFonts w:ascii="Arial" w:cs="Arial" w:eastAsia="Arial" w:hAnsi="Arial"/>
          <w:sz w:val="18"/>
          <w:szCs w:val="18"/>
          <w:color w:val="auto"/>
        </w:rPr>
        <w:t>Be consistent with the financial reporting used in establishing the measure for items exceeding $20 million after-tax.</w:t>
      </w:r>
    </w:p>
    <w:p>
      <w:pPr>
        <w:spacing w:after="0" w:line="103" w:lineRule="exact"/>
        <w:rPr>
          <w:rFonts w:ascii="Arial" w:cs="Arial" w:eastAsia="Arial" w:hAnsi="Arial"/>
          <w:sz w:val="17"/>
          <w:szCs w:val="17"/>
          <w:color w:val="105EAB"/>
        </w:rPr>
      </w:pPr>
    </w:p>
    <w:p>
      <w:pPr>
        <w:ind w:left="620" w:hanging="306"/>
        <w:spacing w:after="0"/>
        <w:tabs>
          <w:tab w:leader="none" w:pos="620" w:val="left"/>
        </w:tabs>
        <w:numPr>
          <w:ilvl w:val="1"/>
          <w:numId w:val="217"/>
        </w:numPr>
        <w:rPr>
          <w:rFonts w:ascii="Arial" w:cs="Arial" w:eastAsia="Arial" w:hAnsi="Arial"/>
          <w:sz w:val="17"/>
          <w:szCs w:val="17"/>
          <w:color w:val="105EAB"/>
        </w:rPr>
      </w:pPr>
      <w:r>
        <w:rPr>
          <w:rFonts w:ascii="Arial" w:cs="Arial" w:eastAsia="Arial" w:hAnsi="Arial"/>
          <w:sz w:val="18"/>
          <w:szCs w:val="18"/>
          <w:color w:val="auto"/>
        </w:rPr>
        <w:t>Exclude the effects of acquiring and selling businesses exceeding $20 million after-tax.</w:t>
      </w:r>
    </w:p>
    <w:p>
      <w:pPr>
        <w:spacing w:after="0" w:line="103" w:lineRule="exact"/>
        <w:rPr>
          <w:rFonts w:ascii="Arial" w:cs="Arial" w:eastAsia="Arial" w:hAnsi="Arial"/>
          <w:sz w:val="17"/>
          <w:szCs w:val="17"/>
          <w:color w:val="105EAB"/>
        </w:rPr>
      </w:pPr>
    </w:p>
    <w:p>
      <w:pPr>
        <w:ind w:left="620" w:right="420" w:hanging="306"/>
        <w:spacing w:after="0" w:line="239" w:lineRule="auto"/>
        <w:tabs>
          <w:tab w:leader="none" w:pos="620" w:val="left"/>
        </w:tabs>
        <w:numPr>
          <w:ilvl w:val="1"/>
          <w:numId w:val="217"/>
        </w:numPr>
        <w:rPr>
          <w:rFonts w:ascii="Arial" w:cs="Arial" w:eastAsia="Arial" w:hAnsi="Arial"/>
          <w:sz w:val="17"/>
          <w:szCs w:val="17"/>
          <w:color w:val="105EAB"/>
        </w:rPr>
      </w:pPr>
      <w:r>
        <w:rPr>
          <w:rFonts w:ascii="Arial" w:cs="Arial" w:eastAsia="Arial" w:hAnsi="Arial"/>
          <w:sz w:val="18"/>
          <w:szCs w:val="18"/>
          <w:color w:val="auto"/>
        </w:rPr>
        <w:t>Reflect the foreign exchange rate used in establishing the measure (in place of actual foreign currency translation) for any period if the Total Premiums measure for the Annual Incentive Plan is adjusted for foreign exchange rates.</w:t>
      </w:r>
    </w:p>
    <w:p>
      <w:pPr>
        <w:spacing w:after="0" w:line="100" w:lineRule="exact"/>
        <w:rPr>
          <w:rFonts w:ascii="Arial" w:cs="Arial" w:eastAsia="Arial" w:hAnsi="Arial"/>
          <w:sz w:val="17"/>
          <w:szCs w:val="17"/>
          <w:color w:val="105EAB"/>
        </w:rPr>
      </w:pPr>
    </w:p>
    <w:p>
      <w:pPr>
        <w:ind w:left="620" w:right="40" w:hanging="306"/>
        <w:spacing w:after="0" w:line="239" w:lineRule="auto"/>
        <w:tabs>
          <w:tab w:leader="none" w:pos="620" w:val="left"/>
        </w:tabs>
        <w:numPr>
          <w:ilvl w:val="1"/>
          <w:numId w:val="217"/>
        </w:numPr>
        <w:rPr>
          <w:rFonts w:ascii="Arial" w:cs="Arial" w:eastAsia="Arial" w:hAnsi="Arial"/>
          <w:sz w:val="17"/>
          <w:szCs w:val="17"/>
          <w:color w:val="105EAB"/>
        </w:rPr>
      </w:pPr>
      <w:r>
        <w:rPr>
          <w:rFonts w:ascii="Arial" w:cs="Arial" w:eastAsia="Arial" w:hAnsi="Arial"/>
          <w:sz w:val="18"/>
          <w:szCs w:val="18"/>
          <w:color w:val="auto"/>
        </w:rPr>
        <w:t>For the 2019-2021 performance cycle, earned book value will also be adjusted for unplanned utilization of alternative capital exceeding $20 million after-tax.</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1120" w:type="dxa"/>
            <w:vAlign w:val="bottom"/>
          </w:tcPr>
          <w:p>
            <w:pPr>
              <w:ind w:left="9640"/>
              <w:spacing w:after="0"/>
              <w:rPr>
                <w:sz w:val="20"/>
                <w:szCs w:val="20"/>
                <w:color w:val="auto"/>
              </w:rPr>
            </w:pPr>
            <w:r>
              <w:rPr>
                <w:rFonts w:ascii="Arial" w:cs="Arial" w:eastAsia="Arial" w:hAnsi="Arial"/>
                <w:sz w:val="13"/>
                <w:szCs w:val="13"/>
                <w:color w:val="105EAB"/>
              </w:rPr>
              <w:t>2019 Proxy Statement</w:t>
            </w:r>
          </w:p>
        </w:tc>
        <w:tc>
          <w:tcPr>
            <w:tcW w:w="320" w:type="dxa"/>
            <w:vAlign w:val="bottom"/>
          </w:tcPr>
          <w:p>
            <w:pPr>
              <w:jc w:val="right"/>
              <w:spacing w:after="0"/>
              <w:rPr>
                <w:sz w:val="20"/>
                <w:szCs w:val="20"/>
                <w:color w:val="auto"/>
              </w:rPr>
            </w:pPr>
            <w:r>
              <w:rPr>
                <w:rFonts w:ascii="Arial" w:cs="Arial" w:eastAsia="Arial" w:hAnsi="Arial"/>
                <w:sz w:val="13"/>
                <w:szCs w:val="13"/>
                <w:b w:val="1"/>
                <w:bCs w:val="1"/>
                <w:color w:val="105EAB"/>
              </w:rPr>
              <w:t>69</w:t>
            </w:r>
          </w:p>
        </w:tc>
      </w:tr>
      <w:tr>
        <w:trPr>
          <w:trHeight w:val="213"/>
        </w:trPr>
        <w:tc>
          <w:tcPr>
            <w:tcW w:w="1112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-13970</wp:posOffset>
            </wp:positionV>
            <wp:extent cx="1270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b w:val="1"/>
          <w:bCs w:val="1"/>
          <w:color w:val="105EAB"/>
        </w:rPr>
        <w:t xml:space="preserve">Executive Compensation | </w:t>
      </w:r>
      <w:r>
        <w:rPr>
          <w:rFonts w:ascii="Arial" w:cs="Arial" w:eastAsia="Arial" w:hAnsi="Arial"/>
          <w:sz w:val="13"/>
          <w:szCs w:val="13"/>
          <w:b w:val="1"/>
          <w:bCs w:val="1"/>
          <w:color w:val="000000"/>
        </w:rPr>
        <w:t>CEO Pay Ratio</w:t>
      </w:r>
    </w:p>
    <w:p>
      <w:pPr>
        <w:spacing w:after="0" w:line="200" w:lineRule="exact"/>
        <w:rPr>
          <w:sz w:val="20"/>
          <w:szCs w:val="20"/>
          <w:color w:val="auto"/>
        </w:rPr>
      </w:pPr>
    </w:p>
    <w:p>
      <w:pPr>
        <w:spacing w:after="0"/>
        <w:rPr>
          <w:sz w:val="20"/>
          <w:szCs w:val="20"/>
          <w:color w:val="auto"/>
        </w:rPr>
      </w:pPr>
      <w:r>
        <w:rPr>
          <w:rFonts w:ascii="Arial" w:cs="Arial" w:eastAsia="Arial" w:hAnsi="Arial"/>
          <w:sz w:val="31"/>
          <w:szCs w:val="31"/>
          <w:b w:val="1"/>
          <w:bCs w:val="1"/>
          <w:color w:val="959595"/>
        </w:rPr>
        <w:t>CEO Pay Ratio</w:t>
      </w:r>
    </w:p>
    <w:p>
      <w:pPr>
        <w:spacing w:after="0" w:line="25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As required by the Dodd-Frank Wall Street Reform and Consumer Protection Act, we are providing information about the relationship of the annual total compensation of our employees to the annual total compensation of Mr. Wilson, our CEO. This pay ratio is a reasonable estimate calculated in a manner consistent with SEC rules.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For 2018:</w:t>
      </w:r>
    </w:p>
    <w:p>
      <w:pPr>
        <w:spacing w:after="0" w:line="211" w:lineRule="exact"/>
        <w:rPr>
          <w:sz w:val="20"/>
          <w:szCs w:val="20"/>
          <w:color w:val="auto"/>
        </w:rPr>
      </w:pPr>
    </w:p>
    <w:p>
      <w:pPr>
        <w:ind w:left="340" w:hanging="332"/>
        <w:spacing w:after="0"/>
        <w:tabs>
          <w:tab w:leader="none" w:pos="340" w:val="left"/>
        </w:tabs>
        <w:numPr>
          <w:ilvl w:val="0"/>
          <w:numId w:val="218"/>
        </w:numPr>
        <w:rPr>
          <w:rFonts w:ascii="Arial" w:cs="Arial" w:eastAsia="Arial" w:hAnsi="Arial"/>
          <w:sz w:val="17"/>
          <w:szCs w:val="17"/>
          <w:color w:val="105EAB"/>
        </w:rPr>
      </w:pPr>
      <w:r>
        <w:rPr>
          <w:rFonts w:ascii="Arial" w:cs="Arial" w:eastAsia="Arial" w:hAnsi="Arial"/>
          <w:sz w:val="18"/>
          <w:szCs w:val="18"/>
          <w:color w:val="auto"/>
        </w:rPr>
        <w:t>the annual total compensation of our median employee was $72,363; and</w:t>
      </w:r>
    </w:p>
    <w:p>
      <w:pPr>
        <w:spacing w:after="0" w:line="62" w:lineRule="exact"/>
        <w:rPr>
          <w:rFonts w:ascii="Arial" w:cs="Arial" w:eastAsia="Arial" w:hAnsi="Arial"/>
          <w:sz w:val="17"/>
          <w:szCs w:val="17"/>
          <w:color w:val="105EAB"/>
        </w:rPr>
      </w:pPr>
    </w:p>
    <w:p>
      <w:pPr>
        <w:ind w:left="340" w:hanging="332"/>
        <w:spacing w:after="0"/>
        <w:tabs>
          <w:tab w:leader="none" w:pos="340" w:val="left"/>
        </w:tabs>
        <w:numPr>
          <w:ilvl w:val="0"/>
          <w:numId w:val="218"/>
        </w:numPr>
        <w:rPr>
          <w:rFonts w:ascii="Arial" w:cs="Arial" w:eastAsia="Arial" w:hAnsi="Arial"/>
          <w:sz w:val="17"/>
          <w:szCs w:val="17"/>
          <w:color w:val="105EAB"/>
        </w:rPr>
      </w:pPr>
      <w:r>
        <w:rPr>
          <w:rFonts w:ascii="Arial" w:cs="Arial" w:eastAsia="Arial" w:hAnsi="Arial"/>
          <w:sz w:val="18"/>
          <w:szCs w:val="18"/>
          <w:color w:val="auto"/>
        </w:rPr>
        <w:t>the annual total compensation of our CEO, as reported in the Summary Compensation Table in this Proxy Statement, was $18,687,246.</w:t>
      </w:r>
    </w:p>
    <w:p>
      <w:pPr>
        <w:spacing w:after="0" w:line="62" w:lineRule="exact"/>
        <w:rPr>
          <w:rFonts w:ascii="Arial" w:cs="Arial" w:eastAsia="Arial" w:hAnsi="Arial"/>
          <w:sz w:val="17"/>
          <w:szCs w:val="17"/>
          <w:color w:val="105EAB"/>
        </w:rPr>
      </w:pPr>
    </w:p>
    <w:p>
      <w:pPr>
        <w:ind w:left="340" w:hanging="332"/>
        <w:spacing w:after="0"/>
        <w:tabs>
          <w:tab w:leader="none" w:pos="340" w:val="left"/>
        </w:tabs>
        <w:numPr>
          <w:ilvl w:val="0"/>
          <w:numId w:val="218"/>
        </w:numPr>
        <w:rPr>
          <w:rFonts w:ascii="Arial" w:cs="Arial" w:eastAsia="Arial" w:hAnsi="Arial"/>
          <w:sz w:val="17"/>
          <w:szCs w:val="17"/>
          <w:color w:val="105EAB"/>
        </w:rPr>
      </w:pPr>
      <w:r>
        <w:rPr>
          <w:rFonts w:ascii="Arial" w:cs="Arial" w:eastAsia="Arial" w:hAnsi="Arial"/>
          <w:sz w:val="18"/>
          <w:szCs w:val="18"/>
          <w:color w:val="auto"/>
        </w:rPr>
        <w:t>The ratio of the annual total compensation of Mr. Wilson to our median employee was 258:1.</w:t>
      </w:r>
    </w:p>
    <w:p>
      <w:pPr>
        <w:spacing w:after="0" w:line="211" w:lineRule="exact"/>
        <w:rPr>
          <w:sz w:val="20"/>
          <w:szCs w:val="20"/>
          <w:color w:val="auto"/>
        </w:rPr>
      </w:pPr>
    </w:p>
    <w:p>
      <w:pPr>
        <w:jc w:val="both"/>
        <w:ind w:right="220"/>
        <w:spacing w:after="0" w:line="237" w:lineRule="auto"/>
        <w:rPr>
          <w:sz w:val="20"/>
          <w:szCs w:val="20"/>
          <w:color w:val="auto"/>
        </w:rPr>
      </w:pPr>
      <w:r>
        <w:rPr>
          <w:rFonts w:ascii="Arial" w:cs="Arial" w:eastAsia="Arial" w:hAnsi="Arial"/>
          <w:sz w:val="18"/>
          <w:szCs w:val="18"/>
          <w:color w:val="auto"/>
        </w:rPr>
        <w:t>In contrast to the compensation of the median employee, a significant portion of our CEO’s compensation is tied to company performance. If we were to calculate the ratio using Mr. Wilson’s target annual cash incentive (as opposed to the actual cash incentive award paid to him based on 2018 company performance), our CEO to median employee pay ratio would have been 218:1.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1065" cy="285686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51065" cy="2856865"/>
                    </a:xfrm>
                    <a:prstGeom prst="rect">
                      <a:avLst/>
                    </a:prstGeom>
                    <a:noFill/>
                  </pic:spPr>
                </pic:pic>
              </a:graphicData>
            </a:graphic>
          </wp:anchor>
        </w:drawing>
      </w:r>
    </w:p>
    <w:p>
      <w:pPr>
        <w:spacing w:after="0" w:line="284" w:lineRule="exact"/>
        <w:rPr>
          <w:sz w:val="20"/>
          <w:szCs w:val="20"/>
          <w:color w:val="auto"/>
        </w:rPr>
      </w:pPr>
    </w:p>
    <w:p>
      <w:pPr>
        <w:ind w:left="100" w:right="700"/>
        <w:spacing w:after="0" w:line="239" w:lineRule="auto"/>
        <w:rPr>
          <w:sz w:val="20"/>
          <w:szCs w:val="20"/>
          <w:color w:val="auto"/>
        </w:rPr>
      </w:pPr>
      <w:r>
        <w:rPr>
          <w:rFonts w:ascii="Arial" w:cs="Arial" w:eastAsia="Arial" w:hAnsi="Arial"/>
          <w:sz w:val="18"/>
          <w:szCs w:val="18"/>
          <w:color w:val="auto"/>
        </w:rPr>
        <w:t>To calculate the ratio, we followed SEC permitted rules and used the following methodology and material assumptions, adjustments, and estimates:</w:t>
      </w:r>
    </w:p>
    <w:p>
      <w:pPr>
        <w:spacing w:after="0" w:line="208" w:lineRule="exact"/>
        <w:rPr>
          <w:sz w:val="20"/>
          <w:szCs w:val="20"/>
          <w:color w:val="auto"/>
        </w:rPr>
      </w:pPr>
    </w:p>
    <w:p>
      <w:pPr>
        <w:ind w:left="420" w:hanging="322"/>
        <w:spacing w:after="0"/>
        <w:tabs>
          <w:tab w:leader="none" w:pos="420" w:val="left"/>
        </w:tabs>
        <w:numPr>
          <w:ilvl w:val="0"/>
          <w:numId w:val="219"/>
        </w:numPr>
        <w:rPr>
          <w:rFonts w:ascii="Arial" w:cs="Arial" w:eastAsia="Arial" w:hAnsi="Arial"/>
          <w:sz w:val="17"/>
          <w:szCs w:val="17"/>
          <w:color w:val="105EAB"/>
        </w:rPr>
      </w:pPr>
      <w:r>
        <w:rPr>
          <w:rFonts w:ascii="Arial" w:cs="Arial" w:eastAsia="Arial" w:hAnsi="Arial"/>
          <w:sz w:val="18"/>
          <w:szCs w:val="18"/>
          <w:color w:val="auto"/>
        </w:rPr>
        <w:t>December 31, 2018 was selected as the determination date as it enabled us to choose a pay date that aligned across our enterprise.</w:t>
      </w:r>
    </w:p>
    <w:p>
      <w:pPr>
        <w:spacing w:after="0" w:line="103" w:lineRule="exact"/>
        <w:rPr>
          <w:rFonts w:ascii="Arial" w:cs="Arial" w:eastAsia="Arial" w:hAnsi="Arial"/>
          <w:sz w:val="17"/>
          <w:szCs w:val="17"/>
          <w:color w:val="105EAB"/>
        </w:rPr>
      </w:pPr>
    </w:p>
    <w:p>
      <w:pPr>
        <w:ind w:left="420" w:right="360" w:hanging="322"/>
        <w:spacing w:after="0" w:line="239" w:lineRule="auto"/>
        <w:tabs>
          <w:tab w:leader="none" w:pos="420" w:val="left"/>
        </w:tabs>
        <w:numPr>
          <w:ilvl w:val="0"/>
          <w:numId w:val="219"/>
        </w:numPr>
        <w:rPr>
          <w:rFonts w:ascii="Arial" w:cs="Arial" w:eastAsia="Arial" w:hAnsi="Arial"/>
          <w:sz w:val="17"/>
          <w:szCs w:val="17"/>
          <w:color w:val="105EAB"/>
        </w:rPr>
      </w:pPr>
      <w:r>
        <w:rPr>
          <w:rFonts w:ascii="Arial" w:cs="Arial" w:eastAsia="Arial" w:hAnsi="Arial"/>
          <w:sz w:val="18"/>
          <w:szCs w:val="18"/>
          <w:color w:val="auto"/>
        </w:rPr>
        <w:t>Employees in all countries were included and as of December 31, 2018, our U.S. and non-U.S. employee population consisted of 46,656 full-time, part-time, seasonal and temporary employees.</w:t>
      </w:r>
    </w:p>
    <w:p>
      <w:pPr>
        <w:spacing w:after="0" w:line="100" w:lineRule="exact"/>
        <w:rPr>
          <w:rFonts w:ascii="Arial" w:cs="Arial" w:eastAsia="Arial" w:hAnsi="Arial"/>
          <w:sz w:val="17"/>
          <w:szCs w:val="17"/>
          <w:color w:val="105EAB"/>
        </w:rPr>
      </w:pPr>
    </w:p>
    <w:p>
      <w:pPr>
        <w:ind w:left="420" w:hanging="322"/>
        <w:spacing w:after="0"/>
        <w:tabs>
          <w:tab w:leader="none" w:pos="420" w:val="left"/>
        </w:tabs>
        <w:numPr>
          <w:ilvl w:val="0"/>
          <w:numId w:val="219"/>
        </w:numPr>
        <w:rPr>
          <w:rFonts w:ascii="Arial" w:cs="Arial" w:eastAsia="Arial" w:hAnsi="Arial"/>
          <w:sz w:val="17"/>
          <w:szCs w:val="17"/>
          <w:color w:val="105EAB"/>
        </w:rPr>
      </w:pPr>
      <w:r>
        <w:rPr>
          <w:rFonts w:ascii="Arial" w:cs="Arial" w:eastAsia="Arial" w:hAnsi="Arial"/>
          <w:sz w:val="18"/>
          <w:szCs w:val="18"/>
          <w:color w:val="auto"/>
        </w:rPr>
        <w:t>The agent population was excluded since they are not employees of Allstate or its subsidiaries.</w:t>
      </w:r>
    </w:p>
    <w:p>
      <w:pPr>
        <w:spacing w:after="0" w:line="103" w:lineRule="exact"/>
        <w:rPr>
          <w:rFonts w:ascii="Arial" w:cs="Arial" w:eastAsia="Arial" w:hAnsi="Arial"/>
          <w:sz w:val="17"/>
          <w:szCs w:val="17"/>
          <w:color w:val="105EAB"/>
        </w:rPr>
      </w:pPr>
    </w:p>
    <w:p>
      <w:pPr>
        <w:ind w:left="420" w:right="100" w:hanging="322"/>
        <w:spacing w:after="0" w:line="239" w:lineRule="auto"/>
        <w:tabs>
          <w:tab w:leader="none" w:pos="420" w:val="left"/>
        </w:tabs>
        <w:numPr>
          <w:ilvl w:val="0"/>
          <w:numId w:val="219"/>
        </w:numPr>
        <w:rPr>
          <w:rFonts w:ascii="Arial" w:cs="Arial" w:eastAsia="Arial" w:hAnsi="Arial"/>
          <w:sz w:val="17"/>
          <w:szCs w:val="17"/>
          <w:color w:val="105EAB"/>
        </w:rPr>
      </w:pPr>
      <w:r>
        <w:rPr>
          <w:rFonts w:ascii="Arial" w:cs="Arial" w:eastAsia="Arial" w:hAnsi="Arial"/>
          <w:sz w:val="18"/>
          <w:szCs w:val="18"/>
          <w:color w:val="auto"/>
        </w:rPr>
        <w:t>Total cash (base salary plus incentive compensation) was selected as the most appropriate and consistently applied compensation measure to determine the median worker since equity awards are not broadly distributed.</w:t>
      </w:r>
    </w:p>
    <w:p>
      <w:pPr>
        <w:spacing w:after="0" w:line="100" w:lineRule="exact"/>
        <w:rPr>
          <w:rFonts w:ascii="Arial" w:cs="Arial" w:eastAsia="Arial" w:hAnsi="Arial"/>
          <w:sz w:val="17"/>
          <w:szCs w:val="17"/>
          <w:color w:val="105EAB"/>
        </w:rPr>
      </w:pPr>
    </w:p>
    <w:p>
      <w:pPr>
        <w:ind w:left="420" w:hanging="322"/>
        <w:spacing w:after="0"/>
        <w:tabs>
          <w:tab w:leader="none" w:pos="420" w:val="left"/>
        </w:tabs>
        <w:numPr>
          <w:ilvl w:val="0"/>
          <w:numId w:val="219"/>
        </w:numPr>
        <w:rPr>
          <w:rFonts w:ascii="Arial" w:cs="Arial" w:eastAsia="Arial" w:hAnsi="Arial"/>
          <w:sz w:val="17"/>
          <w:szCs w:val="17"/>
          <w:color w:val="105EAB"/>
        </w:rPr>
      </w:pPr>
      <w:r>
        <w:rPr>
          <w:rFonts w:ascii="Arial" w:cs="Arial" w:eastAsia="Arial" w:hAnsi="Arial"/>
          <w:sz w:val="18"/>
          <w:szCs w:val="18"/>
          <w:color w:val="auto"/>
        </w:rPr>
        <w:t>Employee compensation was measured using a twelve-month look-back period ending December 31, 2018.</w:t>
      </w:r>
    </w:p>
    <w:p>
      <w:pPr>
        <w:spacing w:after="0" w:line="103" w:lineRule="exact"/>
        <w:rPr>
          <w:rFonts w:ascii="Arial" w:cs="Arial" w:eastAsia="Arial" w:hAnsi="Arial"/>
          <w:sz w:val="17"/>
          <w:szCs w:val="17"/>
          <w:color w:val="105EAB"/>
        </w:rPr>
      </w:pPr>
    </w:p>
    <w:p>
      <w:pPr>
        <w:ind w:left="420" w:right="100" w:hanging="322"/>
        <w:spacing w:after="0" w:line="239" w:lineRule="auto"/>
        <w:tabs>
          <w:tab w:leader="none" w:pos="420" w:val="left"/>
        </w:tabs>
        <w:numPr>
          <w:ilvl w:val="0"/>
          <w:numId w:val="219"/>
        </w:numPr>
        <w:rPr>
          <w:rFonts w:ascii="Arial" w:cs="Arial" w:eastAsia="Arial" w:hAnsi="Arial"/>
          <w:sz w:val="17"/>
          <w:szCs w:val="17"/>
          <w:color w:val="105EAB"/>
        </w:rPr>
      </w:pPr>
      <w:r>
        <w:rPr>
          <w:rFonts w:ascii="Arial" w:cs="Arial" w:eastAsia="Arial" w:hAnsi="Arial"/>
          <w:sz w:val="18"/>
          <w:szCs w:val="18"/>
          <w:color w:val="auto"/>
        </w:rPr>
        <w:t>Permanent employees hired in 2018 that did not work for the entire period had their compensation adjusted as if they were employed for the entire twelve-month period.</w:t>
      </w:r>
    </w:p>
    <w:p>
      <w:pPr>
        <w:spacing w:after="0" w:line="100" w:lineRule="exact"/>
        <w:rPr>
          <w:rFonts w:ascii="Arial" w:cs="Arial" w:eastAsia="Arial" w:hAnsi="Arial"/>
          <w:sz w:val="17"/>
          <w:szCs w:val="17"/>
          <w:color w:val="105EAB"/>
        </w:rPr>
      </w:pPr>
    </w:p>
    <w:p>
      <w:pPr>
        <w:ind w:left="420" w:hanging="322"/>
        <w:spacing w:after="0"/>
        <w:tabs>
          <w:tab w:leader="none" w:pos="420" w:val="left"/>
        </w:tabs>
        <w:numPr>
          <w:ilvl w:val="0"/>
          <w:numId w:val="219"/>
        </w:numPr>
        <w:rPr>
          <w:rFonts w:ascii="Arial" w:cs="Arial" w:eastAsia="Arial" w:hAnsi="Arial"/>
          <w:sz w:val="17"/>
          <w:szCs w:val="17"/>
          <w:color w:val="105EAB"/>
        </w:rPr>
      </w:pPr>
      <w:r>
        <w:rPr>
          <w:rFonts w:ascii="Arial" w:cs="Arial" w:eastAsia="Arial" w:hAnsi="Arial"/>
          <w:sz w:val="18"/>
          <w:szCs w:val="18"/>
          <w:color w:val="auto"/>
        </w:rPr>
        <w:t>For non-U.S. employees, an annual average was used for each of the exchange rates.</w:t>
      </w:r>
    </w:p>
    <w:p>
      <w:pPr>
        <w:spacing w:after="0" w:line="103" w:lineRule="exact"/>
        <w:rPr>
          <w:rFonts w:ascii="Arial" w:cs="Arial" w:eastAsia="Arial" w:hAnsi="Arial"/>
          <w:sz w:val="17"/>
          <w:szCs w:val="17"/>
          <w:color w:val="105EAB"/>
        </w:rPr>
      </w:pPr>
    </w:p>
    <w:p>
      <w:pPr>
        <w:ind w:left="420" w:right="240" w:hanging="322"/>
        <w:spacing w:after="0" w:line="239" w:lineRule="auto"/>
        <w:tabs>
          <w:tab w:leader="none" w:pos="420" w:val="left"/>
        </w:tabs>
        <w:numPr>
          <w:ilvl w:val="0"/>
          <w:numId w:val="219"/>
        </w:numPr>
        <w:rPr>
          <w:rFonts w:ascii="Arial" w:cs="Arial" w:eastAsia="Arial" w:hAnsi="Arial"/>
          <w:sz w:val="17"/>
          <w:szCs w:val="17"/>
          <w:color w:val="105EAB"/>
        </w:rPr>
      </w:pPr>
      <w:r>
        <w:rPr>
          <w:rFonts w:ascii="Arial" w:cs="Arial" w:eastAsia="Arial" w:hAnsi="Arial"/>
          <w:sz w:val="18"/>
          <w:szCs w:val="18"/>
          <w:color w:val="auto"/>
        </w:rPr>
        <w:t>After identifying the median worker based on total cash compensation, annual total compensation was calculated for that person using the same methodology used for the named executives in the Summary Compensation Table on page 53.</w:t>
      </w:r>
    </w:p>
    <w:p>
      <w:pPr>
        <w:spacing w:after="0" w:line="100" w:lineRule="exact"/>
        <w:rPr>
          <w:rFonts w:ascii="Arial" w:cs="Arial" w:eastAsia="Arial" w:hAnsi="Arial"/>
          <w:sz w:val="17"/>
          <w:szCs w:val="17"/>
          <w:color w:val="105EAB"/>
        </w:rPr>
      </w:pPr>
    </w:p>
    <w:p>
      <w:pPr>
        <w:ind w:left="420" w:right="100" w:hanging="322"/>
        <w:spacing w:after="0" w:line="298" w:lineRule="auto"/>
        <w:tabs>
          <w:tab w:leader="none" w:pos="420" w:val="left"/>
        </w:tabs>
        <w:numPr>
          <w:ilvl w:val="0"/>
          <w:numId w:val="219"/>
        </w:numPr>
        <w:rPr>
          <w:rFonts w:ascii="Arial" w:cs="Arial" w:eastAsia="Arial" w:hAnsi="Arial"/>
          <w:sz w:val="16"/>
          <w:szCs w:val="16"/>
          <w:color w:val="105EAB"/>
        </w:rPr>
      </w:pPr>
      <w:r>
        <w:rPr>
          <w:rFonts w:ascii="Arial" w:cs="Arial" w:eastAsia="Arial" w:hAnsi="Arial"/>
          <w:sz w:val="16"/>
          <w:szCs w:val="16"/>
          <w:color w:val="auto"/>
        </w:rPr>
        <w:t>As noted above, the median employee’s annual total compensation was $72,363. The median employee was a claims adjuster in the United States with total cash compensation of $67,388, a change in pension value of $2,240, and other compensation in the amount of $2,735.</w:t>
      </w:r>
    </w:p>
    <w:p>
      <w:pPr>
        <w:spacing w:after="0" w:line="245" w:lineRule="exact"/>
        <w:rPr>
          <w:sz w:val="20"/>
          <w:szCs w:val="20"/>
          <w:color w:val="auto"/>
        </w:rPr>
      </w:pPr>
    </w:p>
    <w:p>
      <w:pPr>
        <w:ind w:right="300"/>
        <w:spacing w:after="0" w:line="237" w:lineRule="auto"/>
        <w:rPr>
          <w:sz w:val="20"/>
          <w:szCs w:val="20"/>
          <w:color w:val="auto"/>
        </w:rPr>
      </w:pPr>
      <w:r>
        <w:rPr>
          <w:rFonts w:ascii="Arial" w:cs="Arial" w:eastAsia="Arial" w:hAnsi="Arial"/>
          <w:sz w:val="18"/>
          <w:szCs w:val="18"/>
          <w:color w:val="auto"/>
        </w:rPr>
        <w:t>The SEC rules for identifying the median of our employees and calculating the pay ratio allow companies to use a variety of methodologies, to apply certain exclusions, and to make reasonable estimates and assumptions that reflect a company’s employee population and compensation practices. For that reason, the pay ratio reported by other companies may not be comparable to the pay ratio reported above. Neither the committee nor management of the company used the pay ratio measure in making compensation decisions.</w:t>
      </w:r>
    </w:p>
    <w:p>
      <w:pPr>
        <w:spacing w:after="0" w:line="204" w:lineRule="exact"/>
        <w:rPr>
          <w:sz w:val="20"/>
          <w:szCs w:val="20"/>
          <w:color w:val="auto"/>
        </w:rPr>
      </w:pPr>
    </w:p>
    <w:p>
      <w:pPr>
        <w:ind w:left="460" w:hanging="452"/>
        <w:spacing w:after="0"/>
        <w:tabs>
          <w:tab w:leader="none" w:pos="460" w:val="left"/>
        </w:tabs>
        <w:numPr>
          <w:ilvl w:val="0"/>
          <w:numId w:val="220"/>
        </w:numPr>
        <w:rPr>
          <w:rFonts w:ascii="Arial" w:cs="Arial" w:eastAsia="Arial" w:hAnsi="Arial"/>
          <w:sz w:val="13"/>
          <w:szCs w:val="13"/>
          <w:b w:val="1"/>
          <w:bCs w:val="1"/>
          <w:color w:val="105EAB"/>
        </w:rPr>
      </w:pPr>
      <w:r>
        <w:rPr>
          <w:rFonts w:ascii="Arial" w:cs="Arial" w:eastAsia="Arial" w:hAnsi="Arial"/>
          <w:sz w:val="13"/>
          <w:szCs w:val="13"/>
          <w:color w:val="105EAB"/>
        </w:rPr>
        <w:t>www.allstateproxy.com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134620</wp:posOffset>
            </wp:positionV>
            <wp:extent cx="7268210" cy="209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169" w:lineRule="exact"/>
        <w:rPr>
          <w:sz w:val="20"/>
          <w:szCs w:val="20"/>
          <w:color w:val="auto"/>
        </w:rPr>
      </w:pPr>
    </w:p>
    <w:p>
      <w:pPr>
        <w:spacing w:after="0"/>
        <w:rPr>
          <w:sz w:val="20"/>
          <w:szCs w:val="20"/>
          <w:color w:val="auto"/>
        </w:rPr>
      </w:pPr>
      <w:r>
        <w:rPr>
          <w:rFonts w:ascii="Arial" w:cs="Arial" w:eastAsia="Arial" w:hAnsi="Arial"/>
          <w:sz w:val="50"/>
          <w:szCs w:val="50"/>
          <w:b w:val="1"/>
          <w:bCs w:val="1"/>
          <w:color w:val="105EAB"/>
        </w:rPr>
        <w:t>Equity Incentive Plan</w:t>
      </w:r>
    </w:p>
    <w:p>
      <w:pPr>
        <w:ind w:left="120"/>
        <w:spacing w:after="0" w:line="182" w:lineRule="auto"/>
        <w:rPr>
          <w:sz w:val="20"/>
          <w:szCs w:val="20"/>
          <w:color w:val="auto"/>
        </w:rPr>
      </w:pPr>
      <w:r>
        <w:rPr>
          <w:rFonts w:ascii="Arial" w:cs="Arial" w:eastAsia="Arial" w:hAnsi="Arial"/>
          <w:sz w:val="13"/>
          <w:szCs w:val="13"/>
          <w:color w:val="39B6E9"/>
        </w:rPr>
        <w:t xml:space="preserve">PROPOSAL  </w:t>
      </w:r>
      <w:r>
        <w:rPr>
          <w:rFonts w:ascii="Arial" w:cs="Arial" w:eastAsia="Arial" w:hAnsi="Arial"/>
          <w:sz w:val="53"/>
          <w:szCs w:val="53"/>
          <w:b w:val="1"/>
          <w:bCs w:val="1"/>
          <w:color w:val="39B6E9"/>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5071110" cy="3943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5071110" cy="394335"/>
                    </a:xfrm>
                    <a:prstGeom prst="rect">
                      <a:avLst/>
                    </a:prstGeom>
                    <a:noFill/>
                  </pic:spPr>
                </pic:pic>
              </a:graphicData>
            </a:graphic>
          </wp:anchor>
        </w:drawing>
      </w:r>
    </w:p>
    <w:p>
      <w:pPr>
        <w:ind w:left="1760"/>
        <w:spacing w:after="0"/>
        <w:rPr>
          <w:sz w:val="20"/>
          <w:szCs w:val="20"/>
          <w:color w:val="auto"/>
        </w:rPr>
      </w:pPr>
      <w:r>
        <w:rPr>
          <w:rFonts w:ascii="Arial" w:cs="Arial" w:eastAsia="Arial" w:hAnsi="Arial"/>
          <w:sz w:val="22"/>
          <w:szCs w:val="22"/>
          <w:b w:val="1"/>
          <w:bCs w:val="1"/>
          <w:color w:val="39B6E9"/>
        </w:rPr>
        <w:t>Approval of the 2019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51065" cy="3810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51065" cy="381000"/>
                    </a:xfrm>
                    <a:prstGeom prst="rect">
                      <a:avLst/>
                    </a:prstGeom>
                    <a:noFill/>
                  </pic:spPr>
                </pic:pic>
              </a:graphicData>
            </a:graphic>
          </wp:anchor>
        </w:drawing>
      </w:r>
    </w:p>
    <w:p>
      <w:pPr>
        <w:spacing w:after="0" w:line="352"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105EAB"/>
        </w:rPr>
        <w:t xml:space="preserve">The Board recommends a vote </w:t>
      </w:r>
      <w:r>
        <w:rPr>
          <w:rFonts w:ascii="Arial" w:cs="Arial" w:eastAsia="Arial" w:hAnsi="Arial"/>
          <w:sz w:val="20"/>
          <w:szCs w:val="20"/>
          <w:b w:val="1"/>
          <w:bCs w:val="1"/>
          <w:color w:val="5CA34F"/>
        </w:rPr>
        <w:t>FOR</w:t>
      </w:r>
      <w:r>
        <w:rPr>
          <w:rFonts w:ascii="Arial" w:cs="Arial" w:eastAsia="Arial" w:hAnsi="Arial"/>
          <w:sz w:val="20"/>
          <w:szCs w:val="20"/>
          <w:b w:val="1"/>
          <w:bCs w:val="1"/>
          <w:color w:val="105EAB"/>
        </w:rPr>
        <w:t xml:space="preserve"> the approval of the 2019 Equity Incentive Plan. </w:t>
      </w:r>
      <w:r>
        <w:rPr>
          <w:sz w:val="1"/>
          <w:szCs w:val="1"/>
          <w:color w:val="auto"/>
        </w:rPr>
        <w:drawing>
          <wp:inline distT="0" distB="0" distL="0" distR="0">
            <wp:extent cx="205740" cy="213995"/>
            <wp:effectExtent l="0" t="0" r="0" b="0"/>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205740" cy="213995"/>
                    </a:xfrm>
                    <a:prstGeom prst="rect">
                      <a:avLst/>
                    </a:prstGeom>
                    <a:noFill/>
                    <a:ln>
                      <a:noFill/>
                    </a:ln>
                  </pic:spPr>
                </pic:pic>
              </a:graphicData>
            </a:graphic>
          </wp:inline>
        </w:drawing>
      </w:r>
    </w:p>
    <w:p>
      <w:pPr>
        <w:spacing w:after="0" w:line="354"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color w:val="auto"/>
        </w:rPr>
        <w:t>We are asking stockholders to approve The Allstate Corporation 2019 Equity Incentive Plan (the “Plan”), which amends and restates the 2013 Equity Incentive Plan to increase the number of shares available for grant under the Plan by 13.4 million and make certain other changes described in this Proposal. On the recommendation of the compensation and succession committee (the “committee” as referenced throughout Proposal 3), the Board approved the Plan and recommends approval by stockholders. The Plan is an important part of the pay-for-performance compensation program and the increase in the authorized number of shares available for grant by 13.4 million permits the Company to continue the program. The Board considers equity compensation to be a significant component of total compensation for Allstate’s officers and other employees, and believes that a combination of short and long-term incentives is essential to maintain a competitive compensation program and to attract, reward and retain top talent.</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39B6E9"/>
        </w:rPr>
        <w:t>HIGHLIGHTS OF THE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350329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46620" cy="3503295"/>
                    </a:xfrm>
                    <a:prstGeom prst="rect">
                      <a:avLst/>
                    </a:prstGeom>
                    <a:noFill/>
                  </pic:spPr>
                </pic:pic>
              </a:graphicData>
            </a:graphic>
          </wp:anchor>
        </w:drawing>
      </w:r>
    </w:p>
    <w:p>
      <w:pPr>
        <w:spacing w:after="0" w:line="139" w:lineRule="exact"/>
        <w:rPr>
          <w:sz w:val="20"/>
          <w:szCs w:val="20"/>
          <w:color w:val="auto"/>
        </w:rPr>
      </w:pPr>
    </w:p>
    <w:p>
      <w:pPr>
        <w:ind w:left="300" w:hanging="292"/>
        <w:spacing w:after="0"/>
        <w:tabs>
          <w:tab w:leader="none" w:pos="300" w:val="left"/>
        </w:tabs>
        <w:numPr>
          <w:ilvl w:val="0"/>
          <w:numId w:val="221"/>
        </w:numPr>
        <w:rPr>
          <w:rFonts w:ascii="MS PGothic" w:cs="MS PGothic" w:eastAsia="MS PGothic" w:hAnsi="MS PGothic"/>
          <w:sz w:val="17"/>
          <w:szCs w:val="17"/>
          <w:color w:val="auto"/>
          <w:shd w:val="clear" w:color="auto" w:fill="5CA34F"/>
        </w:rPr>
      </w:pPr>
      <w:r>
        <w:rPr>
          <w:rFonts w:ascii="Arial" w:cs="Arial" w:eastAsia="Arial" w:hAnsi="Arial"/>
          <w:sz w:val="18"/>
          <w:szCs w:val="18"/>
          <w:b w:val="1"/>
          <w:bCs w:val="1"/>
          <w:i w:val="1"/>
          <w:iCs w:val="1"/>
          <w:color w:val="105EAB"/>
        </w:rPr>
        <w:t xml:space="preserve">Minimum vesting provisions. </w:t>
      </w:r>
      <w:r>
        <w:rPr>
          <w:rFonts w:ascii="Arial" w:cs="Arial" w:eastAsia="Arial" w:hAnsi="Arial"/>
          <w:sz w:val="18"/>
          <w:szCs w:val="18"/>
          <w:color w:val="000000"/>
        </w:rPr>
        <w:t>Awards made under the Plan have a one-year minimum vesting provision.</w:t>
      </w:r>
    </w:p>
    <w:p>
      <w:pPr>
        <w:spacing w:after="0" w:line="28" w:lineRule="exact"/>
        <w:rPr>
          <w:rFonts w:ascii="MS PGothic" w:cs="MS PGothic" w:eastAsia="MS PGothic" w:hAnsi="MS PGothic"/>
          <w:sz w:val="17"/>
          <w:szCs w:val="17"/>
          <w:color w:val="auto"/>
          <w:shd w:val="clear" w:color="auto" w:fill="5CA34F"/>
        </w:rPr>
      </w:pPr>
    </w:p>
    <w:p>
      <w:pPr>
        <w:ind w:left="300" w:right="300" w:hanging="292"/>
        <w:spacing w:after="0" w:line="234" w:lineRule="auto"/>
        <w:tabs>
          <w:tab w:leader="none" w:pos="300" w:val="left"/>
        </w:tabs>
        <w:numPr>
          <w:ilvl w:val="0"/>
          <w:numId w:val="221"/>
        </w:numPr>
        <w:rPr>
          <w:rFonts w:ascii="MS PGothic" w:cs="MS PGothic" w:eastAsia="MS PGothic" w:hAnsi="MS PGothic"/>
          <w:sz w:val="17"/>
          <w:szCs w:val="17"/>
          <w:color w:val="auto"/>
          <w:shd w:val="clear" w:color="auto" w:fill="5CA34F"/>
        </w:rPr>
      </w:pPr>
      <w:r>
        <w:rPr>
          <w:rFonts w:ascii="Arial" w:cs="Arial" w:eastAsia="Arial" w:hAnsi="Arial"/>
          <w:sz w:val="18"/>
          <w:szCs w:val="18"/>
          <w:b w:val="1"/>
          <w:bCs w:val="1"/>
          <w:i w:val="1"/>
          <w:iCs w:val="1"/>
          <w:color w:val="105EAB"/>
        </w:rPr>
        <w:t xml:space="preserve">No discounted awards. </w:t>
      </w:r>
      <w:r>
        <w:rPr>
          <w:rFonts w:ascii="Arial" w:cs="Arial" w:eastAsia="Arial" w:hAnsi="Arial"/>
          <w:sz w:val="18"/>
          <w:szCs w:val="18"/>
          <w:color w:val="000000"/>
        </w:rPr>
        <w:t>Awards that have an exercise price or base value cannot be granted with an exercise price or base value less than</w:t>
      </w:r>
      <w:r>
        <w:rPr>
          <w:rFonts w:ascii="Arial" w:cs="Arial" w:eastAsia="Arial" w:hAnsi="Arial"/>
          <w:sz w:val="18"/>
          <w:szCs w:val="18"/>
          <w:b w:val="1"/>
          <w:bCs w:val="1"/>
          <w:i w:val="1"/>
          <w:iCs w:val="1"/>
          <w:color w:val="105EAB"/>
        </w:rPr>
        <w:t xml:space="preserve"> </w:t>
      </w:r>
      <w:r>
        <w:rPr>
          <w:rFonts w:ascii="Arial" w:cs="Arial" w:eastAsia="Arial" w:hAnsi="Arial"/>
          <w:sz w:val="18"/>
          <w:szCs w:val="18"/>
          <w:color w:val="000000"/>
        </w:rPr>
        <w:t>the fair market value on the grant date.</w:t>
      </w:r>
    </w:p>
    <w:p>
      <w:pPr>
        <w:spacing w:after="0" w:line="1" w:lineRule="exact"/>
        <w:rPr>
          <w:rFonts w:ascii="MS PGothic" w:cs="MS PGothic" w:eastAsia="MS PGothic" w:hAnsi="MS PGothic"/>
          <w:sz w:val="17"/>
          <w:szCs w:val="17"/>
          <w:color w:val="auto"/>
          <w:shd w:val="clear" w:color="auto" w:fill="5CA34F"/>
        </w:rPr>
      </w:pPr>
    </w:p>
    <w:p>
      <w:pPr>
        <w:ind w:left="300" w:right="200" w:hanging="292"/>
        <w:spacing w:after="0" w:line="234" w:lineRule="auto"/>
        <w:tabs>
          <w:tab w:leader="none" w:pos="300" w:val="left"/>
        </w:tabs>
        <w:numPr>
          <w:ilvl w:val="0"/>
          <w:numId w:val="221"/>
        </w:numPr>
        <w:rPr>
          <w:rFonts w:ascii="MS PGothic" w:cs="MS PGothic" w:eastAsia="MS PGothic" w:hAnsi="MS PGothic"/>
          <w:sz w:val="17"/>
          <w:szCs w:val="17"/>
          <w:color w:val="auto"/>
          <w:shd w:val="clear" w:color="auto" w:fill="5CA34F"/>
        </w:rPr>
      </w:pPr>
      <w:r>
        <w:rPr>
          <w:rFonts w:ascii="Arial" w:cs="Arial" w:eastAsia="Arial" w:hAnsi="Arial"/>
          <w:sz w:val="18"/>
          <w:szCs w:val="18"/>
          <w:b w:val="1"/>
          <w:bCs w:val="1"/>
          <w:i w:val="1"/>
          <w:iCs w:val="1"/>
          <w:color w:val="105EAB"/>
        </w:rPr>
        <w:t xml:space="preserve">No evergreen provision. </w:t>
      </w:r>
      <w:r>
        <w:rPr>
          <w:rFonts w:ascii="Arial" w:cs="Arial" w:eastAsia="Arial" w:hAnsi="Arial"/>
          <w:sz w:val="18"/>
          <w:szCs w:val="18"/>
          <w:color w:val="000000"/>
        </w:rPr>
        <w:t>There is no evergreen feature under which the shares authorized for issuance under the Plan can be automatically</w:t>
      </w:r>
      <w:r>
        <w:rPr>
          <w:rFonts w:ascii="Arial" w:cs="Arial" w:eastAsia="Arial" w:hAnsi="Arial"/>
          <w:sz w:val="18"/>
          <w:szCs w:val="18"/>
          <w:b w:val="1"/>
          <w:bCs w:val="1"/>
          <w:i w:val="1"/>
          <w:iCs w:val="1"/>
          <w:color w:val="105EAB"/>
        </w:rPr>
        <w:t xml:space="preserve"> </w:t>
      </w:r>
      <w:r>
        <w:rPr>
          <w:rFonts w:ascii="Arial" w:cs="Arial" w:eastAsia="Arial" w:hAnsi="Arial"/>
          <w:sz w:val="18"/>
          <w:szCs w:val="18"/>
          <w:color w:val="000000"/>
        </w:rPr>
        <w:t>replenished.</w:t>
      </w:r>
    </w:p>
    <w:p>
      <w:pPr>
        <w:spacing w:after="0" w:line="1" w:lineRule="exact"/>
        <w:rPr>
          <w:rFonts w:ascii="MS PGothic" w:cs="MS PGothic" w:eastAsia="MS PGothic" w:hAnsi="MS PGothic"/>
          <w:sz w:val="17"/>
          <w:szCs w:val="17"/>
          <w:color w:val="auto"/>
          <w:shd w:val="clear" w:color="auto" w:fill="5CA34F"/>
        </w:rPr>
      </w:pPr>
    </w:p>
    <w:p>
      <w:pPr>
        <w:ind w:left="300" w:right="220" w:hanging="292"/>
        <w:spacing w:after="0" w:line="234" w:lineRule="auto"/>
        <w:tabs>
          <w:tab w:leader="none" w:pos="300" w:val="left"/>
        </w:tabs>
        <w:numPr>
          <w:ilvl w:val="0"/>
          <w:numId w:val="221"/>
        </w:numPr>
        <w:rPr>
          <w:rFonts w:ascii="MS PGothic" w:cs="MS PGothic" w:eastAsia="MS PGothic" w:hAnsi="MS PGothic"/>
          <w:sz w:val="17"/>
          <w:szCs w:val="17"/>
          <w:color w:val="auto"/>
          <w:shd w:val="clear" w:color="auto" w:fill="5CA34F"/>
        </w:rPr>
      </w:pPr>
      <w:r>
        <w:rPr>
          <w:rFonts w:ascii="Arial" w:cs="Arial" w:eastAsia="Arial" w:hAnsi="Arial"/>
          <w:sz w:val="18"/>
          <w:szCs w:val="18"/>
          <w:b w:val="1"/>
          <w:bCs w:val="1"/>
          <w:i w:val="1"/>
          <w:iCs w:val="1"/>
          <w:color w:val="105EAB"/>
        </w:rPr>
        <w:t xml:space="preserve">No repricing or exchange of stock options or stock appreciation rights. </w:t>
      </w:r>
      <w:r>
        <w:rPr>
          <w:rFonts w:ascii="Arial" w:cs="Arial" w:eastAsia="Arial" w:hAnsi="Arial"/>
          <w:sz w:val="18"/>
          <w:szCs w:val="18"/>
          <w:color w:val="000000"/>
        </w:rPr>
        <w:t>The Plan does not permit repricing of options or stock</w:t>
      </w:r>
      <w:r>
        <w:rPr>
          <w:rFonts w:ascii="Arial" w:cs="Arial" w:eastAsia="Arial" w:hAnsi="Arial"/>
          <w:sz w:val="18"/>
          <w:szCs w:val="18"/>
          <w:b w:val="1"/>
          <w:bCs w:val="1"/>
          <w:i w:val="1"/>
          <w:iCs w:val="1"/>
          <w:color w:val="105EAB"/>
        </w:rPr>
        <w:t xml:space="preserve"> </w:t>
      </w:r>
      <w:r>
        <w:rPr>
          <w:rFonts w:ascii="Arial" w:cs="Arial" w:eastAsia="Arial" w:hAnsi="Arial"/>
          <w:sz w:val="18"/>
          <w:szCs w:val="18"/>
          <w:color w:val="000000"/>
        </w:rPr>
        <w:t>appreciation rights (“SARs”) or the exchange of underwater options or SARs for cash or other awards without stockholder approval, except in certain corporate transactions or a change in control.</w:t>
      </w:r>
    </w:p>
    <w:p>
      <w:pPr>
        <w:spacing w:after="0" w:line="1" w:lineRule="exact"/>
        <w:rPr>
          <w:rFonts w:ascii="MS PGothic" w:cs="MS PGothic" w:eastAsia="MS PGothic" w:hAnsi="MS PGothic"/>
          <w:sz w:val="17"/>
          <w:szCs w:val="17"/>
          <w:color w:val="auto"/>
          <w:shd w:val="clear" w:color="auto" w:fill="5CA34F"/>
        </w:rPr>
      </w:pPr>
    </w:p>
    <w:p>
      <w:pPr>
        <w:ind w:left="300" w:right="360" w:hanging="292"/>
        <w:spacing w:after="0" w:line="234" w:lineRule="auto"/>
        <w:tabs>
          <w:tab w:leader="none" w:pos="300" w:val="left"/>
        </w:tabs>
        <w:numPr>
          <w:ilvl w:val="0"/>
          <w:numId w:val="221"/>
        </w:numPr>
        <w:rPr>
          <w:rFonts w:ascii="MS PGothic" w:cs="MS PGothic" w:eastAsia="MS PGothic" w:hAnsi="MS PGothic"/>
          <w:sz w:val="17"/>
          <w:szCs w:val="17"/>
          <w:color w:val="auto"/>
          <w:shd w:val="clear" w:color="auto" w:fill="5CA34F"/>
        </w:rPr>
      </w:pPr>
      <w:r>
        <w:rPr>
          <w:rFonts w:ascii="Arial" w:cs="Arial" w:eastAsia="Arial" w:hAnsi="Arial"/>
          <w:sz w:val="18"/>
          <w:szCs w:val="18"/>
          <w:b w:val="1"/>
          <w:bCs w:val="1"/>
          <w:i w:val="1"/>
          <w:iCs w:val="1"/>
          <w:color w:val="105EAB"/>
        </w:rPr>
        <w:t xml:space="preserve">Double-trigger vesting. </w:t>
      </w:r>
      <w:r>
        <w:rPr>
          <w:rFonts w:ascii="Arial" w:cs="Arial" w:eastAsia="Arial" w:hAnsi="Arial"/>
          <w:sz w:val="18"/>
          <w:szCs w:val="18"/>
          <w:color w:val="000000"/>
        </w:rPr>
        <w:t>A change in control of the Company does not, by itself, trigger vesting of awards under the Plan. Any continued,</w:t>
      </w:r>
      <w:r>
        <w:rPr>
          <w:rFonts w:ascii="Arial" w:cs="Arial" w:eastAsia="Arial" w:hAnsi="Arial"/>
          <w:sz w:val="18"/>
          <w:szCs w:val="18"/>
          <w:b w:val="1"/>
          <w:bCs w:val="1"/>
          <w:i w:val="1"/>
          <w:iCs w:val="1"/>
          <w:color w:val="105EAB"/>
        </w:rPr>
        <w:t xml:space="preserve"> </w:t>
      </w:r>
      <w:r>
        <w:rPr>
          <w:rFonts w:ascii="Arial" w:cs="Arial" w:eastAsia="Arial" w:hAnsi="Arial"/>
          <w:sz w:val="18"/>
          <w:szCs w:val="18"/>
          <w:color w:val="000000"/>
        </w:rPr>
        <w:t>assumed, or substituted awards will retain vesting and other terms, except that vesting may occur if employment is terminated by Allstate other than for cause, death or disability or if a participant in the Change in Control Severance Plan (“CIC Plan”) terminates for good reason, during the two years following the change in control (the occurrence of the “double trigger”).</w:t>
      </w:r>
    </w:p>
    <w:p>
      <w:pPr>
        <w:spacing w:after="0" w:line="2" w:lineRule="exact"/>
        <w:rPr>
          <w:rFonts w:ascii="MS PGothic" w:cs="MS PGothic" w:eastAsia="MS PGothic" w:hAnsi="MS PGothic"/>
          <w:sz w:val="17"/>
          <w:szCs w:val="17"/>
          <w:color w:val="auto"/>
          <w:shd w:val="clear" w:color="auto" w:fill="5CA34F"/>
        </w:rPr>
      </w:pPr>
    </w:p>
    <w:p>
      <w:pPr>
        <w:ind w:left="300" w:right="180" w:hanging="292"/>
        <w:spacing w:after="0" w:line="234" w:lineRule="auto"/>
        <w:tabs>
          <w:tab w:leader="none" w:pos="300" w:val="left"/>
        </w:tabs>
        <w:numPr>
          <w:ilvl w:val="0"/>
          <w:numId w:val="221"/>
        </w:numPr>
        <w:rPr>
          <w:rFonts w:ascii="MS PGothic" w:cs="MS PGothic" w:eastAsia="MS PGothic" w:hAnsi="MS PGothic"/>
          <w:sz w:val="17"/>
          <w:szCs w:val="17"/>
          <w:color w:val="auto"/>
          <w:shd w:val="clear" w:color="auto" w:fill="5CA34F"/>
        </w:rPr>
      </w:pPr>
      <w:r>
        <w:rPr>
          <w:rFonts w:ascii="Arial" w:cs="Arial" w:eastAsia="Arial" w:hAnsi="Arial"/>
          <w:sz w:val="18"/>
          <w:szCs w:val="18"/>
          <w:b w:val="1"/>
          <w:bCs w:val="1"/>
          <w:i w:val="1"/>
          <w:iCs w:val="1"/>
          <w:color w:val="105EAB"/>
        </w:rPr>
        <w:t xml:space="preserve">No liberal share recycling. </w:t>
      </w:r>
      <w:r>
        <w:rPr>
          <w:rFonts w:ascii="Arial" w:cs="Arial" w:eastAsia="Arial" w:hAnsi="Arial"/>
          <w:sz w:val="18"/>
          <w:szCs w:val="18"/>
          <w:color w:val="000000"/>
        </w:rPr>
        <w:t>The Plan contains responsible share recycling provisions. Any shares surrendered or withheld to satisfy tax</w:t>
      </w:r>
      <w:r>
        <w:rPr>
          <w:rFonts w:ascii="Arial" w:cs="Arial" w:eastAsia="Arial" w:hAnsi="Arial"/>
          <w:sz w:val="18"/>
          <w:szCs w:val="18"/>
          <w:b w:val="1"/>
          <w:bCs w:val="1"/>
          <w:i w:val="1"/>
          <w:iCs w:val="1"/>
          <w:color w:val="105EAB"/>
        </w:rPr>
        <w:t xml:space="preserve"> </w:t>
      </w:r>
      <w:r>
        <w:rPr>
          <w:rFonts w:ascii="Arial" w:cs="Arial" w:eastAsia="Arial" w:hAnsi="Arial"/>
          <w:sz w:val="18"/>
          <w:szCs w:val="18"/>
          <w:color w:val="000000"/>
        </w:rPr>
        <w:t>withholding on awards or to pay the exercise price of any option will not be added back (recycled) to the Plan. The Plan also provides that the gross number of SARs exercised or settled, and not just the net shares issued, will count against the aggregate limit that may be issued under the Plan.</w:t>
      </w:r>
    </w:p>
    <w:p>
      <w:pPr>
        <w:spacing w:after="0" w:line="2" w:lineRule="exact"/>
        <w:rPr>
          <w:rFonts w:ascii="MS PGothic" w:cs="MS PGothic" w:eastAsia="MS PGothic" w:hAnsi="MS PGothic"/>
          <w:sz w:val="17"/>
          <w:szCs w:val="17"/>
          <w:color w:val="auto"/>
          <w:shd w:val="clear" w:color="auto" w:fill="5CA34F"/>
        </w:rPr>
      </w:pPr>
    </w:p>
    <w:p>
      <w:pPr>
        <w:ind w:left="300" w:right="600" w:hanging="292"/>
        <w:spacing w:after="0" w:line="234" w:lineRule="auto"/>
        <w:tabs>
          <w:tab w:leader="none" w:pos="300" w:val="left"/>
        </w:tabs>
        <w:numPr>
          <w:ilvl w:val="0"/>
          <w:numId w:val="221"/>
        </w:numPr>
        <w:rPr>
          <w:rFonts w:ascii="MS PGothic" w:cs="MS PGothic" w:eastAsia="MS PGothic" w:hAnsi="MS PGothic"/>
          <w:sz w:val="17"/>
          <w:szCs w:val="17"/>
          <w:color w:val="auto"/>
          <w:shd w:val="clear" w:color="auto" w:fill="5CA34F"/>
        </w:rPr>
      </w:pPr>
      <w:r>
        <w:rPr>
          <w:rFonts w:ascii="Arial" w:cs="Arial" w:eastAsia="Arial" w:hAnsi="Arial"/>
          <w:sz w:val="18"/>
          <w:szCs w:val="18"/>
          <w:b w:val="1"/>
          <w:bCs w:val="1"/>
          <w:i w:val="1"/>
          <w:iCs w:val="1"/>
          <w:color w:val="105EAB"/>
        </w:rPr>
        <w:t xml:space="preserve">Dividend payouts. </w:t>
      </w:r>
      <w:r>
        <w:rPr>
          <w:rFonts w:ascii="Arial" w:cs="Arial" w:eastAsia="Arial" w:hAnsi="Arial"/>
          <w:sz w:val="18"/>
          <w:szCs w:val="18"/>
          <w:color w:val="000000"/>
        </w:rPr>
        <w:t>No dividends or dividend equivalents on unvested awards will be paid until those awards are earned and vested. No</w:t>
      </w:r>
      <w:r>
        <w:rPr>
          <w:rFonts w:ascii="Arial" w:cs="Arial" w:eastAsia="Arial" w:hAnsi="Arial"/>
          <w:sz w:val="18"/>
          <w:szCs w:val="18"/>
          <w:b w:val="1"/>
          <w:bCs w:val="1"/>
          <w:i w:val="1"/>
          <w:iCs w:val="1"/>
          <w:color w:val="105EAB"/>
        </w:rPr>
        <w:t xml:space="preserve"> </w:t>
      </w:r>
      <w:r>
        <w:rPr>
          <w:rFonts w:ascii="Arial" w:cs="Arial" w:eastAsia="Arial" w:hAnsi="Arial"/>
          <w:sz w:val="18"/>
          <w:szCs w:val="18"/>
          <w:color w:val="000000"/>
        </w:rPr>
        <w:t>dividend equivalents will be paid with respect to stock options or SARs.</w:t>
      </w:r>
    </w:p>
    <w:p>
      <w:pPr>
        <w:spacing w:after="0" w:line="1" w:lineRule="exact"/>
        <w:rPr>
          <w:rFonts w:ascii="MS PGothic" w:cs="MS PGothic" w:eastAsia="MS PGothic" w:hAnsi="MS PGothic"/>
          <w:sz w:val="17"/>
          <w:szCs w:val="17"/>
          <w:color w:val="auto"/>
          <w:shd w:val="clear" w:color="auto" w:fill="5CA34F"/>
        </w:rPr>
      </w:pPr>
    </w:p>
    <w:p>
      <w:pPr>
        <w:ind w:left="300" w:right="600" w:hanging="292"/>
        <w:spacing w:after="0" w:line="263" w:lineRule="auto"/>
        <w:tabs>
          <w:tab w:leader="none" w:pos="300" w:val="left"/>
        </w:tabs>
        <w:numPr>
          <w:ilvl w:val="0"/>
          <w:numId w:val="221"/>
        </w:numPr>
        <w:rPr>
          <w:rFonts w:ascii="MS PGothic" w:cs="MS PGothic" w:eastAsia="MS PGothic" w:hAnsi="MS PGothic"/>
          <w:sz w:val="16"/>
          <w:szCs w:val="16"/>
          <w:color w:val="auto"/>
          <w:shd w:val="clear" w:color="auto" w:fill="5CA34F"/>
        </w:rPr>
      </w:pPr>
      <w:r>
        <w:rPr>
          <w:rFonts w:ascii="Arial" w:cs="Arial" w:eastAsia="Arial" w:hAnsi="Arial"/>
          <w:sz w:val="16"/>
          <w:szCs w:val="16"/>
          <w:b w:val="1"/>
          <w:bCs w:val="1"/>
          <w:i w:val="1"/>
          <w:iCs w:val="1"/>
          <w:color w:val="105EAB"/>
        </w:rPr>
        <w:t xml:space="preserve">Material amendments that require stockholder approval. </w:t>
      </w:r>
      <w:r>
        <w:rPr>
          <w:rFonts w:ascii="Arial" w:cs="Arial" w:eastAsia="Arial" w:hAnsi="Arial"/>
          <w:sz w:val="16"/>
          <w:szCs w:val="16"/>
          <w:color w:val="000000"/>
        </w:rPr>
        <w:t>Material changes, including increasing the number of shares authorized for</w:t>
      </w:r>
      <w:r>
        <w:rPr>
          <w:rFonts w:ascii="Arial" w:cs="Arial" w:eastAsia="Arial" w:hAnsi="Arial"/>
          <w:sz w:val="16"/>
          <w:szCs w:val="16"/>
          <w:b w:val="1"/>
          <w:bCs w:val="1"/>
          <w:i w:val="1"/>
          <w:iCs w:val="1"/>
          <w:color w:val="105EAB"/>
        </w:rPr>
        <w:t xml:space="preserve"> </w:t>
      </w:r>
      <w:r>
        <w:rPr>
          <w:rFonts w:ascii="Arial" w:cs="Arial" w:eastAsia="Arial" w:hAnsi="Arial"/>
          <w:sz w:val="16"/>
          <w:szCs w:val="16"/>
          <w:color w:val="000000"/>
        </w:rPr>
        <w:t>issuance, materially modifying participation requirements, and changing the restrictions on repricing, require stockholder approval.</w:t>
      </w:r>
    </w:p>
    <w:p>
      <w:pPr>
        <w:spacing w:after="0" w:line="1" w:lineRule="exact"/>
        <w:rPr>
          <w:rFonts w:ascii="MS PGothic" w:cs="MS PGothic" w:eastAsia="MS PGothic" w:hAnsi="MS PGothic"/>
          <w:sz w:val="16"/>
          <w:szCs w:val="16"/>
          <w:color w:val="auto"/>
          <w:shd w:val="clear" w:color="auto" w:fill="5CA34F"/>
        </w:rPr>
      </w:pPr>
    </w:p>
    <w:p>
      <w:pPr>
        <w:ind w:left="300" w:right="820" w:hanging="292"/>
        <w:spacing w:after="0" w:line="234" w:lineRule="auto"/>
        <w:tabs>
          <w:tab w:leader="none" w:pos="300" w:val="left"/>
        </w:tabs>
        <w:numPr>
          <w:ilvl w:val="0"/>
          <w:numId w:val="221"/>
        </w:numPr>
        <w:rPr>
          <w:rFonts w:ascii="MS PGothic" w:cs="MS PGothic" w:eastAsia="MS PGothic" w:hAnsi="MS PGothic"/>
          <w:sz w:val="17"/>
          <w:szCs w:val="17"/>
          <w:color w:val="auto"/>
          <w:shd w:val="clear" w:color="auto" w:fill="5CA34F"/>
        </w:rPr>
      </w:pPr>
      <w:r>
        <w:rPr>
          <w:rFonts w:ascii="Arial" w:cs="Arial" w:eastAsia="Arial" w:hAnsi="Arial"/>
          <w:sz w:val="18"/>
          <w:szCs w:val="18"/>
          <w:b w:val="1"/>
          <w:bCs w:val="1"/>
          <w:i w:val="1"/>
          <w:iCs w:val="1"/>
          <w:color w:val="105EAB"/>
        </w:rPr>
        <w:t xml:space="preserve">Administered by an independent committee. </w:t>
      </w:r>
      <w:r>
        <w:rPr>
          <w:rFonts w:ascii="Arial" w:cs="Arial" w:eastAsia="Arial" w:hAnsi="Arial"/>
          <w:sz w:val="18"/>
          <w:szCs w:val="18"/>
          <w:color w:val="000000"/>
        </w:rPr>
        <w:t>The Plan is administered by an independent committee, and is benchmarked against</w:t>
      </w:r>
      <w:r>
        <w:rPr>
          <w:rFonts w:ascii="Arial" w:cs="Arial" w:eastAsia="Arial" w:hAnsi="Arial"/>
          <w:sz w:val="18"/>
          <w:szCs w:val="18"/>
          <w:b w:val="1"/>
          <w:bCs w:val="1"/>
          <w:i w:val="1"/>
          <w:iCs w:val="1"/>
          <w:color w:val="105EAB"/>
        </w:rPr>
        <w:t xml:space="preserve"> </w:t>
      </w:r>
      <w:r>
        <w:rPr>
          <w:rFonts w:ascii="Arial" w:cs="Arial" w:eastAsia="Arial" w:hAnsi="Arial"/>
          <w:sz w:val="18"/>
          <w:szCs w:val="18"/>
          <w:color w:val="000000"/>
        </w:rPr>
        <w:t>Allstate’s peers with the assistance of an independent compensation consultant.</w:t>
      </w:r>
    </w:p>
    <w:p>
      <w:pPr>
        <w:spacing w:after="0" w:line="1" w:lineRule="exact"/>
        <w:rPr>
          <w:rFonts w:ascii="MS PGothic" w:cs="MS PGothic" w:eastAsia="MS PGothic" w:hAnsi="MS PGothic"/>
          <w:sz w:val="17"/>
          <w:szCs w:val="17"/>
          <w:color w:val="auto"/>
          <w:shd w:val="clear" w:color="auto" w:fill="5CA34F"/>
        </w:rPr>
      </w:pPr>
    </w:p>
    <w:p>
      <w:pPr>
        <w:ind w:left="300" w:right="260" w:hanging="292"/>
        <w:spacing w:after="0" w:line="234" w:lineRule="auto"/>
        <w:tabs>
          <w:tab w:leader="none" w:pos="300" w:val="left"/>
        </w:tabs>
        <w:numPr>
          <w:ilvl w:val="0"/>
          <w:numId w:val="221"/>
        </w:numPr>
        <w:rPr>
          <w:rFonts w:ascii="MS PGothic" w:cs="MS PGothic" w:eastAsia="MS PGothic" w:hAnsi="MS PGothic"/>
          <w:sz w:val="17"/>
          <w:szCs w:val="17"/>
          <w:color w:val="auto"/>
          <w:shd w:val="clear" w:color="auto" w:fill="5CA34F"/>
        </w:rPr>
      </w:pPr>
      <w:r>
        <w:rPr>
          <w:rFonts w:ascii="Arial" w:cs="Arial" w:eastAsia="Arial" w:hAnsi="Arial"/>
          <w:sz w:val="18"/>
          <w:szCs w:val="18"/>
          <w:b w:val="1"/>
          <w:bCs w:val="1"/>
          <w:i w:val="1"/>
          <w:iCs w:val="1"/>
          <w:color w:val="105EAB"/>
        </w:rPr>
        <w:t xml:space="preserve">Historical equity award practices are appropriate. </w:t>
      </w:r>
      <w:r>
        <w:rPr>
          <w:rFonts w:ascii="Arial" w:cs="Arial" w:eastAsia="Arial" w:hAnsi="Arial"/>
          <w:sz w:val="18"/>
          <w:szCs w:val="18"/>
          <w:color w:val="000000"/>
        </w:rPr>
        <w:t>Allstate’s three-year average share usage rate and dilution percentages demonstrate a</w:t>
      </w:r>
      <w:r>
        <w:rPr>
          <w:rFonts w:ascii="Arial" w:cs="Arial" w:eastAsia="Arial" w:hAnsi="Arial"/>
          <w:sz w:val="18"/>
          <w:szCs w:val="18"/>
          <w:b w:val="1"/>
          <w:bCs w:val="1"/>
          <w:i w:val="1"/>
          <w:iCs w:val="1"/>
          <w:color w:val="105EAB"/>
        </w:rPr>
        <w:t xml:space="preserve"> </w:t>
      </w:r>
      <w:r>
        <w:rPr>
          <w:rFonts w:ascii="Arial" w:cs="Arial" w:eastAsia="Arial" w:hAnsi="Arial"/>
          <w:sz w:val="18"/>
          <w:szCs w:val="18"/>
          <w:color w:val="000000"/>
        </w:rPr>
        <w:t>prudent use of shares and are in line with the benchmarks used by major proxy advisory firms and institutional investors.</w:t>
      </w:r>
    </w:p>
    <w:p>
      <w:pPr>
        <w:spacing w:after="0" w:line="1" w:lineRule="exact"/>
        <w:rPr>
          <w:rFonts w:ascii="MS PGothic" w:cs="MS PGothic" w:eastAsia="MS PGothic" w:hAnsi="MS PGothic"/>
          <w:sz w:val="17"/>
          <w:szCs w:val="17"/>
          <w:color w:val="auto"/>
          <w:shd w:val="clear" w:color="auto" w:fill="5CA34F"/>
        </w:rPr>
      </w:pPr>
    </w:p>
    <w:p>
      <w:pPr>
        <w:ind w:left="300" w:right="200" w:hanging="292"/>
        <w:spacing w:after="0" w:line="239" w:lineRule="auto"/>
        <w:tabs>
          <w:tab w:leader="none" w:pos="300" w:val="left"/>
        </w:tabs>
        <w:numPr>
          <w:ilvl w:val="0"/>
          <w:numId w:val="221"/>
        </w:numPr>
        <w:rPr>
          <w:rFonts w:ascii="MS PGothic" w:cs="MS PGothic" w:eastAsia="MS PGothic" w:hAnsi="MS PGothic"/>
          <w:sz w:val="17"/>
          <w:szCs w:val="17"/>
          <w:color w:val="auto"/>
          <w:shd w:val="clear" w:color="auto" w:fill="5CA34F"/>
        </w:rPr>
      </w:pPr>
      <w:r>
        <w:rPr>
          <w:rFonts w:ascii="Arial" w:cs="Arial" w:eastAsia="Arial" w:hAnsi="Arial"/>
          <w:sz w:val="18"/>
          <w:szCs w:val="18"/>
          <w:b w:val="1"/>
          <w:bCs w:val="1"/>
          <w:i w:val="1"/>
          <w:iCs w:val="1"/>
          <w:color w:val="105EAB"/>
        </w:rPr>
        <w:t xml:space="preserve">Strong equity award practices. </w:t>
      </w:r>
      <w:r>
        <w:rPr>
          <w:rFonts w:ascii="Arial" w:cs="Arial" w:eastAsia="Arial" w:hAnsi="Arial"/>
          <w:sz w:val="18"/>
          <w:szCs w:val="18"/>
          <w:color w:val="000000"/>
        </w:rPr>
        <w:t>Allstate’s equity awards are subject to clawback in certain circumstances set forth on page 78 and Allstate’s</w:t>
      </w:r>
      <w:r>
        <w:rPr>
          <w:rFonts w:ascii="Arial" w:cs="Arial" w:eastAsia="Arial" w:hAnsi="Arial"/>
          <w:sz w:val="18"/>
          <w:szCs w:val="18"/>
          <w:b w:val="1"/>
          <w:bCs w:val="1"/>
          <w:i w:val="1"/>
          <w:iCs w:val="1"/>
          <w:color w:val="105EAB"/>
        </w:rPr>
        <w:t xml:space="preserve"> </w:t>
      </w:r>
      <w:r>
        <w:rPr>
          <w:rFonts w:ascii="Arial" w:cs="Arial" w:eastAsia="Arial" w:hAnsi="Arial"/>
          <w:sz w:val="18"/>
          <w:szCs w:val="18"/>
          <w:color w:val="000000"/>
        </w:rPr>
        <w:t>officers are subject to stringent stock ownership requirements described on pages 46-47.</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1120" w:type="dxa"/>
            <w:vAlign w:val="bottom"/>
          </w:tcPr>
          <w:p>
            <w:pPr>
              <w:ind w:left="9640"/>
              <w:spacing w:after="0"/>
              <w:rPr>
                <w:sz w:val="20"/>
                <w:szCs w:val="20"/>
                <w:color w:val="auto"/>
              </w:rPr>
            </w:pPr>
            <w:r>
              <w:rPr>
                <w:rFonts w:ascii="Arial" w:cs="Arial" w:eastAsia="Arial" w:hAnsi="Arial"/>
                <w:sz w:val="13"/>
                <w:szCs w:val="13"/>
                <w:color w:val="105EAB"/>
              </w:rPr>
              <w:t>2019 Proxy Statement</w:t>
            </w:r>
          </w:p>
        </w:tc>
        <w:tc>
          <w:tcPr>
            <w:tcW w:w="320" w:type="dxa"/>
            <w:vAlign w:val="bottom"/>
          </w:tcPr>
          <w:p>
            <w:pPr>
              <w:jc w:val="right"/>
              <w:spacing w:after="0"/>
              <w:rPr>
                <w:sz w:val="20"/>
                <w:szCs w:val="20"/>
                <w:color w:val="auto"/>
              </w:rPr>
            </w:pPr>
            <w:r>
              <w:rPr>
                <w:rFonts w:ascii="Arial" w:cs="Arial" w:eastAsia="Arial" w:hAnsi="Arial"/>
                <w:sz w:val="13"/>
                <w:szCs w:val="13"/>
                <w:b w:val="1"/>
                <w:bCs w:val="1"/>
                <w:color w:val="105EAB"/>
              </w:rPr>
              <w:t>71</w:t>
            </w:r>
          </w:p>
        </w:tc>
      </w:tr>
      <w:tr>
        <w:trPr>
          <w:trHeight w:val="213"/>
        </w:trPr>
        <w:tc>
          <w:tcPr>
            <w:tcW w:w="1112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-13970</wp:posOffset>
            </wp:positionV>
            <wp:extent cx="1270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b w:val="1"/>
          <w:bCs w:val="1"/>
          <w:color w:val="105EAB"/>
        </w:rPr>
        <w:t xml:space="preserve">Equity Incentive Plan | </w:t>
      </w:r>
      <w:r>
        <w:rPr>
          <w:rFonts w:ascii="Arial" w:cs="Arial" w:eastAsia="Arial" w:hAnsi="Arial"/>
          <w:sz w:val="13"/>
          <w:szCs w:val="13"/>
          <w:b w:val="1"/>
          <w:bCs w:val="1"/>
          <w:color w:val="000000"/>
        </w:rPr>
        <w:t>Additional Shares to be Authorized Under the Plan</w:t>
      </w:r>
    </w:p>
    <w:p>
      <w:pPr>
        <w:spacing w:after="0" w:line="200" w:lineRule="exact"/>
        <w:rPr>
          <w:sz w:val="20"/>
          <w:szCs w:val="20"/>
          <w:color w:val="auto"/>
        </w:rPr>
      </w:pPr>
    </w:p>
    <w:p>
      <w:pPr>
        <w:spacing w:after="0"/>
        <w:rPr>
          <w:sz w:val="20"/>
          <w:szCs w:val="20"/>
          <w:color w:val="auto"/>
        </w:rPr>
      </w:pPr>
      <w:r>
        <w:rPr>
          <w:rFonts w:ascii="Arial" w:cs="Arial" w:eastAsia="Arial" w:hAnsi="Arial"/>
          <w:sz w:val="31"/>
          <w:szCs w:val="31"/>
          <w:b w:val="1"/>
          <w:bCs w:val="1"/>
          <w:color w:val="959595"/>
        </w:rPr>
        <w:t>Additional Shares to be Authorized Under the Plan</w:t>
      </w:r>
    </w:p>
    <w:p>
      <w:pPr>
        <w:spacing w:after="0" w:line="258" w:lineRule="exact"/>
        <w:rPr>
          <w:sz w:val="20"/>
          <w:szCs w:val="20"/>
          <w:color w:val="auto"/>
        </w:rPr>
      </w:pPr>
    </w:p>
    <w:p>
      <w:pPr>
        <w:ind w:right="340"/>
        <w:spacing w:after="0" w:line="237" w:lineRule="auto"/>
        <w:rPr>
          <w:sz w:val="20"/>
          <w:szCs w:val="20"/>
          <w:color w:val="auto"/>
        </w:rPr>
      </w:pPr>
      <w:r>
        <w:rPr>
          <w:rFonts w:ascii="Arial" w:cs="Arial" w:eastAsia="Arial" w:hAnsi="Arial"/>
          <w:sz w:val="18"/>
          <w:szCs w:val="18"/>
          <w:color w:val="auto"/>
        </w:rPr>
        <w:t>Equity compensation is a significant component of the total compensation of officers and other employees. The Plan supports this overall compensation strategy by providing a means for granting equity awards to attract and retain talent. The committee and the Board approved an increase in the number of shares of common stock authorized under the Plan of 13,400,000 shares. If the increase in the number of authorized shares is approved by stockholders, the Plan will terminate at the time the shares authorized thereunder are exhausted.</w:t>
      </w:r>
    </w:p>
    <w:p>
      <w:pPr>
        <w:spacing w:after="0" w:line="174" w:lineRule="exact"/>
        <w:rPr>
          <w:sz w:val="20"/>
          <w:szCs w:val="20"/>
          <w:color w:val="auto"/>
        </w:rPr>
      </w:pPr>
    </w:p>
    <w:p>
      <w:pPr>
        <w:spacing w:after="0"/>
        <w:rPr>
          <w:sz w:val="20"/>
          <w:szCs w:val="20"/>
          <w:color w:val="auto"/>
        </w:rPr>
      </w:pPr>
      <w:r>
        <w:rPr>
          <w:rFonts w:ascii="Arial" w:cs="Arial" w:eastAsia="Arial" w:hAnsi="Arial"/>
          <w:sz w:val="25"/>
          <w:szCs w:val="25"/>
          <w:b w:val="1"/>
          <w:bCs w:val="1"/>
          <w:color w:val="105EAB"/>
        </w:rPr>
        <w:t>Factors Considered</w:t>
      </w:r>
    </w:p>
    <w:p>
      <w:pPr>
        <w:spacing w:after="0" w:line="259"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The Board and committee are mindful of their responsibility to shareholders in granting equity-based awards. In setting the number of proposed additional shares issuable under the Plan, the committee and the Board considered a number of factors, including:</w:t>
      </w:r>
    </w:p>
    <w:p>
      <w:pPr>
        <w:spacing w:after="0" w:line="208" w:lineRule="exact"/>
        <w:rPr>
          <w:sz w:val="20"/>
          <w:szCs w:val="20"/>
          <w:color w:val="auto"/>
        </w:rPr>
      </w:pPr>
    </w:p>
    <w:p>
      <w:pPr>
        <w:ind w:left="340" w:right="260" w:hanging="332"/>
        <w:spacing w:after="0" w:line="239" w:lineRule="auto"/>
        <w:tabs>
          <w:tab w:leader="none" w:pos="340" w:val="left"/>
        </w:tabs>
        <w:numPr>
          <w:ilvl w:val="0"/>
          <w:numId w:val="222"/>
        </w:numPr>
        <w:rPr>
          <w:rFonts w:ascii="Arial" w:cs="Arial" w:eastAsia="Arial" w:hAnsi="Arial"/>
          <w:sz w:val="17"/>
          <w:szCs w:val="17"/>
          <w:color w:val="105EAB"/>
        </w:rPr>
      </w:pPr>
      <w:r>
        <w:rPr>
          <w:rFonts w:ascii="Arial" w:cs="Arial" w:eastAsia="Arial" w:hAnsi="Arial"/>
          <w:sz w:val="18"/>
          <w:szCs w:val="18"/>
          <w:color w:val="auto"/>
        </w:rPr>
        <w:t>Shares currently available for issuance and how long the shares available (both currently and assuming the approval by stockholders of this Proposal 3) are expected to last.</w:t>
      </w:r>
    </w:p>
    <w:p>
      <w:pPr>
        <w:spacing w:after="0" w:line="100" w:lineRule="exact"/>
        <w:rPr>
          <w:rFonts w:ascii="Arial" w:cs="Arial" w:eastAsia="Arial" w:hAnsi="Arial"/>
          <w:sz w:val="17"/>
          <w:szCs w:val="17"/>
          <w:color w:val="105EAB"/>
        </w:rPr>
      </w:pPr>
    </w:p>
    <w:p>
      <w:pPr>
        <w:ind w:left="340" w:hanging="332"/>
        <w:spacing w:after="0"/>
        <w:tabs>
          <w:tab w:leader="none" w:pos="340" w:val="left"/>
        </w:tabs>
        <w:numPr>
          <w:ilvl w:val="0"/>
          <w:numId w:val="222"/>
        </w:numPr>
        <w:rPr>
          <w:rFonts w:ascii="Arial" w:cs="Arial" w:eastAsia="Arial" w:hAnsi="Arial"/>
          <w:sz w:val="17"/>
          <w:szCs w:val="17"/>
          <w:color w:val="105EAB"/>
        </w:rPr>
      </w:pPr>
      <w:r>
        <w:rPr>
          <w:rFonts w:ascii="Arial" w:cs="Arial" w:eastAsia="Arial" w:hAnsi="Arial"/>
          <w:sz w:val="18"/>
          <w:szCs w:val="18"/>
          <w:color w:val="auto"/>
        </w:rPr>
        <w:t>Historical equity award granting practices, including the three-year average share usage rate (commonly referred to as burn rate).</w:t>
      </w:r>
    </w:p>
    <w:p>
      <w:pPr>
        <w:spacing w:after="0" w:line="103" w:lineRule="exact"/>
        <w:rPr>
          <w:rFonts w:ascii="Arial" w:cs="Arial" w:eastAsia="Arial" w:hAnsi="Arial"/>
          <w:sz w:val="17"/>
          <w:szCs w:val="17"/>
          <w:color w:val="105EAB"/>
        </w:rPr>
      </w:pPr>
    </w:p>
    <w:p>
      <w:pPr>
        <w:ind w:left="340" w:hanging="332"/>
        <w:spacing w:after="0"/>
        <w:tabs>
          <w:tab w:leader="none" w:pos="340" w:val="left"/>
        </w:tabs>
        <w:numPr>
          <w:ilvl w:val="0"/>
          <w:numId w:val="222"/>
        </w:numPr>
        <w:rPr>
          <w:rFonts w:ascii="Arial" w:cs="Arial" w:eastAsia="Arial" w:hAnsi="Arial"/>
          <w:sz w:val="17"/>
          <w:szCs w:val="17"/>
          <w:color w:val="105EAB"/>
        </w:rPr>
      </w:pPr>
      <w:r>
        <w:rPr>
          <w:rFonts w:ascii="Arial" w:cs="Arial" w:eastAsia="Arial" w:hAnsi="Arial"/>
          <w:sz w:val="18"/>
          <w:szCs w:val="18"/>
          <w:color w:val="auto"/>
        </w:rPr>
        <w:t>Total potential dilution (commonly referred to as overhang).</w:t>
      </w:r>
    </w:p>
    <w:p>
      <w:pPr>
        <w:spacing w:after="0" w:line="193"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i w:val="1"/>
          <w:iCs w:val="1"/>
          <w:color w:val="auto"/>
        </w:rPr>
        <w:t>Shares Currently Available for Issuance</w:t>
      </w:r>
      <w:r>
        <w:rPr>
          <w:rFonts w:ascii="Arial" w:cs="Arial" w:eastAsia="Arial" w:hAnsi="Arial"/>
          <w:sz w:val="18"/>
          <w:szCs w:val="18"/>
          <w:color w:val="auto"/>
        </w:rPr>
        <w:t>. As of March 1, 2019, we had 332,925,208 shares of common stock issued and outstanding (not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treasury shares) and 9,925,716 shares of common stock were available for future awards under the Plan, assuming performance stock awards at target (7,349,139 with such awards at maximum). The committee and the Board considered that the shares currently available for issuance may not be sufficient to cover future equity awards in the near term if material fluctuations in our stock price or material changes from historical granting practices occur. As of March 1, 2019, the proposed 13,400,000 additional shares would represent approximately 4.0% of the issued and outstanding shares of common stock, and, assuming the approval by stockholders of this Proposal 3, the aggregate of approximately 23,325,716 shares available under the Plan would represent approximately 7.0% of the issued and outstanding shares of common stock. The proposed additional shares, together with shares currently available, are expected to be sufficient, based on historical granting practices and the recent trading price of the common stock, to cover awards for approximately three years.</w:t>
      </w:r>
    </w:p>
    <w:p>
      <w:pPr>
        <w:spacing w:after="0" w:line="190" w:lineRule="exact"/>
        <w:rPr>
          <w:sz w:val="20"/>
          <w:szCs w:val="20"/>
          <w:color w:val="auto"/>
        </w:rPr>
      </w:pPr>
    </w:p>
    <w:p>
      <w:pPr>
        <w:jc w:val="both"/>
        <w:ind w:right="80"/>
        <w:spacing w:after="0" w:line="247" w:lineRule="auto"/>
        <w:rPr>
          <w:sz w:val="20"/>
          <w:szCs w:val="20"/>
          <w:color w:val="auto"/>
        </w:rPr>
      </w:pPr>
      <w:r>
        <w:rPr>
          <w:rFonts w:ascii="Arial" w:cs="Arial" w:eastAsia="Arial" w:hAnsi="Arial"/>
          <w:sz w:val="18"/>
          <w:szCs w:val="18"/>
          <w:i w:val="1"/>
          <w:iCs w:val="1"/>
          <w:color w:val="auto"/>
        </w:rPr>
        <w:t>Equity Award Granting Practices and Share Usage</w:t>
      </w:r>
      <w:r>
        <w:rPr>
          <w:rFonts w:ascii="Arial" w:cs="Arial" w:eastAsia="Arial" w:hAnsi="Arial"/>
          <w:sz w:val="18"/>
          <w:szCs w:val="18"/>
          <w:color w:val="auto"/>
        </w:rPr>
        <w:t>. In setting and recommending to stockholders the increase in the number of shares authorized,</w:t>
      </w:r>
      <w:r>
        <w:rPr>
          <w:rFonts w:ascii="Arial" w:cs="Arial" w:eastAsia="Arial" w:hAnsi="Arial"/>
          <w:sz w:val="18"/>
          <w:szCs w:val="18"/>
          <w:i w:val="1"/>
          <w:iCs w:val="1"/>
          <w:color w:val="auto"/>
        </w:rPr>
        <w:t xml:space="preserve"> </w:t>
      </w:r>
      <w:r>
        <w:rPr>
          <w:rFonts w:ascii="Arial" w:cs="Arial" w:eastAsia="Arial" w:hAnsi="Arial"/>
          <w:sz w:val="18"/>
          <w:szCs w:val="18"/>
          <w:color w:val="auto"/>
        </w:rPr>
        <w:t>the committee and the Board considered historic share usage and resulting burn rate as reflected in the table below. The 3-year average burn rate of 0.94% is lower than the industry thresholds established by certain major proxy advisory firms and institutional investors.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140" w:type="dxa"/>
            <w:vAlign w:val="bottom"/>
          </w:tcPr>
          <w:p>
            <w:pPr>
              <w:spacing w:after="0"/>
              <w:rPr>
                <w:sz w:val="15"/>
                <w:szCs w:val="15"/>
                <w:color w:val="auto"/>
              </w:rPr>
            </w:pPr>
          </w:p>
        </w:tc>
        <w:tc>
          <w:tcPr>
            <w:tcW w:w="3700" w:type="dxa"/>
            <w:vAlign w:val="bottom"/>
          </w:tcPr>
          <w:p>
            <w:pPr>
              <w:jc w:val="right"/>
              <w:ind w:right="73"/>
              <w:spacing w:after="0"/>
              <w:rPr>
                <w:sz w:val="20"/>
                <w:szCs w:val="20"/>
                <w:color w:val="auto"/>
              </w:rPr>
            </w:pPr>
            <w:r>
              <w:rPr>
                <w:rFonts w:ascii="Arial" w:cs="Arial" w:eastAsia="Arial" w:hAnsi="Arial"/>
                <w:sz w:val="13"/>
                <w:szCs w:val="13"/>
                <w:b w:val="1"/>
                <w:bCs w:val="1"/>
                <w:color w:val="105EAB"/>
              </w:rPr>
              <w:t>2016 Fiscal Year</w:t>
            </w:r>
          </w:p>
        </w:tc>
        <w:tc>
          <w:tcPr>
            <w:tcW w:w="1320" w:type="dxa"/>
            <w:vAlign w:val="bottom"/>
          </w:tcPr>
          <w:p>
            <w:pPr>
              <w:jc w:val="right"/>
              <w:ind w:right="53"/>
              <w:spacing w:after="0"/>
              <w:rPr>
                <w:sz w:val="20"/>
                <w:szCs w:val="20"/>
                <w:color w:val="auto"/>
              </w:rPr>
            </w:pPr>
            <w:r>
              <w:rPr>
                <w:rFonts w:ascii="Arial" w:cs="Arial" w:eastAsia="Arial" w:hAnsi="Arial"/>
                <w:sz w:val="13"/>
                <w:szCs w:val="13"/>
                <w:b w:val="1"/>
                <w:bCs w:val="1"/>
                <w:color w:val="105EAB"/>
              </w:rPr>
              <w:t>2017 Fiscal Year</w:t>
            </w:r>
          </w:p>
        </w:tc>
        <w:tc>
          <w:tcPr>
            <w:tcW w:w="1260" w:type="dxa"/>
            <w:vAlign w:val="bottom"/>
          </w:tcPr>
          <w:p>
            <w:pPr>
              <w:jc w:val="right"/>
              <w:ind w:right="13"/>
              <w:spacing w:after="0"/>
              <w:rPr>
                <w:sz w:val="20"/>
                <w:szCs w:val="20"/>
                <w:color w:val="auto"/>
              </w:rPr>
            </w:pPr>
            <w:r>
              <w:rPr>
                <w:rFonts w:ascii="Arial" w:cs="Arial" w:eastAsia="Arial" w:hAnsi="Arial"/>
                <w:sz w:val="13"/>
                <w:szCs w:val="13"/>
                <w:b w:val="1"/>
                <w:bCs w:val="1"/>
                <w:color w:val="105EAB"/>
              </w:rPr>
              <w:t>2018 Fiscal Year</w:t>
            </w:r>
          </w:p>
        </w:tc>
      </w:tr>
      <w:tr>
        <w:trPr>
          <w:trHeight w:val="48"/>
        </w:trPr>
        <w:tc>
          <w:tcPr>
            <w:tcW w:w="5140" w:type="dxa"/>
            <w:vAlign w:val="bottom"/>
            <w:tcBorders>
              <w:bottom w:val="single" w:sz="8" w:color="105FAB"/>
            </w:tcBorders>
          </w:tcPr>
          <w:p>
            <w:pPr>
              <w:spacing w:after="0"/>
              <w:rPr>
                <w:sz w:val="4"/>
                <w:szCs w:val="4"/>
                <w:color w:val="auto"/>
              </w:rPr>
            </w:pPr>
          </w:p>
        </w:tc>
        <w:tc>
          <w:tcPr>
            <w:tcW w:w="3700" w:type="dxa"/>
            <w:vAlign w:val="bottom"/>
            <w:tcBorders>
              <w:bottom w:val="single" w:sz="8" w:color="105FAB"/>
            </w:tcBorders>
          </w:tcPr>
          <w:p>
            <w:pPr>
              <w:spacing w:after="0"/>
              <w:rPr>
                <w:sz w:val="4"/>
                <w:szCs w:val="4"/>
                <w:color w:val="auto"/>
              </w:rPr>
            </w:pPr>
          </w:p>
        </w:tc>
        <w:tc>
          <w:tcPr>
            <w:tcW w:w="1320" w:type="dxa"/>
            <w:vAlign w:val="bottom"/>
            <w:tcBorders>
              <w:bottom w:val="single" w:sz="8" w:color="105FAB"/>
            </w:tcBorders>
          </w:tcPr>
          <w:p>
            <w:pPr>
              <w:spacing w:after="0"/>
              <w:rPr>
                <w:sz w:val="4"/>
                <w:szCs w:val="4"/>
                <w:color w:val="auto"/>
              </w:rPr>
            </w:pPr>
          </w:p>
        </w:tc>
        <w:tc>
          <w:tcPr>
            <w:tcW w:w="1260" w:type="dxa"/>
            <w:vAlign w:val="bottom"/>
            <w:tcBorders>
              <w:bottom w:val="single" w:sz="8" w:color="105FAB"/>
            </w:tcBorders>
          </w:tcPr>
          <w:p>
            <w:pPr>
              <w:spacing w:after="0"/>
              <w:rPr>
                <w:sz w:val="4"/>
                <w:szCs w:val="4"/>
                <w:color w:val="auto"/>
              </w:rPr>
            </w:pPr>
          </w:p>
        </w:tc>
      </w:tr>
      <w:tr>
        <w:trPr>
          <w:trHeight w:val="297"/>
        </w:trPr>
        <w:tc>
          <w:tcPr>
            <w:tcW w:w="5140" w:type="dxa"/>
            <w:vAlign w:val="bottom"/>
            <w:tcBorders>
              <w:bottom w:val="single" w:sz="8" w:color="DFF1FB"/>
            </w:tcBorders>
          </w:tcPr>
          <w:p>
            <w:pPr>
              <w:ind w:left="80"/>
              <w:spacing w:after="0"/>
              <w:rPr>
                <w:sz w:val="20"/>
                <w:szCs w:val="20"/>
                <w:color w:val="auto"/>
              </w:rPr>
            </w:pPr>
            <w:r>
              <w:rPr>
                <w:rFonts w:ascii="Arial" w:cs="Arial" w:eastAsia="Arial" w:hAnsi="Arial"/>
                <w:sz w:val="13"/>
                <w:szCs w:val="13"/>
                <w:color w:val="auto"/>
              </w:rPr>
              <w:t>Total Shares Granted During Fiscal Year</w:t>
            </w:r>
            <w:r>
              <w:rPr>
                <w:rFonts w:ascii="Arial" w:cs="Arial" w:eastAsia="Arial" w:hAnsi="Arial"/>
                <w:sz w:val="22"/>
                <w:szCs w:val="22"/>
                <w:color w:val="auto"/>
                <w:vertAlign w:val="superscript"/>
              </w:rPr>
              <w:t>(1)</w:t>
            </w:r>
          </w:p>
        </w:tc>
        <w:tc>
          <w:tcPr>
            <w:tcW w:w="3700" w:type="dxa"/>
            <w:vAlign w:val="bottom"/>
            <w:tcBorders>
              <w:bottom w:val="single" w:sz="8" w:color="DFF1FB"/>
            </w:tcBorders>
          </w:tcPr>
          <w:p>
            <w:pPr>
              <w:jc w:val="right"/>
              <w:ind w:right="73"/>
              <w:spacing w:after="0"/>
              <w:rPr>
                <w:sz w:val="20"/>
                <w:szCs w:val="20"/>
                <w:color w:val="auto"/>
              </w:rPr>
            </w:pPr>
            <w:r>
              <w:rPr>
                <w:rFonts w:ascii="Arial" w:cs="Arial" w:eastAsia="Arial" w:hAnsi="Arial"/>
                <w:sz w:val="13"/>
                <w:szCs w:val="13"/>
                <w:color w:val="auto"/>
              </w:rPr>
              <w:t>3.9M</w:t>
            </w:r>
          </w:p>
        </w:tc>
        <w:tc>
          <w:tcPr>
            <w:tcW w:w="1320" w:type="dxa"/>
            <w:vAlign w:val="bottom"/>
            <w:tcBorders>
              <w:bottom w:val="single" w:sz="8" w:color="DFF1FB"/>
            </w:tcBorders>
          </w:tcPr>
          <w:p>
            <w:pPr>
              <w:jc w:val="right"/>
              <w:ind w:right="53"/>
              <w:spacing w:after="0"/>
              <w:rPr>
                <w:sz w:val="20"/>
                <w:szCs w:val="20"/>
                <w:color w:val="auto"/>
              </w:rPr>
            </w:pPr>
            <w:r>
              <w:rPr>
                <w:rFonts w:ascii="Arial" w:cs="Arial" w:eastAsia="Arial" w:hAnsi="Arial"/>
                <w:sz w:val="13"/>
                <w:szCs w:val="13"/>
                <w:color w:val="auto"/>
              </w:rPr>
              <w:t>3.4M</w:t>
            </w:r>
          </w:p>
        </w:tc>
        <w:tc>
          <w:tcPr>
            <w:tcW w:w="1260" w:type="dxa"/>
            <w:vAlign w:val="bottom"/>
            <w:tcBorders>
              <w:bottom w:val="single" w:sz="8" w:color="DFF1FB"/>
            </w:tcBorders>
          </w:tcPr>
          <w:p>
            <w:pPr>
              <w:jc w:val="right"/>
              <w:ind w:right="13"/>
              <w:spacing w:after="0"/>
              <w:rPr>
                <w:sz w:val="20"/>
                <w:szCs w:val="20"/>
                <w:color w:val="auto"/>
              </w:rPr>
            </w:pPr>
            <w:r>
              <w:rPr>
                <w:rFonts w:ascii="Arial" w:cs="Arial" w:eastAsia="Arial" w:hAnsi="Arial"/>
                <w:sz w:val="13"/>
                <w:szCs w:val="13"/>
                <w:color w:val="auto"/>
              </w:rPr>
              <w:t>3.0M</w:t>
            </w:r>
          </w:p>
        </w:tc>
      </w:tr>
      <w:tr>
        <w:trPr>
          <w:trHeight w:val="195"/>
        </w:trPr>
        <w:tc>
          <w:tcPr>
            <w:tcW w:w="5140" w:type="dxa"/>
            <w:vAlign w:val="bottom"/>
          </w:tcPr>
          <w:p>
            <w:pPr>
              <w:ind w:left="80"/>
              <w:spacing w:after="0"/>
              <w:rPr>
                <w:sz w:val="20"/>
                <w:szCs w:val="20"/>
                <w:color w:val="auto"/>
              </w:rPr>
            </w:pPr>
            <w:r>
              <w:rPr>
                <w:rFonts w:ascii="Arial" w:cs="Arial" w:eastAsia="Arial" w:hAnsi="Arial"/>
                <w:sz w:val="13"/>
                <w:szCs w:val="13"/>
                <w:color w:val="auto"/>
              </w:rPr>
              <w:t>Basic Weighted Average Common</w:t>
            </w:r>
          </w:p>
        </w:tc>
        <w:tc>
          <w:tcPr>
            <w:tcW w:w="3700" w:type="dxa"/>
            <w:vAlign w:val="bottom"/>
          </w:tcPr>
          <w:p>
            <w:pPr>
              <w:jc w:val="right"/>
              <w:ind w:right="73"/>
              <w:spacing w:after="0"/>
              <w:rPr>
                <w:sz w:val="20"/>
                <w:szCs w:val="20"/>
                <w:color w:val="auto"/>
              </w:rPr>
            </w:pPr>
            <w:r>
              <w:rPr>
                <w:rFonts w:ascii="Arial" w:cs="Arial" w:eastAsia="Arial" w:hAnsi="Arial"/>
                <w:sz w:val="13"/>
                <w:szCs w:val="13"/>
                <w:color w:val="auto"/>
              </w:rPr>
              <w:t>372.8M</w:t>
            </w:r>
          </w:p>
        </w:tc>
        <w:tc>
          <w:tcPr>
            <w:tcW w:w="1320" w:type="dxa"/>
            <w:vAlign w:val="bottom"/>
          </w:tcPr>
          <w:p>
            <w:pPr>
              <w:jc w:val="right"/>
              <w:ind w:right="53"/>
              <w:spacing w:after="0"/>
              <w:rPr>
                <w:sz w:val="20"/>
                <w:szCs w:val="20"/>
                <w:color w:val="auto"/>
              </w:rPr>
            </w:pPr>
            <w:r>
              <w:rPr>
                <w:rFonts w:ascii="Arial" w:cs="Arial" w:eastAsia="Arial" w:hAnsi="Arial"/>
                <w:sz w:val="13"/>
                <w:szCs w:val="13"/>
                <w:color w:val="auto"/>
              </w:rPr>
              <w:t>362.0M</w:t>
            </w:r>
          </w:p>
        </w:tc>
        <w:tc>
          <w:tcPr>
            <w:tcW w:w="1260" w:type="dxa"/>
            <w:vAlign w:val="bottom"/>
          </w:tcPr>
          <w:p>
            <w:pPr>
              <w:jc w:val="right"/>
              <w:ind w:right="13"/>
              <w:spacing w:after="0"/>
              <w:rPr>
                <w:sz w:val="20"/>
                <w:szCs w:val="20"/>
                <w:color w:val="auto"/>
              </w:rPr>
            </w:pPr>
            <w:r>
              <w:rPr>
                <w:rFonts w:ascii="Arial" w:cs="Arial" w:eastAsia="Arial" w:hAnsi="Arial"/>
                <w:sz w:val="13"/>
                <w:szCs w:val="13"/>
                <w:color w:val="auto"/>
              </w:rPr>
              <w:t>347.8M</w:t>
            </w:r>
          </w:p>
        </w:tc>
      </w:tr>
      <w:tr>
        <w:trPr>
          <w:trHeight w:val="243"/>
        </w:trPr>
        <w:tc>
          <w:tcPr>
            <w:tcW w:w="5140" w:type="dxa"/>
            <w:vAlign w:val="bottom"/>
          </w:tcPr>
          <w:p>
            <w:pPr>
              <w:ind w:left="80"/>
              <w:spacing w:after="0"/>
              <w:rPr>
                <w:sz w:val="20"/>
                <w:szCs w:val="20"/>
                <w:color w:val="auto"/>
              </w:rPr>
            </w:pPr>
            <w:r>
              <w:rPr>
                <w:rFonts w:ascii="Arial" w:cs="Arial" w:eastAsia="Arial" w:hAnsi="Arial"/>
                <w:sz w:val="13"/>
                <w:szCs w:val="13"/>
                <w:color w:val="auto"/>
              </w:rPr>
              <w:t>Stock Outstanding</w:t>
            </w:r>
          </w:p>
        </w:tc>
        <w:tc>
          <w:tcPr>
            <w:tcW w:w="37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41"/>
        </w:trPr>
        <w:tc>
          <w:tcPr>
            <w:tcW w:w="5140" w:type="dxa"/>
            <w:vAlign w:val="bottom"/>
            <w:tcBorders>
              <w:bottom w:val="single" w:sz="8" w:color="DFF1FB"/>
            </w:tcBorders>
          </w:tcPr>
          <w:p>
            <w:pPr>
              <w:spacing w:after="0"/>
              <w:rPr>
                <w:sz w:val="3"/>
                <w:szCs w:val="3"/>
                <w:color w:val="auto"/>
              </w:rPr>
            </w:pPr>
          </w:p>
        </w:tc>
        <w:tc>
          <w:tcPr>
            <w:tcW w:w="3700" w:type="dxa"/>
            <w:vAlign w:val="bottom"/>
            <w:tcBorders>
              <w:bottom w:val="single" w:sz="8" w:color="DFF1FB"/>
            </w:tcBorders>
          </w:tcPr>
          <w:p>
            <w:pPr>
              <w:spacing w:after="0"/>
              <w:rPr>
                <w:sz w:val="3"/>
                <w:szCs w:val="3"/>
                <w:color w:val="auto"/>
              </w:rPr>
            </w:pPr>
          </w:p>
        </w:tc>
        <w:tc>
          <w:tcPr>
            <w:tcW w:w="1320" w:type="dxa"/>
            <w:vAlign w:val="bottom"/>
            <w:tcBorders>
              <w:bottom w:val="single" w:sz="8" w:color="DFF1FB"/>
            </w:tcBorders>
          </w:tcPr>
          <w:p>
            <w:pPr>
              <w:spacing w:after="0"/>
              <w:rPr>
                <w:sz w:val="3"/>
                <w:szCs w:val="3"/>
                <w:color w:val="auto"/>
              </w:rPr>
            </w:pPr>
          </w:p>
        </w:tc>
        <w:tc>
          <w:tcPr>
            <w:tcW w:w="1260" w:type="dxa"/>
            <w:vAlign w:val="bottom"/>
            <w:tcBorders>
              <w:bottom w:val="single" w:sz="8" w:color="DFF1FB"/>
            </w:tcBorders>
          </w:tcPr>
          <w:p>
            <w:pPr>
              <w:spacing w:after="0"/>
              <w:rPr>
                <w:sz w:val="3"/>
                <w:szCs w:val="3"/>
                <w:color w:val="auto"/>
              </w:rPr>
            </w:pPr>
          </w:p>
        </w:tc>
      </w:tr>
      <w:tr>
        <w:trPr>
          <w:trHeight w:val="297"/>
        </w:trPr>
        <w:tc>
          <w:tcPr>
            <w:tcW w:w="5140" w:type="dxa"/>
            <w:vAlign w:val="bottom"/>
            <w:tcBorders>
              <w:bottom w:val="single" w:sz="8" w:color="105FAB"/>
            </w:tcBorders>
          </w:tcPr>
          <w:p>
            <w:pPr>
              <w:ind w:left="80"/>
              <w:spacing w:after="0"/>
              <w:rPr>
                <w:sz w:val="20"/>
                <w:szCs w:val="20"/>
                <w:color w:val="auto"/>
              </w:rPr>
            </w:pPr>
            <w:r>
              <w:rPr>
                <w:rFonts w:ascii="Arial" w:cs="Arial" w:eastAsia="Arial" w:hAnsi="Arial"/>
                <w:sz w:val="13"/>
                <w:szCs w:val="13"/>
                <w:color w:val="auto"/>
              </w:rPr>
              <w:t>Burn Rate</w:t>
            </w:r>
            <w:r>
              <w:rPr>
                <w:rFonts w:ascii="Arial" w:cs="Arial" w:eastAsia="Arial" w:hAnsi="Arial"/>
                <w:sz w:val="22"/>
                <w:szCs w:val="22"/>
                <w:color w:val="auto"/>
                <w:vertAlign w:val="superscript"/>
              </w:rPr>
              <w:t>(2)</w:t>
            </w:r>
          </w:p>
        </w:tc>
        <w:tc>
          <w:tcPr>
            <w:tcW w:w="3700" w:type="dxa"/>
            <w:vAlign w:val="bottom"/>
            <w:tcBorders>
              <w:bottom w:val="single" w:sz="8" w:color="105FAB"/>
            </w:tcBorders>
          </w:tcPr>
          <w:p>
            <w:pPr>
              <w:jc w:val="right"/>
              <w:ind w:right="73"/>
              <w:spacing w:after="0"/>
              <w:rPr>
                <w:sz w:val="20"/>
                <w:szCs w:val="20"/>
                <w:color w:val="auto"/>
              </w:rPr>
            </w:pPr>
            <w:r>
              <w:rPr>
                <w:rFonts w:ascii="Arial" w:cs="Arial" w:eastAsia="Arial" w:hAnsi="Arial"/>
                <w:sz w:val="13"/>
                <w:szCs w:val="13"/>
                <w:b w:val="1"/>
                <w:bCs w:val="1"/>
                <w:color w:val="auto"/>
              </w:rPr>
              <w:t>1.04%</w:t>
            </w:r>
          </w:p>
        </w:tc>
        <w:tc>
          <w:tcPr>
            <w:tcW w:w="1320" w:type="dxa"/>
            <w:vAlign w:val="bottom"/>
            <w:tcBorders>
              <w:bottom w:val="single" w:sz="8" w:color="105FAB"/>
            </w:tcBorders>
          </w:tcPr>
          <w:p>
            <w:pPr>
              <w:jc w:val="right"/>
              <w:ind w:right="53"/>
              <w:spacing w:after="0"/>
              <w:rPr>
                <w:sz w:val="20"/>
                <w:szCs w:val="20"/>
                <w:color w:val="auto"/>
              </w:rPr>
            </w:pPr>
            <w:r>
              <w:rPr>
                <w:rFonts w:ascii="Arial" w:cs="Arial" w:eastAsia="Arial" w:hAnsi="Arial"/>
                <w:sz w:val="13"/>
                <w:szCs w:val="13"/>
                <w:b w:val="1"/>
                <w:bCs w:val="1"/>
                <w:color w:val="auto"/>
              </w:rPr>
              <w:t>0.93%</w:t>
            </w:r>
          </w:p>
        </w:tc>
        <w:tc>
          <w:tcPr>
            <w:tcW w:w="1260" w:type="dxa"/>
            <w:vAlign w:val="bottom"/>
            <w:tcBorders>
              <w:bottom w:val="single" w:sz="8" w:color="105FAB"/>
            </w:tcBorders>
          </w:tcPr>
          <w:p>
            <w:pPr>
              <w:jc w:val="right"/>
              <w:ind w:right="13"/>
              <w:spacing w:after="0"/>
              <w:rPr>
                <w:sz w:val="20"/>
                <w:szCs w:val="20"/>
                <w:color w:val="auto"/>
              </w:rPr>
            </w:pPr>
            <w:r>
              <w:rPr>
                <w:rFonts w:ascii="Arial" w:cs="Arial" w:eastAsia="Arial" w:hAnsi="Arial"/>
                <w:sz w:val="13"/>
                <w:szCs w:val="13"/>
                <w:b w:val="1"/>
                <w:bCs w:val="1"/>
                <w:color w:val="auto"/>
              </w:rPr>
              <w:t>0.86%</w:t>
            </w:r>
          </w:p>
        </w:tc>
      </w:tr>
    </w:tbl>
    <w:p>
      <w:pPr>
        <w:spacing w:after="0" w:line="107" w:lineRule="exact"/>
        <w:rPr>
          <w:sz w:val="20"/>
          <w:szCs w:val="20"/>
          <w:color w:val="auto"/>
        </w:rPr>
      </w:pPr>
    </w:p>
    <w:p>
      <w:pPr>
        <w:ind w:left="300" w:hanging="292"/>
        <w:spacing w:after="0"/>
        <w:tabs>
          <w:tab w:leader="none" w:pos="300" w:val="left"/>
        </w:tabs>
        <w:numPr>
          <w:ilvl w:val="0"/>
          <w:numId w:val="223"/>
        </w:numPr>
        <w:rPr>
          <w:rFonts w:ascii="Arial" w:cs="Arial" w:eastAsia="Arial" w:hAnsi="Arial"/>
          <w:sz w:val="11"/>
          <w:szCs w:val="11"/>
          <w:color w:val="auto"/>
        </w:rPr>
      </w:pPr>
      <w:r>
        <w:rPr>
          <w:rFonts w:ascii="Arial" w:cs="Arial" w:eastAsia="Arial" w:hAnsi="Arial"/>
          <w:sz w:val="13"/>
          <w:szCs w:val="13"/>
          <w:color w:val="auto"/>
        </w:rPr>
        <w:t>Includes the number of options and full value awards (restricted stock units and performance stock awards) granted for each year.</w:t>
      </w:r>
    </w:p>
    <w:p>
      <w:pPr>
        <w:spacing w:after="0" w:line="12" w:lineRule="exact"/>
        <w:rPr>
          <w:rFonts w:ascii="Arial" w:cs="Arial" w:eastAsia="Arial" w:hAnsi="Arial"/>
          <w:sz w:val="11"/>
          <w:szCs w:val="11"/>
          <w:color w:val="auto"/>
        </w:rPr>
      </w:pPr>
    </w:p>
    <w:p>
      <w:pPr>
        <w:ind w:left="300" w:right="520" w:hanging="292"/>
        <w:spacing w:after="0" w:line="258" w:lineRule="auto"/>
        <w:tabs>
          <w:tab w:leader="none" w:pos="300" w:val="left"/>
        </w:tabs>
        <w:numPr>
          <w:ilvl w:val="0"/>
          <w:numId w:val="223"/>
        </w:numPr>
        <w:rPr>
          <w:rFonts w:ascii="Arial" w:cs="Arial" w:eastAsia="Arial" w:hAnsi="Arial"/>
          <w:sz w:val="11"/>
          <w:szCs w:val="11"/>
          <w:color w:val="auto"/>
        </w:rPr>
      </w:pPr>
      <w:r>
        <w:rPr>
          <w:rFonts w:ascii="Arial" w:cs="Arial" w:eastAsia="Arial" w:hAnsi="Arial"/>
          <w:sz w:val="13"/>
          <w:szCs w:val="13"/>
          <w:color w:val="auto"/>
        </w:rPr>
        <w:t>Burn rate is calculated by dividing the total number of all awards granted to participants in each calendar year by the total common shares outstanding as of December 31st of the respective year.</w:t>
      </w:r>
    </w:p>
    <w:p>
      <w:pPr>
        <w:spacing w:after="0" w:line="191" w:lineRule="exact"/>
        <w:rPr>
          <w:sz w:val="20"/>
          <w:szCs w:val="20"/>
          <w:color w:val="auto"/>
        </w:rPr>
      </w:pPr>
    </w:p>
    <w:p>
      <w:pPr>
        <w:ind w:left="460" w:hanging="452"/>
        <w:spacing w:after="0"/>
        <w:tabs>
          <w:tab w:leader="none" w:pos="460" w:val="left"/>
        </w:tabs>
        <w:numPr>
          <w:ilvl w:val="0"/>
          <w:numId w:val="224"/>
        </w:numPr>
        <w:rPr>
          <w:rFonts w:ascii="Arial" w:cs="Arial" w:eastAsia="Arial" w:hAnsi="Arial"/>
          <w:sz w:val="13"/>
          <w:szCs w:val="13"/>
          <w:b w:val="1"/>
          <w:bCs w:val="1"/>
          <w:color w:val="105EAB"/>
        </w:rPr>
      </w:pPr>
      <w:r>
        <w:rPr>
          <w:rFonts w:ascii="Arial" w:cs="Arial" w:eastAsia="Arial" w:hAnsi="Arial"/>
          <w:sz w:val="13"/>
          <w:szCs w:val="13"/>
          <w:color w:val="105EAB"/>
        </w:rPr>
        <w:t>www.allstateproxy.com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134620</wp:posOffset>
            </wp:positionV>
            <wp:extent cx="7268210" cy="209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jc w:val="right"/>
        <w:ind w:right="20"/>
        <w:spacing w:after="0"/>
        <w:rPr>
          <w:sz w:val="20"/>
          <w:szCs w:val="20"/>
          <w:color w:val="auto"/>
        </w:rPr>
      </w:pPr>
      <w:r>
        <w:rPr>
          <w:rFonts w:ascii="Arial" w:cs="Arial" w:eastAsia="Arial" w:hAnsi="Arial"/>
          <w:sz w:val="13"/>
          <w:szCs w:val="13"/>
          <w:b w:val="1"/>
          <w:bCs w:val="1"/>
          <w:color w:val="auto"/>
        </w:rPr>
        <w:t xml:space="preserve">Other Key Features of the Plan </w:t>
      </w:r>
      <w:r>
        <w:rPr>
          <w:rFonts w:ascii="Arial" w:cs="Arial" w:eastAsia="Arial" w:hAnsi="Arial"/>
          <w:sz w:val="13"/>
          <w:szCs w:val="13"/>
          <w:b w:val="1"/>
          <w:bCs w:val="1"/>
          <w:color w:val="105EAB"/>
        </w:rPr>
        <w:t>| Equity Incentive Plan</w:t>
      </w:r>
    </w:p>
    <w:p>
      <w:pPr>
        <w:spacing w:after="0" w:line="217" w:lineRule="exact"/>
        <w:rPr>
          <w:sz w:val="20"/>
          <w:szCs w:val="20"/>
          <w:color w:val="auto"/>
        </w:rPr>
      </w:pPr>
    </w:p>
    <w:p>
      <w:pPr>
        <w:ind w:right="620"/>
        <w:spacing w:after="0" w:line="259" w:lineRule="auto"/>
        <w:rPr>
          <w:sz w:val="20"/>
          <w:szCs w:val="20"/>
          <w:color w:val="auto"/>
        </w:rPr>
      </w:pPr>
      <w:r>
        <w:rPr>
          <w:rFonts w:ascii="Arial" w:cs="Arial" w:eastAsia="Arial" w:hAnsi="Arial"/>
          <w:sz w:val="18"/>
          <w:szCs w:val="18"/>
          <w:i w:val="1"/>
          <w:iCs w:val="1"/>
          <w:color w:val="auto"/>
        </w:rPr>
        <w:t>Total Potential Dilution</w:t>
      </w:r>
      <w:r>
        <w:rPr>
          <w:rFonts w:ascii="Arial" w:cs="Arial" w:eastAsia="Arial" w:hAnsi="Arial"/>
          <w:sz w:val="18"/>
          <w:szCs w:val="18"/>
          <w:color w:val="auto"/>
        </w:rPr>
        <w:t>. The committee and Board considered the potential stockholder dilution represented by outstanding employee equity</w:t>
      </w:r>
      <w:r>
        <w:rPr>
          <w:rFonts w:ascii="Arial" w:cs="Arial" w:eastAsia="Arial" w:hAnsi="Arial"/>
          <w:sz w:val="18"/>
          <w:szCs w:val="18"/>
          <w:i w:val="1"/>
          <w:iCs w:val="1"/>
          <w:color w:val="auto"/>
        </w:rPr>
        <w:t xml:space="preserve"> </w:t>
      </w:r>
      <w:r>
        <w:rPr>
          <w:rFonts w:ascii="Arial" w:cs="Arial" w:eastAsia="Arial" w:hAnsi="Arial"/>
          <w:sz w:val="18"/>
          <w:szCs w:val="18"/>
          <w:color w:val="auto"/>
        </w:rPr>
        <w:t>awards and shares available for future grants. Basic dilution is calculated as shown below.</w:t>
      </w:r>
    </w:p>
    <w:p>
      <w:pPr>
        <w:sectPr>
          <w:pgSz w:w="11900" w:h="16838" w:orient="portrait"/>
          <w:cols w:equalWidth="0" w:num="1">
            <w:col w:w="11440"/>
          </w:cols>
          <w:pgMar w:left="240" w:top="121" w:right="219" w:bottom="1440" w:gutter="0" w:footer="0" w:header="0"/>
        </w:sectPr>
      </w:pPr>
    </w:p>
    <w:p>
      <w:pPr>
        <w:spacing w:after="0" w:line="318" w:lineRule="exact"/>
        <w:rPr>
          <w:sz w:val="20"/>
          <w:szCs w:val="20"/>
          <w:color w:val="auto"/>
        </w:rPr>
      </w:pPr>
    </w:p>
    <w:p>
      <w:pPr>
        <w:ind w:right="280"/>
        <w:spacing w:after="0" w:line="327" w:lineRule="auto"/>
        <w:rPr>
          <w:sz w:val="20"/>
          <w:szCs w:val="20"/>
          <w:color w:val="auto"/>
        </w:rPr>
      </w:pPr>
      <w:r>
        <w:rPr>
          <w:rFonts w:ascii="Arial" w:cs="Arial" w:eastAsia="Arial" w:hAnsi="Arial"/>
          <w:sz w:val="16"/>
          <w:szCs w:val="16"/>
          <w:b w:val="1"/>
          <w:bCs w:val="1"/>
          <w:color w:val="39B6E9"/>
        </w:rPr>
        <w:t>Total Potential Dilution (or Overhang)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1384300</wp:posOffset>
            </wp:positionH>
            <wp:positionV relativeFrom="paragraph">
              <wp:posOffset>-168910</wp:posOffset>
            </wp:positionV>
            <wp:extent cx="162560" cy="9398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62560" cy="939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jc w:val="center"/>
        <w:ind w:right="220"/>
        <w:spacing w:after="0" w:line="258" w:lineRule="auto"/>
        <w:rPr>
          <w:sz w:val="20"/>
          <w:szCs w:val="20"/>
          <w:color w:val="auto"/>
        </w:rPr>
      </w:pPr>
      <w:r>
        <w:rPr>
          <w:rFonts w:ascii="Arial" w:cs="Arial" w:eastAsia="Arial" w:hAnsi="Arial"/>
          <w:sz w:val="13"/>
          <w:szCs w:val="13"/>
          <w:color w:val="auto"/>
        </w:rPr>
        <w:t>(shares currently available under the Plan) + (shares to be issued on exercise or conversion of outstanding equity awards under the Plan) + (additional shares proposed to be authorized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1905</wp:posOffset>
            </wp:positionV>
            <wp:extent cx="553339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5533390" cy="8255"/>
                    </a:xfrm>
                    <a:prstGeom prst="rect">
                      <a:avLst/>
                    </a:prstGeom>
                    <a:noFill/>
                  </pic:spPr>
                </pic:pic>
              </a:graphicData>
            </a:graphic>
          </wp:anchor>
        </w:drawing>
      </w:r>
    </w:p>
    <w:p>
      <w:pPr>
        <w:spacing w:after="0" w:line="104" w:lineRule="exact"/>
        <w:rPr>
          <w:sz w:val="20"/>
          <w:szCs w:val="20"/>
          <w:color w:val="auto"/>
        </w:rPr>
      </w:pPr>
    </w:p>
    <w:p>
      <w:pPr>
        <w:ind w:left="1400"/>
        <w:spacing w:after="0"/>
        <w:rPr>
          <w:sz w:val="20"/>
          <w:szCs w:val="20"/>
          <w:color w:val="auto"/>
        </w:rPr>
      </w:pPr>
      <w:r>
        <w:rPr>
          <w:rFonts w:ascii="Arial" w:cs="Arial" w:eastAsia="Arial" w:hAnsi="Arial"/>
          <w:sz w:val="13"/>
          <w:szCs w:val="13"/>
          <w:color w:val="auto"/>
        </w:rPr>
        <w:t>Total number of issued and outstanding shares of common stock (excluding treasury shares)</w:t>
      </w:r>
    </w:p>
    <w:p>
      <w:pPr>
        <w:spacing w:after="0" w:line="209" w:lineRule="exact"/>
        <w:rPr>
          <w:sz w:val="20"/>
          <w:szCs w:val="20"/>
          <w:color w:val="auto"/>
        </w:rPr>
      </w:pPr>
    </w:p>
    <w:p>
      <w:pPr>
        <w:sectPr>
          <w:pgSz w:w="11900" w:h="16838" w:orient="portrait"/>
          <w:cols w:equalWidth="0" w:num="2">
            <w:col w:w="2180" w:space="720"/>
            <w:col w:w="8540"/>
          </w:cols>
          <w:pgMar w:left="240" w:top="121" w:right="219" w:bottom="1440" w:gutter="0" w:footer="0" w:header="0"/>
          <w:type w:val="continuous"/>
        </w:sectPr>
      </w:pPr>
    </w:p>
    <w:p>
      <w:pPr>
        <w:spacing w:after="0" w:line="103" w:lineRule="exact"/>
        <w:rPr>
          <w:sz w:val="20"/>
          <w:szCs w:val="20"/>
          <w:color w:val="auto"/>
        </w:rPr>
      </w:pPr>
    </w:p>
    <w:p>
      <w:pPr>
        <w:jc w:val="both"/>
        <w:ind w:right="320"/>
        <w:spacing w:after="0" w:line="237" w:lineRule="auto"/>
        <w:rPr>
          <w:sz w:val="20"/>
          <w:szCs w:val="20"/>
          <w:color w:val="auto"/>
        </w:rPr>
      </w:pPr>
      <w:r>
        <w:rPr>
          <w:rFonts w:ascii="Arial" w:cs="Arial" w:eastAsia="Arial" w:hAnsi="Arial"/>
          <w:sz w:val="18"/>
          <w:szCs w:val="18"/>
          <w:color w:val="auto"/>
        </w:rPr>
        <w:t>Prior to any additional shares authorized under the Plan, total potential dilution is 7.8% as of March 1st, 2019. By adding the 13,400,000 shares proposed to be authorized under the Plan, total potential dilution increases to 11.8% which is lower than the industry thresholds established by major proxy advisory firms and institutional investors.</w:t>
      </w:r>
    </w:p>
    <w:p>
      <w:pPr>
        <w:spacing w:after="0" w:line="175" w:lineRule="exact"/>
        <w:rPr>
          <w:sz w:val="20"/>
          <w:szCs w:val="20"/>
          <w:color w:val="auto"/>
        </w:rPr>
      </w:pPr>
    </w:p>
    <w:p>
      <w:pPr>
        <w:spacing w:after="0"/>
        <w:rPr>
          <w:sz w:val="20"/>
          <w:szCs w:val="20"/>
          <w:color w:val="auto"/>
        </w:rPr>
      </w:pPr>
      <w:r>
        <w:rPr>
          <w:rFonts w:ascii="Arial" w:cs="Arial" w:eastAsia="Arial" w:hAnsi="Arial"/>
          <w:sz w:val="31"/>
          <w:szCs w:val="31"/>
          <w:b w:val="1"/>
          <w:bCs w:val="1"/>
          <w:color w:val="959595"/>
        </w:rPr>
        <w:t>Other Key Features of the Plan</w:t>
      </w:r>
    </w:p>
    <w:p>
      <w:pPr>
        <w:spacing w:after="0" w:line="258" w:lineRule="exact"/>
        <w:rPr>
          <w:sz w:val="20"/>
          <w:szCs w:val="20"/>
          <w:color w:val="auto"/>
        </w:rPr>
      </w:pPr>
    </w:p>
    <w:p>
      <w:pPr>
        <w:ind w:right="960"/>
        <w:spacing w:after="0" w:line="239" w:lineRule="auto"/>
        <w:rPr>
          <w:sz w:val="20"/>
          <w:szCs w:val="20"/>
          <w:color w:val="auto"/>
        </w:rPr>
      </w:pPr>
      <w:r>
        <w:rPr>
          <w:rFonts w:ascii="Arial" w:cs="Arial" w:eastAsia="Arial" w:hAnsi="Arial"/>
          <w:sz w:val="18"/>
          <w:szCs w:val="18"/>
          <w:color w:val="auto"/>
        </w:rPr>
        <w:t>The Plan, as approved by the committee and the Board, makes certain changes to the 2013 plan, intended to reflect compensation and governance best practices or to conform the terms to current practice, including:</w:t>
      </w:r>
    </w:p>
    <w:p>
      <w:pPr>
        <w:spacing w:after="0" w:line="204" w:lineRule="exact"/>
        <w:rPr>
          <w:sz w:val="20"/>
          <w:szCs w:val="20"/>
          <w:color w:val="auto"/>
        </w:rPr>
      </w:pPr>
    </w:p>
    <w:p>
      <w:pPr>
        <w:ind w:left="340" w:right="60" w:hanging="332"/>
        <w:spacing w:after="0" w:line="236" w:lineRule="auto"/>
        <w:tabs>
          <w:tab w:leader="none" w:pos="340" w:val="left"/>
        </w:tabs>
        <w:numPr>
          <w:ilvl w:val="0"/>
          <w:numId w:val="225"/>
        </w:numPr>
        <w:rPr>
          <w:rFonts w:ascii="Arial" w:cs="Arial" w:eastAsia="Arial" w:hAnsi="Arial"/>
          <w:sz w:val="17"/>
          <w:szCs w:val="17"/>
          <w:color w:val="105EAB"/>
        </w:rPr>
      </w:pPr>
      <w:r>
        <w:rPr>
          <w:rFonts w:ascii="Arial" w:cs="Arial" w:eastAsia="Arial" w:hAnsi="Arial"/>
          <w:sz w:val="18"/>
          <w:szCs w:val="18"/>
          <w:color w:val="auto"/>
        </w:rPr>
        <w:t>162(m) Provisions: Section 162(m) of the Internal Revenue Code of 1986, as amended (the “Code”), allowed performance-based compensation that met certain requirements to be tax deductible, regardless of amount, prior to the Tax Cuts and Jobs Act of 2017 (the “Tax Legislation”). This qualified performance-based compensation exception was repealed as part of the Tax Legislation. We have amended certain provisions of the Plan that were required for awards to qualify as performance-based compensation under the 162(m) exception prior to the effective date of the relevant repeal provisions under the Tax Legislation for awards granted on a going forward basis. Certain awards granted prior to November 2, 2017, may be eligible for grandfathered treatment under the Tax Legislation and may be subject to certain limited transition relief. Because of the importance of linking pay and performance, the Company continues to grant performance stock awards, subject to performance conditions.</w:t>
      </w:r>
    </w:p>
    <w:p>
      <w:pPr>
        <w:spacing w:after="0" w:line="98" w:lineRule="exact"/>
        <w:rPr>
          <w:rFonts w:ascii="Arial" w:cs="Arial" w:eastAsia="Arial" w:hAnsi="Arial"/>
          <w:sz w:val="17"/>
          <w:szCs w:val="17"/>
          <w:color w:val="105EAB"/>
        </w:rPr>
      </w:pPr>
    </w:p>
    <w:p>
      <w:pPr>
        <w:ind w:left="340" w:right="280" w:hanging="332"/>
        <w:spacing w:after="0"/>
        <w:tabs>
          <w:tab w:leader="none" w:pos="340" w:val="left"/>
        </w:tabs>
        <w:numPr>
          <w:ilvl w:val="0"/>
          <w:numId w:val="225"/>
        </w:numPr>
        <w:rPr>
          <w:rFonts w:ascii="Arial" w:cs="Arial" w:eastAsia="Arial" w:hAnsi="Arial"/>
          <w:sz w:val="17"/>
          <w:szCs w:val="17"/>
          <w:color w:val="105EAB"/>
        </w:rPr>
      </w:pPr>
      <w:r>
        <w:rPr>
          <w:rFonts w:ascii="Arial" w:cs="Arial" w:eastAsia="Arial" w:hAnsi="Arial"/>
          <w:sz w:val="18"/>
          <w:szCs w:val="18"/>
          <w:color w:val="auto"/>
        </w:rPr>
        <w:t>Double Trigger Change in Control Vesting: Although awards previously granted under the Plan had double-trigger vesting provisions, the Plan has been revised to allow only double-trigger acceleration of the vesting, exercisability of, or the lapse of restrictions or deemed satisfaction of performance goals for awards that continue after a change in control.</w:t>
      </w:r>
    </w:p>
    <w:p>
      <w:pPr>
        <w:spacing w:after="0" w:line="171" w:lineRule="exact"/>
        <w:rPr>
          <w:sz w:val="20"/>
          <w:szCs w:val="20"/>
          <w:color w:val="auto"/>
        </w:rPr>
      </w:pPr>
    </w:p>
    <w:p>
      <w:pPr>
        <w:spacing w:after="0"/>
        <w:rPr>
          <w:sz w:val="20"/>
          <w:szCs w:val="20"/>
          <w:color w:val="auto"/>
        </w:rPr>
      </w:pPr>
      <w:r>
        <w:rPr>
          <w:rFonts w:ascii="Arial" w:cs="Arial" w:eastAsia="Arial" w:hAnsi="Arial"/>
          <w:sz w:val="31"/>
          <w:szCs w:val="31"/>
          <w:b w:val="1"/>
          <w:bCs w:val="1"/>
          <w:color w:val="959595"/>
        </w:rPr>
        <w:t>Summary of 2019 Equity Incentive Plan</w:t>
      </w:r>
    </w:p>
    <w:p>
      <w:pPr>
        <w:spacing w:after="0" w:line="258"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The following is a summary of the material features of the Plan. This summary is qualified in its entirety by reference to Appendix D, which contains the complete text of the Plan.</w:t>
      </w:r>
    </w:p>
    <w:p>
      <w:pPr>
        <w:spacing w:after="0" w:line="175" w:lineRule="exact"/>
        <w:rPr>
          <w:sz w:val="20"/>
          <w:szCs w:val="20"/>
          <w:color w:val="auto"/>
        </w:rPr>
      </w:pPr>
    </w:p>
    <w:p>
      <w:pPr>
        <w:spacing w:after="0"/>
        <w:rPr>
          <w:sz w:val="20"/>
          <w:szCs w:val="20"/>
          <w:color w:val="auto"/>
        </w:rPr>
      </w:pPr>
      <w:r>
        <w:rPr>
          <w:rFonts w:ascii="Arial" w:cs="Arial" w:eastAsia="Arial" w:hAnsi="Arial"/>
          <w:sz w:val="25"/>
          <w:szCs w:val="25"/>
          <w:b w:val="1"/>
          <w:bCs w:val="1"/>
          <w:color w:val="105EAB"/>
        </w:rPr>
        <w:t>Administration</w:t>
      </w:r>
    </w:p>
    <w:p>
      <w:pPr>
        <w:spacing w:after="0" w:line="259"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The Plan provides that the committee or another committee appointed by the Board consisting solely of two or more non-employee members of the Board will administer the Plan. Because the committee is currently performing administration duties, throughout the following discussion we refer to the administrator as the committee. The committee has full and final authority and discretion under the Plan to determine eligibility and types and terms of awards and to interpret and administer the Plan. In 2008 the Board delegated to the equity award committee, consisting of the person who at any time holds the office of CEO provided such person is an Allstate director, the authority to grant restricted stock units and nonqualified stock options to eligible employees who are not subject to Section 16 of the Securities Exchange Act of 1934, in certain new hire situations, in connection with promotions, and to recognize key contributions that occur between regularly scheduled committee meetings. This authority was extended to performance stock awards in 2016.</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1120" w:type="dxa"/>
            <w:vAlign w:val="bottom"/>
          </w:tcPr>
          <w:p>
            <w:pPr>
              <w:ind w:left="9640"/>
              <w:spacing w:after="0"/>
              <w:rPr>
                <w:sz w:val="20"/>
                <w:szCs w:val="20"/>
                <w:color w:val="auto"/>
              </w:rPr>
            </w:pPr>
            <w:r>
              <w:rPr>
                <w:rFonts w:ascii="Arial" w:cs="Arial" w:eastAsia="Arial" w:hAnsi="Arial"/>
                <w:sz w:val="13"/>
                <w:szCs w:val="13"/>
                <w:color w:val="105EAB"/>
              </w:rPr>
              <w:t>2019 Proxy Statement</w:t>
            </w:r>
          </w:p>
        </w:tc>
        <w:tc>
          <w:tcPr>
            <w:tcW w:w="320" w:type="dxa"/>
            <w:vAlign w:val="bottom"/>
          </w:tcPr>
          <w:p>
            <w:pPr>
              <w:jc w:val="right"/>
              <w:spacing w:after="0"/>
              <w:rPr>
                <w:sz w:val="20"/>
                <w:szCs w:val="20"/>
                <w:color w:val="auto"/>
              </w:rPr>
            </w:pPr>
            <w:r>
              <w:rPr>
                <w:rFonts w:ascii="Arial" w:cs="Arial" w:eastAsia="Arial" w:hAnsi="Arial"/>
                <w:sz w:val="13"/>
                <w:szCs w:val="13"/>
                <w:b w:val="1"/>
                <w:bCs w:val="1"/>
                <w:color w:val="105EAB"/>
              </w:rPr>
              <w:t>73</w:t>
            </w:r>
          </w:p>
        </w:tc>
      </w:tr>
      <w:tr>
        <w:trPr>
          <w:trHeight w:val="213"/>
        </w:trPr>
        <w:tc>
          <w:tcPr>
            <w:tcW w:w="1112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-13970</wp:posOffset>
            </wp:positionV>
            <wp:extent cx="1270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type w:val="continuous"/>
        </w:sectPr>
      </w:pPr>
    </w:p>
    <w:bookmarkStart w:id="74" w:name="page75"/>
    <w:bookmarkEnd w:id="74"/>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b w:val="1"/>
          <w:bCs w:val="1"/>
          <w:color w:val="105EAB"/>
        </w:rPr>
        <w:t xml:space="preserve">Equity Incentive Plan | </w:t>
      </w:r>
      <w:r>
        <w:rPr>
          <w:rFonts w:ascii="Arial" w:cs="Arial" w:eastAsia="Arial" w:hAnsi="Arial"/>
          <w:sz w:val="13"/>
          <w:szCs w:val="13"/>
          <w:b w:val="1"/>
          <w:bCs w:val="1"/>
          <w:color w:val="000000"/>
        </w:rPr>
        <w:t>Summary of 2019 Equity Incentive Plan</w:t>
      </w:r>
    </w:p>
    <w:p>
      <w:pPr>
        <w:spacing w:after="0" w:line="201" w:lineRule="exact"/>
        <w:rPr>
          <w:sz w:val="20"/>
          <w:szCs w:val="20"/>
          <w:color w:val="auto"/>
        </w:rPr>
      </w:pPr>
    </w:p>
    <w:p>
      <w:pPr>
        <w:spacing w:after="0"/>
        <w:rPr>
          <w:sz w:val="20"/>
          <w:szCs w:val="20"/>
          <w:color w:val="auto"/>
        </w:rPr>
      </w:pPr>
      <w:r>
        <w:rPr>
          <w:rFonts w:ascii="Arial" w:cs="Arial" w:eastAsia="Arial" w:hAnsi="Arial"/>
          <w:sz w:val="25"/>
          <w:szCs w:val="25"/>
          <w:b w:val="1"/>
          <w:bCs w:val="1"/>
          <w:color w:val="105EAB"/>
        </w:rPr>
        <w:t>Prohibition on Repricing and Buy-Outs of Options and Stock Appreciation Rights</w:t>
      </w:r>
    </w:p>
    <w:p>
      <w:pPr>
        <w:spacing w:after="0" w:line="25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Without stockholder approval, the committee may not amend outstanding options or SARs to reduce the exercise price or base value of the award, cancel options or SARs in exchange for other awards or options or SARs with an exercise price or base value that is less than the exercise price or base value of the original options or SARs, or cancel options or SARs when the exercise price or base value exceeds the fair market value of shares of common stock in exchange for either cash or other securities, except in connection with a change in control or a corporate transaction involving Allstate, including, for example, a stock dividend, stock split, spin off, rights offering, recapitalization through a large, nonrecurring cash dividend, or other transaction or event described in the Plan’s award adjustment provisions.</w:t>
      </w:r>
    </w:p>
    <w:p>
      <w:pPr>
        <w:spacing w:after="0" w:line="175" w:lineRule="exact"/>
        <w:rPr>
          <w:sz w:val="20"/>
          <w:szCs w:val="20"/>
          <w:color w:val="auto"/>
        </w:rPr>
      </w:pPr>
    </w:p>
    <w:p>
      <w:pPr>
        <w:spacing w:after="0"/>
        <w:rPr>
          <w:sz w:val="20"/>
          <w:szCs w:val="20"/>
          <w:color w:val="auto"/>
        </w:rPr>
      </w:pPr>
      <w:r>
        <w:rPr>
          <w:rFonts w:ascii="Arial" w:cs="Arial" w:eastAsia="Arial" w:hAnsi="Arial"/>
          <w:sz w:val="25"/>
          <w:szCs w:val="25"/>
          <w:b w:val="1"/>
          <w:bCs w:val="1"/>
          <w:color w:val="105EAB"/>
        </w:rPr>
        <w:t>Eligibility</w:t>
      </w:r>
    </w:p>
    <w:p>
      <w:pPr>
        <w:spacing w:after="0" w:line="259"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Awards may be made to any of our employees or employees of any of our subsidiaries, approximately 46,700 people, who are on the payroll system of Allstate or any of its subsidiaries and who are not covered by a collective bargaining agreement, including 12 executive officers of Allstate. Independent contractors, consultants or any employees of an employment, consulting or temporary agency, or of any entity other than the Company or one of its subsidiaries, are not eligible to participate in the Plan. In determining which employees will receive awards, the committee will consider such factors as it deems relevant to promote the purposes of the Plan. In 2019, we anticipate that approximately 1,000 employees, including 12 executive officers, will receive awards under the Plan.</w:t>
      </w:r>
    </w:p>
    <w:p>
      <w:pPr>
        <w:spacing w:after="0" w:line="175" w:lineRule="exact"/>
        <w:rPr>
          <w:sz w:val="20"/>
          <w:szCs w:val="20"/>
          <w:color w:val="auto"/>
        </w:rPr>
      </w:pPr>
    </w:p>
    <w:p>
      <w:pPr>
        <w:spacing w:after="0"/>
        <w:rPr>
          <w:sz w:val="20"/>
          <w:szCs w:val="20"/>
          <w:color w:val="auto"/>
        </w:rPr>
      </w:pPr>
      <w:r>
        <w:rPr>
          <w:rFonts w:ascii="Arial" w:cs="Arial" w:eastAsia="Arial" w:hAnsi="Arial"/>
          <w:sz w:val="25"/>
          <w:szCs w:val="25"/>
          <w:b w:val="1"/>
          <w:bCs w:val="1"/>
          <w:color w:val="105EAB"/>
        </w:rPr>
        <w:t>Types of Awards</w:t>
      </w:r>
    </w:p>
    <w:p>
      <w:pPr>
        <w:spacing w:after="0" w:line="259"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Awards may be in the form of stock options, SARs, unrestricted stock, restricted stock, restricted stock units, performance units, performance stock, and other awards including the payment of stock in lieu of cash under other incentive or bonus programs or otherwise and payment of cash based on attainment of performance goals. Share-based awards relate to shares of common stock. To date, only nonqualified stock options, restricted stock, restricted stock units, and performance stock have been granted under the Plan.</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39B6E9"/>
        </w:rPr>
        <w:t>Stock Options</w:t>
      </w:r>
    </w:p>
    <w:p>
      <w:pPr>
        <w:spacing w:after="0" w:line="232"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 Plan permits the committee to grant nonqualified options and incentive stock options. To date, only nonqualified options have been granted under the Plan. Subject to the limits in the Plan, the committee has discretion to determine the number of options to be awarded and the terms and conditions of the awards. Each award is evidenced by an agreement that specifies the number of shares subject to the award, the exercise price, the option term and exercise periods, the vesting schedule, and other terms the committee may deem appropriate such as provisions relating to a change in control and vesting and forfeiture upon a participant’s termination of employment. No dividend equivalents may be provided with respect to options.</w:t>
      </w:r>
    </w:p>
    <w:p>
      <w:pPr>
        <w:spacing w:after="0" w:line="209" w:lineRule="exact"/>
        <w:rPr>
          <w:sz w:val="20"/>
          <w:szCs w:val="20"/>
          <w:color w:val="auto"/>
        </w:rPr>
      </w:pPr>
    </w:p>
    <w:p>
      <w:pPr>
        <w:jc w:val="both"/>
        <w:ind w:right="280"/>
        <w:spacing w:after="0" w:line="237" w:lineRule="auto"/>
        <w:rPr>
          <w:sz w:val="20"/>
          <w:szCs w:val="20"/>
          <w:color w:val="auto"/>
        </w:rPr>
      </w:pPr>
      <w:r>
        <w:rPr>
          <w:rFonts w:ascii="Arial" w:cs="Arial" w:eastAsia="Arial" w:hAnsi="Arial"/>
          <w:sz w:val="18"/>
          <w:szCs w:val="18"/>
          <w:color w:val="auto"/>
        </w:rPr>
        <w:t>The option exercise price may not be less than the fair market value of a share of common stock on the grant date, and the option term may not exceed ten years. Options may be exercised by delivery of a notice of intent to purchase a specific number of shares. Payment may be made in cash or its equivalent, by tendering previously acquired shares of common stock, by share withholding, by means of a broker-assisted cashless exercise, or any combination of the foregoing.</w:t>
      </w:r>
    </w:p>
    <w:p>
      <w:pPr>
        <w:spacing w:after="0" w:line="20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Options may not be granted with a reload feature, which entitles the option holder to receive additional options when exercising options by tendering shares. The committee may not reprice any options without stockholder approval, including the cancellation of options in exchange for options with a lower exercise price or for cash or other securities (other than in connection with certain corporate transactions involving Allstate or a change in control).</w:t>
      </w:r>
    </w:p>
    <w:p>
      <w:pPr>
        <w:spacing w:after="0" w:line="204" w:lineRule="exact"/>
        <w:rPr>
          <w:sz w:val="20"/>
          <w:szCs w:val="20"/>
          <w:color w:val="auto"/>
        </w:rPr>
      </w:pPr>
    </w:p>
    <w:p>
      <w:pPr>
        <w:ind w:left="460" w:hanging="452"/>
        <w:spacing w:after="0"/>
        <w:tabs>
          <w:tab w:leader="none" w:pos="460" w:val="left"/>
        </w:tabs>
        <w:numPr>
          <w:ilvl w:val="0"/>
          <w:numId w:val="226"/>
        </w:numPr>
        <w:rPr>
          <w:rFonts w:ascii="Arial" w:cs="Arial" w:eastAsia="Arial" w:hAnsi="Arial"/>
          <w:sz w:val="13"/>
          <w:szCs w:val="13"/>
          <w:b w:val="1"/>
          <w:bCs w:val="1"/>
          <w:color w:val="105EAB"/>
        </w:rPr>
      </w:pPr>
      <w:r>
        <w:rPr>
          <w:rFonts w:ascii="Arial" w:cs="Arial" w:eastAsia="Arial" w:hAnsi="Arial"/>
          <w:sz w:val="13"/>
          <w:szCs w:val="13"/>
          <w:color w:val="105EAB"/>
        </w:rPr>
        <w:t>www.allstateproxy.com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134620</wp:posOffset>
            </wp:positionV>
            <wp:extent cx="7268210" cy="209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jc w:val="right"/>
        <w:ind w:right="20"/>
        <w:spacing w:after="0"/>
        <w:rPr>
          <w:sz w:val="20"/>
          <w:szCs w:val="20"/>
          <w:color w:val="auto"/>
        </w:rPr>
      </w:pPr>
      <w:r>
        <w:rPr>
          <w:rFonts w:ascii="Arial" w:cs="Arial" w:eastAsia="Arial" w:hAnsi="Arial"/>
          <w:sz w:val="13"/>
          <w:szCs w:val="13"/>
          <w:b w:val="1"/>
          <w:bCs w:val="1"/>
          <w:color w:val="auto"/>
        </w:rPr>
        <w:t xml:space="preserve">Summary of 2019 Equity Incentive Plan </w:t>
      </w:r>
      <w:r>
        <w:rPr>
          <w:rFonts w:ascii="Arial" w:cs="Arial" w:eastAsia="Arial" w:hAnsi="Arial"/>
          <w:sz w:val="13"/>
          <w:szCs w:val="13"/>
          <w:b w:val="1"/>
          <w:bCs w:val="1"/>
          <w:color w:val="105EAB"/>
        </w:rPr>
        <w:t>| Equity Incentive Plan</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39B6E9"/>
        </w:rPr>
        <w:t>Unrestricted Stock, Restricted Stock, and Restricted Stock Units</w:t>
      </w:r>
    </w:p>
    <w:p>
      <w:pPr>
        <w:spacing w:after="0" w:line="232"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The committee may also award restricted and unrestricted shares of common stock and restricted stock units. Subject to the limits in the Plan, the committee has discretion to determine the number of shares or units to be awarded and the terms and conditions of the awards. The right to vest or receive distributions or payments with respect to restricted stock and restricted stock unit awards may be conditioned upon attainment of performance goals or continued service. Each award is evidenced by an agreement that specifies the number of shares or units being awarded, any restrictions or vesting conditions, any applicable performance goals, and other terms the committee may deem appropriate such as provisions relating to a change in control and a participant’s termination of employment.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Restricted stock units may be settled in shares of common stock or cash of equal value, or a combination of stock and cash.</w:t>
      </w:r>
    </w:p>
    <w:p>
      <w:pPr>
        <w:spacing w:after="0" w:line="211" w:lineRule="exact"/>
        <w:rPr>
          <w:sz w:val="20"/>
          <w:szCs w:val="20"/>
          <w:color w:val="auto"/>
        </w:rPr>
      </w:pPr>
    </w:p>
    <w:p>
      <w:pPr>
        <w:ind w:right="60"/>
        <w:spacing w:after="0" w:line="269" w:lineRule="auto"/>
        <w:rPr>
          <w:sz w:val="20"/>
          <w:szCs w:val="20"/>
          <w:color w:val="auto"/>
        </w:rPr>
      </w:pPr>
      <w:r>
        <w:rPr>
          <w:rFonts w:ascii="Arial" w:cs="Arial" w:eastAsia="Arial" w:hAnsi="Arial"/>
          <w:sz w:val="16"/>
          <w:szCs w:val="16"/>
          <w:color w:val="auto"/>
        </w:rPr>
        <w:t>During the restricted period, except pursuant to a domestic relations order or as otherwise determined by the committee, restricted stock and restricted stock units may not be sold, transferred, pledged, assigned, or otherwise alienated or hypothecated. Employees holding restricted stock may exercise full voting rights with respect to those shares during the restriction period and, subject to the committee’s right to determine otherwise at the time of grant, will receive regular cash dividends on restricted stock held during the restricted period after vesting. The committee may include dividend equivalent rights on awards of restricted stock units, any dividend equivalents to be paid following vesting. With respect to any restricted stock or restricted stock unit awards with performance-based vesting, any dividends or dividend equivalent rights based on the performance-based vesting of such awards are only paid to the participant upon satisfaction of the performance-based vesting conditions.</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color w:val="39B6E9"/>
        </w:rPr>
        <w:t>Performance Units and Performance Stock</w:t>
      </w:r>
    </w:p>
    <w:p>
      <w:pPr>
        <w:spacing w:after="0" w:line="232" w:lineRule="exact"/>
        <w:rPr>
          <w:sz w:val="20"/>
          <w:szCs w:val="20"/>
          <w:color w:val="auto"/>
        </w:rPr>
      </w:pPr>
    </w:p>
    <w:p>
      <w:pPr>
        <w:ind w:right="80"/>
        <w:spacing w:after="0" w:line="267" w:lineRule="auto"/>
        <w:rPr>
          <w:sz w:val="20"/>
          <w:szCs w:val="20"/>
          <w:color w:val="auto"/>
        </w:rPr>
      </w:pPr>
      <w:r>
        <w:rPr>
          <w:rFonts w:ascii="Arial" w:cs="Arial" w:eastAsia="Arial" w:hAnsi="Arial"/>
          <w:sz w:val="16"/>
          <w:szCs w:val="16"/>
          <w:color w:val="auto"/>
        </w:rPr>
        <w:t>The committee may also award performance units and performance stock awards. Subject to the limits in the Plan, the committee has discretion to determine the number of performance units and performance stock awards to be awarded and the terms and conditions of the awards, including the applicable performance period and specific performance goals. The value of performance stock is based on the fair market value of a share of common stock. The value of a performance unit is determined in the discretion of the committee at the time of grant. The extent to which the performance goals are met during the performance periods established by the committee will determine the number and/or value of performance units or performance stock that will be paid to employees. Payment of the value of earned performance units or performance stock after the end of the performance period will be made in cash or stock having an aggregate fair market value equal to the value of the performance units or performance stock at the end of the performance period, or a combination of stock and cash. The awards may be granted subject to such other restrictions and terms as the committee determines. Each award is evidenced by an agreement that specifies the number of shares or units being awarded, any restrictions or vesting conditions, the performance goals, and any other terms the committee may deem appropriate such as provisions relating to a change in control and dividend equivalent rights. To date, no performance units have been granted under the Plan. Any dividends or dividend equivalent rights under such awards are paid to the participant only if the applicable performance goals are achieved.</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color w:val="39B6E9"/>
        </w:rPr>
        <w:t>Stock Appreciation Rights</w:t>
      </w:r>
    </w:p>
    <w:p>
      <w:pPr>
        <w:spacing w:after="0" w:line="232"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The Plan permits the committee to grant SARs. To date, no SARs have been granted under the Plan. Subject to the limits in the Plan, the committee has discretion to determine the number of SARs to be awarded and the terms and conditions of the awards. Each award is evidenced by an agreement that specifies the number of shares subject to the award, the base value of the award, the award’s term and exercise periods, the vesting schedule, and other terms the committee may deem appropriate such as provisions relating to a change in control and vesting and forfeiture upon a participant’s termination of employment. A SAR’s base value may not be less than the fair market value of a share of common stock on the grant date, and a stock appreciation right’s term may not exceed ten years. No dividend equivalents may be provided with respect to SARs.</w:t>
      </w:r>
    </w:p>
    <w:p>
      <w:pPr>
        <w:spacing w:after="0" w:line="207"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SARs may be granted alone or in tandem with options or in any combination of these forms. Upon exercise of a SAR, an employee will receive payment in an amount equal to the product of the excess of the fair market value of a share of common stock on the date of exercise over the base value multiplied by the number of shares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1120" w:type="dxa"/>
            <w:vAlign w:val="bottom"/>
          </w:tcPr>
          <w:p>
            <w:pPr>
              <w:ind w:left="9640"/>
              <w:spacing w:after="0"/>
              <w:rPr>
                <w:sz w:val="20"/>
                <w:szCs w:val="20"/>
                <w:color w:val="auto"/>
              </w:rPr>
            </w:pPr>
            <w:r>
              <w:rPr>
                <w:rFonts w:ascii="Arial" w:cs="Arial" w:eastAsia="Arial" w:hAnsi="Arial"/>
                <w:sz w:val="13"/>
                <w:szCs w:val="13"/>
                <w:color w:val="105EAB"/>
              </w:rPr>
              <w:t>2019 Proxy Statement</w:t>
            </w:r>
          </w:p>
        </w:tc>
        <w:tc>
          <w:tcPr>
            <w:tcW w:w="320" w:type="dxa"/>
            <w:vAlign w:val="bottom"/>
          </w:tcPr>
          <w:p>
            <w:pPr>
              <w:jc w:val="right"/>
              <w:spacing w:after="0"/>
              <w:rPr>
                <w:sz w:val="20"/>
                <w:szCs w:val="20"/>
                <w:color w:val="auto"/>
              </w:rPr>
            </w:pPr>
            <w:r>
              <w:rPr>
                <w:rFonts w:ascii="Arial" w:cs="Arial" w:eastAsia="Arial" w:hAnsi="Arial"/>
                <w:sz w:val="13"/>
                <w:szCs w:val="13"/>
                <w:b w:val="1"/>
                <w:bCs w:val="1"/>
                <w:color w:val="105EAB"/>
              </w:rPr>
              <w:t>75</w:t>
            </w:r>
          </w:p>
        </w:tc>
      </w:tr>
      <w:tr>
        <w:trPr>
          <w:trHeight w:val="213"/>
        </w:trPr>
        <w:tc>
          <w:tcPr>
            <w:tcW w:w="1112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-13970</wp:posOffset>
            </wp:positionV>
            <wp:extent cx="1270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b w:val="1"/>
          <w:bCs w:val="1"/>
          <w:color w:val="105EAB"/>
        </w:rPr>
        <w:t xml:space="preserve">Equity Incentive Plan | </w:t>
      </w:r>
      <w:r>
        <w:rPr>
          <w:rFonts w:ascii="Arial" w:cs="Arial" w:eastAsia="Arial" w:hAnsi="Arial"/>
          <w:sz w:val="13"/>
          <w:szCs w:val="13"/>
          <w:b w:val="1"/>
          <w:bCs w:val="1"/>
          <w:color w:val="000000"/>
        </w:rPr>
        <w:t>Summary of 2019 Equity Incentive Plan</w:t>
      </w:r>
    </w:p>
    <w:p>
      <w:pPr>
        <w:spacing w:after="0" w:line="235"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with respect to which the SAR is exercised. The committee may not reduce the base value of a SAR without stockholder approval, including canceling a SAR in exchange for an award with a lower base value or for cash or other securities (other than in connection with certain corporate transactions involving Allstate or a change in control).</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39B6E9"/>
        </w:rPr>
        <w:t>Other Awards</w:t>
      </w:r>
    </w:p>
    <w:p>
      <w:pPr>
        <w:spacing w:after="0" w:line="232"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The committee may grant other awards that may include the payment of stock in lieu of cash, including cash payable under other incentive or bonus programs, and the payment of cash based on attainment of performance goals established by the committee. None of these other awards have been granted to date under the Plan.</w:t>
      </w:r>
    </w:p>
    <w:p>
      <w:pPr>
        <w:spacing w:after="0" w:line="176" w:lineRule="exact"/>
        <w:rPr>
          <w:sz w:val="20"/>
          <w:szCs w:val="20"/>
          <w:color w:val="auto"/>
        </w:rPr>
      </w:pPr>
    </w:p>
    <w:p>
      <w:pPr>
        <w:spacing w:after="0"/>
        <w:rPr>
          <w:sz w:val="20"/>
          <w:szCs w:val="20"/>
          <w:color w:val="auto"/>
        </w:rPr>
      </w:pPr>
      <w:r>
        <w:rPr>
          <w:rFonts w:ascii="Arial" w:cs="Arial" w:eastAsia="Arial" w:hAnsi="Arial"/>
          <w:sz w:val="25"/>
          <w:szCs w:val="25"/>
          <w:b w:val="1"/>
          <w:bCs w:val="1"/>
          <w:color w:val="105EAB"/>
        </w:rPr>
        <w:t>Performance Goals</w:t>
      </w:r>
    </w:p>
    <w:p>
      <w:pPr>
        <w:spacing w:after="0" w:line="259"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Certain awards under the Plan may be based on achievement of performance goals. These goals are established by the committee and may be based on one or more of the following measures or such other measures as established by the committee: sales, revenues, premiums, financial product sales, earnings per share, book value, stockholder return and/or value, funds from operations, operating income, gross income, net income, combined ratio, underwriting income, cash flow, return on equity, return on capital, return on assets, values of assets, market share, net earnings, earnings before interest, operating ratios, expenses, stock price, customer satisfaction, customer retention, customer loyalty, strategic business criteria based on meeting specified revenue goals, market penetration goals, investment performance goals, business expansion goals or cost targets, accomplishment of mergers, acquisitions, dispositions, or similar extraordinary business transactions, profit returns and margins, financial return ratios, market performance, and/or risk-based capital goals or returns. Performance goals may be measured solely on a corporate, subsidiary, business unit, or other grouping basis, or a combination thereof, and may be before or after tax. Performance goals may reflect absolute entity performance or a relative comparison of entity performance to the performance of a peer group of entities or other external measure.</w:t>
      </w:r>
    </w:p>
    <w:p>
      <w:pPr>
        <w:spacing w:after="0" w:line="159" w:lineRule="exact"/>
        <w:rPr>
          <w:sz w:val="20"/>
          <w:szCs w:val="20"/>
          <w:color w:val="auto"/>
        </w:rPr>
      </w:pPr>
    </w:p>
    <w:p>
      <w:pPr>
        <w:spacing w:after="0"/>
        <w:rPr>
          <w:sz w:val="20"/>
          <w:szCs w:val="20"/>
          <w:color w:val="auto"/>
        </w:rPr>
      </w:pPr>
      <w:r>
        <w:rPr>
          <w:rFonts w:ascii="Arial" w:cs="Arial" w:eastAsia="Arial" w:hAnsi="Arial"/>
          <w:sz w:val="25"/>
          <w:szCs w:val="25"/>
          <w:b w:val="1"/>
          <w:bCs w:val="1"/>
          <w:color w:val="105EAB"/>
        </w:rPr>
        <w:t>Deferral</w:t>
      </w:r>
    </w:p>
    <w:p>
      <w:pPr>
        <w:spacing w:after="0" w:line="259"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 committee may, in its sole discretion, permit a participant to defer the receipt of the payment of cash or the delivery of stock that would otherwise be due to such participant under the Plan. If any such deferral election is permitted, the committee will establish rules and procedures for the deferrals consistent with Section 409A of the Code, to the extent applicable.</w:t>
      </w:r>
    </w:p>
    <w:p>
      <w:pPr>
        <w:spacing w:after="0" w:line="176" w:lineRule="exact"/>
        <w:rPr>
          <w:sz w:val="20"/>
          <w:szCs w:val="20"/>
          <w:color w:val="auto"/>
        </w:rPr>
      </w:pPr>
    </w:p>
    <w:p>
      <w:pPr>
        <w:spacing w:after="0"/>
        <w:rPr>
          <w:sz w:val="20"/>
          <w:szCs w:val="20"/>
          <w:color w:val="auto"/>
        </w:rPr>
      </w:pPr>
      <w:r>
        <w:rPr>
          <w:rFonts w:ascii="Arial" w:cs="Arial" w:eastAsia="Arial" w:hAnsi="Arial"/>
          <w:sz w:val="25"/>
          <w:szCs w:val="25"/>
          <w:b w:val="1"/>
          <w:bCs w:val="1"/>
          <w:color w:val="105EAB"/>
        </w:rPr>
        <w:t>Equity Incentive Plans of Foreign Subsidiaries</w:t>
      </w:r>
    </w:p>
    <w:p>
      <w:pPr>
        <w:spacing w:after="0" w:line="25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committee may authorize the adoption of sub-plans of the Plan, including as the committee deems necessary or desirable to comply with the laws of, or to accommodate the tax policy, accounting principles or custom of, foreign jurisdictions whose residents may be granted awards. In such case, such foreign sub-plans will have such terms and provisions as the committee permits not inconsistent with the provisions of the Plan and which may be more restrictive than those contained in the Plan. Awards granted under such foreign sub-plans are governed by the terms of the Plan except to the extent the provisions of the foreign sub-plans are more restrictive than the terms of the Plan, in which case such terms of the foreign sub-plans control.</w:t>
      </w:r>
    </w:p>
    <w:p>
      <w:pPr>
        <w:spacing w:after="0" w:line="175" w:lineRule="exact"/>
        <w:rPr>
          <w:sz w:val="20"/>
          <w:szCs w:val="20"/>
          <w:color w:val="auto"/>
        </w:rPr>
      </w:pPr>
    </w:p>
    <w:p>
      <w:pPr>
        <w:spacing w:after="0"/>
        <w:rPr>
          <w:sz w:val="20"/>
          <w:szCs w:val="20"/>
          <w:color w:val="auto"/>
        </w:rPr>
      </w:pPr>
      <w:r>
        <w:rPr>
          <w:rFonts w:ascii="Arial" w:cs="Arial" w:eastAsia="Arial" w:hAnsi="Arial"/>
          <w:sz w:val="25"/>
          <w:szCs w:val="25"/>
          <w:b w:val="1"/>
          <w:bCs w:val="1"/>
          <w:color w:val="105EAB"/>
        </w:rPr>
        <w:t>Fungible Pool</w:t>
      </w:r>
    </w:p>
    <w:p>
      <w:pPr>
        <w:spacing w:after="0" w:line="259" w:lineRule="exact"/>
        <w:rPr>
          <w:sz w:val="20"/>
          <w:szCs w:val="20"/>
          <w:color w:val="auto"/>
        </w:rPr>
      </w:pPr>
    </w:p>
    <w:p>
      <w:pPr>
        <w:ind w:right="80"/>
        <w:spacing w:after="0" w:line="269" w:lineRule="auto"/>
        <w:rPr>
          <w:sz w:val="20"/>
          <w:szCs w:val="20"/>
          <w:color w:val="auto"/>
        </w:rPr>
      </w:pPr>
      <w:r>
        <w:rPr>
          <w:rFonts w:ascii="Arial" w:cs="Arial" w:eastAsia="Arial" w:hAnsi="Arial"/>
          <w:sz w:val="16"/>
          <w:szCs w:val="16"/>
          <w:color w:val="auto"/>
        </w:rPr>
        <w:t>Each share issued pursuant to an option or SAR (and, if granted before May 19, 2009, any other form of award) will reduce the number of shares available under the Plan by one share, and each share issued pursuant to awards granted on or after May 19, 2009, other than options and SARs, will reduce the number of shares available by 2.1 shares. Shares of stock underlying awards that are lapsed or forfeited, that are expired or canceled, that are settled in cash, or that are otherwise settled without delivery of shares of stock will not be treated as having been issued under the Plan. Shares that are used to pay the exercise price for an option or base value for a SAR and shares withheld to pay taxes will be treated as having been issued under the Plan. With respect to stock-settled SARs, the full number of shares underlying the exercised portion of the SAR will be treated as having been issued under the Plan (regardless of the number of shares actually used to settle the SAR upon exercise).</w:t>
      </w:r>
    </w:p>
    <w:p>
      <w:pPr>
        <w:spacing w:after="0" w:line="185" w:lineRule="exact"/>
        <w:rPr>
          <w:sz w:val="20"/>
          <w:szCs w:val="20"/>
          <w:color w:val="auto"/>
        </w:rPr>
      </w:pPr>
    </w:p>
    <w:p>
      <w:pPr>
        <w:ind w:left="460" w:hanging="452"/>
        <w:spacing w:after="0"/>
        <w:tabs>
          <w:tab w:leader="none" w:pos="460" w:val="left"/>
        </w:tabs>
        <w:numPr>
          <w:ilvl w:val="0"/>
          <w:numId w:val="227"/>
        </w:numPr>
        <w:rPr>
          <w:rFonts w:ascii="Arial" w:cs="Arial" w:eastAsia="Arial" w:hAnsi="Arial"/>
          <w:sz w:val="13"/>
          <w:szCs w:val="13"/>
          <w:b w:val="1"/>
          <w:bCs w:val="1"/>
          <w:color w:val="105EAB"/>
        </w:rPr>
      </w:pPr>
      <w:r>
        <w:rPr>
          <w:rFonts w:ascii="Arial" w:cs="Arial" w:eastAsia="Arial" w:hAnsi="Arial"/>
          <w:sz w:val="13"/>
          <w:szCs w:val="13"/>
          <w:color w:val="105EAB"/>
        </w:rPr>
        <w:t>www.allstateproxy.com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134620</wp:posOffset>
            </wp:positionV>
            <wp:extent cx="7268210" cy="209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jc w:val="right"/>
        <w:ind w:right="20"/>
        <w:spacing w:after="0"/>
        <w:rPr>
          <w:sz w:val="20"/>
          <w:szCs w:val="20"/>
          <w:color w:val="auto"/>
        </w:rPr>
      </w:pPr>
      <w:r>
        <w:rPr>
          <w:rFonts w:ascii="Arial" w:cs="Arial" w:eastAsia="Arial" w:hAnsi="Arial"/>
          <w:sz w:val="13"/>
          <w:szCs w:val="13"/>
          <w:b w:val="1"/>
          <w:bCs w:val="1"/>
          <w:color w:val="auto"/>
        </w:rPr>
        <w:t xml:space="preserve">Summary of 2019 Equity Incentive Plan </w:t>
      </w:r>
      <w:r>
        <w:rPr>
          <w:rFonts w:ascii="Arial" w:cs="Arial" w:eastAsia="Arial" w:hAnsi="Arial"/>
          <w:sz w:val="13"/>
          <w:szCs w:val="13"/>
          <w:b w:val="1"/>
          <w:bCs w:val="1"/>
          <w:color w:val="105EAB"/>
        </w:rPr>
        <w:t>| Equity Incentive Plan</w:t>
      </w:r>
    </w:p>
    <w:p>
      <w:pPr>
        <w:spacing w:after="0" w:line="201" w:lineRule="exact"/>
        <w:rPr>
          <w:sz w:val="20"/>
          <w:szCs w:val="20"/>
          <w:color w:val="auto"/>
        </w:rPr>
      </w:pPr>
    </w:p>
    <w:p>
      <w:pPr>
        <w:spacing w:after="0"/>
        <w:rPr>
          <w:sz w:val="20"/>
          <w:szCs w:val="20"/>
          <w:color w:val="auto"/>
        </w:rPr>
      </w:pPr>
      <w:r>
        <w:rPr>
          <w:rFonts w:ascii="Arial" w:cs="Arial" w:eastAsia="Arial" w:hAnsi="Arial"/>
          <w:sz w:val="25"/>
          <w:szCs w:val="25"/>
          <w:b w:val="1"/>
          <w:bCs w:val="1"/>
          <w:color w:val="105EAB"/>
        </w:rPr>
        <w:t>Limits on Awards</w:t>
      </w:r>
    </w:p>
    <w:p>
      <w:pPr>
        <w:spacing w:after="0" w:line="259"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No more than 5,500,000 shares may be issued pursuant to incentive stock options. The Plan also contains the following per-participant limitations on awards intended to qualify as performance-based compensation under Internal Revenue Code Section 162(m) as in effect prior to the Tax Legislation granted under the Plan:</w:t>
      </w:r>
    </w:p>
    <w:p>
      <w:pPr>
        <w:spacing w:after="0" w:line="210" w:lineRule="exact"/>
        <w:rPr>
          <w:sz w:val="20"/>
          <w:szCs w:val="20"/>
          <w:color w:val="auto"/>
        </w:rPr>
      </w:pPr>
    </w:p>
    <w:p>
      <w:pPr>
        <w:ind w:left="340" w:right="420" w:hanging="332"/>
        <w:spacing w:after="0" w:line="239" w:lineRule="auto"/>
        <w:tabs>
          <w:tab w:leader="none" w:pos="340" w:val="left"/>
        </w:tabs>
        <w:numPr>
          <w:ilvl w:val="0"/>
          <w:numId w:val="228"/>
        </w:numPr>
        <w:rPr>
          <w:rFonts w:ascii="Arial" w:cs="Arial" w:eastAsia="Arial" w:hAnsi="Arial"/>
          <w:sz w:val="17"/>
          <w:szCs w:val="17"/>
          <w:color w:val="105EAB"/>
        </w:rPr>
      </w:pPr>
      <w:r>
        <w:rPr>
          <w:rFonts w:ascii="Arial" w:cs="Arial" w:eastAsia="Arial" w:hAnsi="Arial"/>
          <w:sz w:val="18"/>
          <w:szCs w:val="18"/>
          <w:color w:val="auto"/>
        </w:rPr>
        <w:t>The total number of shares of stock with respect to which options or SARs may be granted in any calendar year to any participant may not exceed 4,000,000 shares.</w:t>
      </w:r>
    </w:p>
    <w:p>
      <w:pPr>
        <w:spacing w:after="0" w:line="100" w:lineRule="exact"/>
        <w:rPr>
          <w:rFonts w:ascii="Arial" w:cs="Arial" w:eastAsia="Arial" w:hAnsi="Arial"/>
          <w:sz w:val="17"/>
          <w:szCs w:val="17"/>
          <w:color w:val="105EAB"/>
        </w:rPr>
      </w:pPr>
    </w:p>
    <w:p>
      <w:pPr>
        <w:ind w:left="340" w:right="580" w:hanging="332"/>
        <w:spacing w:after="0" w:line="239" w:lineRule="auto"/>
        <w:tabs>
          <w:tab w:leader="none" w:pos="340" w:val="left"/>
        </w:tabs>
        <w:numPr>
          <w:ilvl w:val="0"/>
          <w:numId w:val="228"/>
        </w:numPr>
        <w:rPr>
          <w:rFonts w:ascii="Arial" w:cs="Arial" w:eastAsia="Arial" w:hAnsi="Arial"/>
          <w:sz w:val="17"/>
          <w:szCs w:val="17"/>
          <w:color w:val="105EAB"/>
        </w:rPr>
      </w:pPr>
      <w:r>
        <w:rPr>
          <w:rFonts w:ascii="Arial" w:cs="Arial" w:eastAsia="Arial" w:hAnsi="Arial"/>
          <w:sz w:val="18"/>
          <w:szCs w:val="18"/>
          <w:color w:val="auto"/>
        </w:rPr>
        <w:t>The total number of shares of qualified restricted stock or qualified restricted stock units that may be granted in any calendar year to any participant may not exceed 3,000,000 shares or units, as the case may be.</w:t>
      </w:r>
    </w:p>
    <w:p>
      <w:pPr>
        <w:spacing w:after="0" w:line="100" w:lineRule="exact"/>
        <w:rPr>
          <w:rFonts w:ascii="Arial" w:cs="Arial" w:eastAsia="Arial" w:hAnsi="Arial"/>
          <w:sz w:val="17"/>
          <w:szCs w:val="17"/>
          <w:color w:val="105EAB"/>
        </w:rPr>
      </w:pPr>
    </w:p>
    <w:p>
      <w:pPr>
        <w:ind w:left="340" w:right="140" w:hanging="332"/>
        <w:spacing w:after="0" w:line="237" w:lineRule="auto"/>
        <w:tabs>
          <w:tab w:leader="none" w:pos="340" w:val="left"/>
        </w:tabs>
        <w:numPr>
          <w:ilvl w:val="0"/>
          <w:numId w:val="228"/>
        </w:numPr>
        <w:rPr>
          <w:rFonts w:ascii="Arial" w:cs="Arial" w:eastAsia="Arial" w:hAnsi="Arial"/>
          <w:sz w:val="17"/>
          <w:szCs w:val="17"/>
          <w:color w:val="105EAB"/>
        </w:rPr>
      </w:pPr>
      <w:r>
        <w:rPr>
          <w:rFonts w:ascii="Arial" w:cs="Arial" w:eastAsia="Arial" w:hAnsi="Arial"/>
          <w:sz w:val="18"/>
          <w:szCs w:val="18"/>
          <w:color w:val="auto"/>
        </w:rPr>
        <w:t>The total number of shares of performance stock that may be granted in any calendar year to any participant may not exceed 4,000,000 shares, and the maximum amount payable pursuant to performance units granted in any one calendar year to any participant may not exceed $10,000,000.</w:t>
      </w:r>
    </w:p>
    <w:p>
      <w:pPr>
        <w:spacing w:after="0" w:line="101" w:lineRule="exact"/>
        <w:rPr>
          <w:rFonts w:ascii="Arial" w:cs="Arial" w:eastAsia="Arial" w:hAnsi="Arial"/>
          <w:sz w:val="17"/>
          <w:szCs w:val="17"/>
          <w:color w:val="105EAB"/>
        </w:rPr>
      </w:pPr>
    </w:p>
    <w:p>
      <w:pPr>
        <w:ind w:left="340" w:right="600" w:hanging="332"/>
        <w:spacing w:after="0" w:line="239" w:lineRule="auto"/>
        <w:tabs>
          <w:tab w:leader="none" w:pos="340" w:val="left"/>
        </w:tabs>
        <w:numPr>
          <w:ilvl w:val="0"/>
          <w:numId w:val="228"/>
        </w:numPr>
        <w:rPr>
          <w:rFonts w:ascii="Arial" w:cs="Arial" w:eastAsia="Arial" w:hAnsi="Arial"/>
          <w:sz w:val="17"/>
          <w:szCs w:val="17"/>
          <w:color w:val="105EAB"/>
        </w:rPr>
      </w:pPr>
      <w:r>
        <w:rPr>
          <w:rFonts w:ascii="Arial" w:cs="Arial" w:eastAsia="Arial" w:hAnsi="Arial"/>
          <w:sz w:val="18"/>
          <w:szCs w:val="18"/>
          <w:color w:val="auto"/>
        </w:rPr>
        <w:t>The total number of shares of stock granted pursuant to other awards in any calendar year to any participant may not exceed 4,000,000 shares.</w:t>
      </w:r>
    </w:p>
    <w:p>
      <w:pPr>
        <w:spacing w:after="0" w:line="100" w:lineRule="exact"/>
        <w:rPr>
          <w:rFonts w:ascii="Arial" w:cs="Arial" w:eastAsia="Arial" w:hAnsi="Arial"/>
          <w:sz w:val="17"/>
          <w:szCs w:val="17"/>
          <w:color w:val="105EAB"/>
        </w:rPr>
      </w:pPr>
    </w:p>
    <w:p>
      <w:pPr>
        <w:ind w:left="340" w:right="860" w:hanging="332"/>
        <w:spacing w:after="0" w:line="239" w:lineRule="auto"/>
        <w:tabs>
          <w:tab w:leader="none" w:pos="340" w:val="left"/>
        </w:tabs>
        <w:numPr>
          <w:ilvl w:val="0"/>
          <w:numId w:val="228"/>
        </w:numPr>
        <w:rPr>
          <w:rFonts w:ascii="Arial" w:cs="Arial" w:eastAsia="Arial" w:hAnsi="Arial"/>
          <w:sz w:val="17"/>
          <w:szCs w:val="17"/>
          <w:color w:val="105EAB"/>
        </w:rPr>
      </w:pPr>
      <w:r>
        <w:rPr>
          <w:rFonts w:ascii="Arial" w:cs="Arial" w:eastAsia="Arial" w:hAnsi="Arial"/>
          <w:sz w:val="18"/>
          <w:szCs w:val="18"/>
          <w:color w:val="auto"/>
        </w:rPr>
        <w:t>The total cash award that may be paid pursuant to other awards granted in any one calendar year to any participant may not exceed $10,000,000.</w:t>
      </w:r>
    </w:p>
    <w:p>
      <w:pPr>
        <w:spacing w:after="0" w:line="100" w:lineRule="exact"/>
        <w:rPr>
          <w:rFonts w:ascii="Arial" w:cs="Arial" w:eastAsia="Arial" w:hAnsi="Arial"/>
          <w:sz w:val="17"/>
          <w:szCs w:val="17"/>
          <w:color w:val="105EAB"/>
        </w:rPr>
      </w:pPr>
    </w:p>
    <w:p>
      <w:pPr>
        <w:ind w:left="340" w:right="40" w:hanging="332"/>
        <w:spacing w:after="0" w:line="239" w:lineRule="auto"/>
        <w:tabs>
          <w:tab w:leader="none" w:pos="340" w:val="left"/>
        </w:tabs>
        <w:numPr>
          <w:ilvl w:val="0"/>
          <w:numId w:val="228"/>
        </w:numPr>
        <w:rPr>
          <w:rFonts w:ascii="Arial" w:cs="Arial" w:eastAsia="Arial" w:hAnsi="Arial"/>
          <w:sz w:val="17"/>
          <w:szCs w:val="17"/>
          <w:color w:val="105EAB"/>
        </w:rPr>
      </w:pPr>
      <w:r>
        <w:rPr>
          <w:rFonts w:ascii="Arial" w:cs="Arial" w:eastAsia="Arial" w:hAnsi="Arial"/>
          <w:sz w:val="18"/>
          <w:szCs w:val="18"/>
          <w:color w:val="auto"/>
        </w:rPr>
        <w:t>The aggregate value of cash dividends (other than large, nonrecurring cash dividends) or dividend equivalents that a participant may receive in any calendar year may not exceed $11,500,000.</w:t>
      </w:r>
    </w:p>
    <w:p>
      <w:pPr>
        <w:spacing w:after="0" w:line="175" w:lineRule="exact"/>
        <w:rPr>
          <w:sz w:val="20"/>
          <w:szCs w:val="20"/>
          <w:color w:val="auto"/>
        </w:rPr>
      </w:pPr>
    </w:p>
    <w:p>
      <w:pPr>
        <w:spacing w:after="0"/>
        <w:rPr>
          <w:sz w:val="20"/>
          <w:szCs w:val="20"/>
          <w:color w:val="auto"/>
        </w:rPr>
      </w:pPr>
      <w:r>
        <w:rPr>
          <w:rFonts w:ascii="Arial" w:cs="Arial" w:eastAsia="Arial" w:hAnsi="Arial"/>
          <w:sz w:val="25"/>
          <w:szCs w:val="25"/>
          <w:b w:val="1"/>
          <w:bCs w:val="1"/>
          <w:color w:val="105EAB"/>
        </w:rPr>
        <w:t>Minimum Vesting</w:t>
      </w:r>
    </w:p>
    <w:p>
      <w:pPr>
        <w:spacing w:after="0" w:line="259" w:lineRule="exact"/>
        <w:rPr>
          <w:sz w:val="20"/>
          <w:szCs w:val="20"/>
          <w:color w:val="auto"/>
        </w:rPr>
      </w:pPr>
    </w:p>
    <w:p>
      <w:pPr>
        <w:ind w:left="540" w:right="80"/>
        <w:spacing w:after="0" w:line="281" w:lineRule="auto"/>
        <w:rPr>
          <w:sz w:val="20"/>
          <w:szCs w:val="20"/>
          <w:color w:val="auto"/>
        </w:rPr>
      </w:pPr>
      <w:r>
        <w:rPr>
          <w:rFonts w:ascii="Arial" w:cs="Arial" w:eastAsia="Arial" w:hAnsi="Arial"/>
          <w:sz w:val="16"/>
          <w:szCs w:val="16"/>
          <w:color w:val="auto"/>
        </w:rPr>
        <w:t>Awards under the Plan are subject to a minimum one-year vesting period, except in connection with death, disability, retirement, termination of employment without cause or a change in control, and except that the committee may grant awards that do not satisfy the minimum vesting period relating to an aggregate of 5% or fewer of the aggregate number of shares of stock authorized for issuance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316865" cy="16256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316865" cy="162560"/>
                    </a:xfrm>
                    <a:prstGeom prst="rect">
                      <a:avLst/>
                    </a:prstGeom>
                    <a:noFill/>
                  </pic:spPr>
                </pic:pic>
              </a:graphicData>
            </a:graphic>
          </wp:anchor>
        </w:drawing>
      </w:r>
    </w:p>
    <w:p>
      <w:pPr>
        <w:spacing w:after="0" w:line="123" w:lineRule="exact"/>
        <w:rPr>
          <w:sz w:val="20"/>
          <w:szCs w:val="20"/>
          <w:color w:val="auto"/>
        </w:rPr>
      </w:pPr>
    </w:p>
    <w:p>
      <w:pPr>
        <w:spacing w:after="0"/>
        <w:rPr>
          <w:sz w:val="20"/>
          <w:szCs w:val="20"/>
          <w:color w:val="auto"/>
        </w:rPr>
      </w:pPr>
      <w:r>
        <w:rPr>
          <w:rFonts w:ascii="Arial" w:cs="Arial" w:eastAsia="Arial" w:hAnsi="Arial"/>
          <w:sz w:val="25"/>
          <w:szCs w:val="25"/>
          <w:b w:val="1"/>
          <w:bCs w:val="1"/>
          <w:color w:val="105EAB"/>
        </w:rPr>
        <w:t>Elective Share Withholding</w:t>
      </w:r>
    </w:p>
    <w:p>
      <w:pPr>
        <w:spacing w:after="0" w:line="259"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A participant may irrevocably elect to have shares withheld with a fair market value in an amount required to satisfy the minimum federal, state, and local tax withholding requirements upon the exercise of an option or stock appreciation right, the vesting of an award, or any other taxable event in respect to an award granted under the Plan, or such other limitations as will not cause adverse accounting consequences or cost, except as otherwise specifically provided in any award agreement with respect to a participant subject to tax withholding in any foreign jurisdiction in which there is no minimum statutory withholding rates.</w:t>
      </w:r>
    </w:p>
    <w:p>
      <w:pPr>
        <w:spacing w:after="0" w:line="176" w:lineRule="exact"/>
        <w:rPr>
          <w:sz w:val="20"/>
          <w:szCs w:val="20"/>
          <w:color w:val="auto"/>
        </w:rPr>
      </w:pPr>
    </w:p>
    <w:p>
      <w:pPr>
        <w:spacing w:after="0"/>
        <w:rPr>
          <w:sz w:val="20"/>
          <w:szCs w:val="20"/>
          <w:color w:val="auto"/>
        </w:rPr>
      </w:pPr>
      <w:r>
        <w:rPr>
          <w:rFonts w:ascii="Arial" w:cs="Arial" w:eastAsia="Arial" w:hAnsi="Arial"/>
          <w:sz w:val="25"/>
          <w:szCs w:val="25"/>
          <w:b w:val="1"/>
          <w:bCs w:val="1"/>
          <w:color w:val="105EAB"/>
        </w:rPr>
        <w:t>Limits on Transferability</w:t>
      </w:r>
    </w:p>
    <w:p>
      <w:pPr>
        <w:spacing w:after="0" w:line="259"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In general, awards are not assignable or transferable other than by will or the laws of descent and distribution. Vested nonqualified options may be transferred to certain family members or to a trust, foundation, or any other entity meeting certain ownership requirements. However, in no event may a transfer be made for consideration and no option or SAR maybe transferred to a third party financial institution.</w:t>
      </w:r>
    </w:p>
    <w:p>
      <w:pPr>
        <w:spacing w:after="0" w:line="176" w:lineRule="exact"/>
        <w:rPr>
          <w:sz w:val="20"/>
          <w:szCs w:val="20"/>
          <w:color w:val="auto"/>
        </w:rPr>
      </w:pPr>
    </w:p>
    <w:p>
      <w:pPr>
        <w:spacing w:after="0"/>
        <w:rPr>
          <w:sz w:val="20"/>
          <w:szCs w:val="20"/>
          <w:color w:val="auto"/>
        </w:rPr>
      </w:pPr>
      <w:r>
        <w:rPr>
          <w:rFonts w:ascii="Arial" w:cs="Arial" w:eastAsia="Arial" w:hAnsi="Arial"/>
          <w:sz w:val="25"/>
          <w:szCs w:val="25"/>
          <w:b w:val="1"/>
          <w:bCs w:val="1"/>
          <w:color w:val="105EAB"/>
        </w:rPr>
        <w:t>Forfeitability</w:t>
      </w:r>
    </w:p>
    <w:p>
      <w:pPr>
        <w:spacing w:after="0" w:line="259"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Unless otherwise provided by the committee or in an award agreement, if a participant has a termination of employment, all awards will terminate and be forfeited on the date of such termination of employment. Typically, the committee has prescribed that, subject to exceptions for death, disability, and retirement, an employee will forfeit all unexercised vested options three months after termination of employment, and all other unvested awards will terminate and be forfeited on the date of an employee’s termination of employment or failure to achieve specific performance goals (unless the committee determines otherwise).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1120" w:type="dxa"/>
            <w:vAlign w:val="bottom"/>
          </w:tcPr>
          <w:p>
            <w:pPr>
              <w:ind w:left="9640"/>
              <w:spacing w:after="0"/>
              <w:rPr>
                <w:sz w:val="20"/>
                <w:szCs w:val="20"/>
                <w:color w:val="auto"/>
              </w:rPr>
            </w:pPr>
            <w:r>
              <w:rPr>
                <w:rFonts w:ascii="Arial" w:cs="Arial" w:eastAsia="Arial" w:hAnsi="Arial"/>
                <w:sz w:val="13"/>
                <w:szCs w:val="13"/>
                <w:color w:val="105EAB"/>
              </w:rPr>
              <w:t>2019 Proxy Statement</w:t>
            </w:r>
          </w:p>
        </w:tc>
        <w:tc>
          <w:tcPr>
            <w:tcW w:w="320" w:type="dxa"/>
            <w:vAlign w:val="bottom"/>
          </w:tcPr>
          <w:p>
            <w:pPr>
              <w:jc w:val="right"/>
              <w:spacing w:after="0"/>
              <w:rPr>
                <w:sz w:val="20"/>
                <w:szCs w:val="20"/>
                <w:color w:val="auto"/>
              </w:rPr>
            </w:pPr>
            <w:r>
              <w:rPr>
                <w:rFonts w:ascii="Arial" w:cs="Arial" w:eastAsia="Arial" w:hAnsi="Arial"/>
                <w:sz w:val="13"/>
                <w:szCs w:val="13"/>
                <w:b w:val="1"/>
                <w:bCs w:val="1"/>
                <w:color w:val="105EAB"/>
              </w:rPr>
              <w:t>77</w:t>
            </w:r>
          </w:p>
        </w:tc>
      </w:tr>
      <w:tr>
        <w:trPr>
          <w:trHeight w:val="213"/>
        </w:trPr>
        <w:tc>
          <w:tcPr>
            <w:tcW w:w="1112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-13970</wp:posOffset>
            </wp:positionV>
            <wp:extent cx="1270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b w:val="1"/>
          <w:bCs w:val="1"/>
          <w:color w:val="105EAB"/>
        </w:rPr>
        <w:t xml:space="preserve">Equity Incentive Plan | </w:t>
      </w:r>
      <w:r>
        <w:rPr>
          <w:rFonts w:ascii="Arial" w:cs="Arial" w:eastAsia="Arial" w:hAnsi="Arial"/>
          <w:sz w:val="13"/>
          <w:szCs w:val="13"/>
          <w:b w:val="1"/>
          <w:bCs w:val="1"/>
          <w:color w:val="000000"/>
        </w:rPr>
        <w:t>Summary of 2019 Equity Incentive Plan</w:t>
      </w:r>
    </w:p>
    <w:p>
      <w:pPr>
        <w:spacing w:after="0" w:line="201" w:lineRule="exact"/>
        <w:rPr>
          <w:sz w:val="20"/>
          <w:szCs w:val="20"/>
          <w:color w:val="auto"/>
        </w:rPr>
      </w:pPr>
    </w:p>
    <w:p>
      <w:pPr>
        <w:spacing w:after="0"/>
        <w:rPr>
          <w:sz w:val="20"/>
          <w:szCs w:val="20"/>
          <w:color w:val="auto"/>
        </w:rPr>
      </w:pPr>
      <w:r>
        <w:rPr>
          <w:rFonts w:ascii="Arial" w:cs="Arial" w:eastAsia="Arial" w:hAnsi="Arial"/>
          <w:sz w:val="25"/>
          <w:szCs w:val="25"/>
          <w:b w:val="1"/>
          <w:bCs w:val="1"/>
          <w:color w:val="015EB0"/>
        </w:rPr>
        <w:t>Clawback</w:t>
      </w:r>
    </w:p>
    <w:p>
      <w:pPr>
        <w:spacing w:after="0" w:line="25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the event of a restatement of our financial results to correct a material error or inaccuracy resulting in whole or in part from the fraud or intentional misconduct of an officer who is subject to Section 16 of the Securities Exchange Act of 1934, to the extent permitted by applicable law, we may take such actions as we determine to be appropriate to recover compensation provided to such officer under the Plan, including without limitation cancellation of outstanding awards or recovery of all or a portion of any gain realized upon vesting, settlement, or exercise of an award or recovery of all or a portion of any proceeds resulting from any disposition of shares received pursuant to an award. While the 2013 plan included non-solicitation and non-competition covenants and related clawback or award cancellation provisions for violation of these covenants, these provisions have been removed from the Plan; however, award agreements continue to contain these provisions.</w:t>
      </w:r>
    </w:p>
    <w:p>
      <w:pPr>
        <w:spacing w:after="0" w:line="174" w:lineRule="exact"/>
        <w:rPr>
          <w:sz w:val="20"/>
          <w:szCs w:val="20"/>
          <w:color w:val="auto"/>
        </w:rPr>
      </w:pPr>
    </w:p>
    <w:p>
      <w:pPr>
        <w:spacing w:after="0"/>
        <w:rPr>
          <w:sz w:val="20"/>
          <w:szCs w:val="20"/>
          <w:color w:val="auto"/>
        </w:rPr>
      </w:pPr>
      <w:r>
        <w:rPr>
          <w:rFonts w:ascii="Arial" w:cs="Arial" w:eastAsia="Arial" w:hAnsi="Arial"/>
          <w:sz w:val="25"/>
          <w:szCs w:val="25"/>
          <w:b w:val="1"/>
          <w:bCs w:val="1"/>
          <w:color w:val="015EB0"/>
        </w:rPr>
        <w:t>Adjustments for Certain Events</w:t>
      </w:r>
    </w:p>
    <w:p>
      <w:pPr>
        <w:spacing w:after="0" w:line="259" w:lineRule="exact"/>
        <w:rPr>
          <w:sz w:val="20"/>
          <w:szCs w:val="20"/>
          <w:color w:val="auto"/>
        </w:rPr>
      </w:pPr>
    </w:p>
    <w:p>
      <w:pPr>
        <w:jc w:val="both"/>
        <w:ind w:right="60"/>
        <w:spacing w:after="0" w:line="237" w:lineRule="auto"/>
        <w:rPr>
          <w:sz w:val="20"/>
          <w:szCs w:val="20"/>
          <w:color w:val="auto"/>
        </w:rPr>
      </w:pPr>
      <w:r>
        <w:rPr>
          <w:rFonts w:ascii="Arial" w:cs="Arial" w:eastAsia="Arial" w:hAnsi="Arial"/>
          <w:sz w:val="18"/>
          <w:szCs w:val="18"/>
          <w:color w:val="auto"/>
        </w:rPr>
        <w:t>The committee will make proportional adjustments to the maximum number of shares of common stock that may be delivered under the Plan and to outstanding awards to reflect stock dividends, stock splits, spin-offs, rights offerings, recapitalizations, mergers, consolidations, reorganizations, liquidations, or similar events.</w:t>
      </w:r>
    </w:p>
    <w:p>
      <w:pPr>
        <w:spacing w:after="0" w:line="176" w:lineRule="exact"/>
        <w:rPr>
          <w:sz w:val="20"/>
          <w:szCs w:val="20"/>
          <w:color w:val="auto"/>
        </w:rPr>
      </w:pPr>
    </w:p>
    <w:p>
      <w:pPr>
        <w:spacing w:after="0"/>
        <w:rPr>
          <w:sz w:val="20"/>
          <w:szCs w:val="20"/>
          <w:color w:val="auto"/>
        </w:rPr>
      </w:pPr>
      <w:r>
        <w:rPr>
          <w:rFonts w:ascii="Arial" w:cs="Arial" w:eastAsia="Arial" w:hAnsi="Arial"/>
          <w:sz w:val="25"/>
          <w:szCs w:val="25"/>
          <w:b w:val="1"/>
          <w:bCs w:val="1"/>
          <w:color w:val="015EB0"/>
        </w:rPr>
        <w:t>Change in Control</w:t>
      </w:r>
    </w:p>
    <w:p>
      <w:pPr>
        <w:spacing w:after="0" w:line="259"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The committee may provide in any award agreement for provisions relating to a change in control (as defined in the Plan), including, the acceleration of the exercisability of, or the lapse of restrictions or deemed satisfaction of performance goals with respect to, any outstanding awards; provided, however, that, with respect to any award that is continued, assumed or substituted with a substantially equivalent award in connection with a change in control, in addition to any conditions provided for in the award agreement, any acceleration of the vesting, exercisability of, or the lapse of restrictions or deemed satisfaction of performance goals with respect to any outstanding awards in connection with a change in control may occur only if during the post-change period (as defined in the Plan), (i) the participant has a termination of employment initiated by the Company or any of its subsidiaries other than for “cause” (as defined in the award agreement), death or disability or (ii) the participant is a participant in the CIC Plan and the participant’s termination of employment is initiated by the participant for “good reason” (as defined in the CIC Plan).</w:t>
      </w:r>
    </w:p>
    <w:p>
      <w:pPr>
        <w:spacing w:after="0" w:line="179" w:lineRule="exact"/>
        <w:rPr>
          <w:sz w:val="20"/>
          <w:szCs w:val="20"/>
          <w:color w:val="auto"/>
        </w:rPr>
      </w:pPr>
    </w:p>
    <w:p>
      <w:pPr>
        <w:spacing w:after="0"/>
        <w:rPr>
          <w:sz w:val="20"/>
          <w:szCs w:val="20"/>
          <w:color w:val="auto"/>
        </w:rPr>
      </w:pPr>
      <w:r>
        <w:rPr>
          <w:rFonts w:ascii="Arial" w:cs="Arial" w:eastAsia="Arial" w:hAnsi="Arial"/>
          <w:sz w:val="25"/>
          <w:szCs w:val="25"/>
          <w:b w:val="1"/>
          <w:bCs w:val="1"/>
          <w:color w:val="015EB0"/>
        </w:rPr>
        <w:t>Amendment, Modification, and Termination of the Plan</w:t>
      </w:r>
    </w:p>
    <w:p>
      <w:pPr>
        <w:spacing w:after="0" w:line="25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Board may amend, alter, suspend, or terminate the Plan at any time and in any respect, provided that no amendment will (1) increase the total number of shares of common stock that can be issued under the Plan, (2) materially modify the requirements for participation in the Plan, or (3) materially increase the benefits accruing to employees under the Plan, unless in each instance the amendment is approved by our stockholders. No amendment, modification, or termination of the Plan may materially affect in an adverse way any award then outstanding under the Plan, without an employee’s written consent, unless otherwise provided in the Plan or required by applicable law.</w:t>
      </w:r>
    </w:p>
    <w:p>
      <w:pPr>
        <w:spacing w:after="0" w:line="176" w:lineRule="exact"/>
        <w:rPr>
          <w:sz w:val="20"/>
          <w:szCs w:val="20"/>
          <w:color w:val="auto"/>
        </w:rPr>
      </w:pPr>
    </w:p>
    <w:p>
      <w:pPr>
        <w:spacing w:after="0"/>
        <w:rPr>
          <w:sz w:val="20"/>
          <w:szCs w:val="20"/>
          <w:color w:val="auto"/>
        </w:rPr>
      </w:pPr>
      <w:r>
        <w:rPr>
          <w:rFonts w:ascii="Arial" w:cs="Arial" w:eastAsia="Arial" w:hAnsi="Arial"/>
          <w:sz w:val="25"/>
          <w:szCs w:val="25"/>
          <w:b w:val="1"/>
          <w:bCs w:val="1"/>
          <w:color w:val="015EB0"/>
        </w:rPr>
        <w:t>Duration of the Plan</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The Plan will remain in effect until the shares are exhausted or until such earlier time as the Board may determine.</w:t>
      </w:r>
    </w:p>
    <w:p>
      <w:pPr>
        <w:spacing w:after="0" w:line="178" w:lineRule="exact"/>
        <w:rPr>
          <w:sz w:val="20"/>
          <w:szCs w:val="20"/>
          <w:color w:val="auto"/>
        </w:rPr>
      </w:pPr>
    </w:p>
    <w:p>
      <w:pPr>
        <w:spacing w:after="0"/>
        <w:rPr>
          <w:sz w:val="20"/>
          <w:szCs w:val="20"/>
          <w:color w:val="auto"/>
        </w:rPr>
      </w:pPr>
      <w:r>
        <w:rPr>
          <w:rFonts w:ascii="Arial" w:cs="Arial" w:eastAsia="Arial" w:hAnsi="Arial"/>
          <w:sz w:val="25"/>
          <w:szCs w:val="25"/>
          <w:b w:val="1"/>
          <w:bCs w:val="1"/>
          <w:color w:val="015EB0"/>
        </w:rPr>
        <w:t>Federal Income Tax Consequences</w:t>
      </w:r>
    </w:p>
    <w:p>
      <w:pPr>
        <w:spacing w:after="0" w:line="25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following is a general summary of the United States federal income tax consequences related to awards that have been or may be granted under the Plan. The federal tax laws may change, and the federal, state, and local tax consequences for any employee will depend upon his or her individual circumstances. This summary does not address all potential tax consequences related to awards, such as estate and gift taxes, foreign taxes, and state and local taxes.</w:t>
      </w:r>
    </w:p>
    <w:p>
      <w:pPr>
        <w:spacing w:after="0" w:line="204" w:lineRule="exact"/>
        <w:rPr>
          <w:sz w:val="20"/>
          <w:szCs w:val="20"/>
          <w:color w:val="auto"/>
        </w:rPr>
      </w:pPr>
    </w:p>
    <w:p>
      <w:pPr>
        <w:ind w:left="500" w:hanging="492"/>
        <w:spacing w:after="0"/>
        <w:tabs>
          <w:tab w:leader="none" w:pos="500" w:val="left"/>
        </w:tabs>
        <w:numPr>
          <w:ilvl w:val="0"/>
          <w:numId w:val="229"/>
        </w:numPr>
        <w:rPr>
          <w:rFonts w:ascii="Arial" w:cs="Arial" w:eastAsia="Arial" w:hAnsi="Arial"/>
          <w:sz w:val="13"/>
          <w:szCs w:val="13"/>
          <w:b w:val="1"/>
          <w:bCs w:val="1"/>
          <w:color w:val="105EAB"/>
        </w:rPr>
      </w:pPr>
      <w:r>
        <w:rPr>
          <w:rFonts w:ascii="Arial" w:cs="Arial" w:eastAsia="Arial" w:hAnsi="Arial"/>
          <w:sz w:val="13"/>
          <w:szCs w:val="13"/>
          <w:color w:val="105EAB"/>
        </w:rPr>
        <w:t>www.allstateproxy.com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134620</wp:posOffset>
            </wp:positionV>
            <wp:extent cx="7268210" cy="209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jc w:val="right"/>
        <w:ind w:right="20"/>
        <w:spacing w:after="0"/>
        <w:rPr>
          <w:sz w:val="20"/>
          <w:szCs w:val="20"/>
          <w:color w:val="auto"/>
        </w:rPr>
      </w:pPr>
      <w:r>
        <w:rPr>
          <w:rFonts w:ascii="Arial" w:cs="Arial" w:eastAsia="Arial" w:hAnsi="Arial"/>
          <w:sz w:val="13"/>
          <w:szCs w:val="13"/>
          <w:b w:val="1"/>
          <w:bCs w:val="1"/>
          <w:color w:val="auto"/>
        </w:rPr>
        <w:t xml:space="preserve">Summary of 2019 Equity Incentive Plan </w:t>
      </w:r>
      <w:r>
        <w:rPr>
          <w:rFonts w:ascii="Arial" w:cs="Arial" w:eastAsia="Arial" w:hAnsi="Arial"/>
          <w:sz w:val="13"/>
          <w:szCs w:val="13"/>
          <w:b w:val="1"/>
          <w:bCs w:val="1"/>
          <w:color w:val="105EAB"/>
        </w:rPr>
        <w:t>| Equity Incentive Plan</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39B6E9"/>
        </w:rPr>
        <w:t>Nonqualified Stock Options</w:t>
      </w:r>
    </w:p>
    <w:p>
      <w:pPr>
        <w:spacing w:after="0" w:line="232" w:lineRule="exact"/>
        <w:rPr>
          <w:sz w:val="20"/>
          <w:szCs w:val="20"/>
          <w:color w:val="auto"/>
        </w:rPr>
      </w:pPr>
    </w:p>
    <w:p>
      <w:pPr>
        <w:ind w:right="80"/>
        <w:spacing w:after="0" w:line="268" w:lineRule="auto"/>
        <w:rPr>
          <w:sz w:val="20"/>
          <w:szCs w:val="20"/>
          <w:color w:val="auto"/>
        </w:rPr>
      </w:pPr>
      <w:r>
        <w:rPr>
          <w:rFonts w:ascii="Arial" w:cs="Arial" w:eastAsia="Arial" w:hAnsi="Arial"/>
          <w:sz w:val="16"/>
          <w:szCs w:val="16"/>
          <w:color w:val="auto"/>
        </w:rPr>
        <w:t>Generally, an employee will not have any taxable income, and we are not entitled to any deduction on the grant of a nonqualified stock option. Upon the exercise of a nonqualified stock option (or, generally, upon the exercise of an incentive stock option followed by a disqualifying disposition, described below), the employee recognizes ordinary income equal to the excess of the fair market value of the shares acquired over the option exercise price, if any, on the date of exercise. We are generally entitled to a deduction equal to the compensation taxable to the employee as ordinary income, except to the extent such deduction is limited by applicable provisions of the Internal Revenue Code. Any such income is also considered wages and, as such, is subject to income, Social Security, and Medicare taxes. If an employee disposes of shares of common stock acquired upon exercise of a nonqualified stock option in a taxable transaction, the employee will recognize capital gain or loss in an amount equal to the difference between the employee’s basis in the shares sold and the total amount realized upon disposition.</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39B6E9"/>
        </w:rPr>
        <w:t>Incentive Stock Options</w:t>
      </w:r>
    </w:p>
    <w:p>
      <w:pPr>
        <w:spacing w:after="0" w:line="232"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Generally, an employee does not recognize taxable income on the grant or exercise of an incentive stock option, and no federal income, Social Security, or Medicare taxes will be withheld upon such grant or exercise. However, the excess of the fair market value on the exercise date over the option exercise price is included in alternative minimum taxable income and thus may trigger alternative minimum tax.</w:t>
      </w:r>
    </w:p>
    <w:p>
      <w:pPr>
        <w:spacing w:after="0" w:line="210"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Upon the disposition of shares of common stock acquired on exercise of an incentive stock option more than one year after the exercise date, and more than two years after the grant date, the employee will normally recognize a capital gain or loss, as the case may be. This gain or loss is measured by the difference between the common stock’s sale price and the exercise price. We will not be entitled to a tax deduction on the grant or exercise of an incentive stock option or on the disposition of common stock acquired upon the exercise of an incentive stock option.</w:t>
      </w:r>
    </w:p>
    <w:p>
      <w:pPr>
        <w:spacing w:after="0" w:line="182"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If, however, an employee disposes of the shares of common stock acquired upon the exercise of an incentive stock option either before the one-year period after exercise, or before the two-year period after the grant date, the difference between the exercise price of such shares and the lesser of (i) the fair market value of the shares on the date of exercise or (ii) the sale price will constitute compensation taxable to the employee as ordinary income. We are generally allowed a corresponding tax deduction equal to the amount of the compensation taxable to the employee. If the sale price of common stock exceeds the fair market value on the exercise date, the excess will be taxable to the employee as capital gain. We are not allowed a deduction with respect to any such capital gain recognized by the employee.</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39B6E9"/>
        </w:rPr>
        <w:t>Use of Common Stock to Pay Option Exercise Price of Nonqualified Option</w:t>
      </w:r>
    </w:p>
    <w:p>
      <w:pPr>
        <w:spacing w:after="0" w:line="232"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If an employee delivers previously acquired common stock in payment of all or part of the option exercise price of a nonqualified stock option, there will be no recognition of taxable income or loss of any appreciation or depreciation in value of the tendered common stock. The employee’s tax basis in, and capital gain holding period for, the tendered stock carries over to an equal number of the option shares received. The fair market value of the shares received in excess of the tendered shares constitutes compensation taxable to the employee as ordinary income. We may be entitled to a tax deduction equal to the compensation income recognized by the employee.</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39B6E9"/>
        </w:rPr>
        <w:t>Use of Common Stock to Pay Option Exercise Price of Incentive Stock Option</w:t>
      </w:r>
    </w:p>
    <w:p>
      <w:pPr>
        <w:spacing w:after="0" w:line="232" w:lineRule="exact"/>
        <w:rPr>
          <w:sz w:val="20"/>
          <w:szCs w:val="20"/>
          <w:color w:val="auto"/>
        </w:rPr>
      </w:pPr>
    </w:p>
    <w:p>
      <w:pPr>
        <w:ind w:right="160"/>
        <w:spacing w:after="0" w:line="272" w:lineRule="auto"/>
        <w:rPr>
          <w:sz w:val="20"/>
          <w:szCs w:val="20"/>
          <w:color w:val="auto"/>
        </w:rPr>
      </w:pPr>
      <w:r>
        <w:rPr>
          <w:rFonts w:ascii="Arial" w:cs="Arial" w:eastAsia="Arial" w:hAnsi="Arial"/>
          <w:sz w:val="16"/>
          <w:szCs w:val="16"/>
          <w:color w:val="auto"/>
        </w:rPr>
        <w:t>If an employee delivers previously acquired common stock in payment of all or part of the incentive stock option exercise price (other than stock acquired on exercise and not held for the required holding periods), the employee will not recognize as taxable income or loss any appreciation or depreciation in the value of the tendered stock after its acquisition date. The employee’s tax basis in, and capital gain holding period for, the tendered stock carries over to an equal number of the option shares received. Shares received in excess of the tendered shares have a tax basis equal to the amount paid, if any, in excess of the tendered shares, and such shares’ holding period will begin on the date of exercise.</w:t>
      </w:r>
    </w:p>
    <w:p>
      <w:pPr>
        <w:spacing w:after="0" w:line="185"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If an employee delivers previously acquired common stock that was acquired upon the exercise of an incentive stock option that was not held for the required holding periods, ordinary income will be recognized by the employee, and we will generally be entitled to a corresponding compensation deduction. The employee’s basis in the shares received in exchange for the tendered shares will be increased by the amount of ordinary income recognized.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1120" w:type="dxa"/>
            <w:vAlign w:val="bottom"/>
          </w:tcPr>
          <w:p>
            <w:pPr>
              <w:ind w:left="9640"/>
              <w:spacing w:after="0"/>
              <w:rPr>
                <w:sz w:val="20"/>
                <w:szCs w:val="20"/>
                <w:color w:val="auto"/>
              </w:rPr>
            </w:pPr>
            <w:r>
              <w:rPr>
                <w:rFonts w:ascii="Arial" w:cs="Arial" w:eastAsia="Arial" w:hAnsi="Arial"/>
                <w:sz w:val="13"/>
                <w:szCs w:val="13"/>
                <w:color w:val="105EAB"/>
              </w:rPr>
              <w:t>2019 Proxy Statement</w:t>
            </w:r>
          </w:p>
        </w:tc>
        <w:tc>
          <w:tcPr>
            <w:tcW w:w="320" w:type="dxa"/>
            <w:vAlign w:val="bottom"/>
          </w:tcPr>
          <w:p>
            <w:pPr>
              <w:jc w:val="right"/>
              <w:spacing w:after="0"/>
              <w:rPr>
                <w:sz w:val="20"/>
                <w:szCs w:val="20"/>
                <w:color w:val="auto"/>
              </w:rPr>
            </w:pPr>
            <w:r>
              <w:rPr>
                <w:rFonts w:ascii="Arial" w:cs="Arial" w:eastAsia="Arial" w:hAnsi="Arial"/>
                <w:sz w:val="13"/>
                <w:szCs w:val="13"/>
                <w:b w:val="1"/>
                <w:bCs w:val="1"/>
                <w:color w:val="105EAB"/>
              </w:rPr>
              <w:t>79</w:t>
            </w:r>
          </w:p>
        </w:tc>
      </w:tr>
      <w:tr>
        <w:trPr>
          <w:trHeight w:val="213"/>
        </w:trPr>
        <w:tc>
          <w:tcPr>
            <w:tcW w:w="1112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-13970</wp:posOffset>
            </wp:positionV>
            <wp:extent cx="1270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b w:val="1"/>
          <w:bCs w:val="1"/>
          <w:color w:val="105EAB"/>
        </w:rPr>
        <w:t xml:space="preserve">Equity Incentive Plan | </w:t>
      </w:r>
      <w:r>
        <w:rPr>
          <w:rFonts w:ascii="Arial" w:cs="Arial" w:eastAsia="Arial" w:hAnsi="Arial"/>
          <w:sz w:val="13"/>
          <w:szCs w:val="13"/>
          <w:b w:val="1"/>
          <w:bCs w:val="1"/>
          <w:color w:val="000000"/>
        </w:rPr>
        <w:t>Summary of 2019 Equity Incentive Plan</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39B6E9"/>
        </w:rPr>
        <w:t>Stock Appreciation Rights</w:t>
      </w:r>
    </w:p>
    <w:p>
      <w:pPr>
        <w:spacing w:after="0" w:line="23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An employee will not have any taxable income on the grant of SARs. Upon the exercise of SARs, the employee recognizes ordinary income equal to the fair market value of the shares and cash received. We will be entitled to a corresponding compensation deduction. Any such ordinary income is also considered wages and, as such, is subject to income, Social Security, and Medicare taxes. If SARs are settled in shares of common stock, then upon a subsequent disposition of such shares the employee will recognize capital gain or loss in an amount equal to the difference between the employee’s basis in the shares sold and the total amount realized upon disposition.</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39B6E9"/>
        </w:rPr>
        <w:t>Unrestricted Stock and Restricted Stock Awards</w:t>
      </w:r>
    </w:p>
    <w:p>
      <w:pPr>
        <w:spacing w:after="0" w:line="232"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Generally, an employee will not have any taxable income on the grant of restricted stock, and we will not be entitled to a deduction at the time of grant. When shares of restricted stock are no longer subject to a substantial risk of forfeiture, the employee will recognize ordinary income in an amount equal to the fair market value of the shares, less the amount paid, if any, for the shares. Alternatively, an employee may elect to be taxed at the time of grant, in which case the employee will recognize ordinary income on the grant date equal to the fair market value of the shares on the grant date. In either case, we will generally be entitled to a deduction in an amount equal to the ordinary income recognized by the employee. With respect to unrestricted stock, an employee will recognize ordinary income at the time of grant in an amount equal to the fair market value of the stock on that date, and we will generally be entitled to a deduction in the same amount. Compensation with respect to restricted stock and unrestricted stock is subject to income, Social Security, and Medicare taxes. Upon the disposition of any shares acquired pursuant to an unrestricted stock or restricted stock award, any gain or loss, based on the difference between the employee’s basis in the shares sold and the total amount realized upon disposition, will be taxed as capital gain or loss.</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39B6E9"/>
        </w:rPr>
        <w:t>Restricted Stock Units, Performance Units, and Performance Stock Awards</w:t>
      </w:r>
    </w:p>
    <w:p>
      <w:pPr>
        <w:spacing w:after="0" w:line="232"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An employee will not have any taxable income on the grant of restricted stock units, performance units, or performance stock. Upon the delivery of shares or payment of cash with respect to restricted stock units, performance units, or performance stock, the employee generally will be required to include as ordinary income in the year of receipt an amount equal to the cash received and/or the fair market value of shares of stock received, and we will be entitled to a deduction in an amount equal to the same amount. Compensation with respect to restricted stock units, performance units, and performance stock is subject to income, Social Security, and Medicare taxes. If shares of common stock are received in settlement of any restricted stock units, performance units, or performance stock award, then upon a subsequent disposition of such shares the employee will recognize capital gain or loss in an amount equal to the difference between the employee’s basis in the shares sold and the total amount realized upon disposition.</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39B6E9"/>
        </w:rPr>
        <w:t>Internal Revenue Code Section 409A</w:t>
      </w:r>
    </w:p>
    <w:p>
      <w:pPr>
        <w:spacing w:after="0" w:line="232"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Certain awards under the Plan, depending in part on the specific terms and conditions of such awards, may be considered “non-qualified deferred compensation” subject to the requirements of Internal Revenue Code section 409A, which regulates deferred compensation arrangements. If the terms of such awards do not meet the requirements of Internal Revenue Code section 409A, this may result in an additional 20% tax obligation, plus penalties and interest for such participant.</w:t>
      </w:r>
    </w:p>
    <w:p>
      <w:pPr>
        <w:spacing w:after="0" w:line="204" w:lineRule="exact"/>
        <w:rPr>
          <w:sz w:val="20"/>
          <w:szCs w:val="20"/>
          <w:color w:val="auto"/>
        </w:rPr>
      </w:pPr>
    </w:p>
    <w:p>
      <w:pPr>
        <w:ind w:left="460" w:hanging="452"/>
        <w:spacing w:after="0"/>
        <w:tabs>
          <w:tab w:leader="none" w:pos="460" w:val="left"/>
        </w:tabs>
        <w:numPr>
          <w:ilvl w:val="0"/>
          <w:numId w:val="230"/>
        </w:numPr>
        <w:rPr>
          <w:rFonts w:ascii="Arial" w:cs="Arial" w:eastAsia="Arial" w:hAnsi="Arial"/>
          <w:sz w:val="13"/>
          <w:szCs w:val="13"/>
          <w:b w:val="1"/>
          <w:bCs w:val="1"/>
          <w:color w:val="105EAB"/>
        </w:rPr>
      </w:pPr>
      <w:r>
        <w:rPr>
          <w:rFonts w:ascii="Arial" w:cs="Arial" w:eastAsia="Arial" w:hAnsi="Arial"/>
          <w:sz w:val="13"/>
          <w:szCs w:val="13"/>
          <w:color w:val="105EAB"/>
        </w:rPr>
        <w:t>www.allstateproxy.com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134620</wp:posOffset>
            </wp:positionV>
            <wp:extent cx="7268210" cy="209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jc w:val="right"/>
        <w:ind w:right="20"/>
        <w:spacing w:after="0"/>
        <w:rPr>
          <w:sz w:val="20"/>
          <w:szCs w:val="20"/>
          <w:color w:val="auto"/>
        </w:rPr>
      </w:pPr>
      <w:r>
        <w:rPr>
          <w:rFonts w:ascii="Arial" w:cs="Arial" w:eastAsia="Arial" w:hAnsi="Arial"/>
          <w:sz w:val="13"/>
          <w:szCs w:val="13"/>
          <w:b w:val="1"/>
          <w:bCs w:val="1"/>
          <w:color w:val="auto"/>
        </w:rPr>
        <w:t xml:space="preserve">Other Information </w:t>
      </w:r>
      <w:r>
        <w:rPr>
          <w:rFonts w:ascii="Arial" w:cs="Arial" w:eastAsia="Arial" w:hAnsi="Arial"/>
          <w:sz w:val="13"/>
          <w:szCs w:val="13"/>
          <w:b w:val="1"/>
          <w:bCs w:val="1"/>
          <w:color w:val="105EAB"/>
        </w:rPr>
        <w:t>| Equity Incentive Plan</w:t>
      </w:r>
    </w:p>
    <w:p>
      <w:pPr>
        <w:spacing w:after="0" w:line="200" w:lineRule="exact"/>
        <w:rPr>
          <w:sz w:val="20"/>
          <w:szCs w:val="20"/>
          <w:color w:val="auto"/>
        </w:rPr>
      </w:pPr>
    </w:p>
    <w:p>
      <w:pPr>
        <w:spacing w:after="0"/>
        <w:rPr>
          <w:sz w:val="20"/>
          <w:szCs w:val="20"/>
          <w:color w:val="auto"/>
        </w:rPr>
      </w:pPr>
      <w:r>
        <w:rPr>
          <w:rFonts w:ascii="Arial" w:cs="Arial" w:eastAsia="Arial" w:hAnsi="Arial"/>
          <w:sz w:val="31"/>
          <w:szCs w:val="31"/>
          <w:b w:val="1"/>
          <w:bCs w:val="1"/>
          <w:color w:val="959595"/>
        </w:rPr>
        <w:t>Other Information</w:t>
      </w:r>
    </w:p>
    <w:p>
      <w:pPr>
        <w:spacing w:after="0" w:line="240"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i w:val="1"/>
          <w:iCs w:val="1"/>
          <w:color w:val="auto"/>
        </w:rPr>
        <w:t xml:space="preserve">Total Outstanding Equity Awards. </w:t>
      </w:r>
      <w:r>
        <w:rPr>
          <w:rFonts w:ascii="Arial" w:cs="Arial" w:eastAsia="Arial" w:hAnsi="Arial"/>
          <w:sz w:val="18"/>
          <w:szCs w:val="18"/>
          <w:color w:val="auto"/>
        </w:rPr>
        <w:t>Since the inception of the equity incentive plan in 2001, stockholders have approved the issuance of up to</w:t>
      </w:r>
      <w:r>
        <w:rPr>
          <w:rFonts w:ascii="Arial" w:cs="Arial" w:eastAsia="Arial" w:hAnsi="Arial"/>
          <w:sz w:val="18"/>
          <w:szCs w:val="18"/>
          <w:i w:val="1"/>
          <w:iCs w:val="1"/>
          <w:color w:val="auto"/>
        </w:rPr>
        <w:t xml:space="preserve"> </w:t>
      </w:r>
      <w:r>
        <w:rPr>
          <w:rFonts w:ascii="Arial" w:cs="Arial" w:eastAsia="Arial" w:hAnsi="Arial"/>
          <w:sz w:val="18"/>
          <w:szCs w:val="18"/>
          <w:color w:val="auto"/>
        </w:rPr>
        <w:t>90,230,000 shares, in addition to 6,815,597 unused shares that were available for awards under a previously terminated plan. The table below lists the total shares authorized under the equity plans as of March 1, 2019.</w:t>
      </w:r>
    </w:p>
    <w:p>
      <w:pPr>
        <w:spacing w:after="0" w:line="249" w:lineRule="exact"/>
        <w:rPr>
          <w:sz w:val="20"/>
          <w:szCs w:val="20"/>
          <w:color w:val="auto"/>
        </w:rPr>
      </w:pPr>
    </w:p>
    <w:p>
      <w:pPr>
        <w:spacing w:after="0"/>
        <w:rPr>
          <w:sz w:val="20"/>
          <w:szCs w:val="20"/>
          <w:color w:val="auto"/>
        </w:rPr>
      </w:pPr>
      <w:r>
        <w:rPr>
          <w:rFonts w:ascii="Arial" w:cs="Arial" w:eastAsia="Arial" w:hAnsi="Arial"/>
          <w:sz w:val="13"/>
          <w:szCs w:val="13"/>
          <w:b w:val="1"/>
          <w:bCs w:val="1"/>
          <w:color w:val="105EAB"/>
        </w:rPr>
        <w:t>Total Shares Authorized under the Equity Plans as of March 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246620" cy="171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700" w:type="dxa"/>
            <w:vAlign w:val="bottom"/>
          </w:tcPr>
          <w:p>
            <w:pPr>
              <w:spacing w:after="0"/>
              <w:rPr>
                <w:sz w:val="20"/>
                <w:szCs w:val="20"/>
                <w:color w:val="auto"/>
              </w:rPr>
            </w:pPr>
            <w:r>
              <w:rPr>
                <w:rFonts w:ascii="Arial" w:cs="Arial" w:eastAsia="Arial" w:hAnsi="Arial"/>
                <w:sz w:val="13"/>
                <w:szCs w:val="13"/>
                <w:color w:val="auto"/>
              </w:rPr>
              <w:t>Total shares authorized under Equity Plans</w:t>
            </w:r>
          </w:p>
        </w:tc>
        <w:tc>
          <w:tcPr>
            <w:tcW w:w="2720" w:type="dxa"/>
            <w:vAlign w:val="bottom"/>
            <w:gridSpan w:val="3"/>
          </w:tcPr>
          <w:p>
            <w:pPr>
              <w:jc w:val="right"/>
              <w:ind w:right="20"/>
              <w:spacing w:after="0"/>
              <w:rPr>
                <w:sz w:val="20"/>
                <w:szCs w:val="20"/>
                <w:color w:val="auto"/>
              </w:rPr>
            </w:pPr>
            <w:r>
              <w:rPr>
                <w:rFonts w:ascii="Arial" w:cs="Arial" w:eastAsia="Arial" w:hAnsi="Arial"/>
                <w:sz w:val="13"/>
                <w:szCs w:val="13"/>
                <w:color w:val="auto"/>
              </w:rPr>
              <w:t>97,045,597</w:t>
            </w:r>
            <w:r>
              <w:rPr>
                <w:rFonts w:ascii="Arial" w:cs="Arial" w:eastAsia="Arial" w:hAnsi="Arial"/>
                <w:sz w:val="22"/>
                <w:szCs w:val="22"/>
                <w:color w:val="auto"/>
                <w:vertAlign w:val="superscript"/>
              </w:rPr>
              <w:t>(1)</w:t>
            </w:r>
          </w:p>
        </w:tc>
      </w:tr>
      <w:tr>
        <w:trPr>
          <w:trHeight w:val="20"/>
        </w:trPr>
        <w:tc>
          <w:tcPr>
            <w:tcW w:w="8700" w:type="dxa"/>
            <w:vAlign w:val="bottom"/>
            <w:shd w:val="clear" w:color="auto" w:fill="DFF1FB"/>
          </w:tcPr>
          <w:p>
            <w:pPr>
              <w:spacing w:after="0" w:line="20" w:lineRule="exact"/>
              <w:rPr>
                <w:sz w:val="1"/>
                <w:szCs w:val="1"/>
                <w:color w:val="auto"/>
              </w:rPr>
            </w:pPr>
          </w:p>
        </w:tc>
        <w:tc>
          <w:tcPr>
            <w:tcW w:w="2580" w:type="dxa"/>
            <w:vAlign w:val="bottom"/>
            <w:shd w:val="clear" w:color="auto" w:fill="DFF1FB"/>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250"/>
        </w:trPr>
        <w:tc>
          <w:tcPr>
            <w:tcW w:w="8700" w:type="dxa"/>
            <w:vAlign w:val="bottom"/>
          </w:tcPr>
          <w:p>
            <w:pPr>
              <w:spacing w:after="0"/>
              <w:rPr>
                <w:sz w:val="20"/>
                <w:szCs w:val="20"/>
                <w:color w:val="auto"/>
              </w:rPr>
            </w:pPr>
            <w:r>
              <w:rPr>
                <w:rFonts w:ascii="Arial" w:cs="Arial" w:eastAsia="Arial" w:hAnsi="Arial"/>
                <w:sz w:val="13"/>
                <w:szCs w:val="13"/>
                <w:color w:val="auto"/>
              </w:rPr>
              <w:t>Shares issued under the Plan</w:t>
            </w:r>
          </w:p>
        </w:tc>
        <w:tc>
          <w:tcPr>
            <w:tcW w:w="2720" w:type="dxa"/>
            <w:vAlign w:val="bottom"/>
            <w:gridSpan w:val="3"/>
          </w:tcPr>
          <w:p>
            <w:pPr>
              <w:jc w:val="right"/>
              <w:ind w:right="20"/>
              <w:spacing w:after="0" w:line="249" w:lineRule="exact"/>
              <w:rPr>
                <w:sz w:val="20"/>
                <w:szCs w:val="20"/>
                <w:color w:val="auto"/>
              </w:rPr>
            </w:pPr>
            <w:r>
              <w:rPr>
                <w:rFonts w:ascii="Arial" w:cs="Arial" w:eastAsia="Arial" w:hAnsi="Arial"/>
                <w:sz w:val="13"/>
                <w:szCs w:val="13"/>
                <w:color w:val="auto"/>
              </w:rPr>
              <w:t>68,788,896</w:t>
            </w:r>
            <w:r>
              <w:rPr>
                <w:rFonts w:ascii="Arial" w:cs="Arial" w:eastAsia="Arial" w:hAnsi="Arial"/>
                <w:sz w:val="22"/>
                <w:szCs w:val="22"/>
                <w:color w:val="auto"/>
                <w:vertAlign w:val="superscript"/>
              </w:rPr>
              <w:t>(2)</w:t>
            </w:r>
          </w:p>
        </w:tc>
      </w:tr>
      <w:tr>
        <w:trPr>
          <w:trHeight w:val="209"/>
        </w:trPr>
        <w:tc>
          <w:tcPr>
            <w:tcW w:w="8700" w:type="dxa"/>
            <w:vAlign w:val="bottom"/>
            <w:tcBorders>
              <w:top w:val="single" w:sz="8" w:color="DFF1FB"/>
            </w:tcBorders>
          </w:tcPr>
          <w:p>
            <w:pPr>
              <w:spacing w:after="0"/>
              <w:rPr>
                <w:sz w:val="20"/>
                <w:szCs w:val="20"/>
                <w:color w:val="auto"/>
              </w:rPr>
            </w:pPr>
            <w:r>
              <w:rPr>
                <w:rFonts w:ascii="Arial" w:cs="Arial" w:eastAsia="Arial" w:hAnsi="Arial"/>
                <w:sz w:val="13"/>
                <w:szCs w:val="13"/>
                <w:color w:val="auto"/>
              </w:rPr>
              <w:t>Shares needed for outstanding awards</w:t>
            </w:r>
          </w:p>
        </w:tc>
        <w:tc>
          <w:tcPr>
            <w:tcW w:w="2580" w:type="dxa"/>
            <w:vAlign w:val="bottom"/>
            <w:tcBorders>
              <w:top w:val="single" w:sz="8" w:color="DFF1FB"/>
            </w:tcBorders>
          </w:tcPr>
          <w:p>
            <w:pPr>
              <w:jc w:val="right"/>
              <w:spacing w:after="0"/>
              <w:rPr>
                <w:sz w:val="20"/>
                <w:szCs w:val="20"/>
                <w:color w:val="auto"/>
              </w:rPr>
            </w:pPr>
            <w:r>
              <w:rPr>
                <w:rFonts w:ascii="Arial" w:cs="Arial" w:eastAsia="Arial" w:hAnsi="Arial"/>
                <w:sz w:val="13"/>
                <w:szCs w:val="13"/>
                <w:color w:val="auto"/>
              </w:rPr>
              <w:t>18,330,985</w:t>
            </w:r>
          </w:p>
        </w:tc>
        <w:tc>
          <w:tcPr>
            <w:tcW w:w="20" w:type="dxa"/>
            <w:vAlign w:val="bottom"/>
            <w:tcBorders>
              <w:top w:val="single" w:sz="8" w:color="DFF1FB"/>
            </w:tcBorders>
          </w:tcPr>
          <w:p>
            <w:pPr>
              <w:spacing w:after="0"/>
              <w:rPr>
                <w:sz w:val="18"/>
                <w:szCs w:val="18"/>
                <w:color w:val="auto"/>
              </w:rPr>
            </w:pPr>
          </w:p>
        </w:tc>
        <w:tc>
          <w:tcPr>
            <w:tcW w:w="120" w:type="dxa"/>
            <w:vAlign w:val="bottom"/>
          </w:tcPr>
          <w:p>
            <w:pPr>
              <w:spacing w:after="0"/>
              <w:rPr>
                <w:sz w:val="18"/>
                <w:szCs w:val="18"/>
                <w:color w:val="auto"/>
              </w:rPr>
            </w:pPr>
          </w:p>
        </w:tc>
      </w:tr>
      <w:tr>
        <w:trPr>
          <w:trHeight w:val="41"/>
        </w:trPr>
        <w:tc>
          <w:tcPr>
            <w:tcW w:w="8700" w:type="dxa"/>
            <w:vAlign w:val="bottom"/>
            <w:tcBorders>
              <w:bottom w:val="single" w:sz="8" w:color="DFF1FB"/>
            </w:tcBorders>
          </w:tcPr>
          <w:p>
            <w:pPr>
              <w:spacing w:after="0"/>
              <w:rPr>
                <w:sz w:val="3"/>
                <w:szCs w:val="3"/>
                <w:color w:val="auto"/>
              </w:rPr>
            </w:pPr>
          </w:p>
        </w:tc>
        <w:tc>
          <w:tcPr>
            <w:tcW w:w="2580" w:type="dxa"/>
            <w:vAlign w:val="bottom"/>
            <w:tcBorders>
              <w:bottom w:val="single" w:sz="8" w:color="DFF1FB"/>
            </w:tcBorders>
          </w:tcPr>
          <w:p>
            <w:pPr>
              <w:spacing w:after="0"/>
              <w:rPr>
                <w:sz w:val="3"/>
                <w:szCs w:val="3"/>
                <w:color w:val="auto"/>
              </w:rPr>
            </w:pPr>
          </w:p>
        </w:tc>
        <w:tc>
          <w:tcPr>
            <w:tcW w:w="20" w:type="dxa"/>
            <w:vAlign w:val="bottom"/>
            <w:tcBorders>
              <w:bottom w:val="single" w:sz="8" w:color="DFF1FB"/>
            </w:tcBorders>
          </w:tcPr>
          <w:p>
            <w:pPr>
              <w:spacing w:after="0"/>
              <w:rPr>
                <w:sz w:val="3"/>
                <w:szCs w:val="3"/>
                <w:color w:val="auto"/>
              </w:rPr>
            </w:pPr>
          </w:p>
        </w:tc>
        <w:tc>
          <w:tcPr>
            <w:tcW w:w="120" w:type="dxa"/>
            <w:vAlign w:val="bottom"/>
          </w:tcPr>
          <w:p>
            <w:pPr>
              <w:spacing w:after="0"/>
              <w:rPr>
                <w:sz w:val="3"/>
                <w:szCs w:val="3"/>
                <w:color w:val="auto"/>
              </w:rPr>
            </w:pPr>
          </w:p>
        </w:tc>
      </w:tr>
      <w:tr>
        <w:trPr>
          <w:trHeight w:val="250"/>
        </w:trPr>
        <w:tc>
          <w:tcPr>
            <w:tcW w:w="8700" w:type="dxa"/>
            <w:vAlign w:val="bottom"/>
          </w:tcPr>
          <w:p>
            <w:pPr>
              <w:ind w:left="280"/>
              <w:spacing w:after="0"/>
              <w:rPr>
                <w:sz w:val="20"/>
                <w:szCs w:val="20"/>
                <w:color w:val="auto"/>
              </w:rPr>
            </w:pPr>
            <w:r>
              <w:rPr>
                <w:rFonts w:ascii="Arial" w:cs="Arial" w:eastAsia="Arial" w:hAnsi="Arial"/>
                <w:sz w:val="13"/>
                <w:szCs w:val="13"/>
                <w:color w:val="auto"/>
              </w:rPr>
              <w:t>Plan authorized shares needed for restricted stock units (RSUs) that have not yet converted to common stock</w:t>
            </w:r>
          </w:p>
        </w:tc>
        <w:tc>
          <w:tcPr>
            <w:tcW w:w="2720" w:type="dxa"/>
            <w:vAlign w:val="bottom"/>
            <w:gridSpan w:val="3"/>
          </w:tcPr>
          <w:p>
            <w:pPr>
              <w:jc w:val="right"/>
              <w:ind w:right="20"/>
              <w:spacing w:after="0" w:line="249" w:lineRule="exact"/>
              <w:rPr>
                <w:sz w:val="20"/>
                <w:szCs w:val="20"/>
                <w:color w:val="auto"/>
              </w:rPr>
            </w:pPr>
            <w:r>
              <w:rPr>
                <w:rFonts w:ascii="Arial" w:cs="Arial" w:eastAsia="Arial" w:hAnsi="Arial"/>
                <w:sz w:val="13"/>
                <w:szCs w:val="13"/>
                <w:color w:val="auto"/>
              </w:rPr>
              <w:t>1,727,999</w:t>
            </w:r>
            <w:r>
              <w:rPr>
                <w:rFonts w:ascii="Arial" w:cs="Arial" w:eastAsia="Arial" w:hAnsi="Arial"/>
                <w:sz w:val="22"/>
                <w:szCs w:val="22"/>
                <w:color w:val="auto"/>
                <w:vertAlign w:val="superscript"/>
              </w:rPr>
              <w:t>(2)</w:t>
            </w:r>
          </w:p>
        </w:tc>
      </w:tr>
      <w:tr>
        <w:trPr>
          <w:trHeight w:val="209"/>
        </w:trPr>
        <w:tc>
          <w:tcPr>
            <w:tcW w:w="8700" w:type="dxa"/>
            <w:vAlign w:val="bottom"/>
            <w:tcBorders>
              <w:top w:val="single" w:sz="8" w:color="DFF1FB"/>
            </w:tcBorders>
          </w:tcPr>
          <w:p>
            <w:pPr>
              <w:ind w:left="280"/>
              <w:spacing w:after="0"/>
              <w:rPr>
                <w:sz w:val="20"/>
                <w:szCs w:val="20"/>
                <w:color w:val="auto"/>
              </w:rPr>
            </w:pPr>
            <w:r>
              <w:rPr>
                <w:rFonts w:ascii="Arial" w:cs="Arial" w:eastAsia="Arial" w:hAnsi="Arial"/>
                <w:sz w:val="13"/>
                <w:szCs w:val="13"/>
                <w:color w:val="auto"/>
              </w:rPr>
              <w:t>Unexercised stock options to purchase shares of common stock</w:t>
            </w:r>
          </w:p>
        </w:tc>
        <w:tc>
          <w:tcPr>
            <w:tcW w:w="2580" w:type="dxa"/>
            <w:vAlign w:val="bottom"/>
            <w:tcBorders>
              <w:top w:val="single" w:sz="8" w:color="DFF1FB"/>
            </w:tcBorders>
          </w:tcPr>
          <w:p>
            <w:pPr>
              <w:jc w:val="right"/>
              <w:spacing w:after="0"/>
              <w:rPr>
                <w:sz w:val="20"/>
                <w:szCs w:val="20"/>
                <w:color w:val="auto"/>
              </w:rPr>
            </w:pPr>
            <w:r>
              <w:rPr>
                <w:rFonts w:ascii="Arial" w:cs="Arial" w:eastAsia="Arial" w:hAnsi="Arial"/>
                <w:sz w:val="13"/>
                <w:szCs w:val="13"/>
                <w:color w:val="auto"/>
              </w:rPr>
              <w:t>14,026,410</w:t>
            </w:r>
          </w:p>
        </w:tc>
        <w:tc>
          <w:tcPr>
            <w:tcW w:w="20" w:type="dxa"/>
            <w:vAlign w:val="bottom"/>
            <w:tcBorders>
              <w:top w:val="single" w:sz="8" w:color="DFF1FB"/>
            </w:tcBorders>
          </w:tcPr>
          <w:p>
            <w:pPr>
              <w:spacing w:after="0"/>
              <w:rPr>
                <w:sz w:val="18"/>
                <w:szCs w:val="18"/>
                <w:color w:val="auto"/>
              </w:rPr>
            </w:pPr>
          </w:p>
        </w:tc>
        <w:tc>
          <w:tcPr>
            <w:tcW w:w="120" w:type="dxa"/>
            <w:vAlign w:val="bottom"/>
          </w:tcPr>
          <w:p>
            <w:pPr>
              <w:spacing w:after="0"/>
              <w:rPr>
                <w:sz w:val="18"/>
                <w:szCs w:val="18"/>
                <w:color w:val="auto"/>
              </w:rPr>
            </w:pPr>
          </w:p>
        </w:tc>
      </w:tr>
      <w:tr>
        <w:trPr>
          <w:trHeight w:val="41"/>
        </w:trPr>
        <w:tc>
          <w:tcPr>
            <w:tcW w:w="8700" w:type="dxa"/>
            <w:vAlign w:val="bottom"/>
            <w:tcBorders>
              <w:bottom w:val="single" w:sz="8" w:color="DFF1FB"/>
            </w:tcBorders>
          </w:tcPr>
          <w:p>
            <w:pPr>
              <w:spacing w:after="0"/>
              <w:rPr>
                <w:sz w:val="3"/>
                <w:szCs w:val="3"/>
                <w:color w:val="auto"/>
              </w:rPr>
            </w:pPr>
          </w:p>
        </w:tc>
        <w:tc>
          <w:tcPr>
            <w:tcW w:w="2580" w:type="dxa"/>
            <w:vAlign w:val="bottom"/>
            <w:tcBorders>
              <w:bottom w:val="single" w:sz="8" w:color="DFF1FB"/>
            </w:tcBorders>
          </w:tcPr>
          <w:p>
            <w:pPr>
              <w:spacing w:after="0"/>
              <w:rPr>
                <w:sz w:val="3"/>
                <w:szCs w:val="3"/>
                <w:color w:val="auto"/>
              </w:rPr>
            </w:pPr>
          </w:p>
        </w:tc>
        <w:tc>
          <w:tcPr>
            <w:tcW w:w="20" w:type="dxa"/>
            <w:vAlign w:val="bottom"/>
            <w:tcBorders>
              <w:bottom w:val="single" w:sz="8" w:color="DFF1FB"/>
            </w:tcBorders>
          </w:tcPr>
          <w:p>
            <w:pPr>
              <w:spacing w:after="0"/>
              <w:rPr>
                <w:sz w:val="3"/>
                <w:szCs w:val="3"/>
                <w:color w:val="auto"/>
              </w:rPr>
            </w:pPr>
          </w:p>
        </w:tc>
        <w:tc>
          <w:tcPr>
            <w:tcW w:w="120" w:type="dxa"/>
            <w:vAlign w:val="bottom"/>
          </w:tcPr>
          <w:p>
            <w:pPr>
              <w:spacing w:after="0"/>
              <w:rPr>
                <w:sz w:val="3"/>
                <w:szCs w:val="3"/>
                <w:color w:val="auto"/>
              </w:rPr>
            </w:pPr>
          </w:p>
        </w:tc>
      </w:tr>
      <w:tr>
        <w:trPr>
          <w:trHeight w:val="317"/>
        </w:trPr>
        <w:tc>
          <w:tcPr>
            <w:tcW w:w="8700" w:type="dxa"/>
            <w:vAlign w:val="bottom"/>
          </w:tcPr>
          <w:p>
            <w:pPr>
              <w:ind w:left="280"/>
              <w:spacing w:after="0"/>
              <w:rPr>
                <w:sz w:val="20"/>
                <w:szCs w:val="20"/>
                <w:color w:val="auto"/>
              </w:rPr>
            </w:pPr>
            <w:r>
              <w:rPr>
                <w:rFonts w:ascii="Arial" w:cs="Arial" w:eastAsia="Arial" w:hAnsi="Arial"/>
                <w:sz w:val="13"/>
                <w:szCs w:val="13"/>
                <w:color w:val="auto"/>
              </w:rPr>
              <w:t>Plan authorized shares needed for performance stock awards (PSAs) that have not vested and converted to</w:t>
            </w:r>
          </w:p>
        </w:tc>
        <w:tc>
          <w:tcPr>
            <w:tcW w:w="2720" w:type="dxa"/>
            <w:vAlign w:val="bottom"/>
            <w:gridSpan w:val="3"/>
          </w:tcPr>
          <w:p>
            <w:pPr>
              <w:jc w:val="right"/>
              <w:ind w:right="20"/>
              <w:spacing w:after="0"/>
              <w:rPr>
                <w:sz w:val="20"/>
                <w:szCs w:val="20"/>
                <w:color w:val="auto"/>
              </w:rPr>
            </w:pPr>
            <w:r>
              <w:rPr>
                <w:rFonts w:ascii="Arial" w:cs="Arial" w:eastAsia="Arial" w:hAnsi="Arial"/>
                <w:sz w:val="13"/>
                <w:szCs w:val="13"/>
                <w:color w:val="auto"/>
              </w:rPr>
              <w:t>2,576,576</w:t>
            </w:r>
            <w:r>
              <w:rPr>
                <w:rFonts w:ascii="Arial" w:cs="Arial" w:eastAsia="Arial" w:hAnsi="Arial"/>
                <w:sz w:val="22"/>
                <w:szCs w:val="22"/>
                <w:color w:val="auto"/>
                <w:vertAlign w:val="superscript"/>
              </w:rPr>
              <w:t>(2)</w:t>
            </w:r>
          </w:p>
        </w:tc>
      </w:tr>
      <w:tr>
        <w:trPr>
          <w:trHeight w:val="162"/>
        </w:trPr>
        <w:tc>
          <w:tcPr>
            <w:tcW w:w="8700" w:type="dxa"/>
            <w:vAlign w:val="bottom"/>
          </w:tcPr>
          <w:p>
            <w:pPr>
              <w:ind w:left="280"/>
              <w:spacing w:after="0"/>
              <w:rPr>
                <w:sz w:val="20"/>
                <w:szCs w:val="20"/>
                <w:color w:val="auto"/>
              </w:rPr>
            </w:pPr>
            <w:r>
              <w:rPr>
                <w:rFonts w:ascii="Arial" w:cs="Arial" w:eastAsia="Arial" w:hAnsi="Arial"/>
                <w:sz w:val="13"/>
                <w:szCs w:val="13"/>
                <w:color w:val="auto"/>
              </w:rPr>
              <w:t>common stock</w:t>
            </w:r>
          </w:p>
        </w:tc>
        <w:tc>
          <w:tcPr>
            <w:tcW w:w="2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48"/>
        </w:trPr>
        <w:tc>
          <w:tcPr>
            <w:tcW w:w="8700" w:type="dxa"/>
            <w:vAlign w:val="bottom"/>
            <w:tcBorders>
              <w:bottom w:val="single" w:sz="8" w:color="105EAB"/>
            </w:tcBorders>
          </w:tcPr>
          <w:p>
            <w:pPr>
              <w:spacing w:after="0"/>
              <w:rPr>
                <w:sz w:val="4"/>
                <w:szCs w:val="4"/>
                <w:color w:val="auto"/>
              </w:rPr>
            </w:pPr>
          </w:p>
        </w:tc>
        <w:tc>
          <w:tcPr>
            <w:tcW w:w="2580" w:type="dxa"/>
            <w:vAlign w:val="bottom"/>
            <w:tcBorders>
              <w:bottom w:val="single" w:sz="8" w:color="105EAB"/>
            </w:tcBorders>
          </w:tcPr>
          <w:p>
            <w:pPr>
              <w:spacing w:after="0"/>
              <w:rPr>
                <w:sz w:val="4"/>
                <w:szCs w:val="4"/>
                <w:color w:val="auto"/>
              </w:rPr>
            </w:pPr>
          </w:p>
        </w:tc>
        <w:tc>
          <w:tcPr>
            <w:tcW w:w="20" w:type="dxa"/>
            <w:vAlign w:val="bottom"/>
            <w:tcBorders>
              <w:bottom w:val="single" w:sz="8" w:color="105EAB"/>
            </w:tcBorders>
          </w:tcPr>
          <w:p>
            <w:pPr>
              <w:spacing w:after="0"/>
              <w:rPr>
                <w:sz w:val="4"/>
                <w:szCs w:val="4"/>
                <w:color w:val="auto"/>
              </w:rPr>
            </w:pPr>
          </w:p>
        </w:tc>
        <w:tc>
          <w:tcPr>
            <w:tcW w:w="120" w:type="dxa"/>
            <w:vAlign w:val="bottom"/>
            <w:tcBorders>
              <w:bottom w:val="single" w:sz="8" w:color="105EAB"/>
            </w:tcBorders>
          </w:tcPr>
          <w:p>
            <w:pPr>
              <w:spacing w:after="0"/>
              <w:rPr>
                <w:sz w:val="4"/>
                <w:szCs w:val="4"/>
                <w:color w:val="auto"/>
              </w:rPr>
            </w:pPr>
          </w:p>
        </w:tc>
      </w:tr>
    </w:tbl>
    <w:p>
      <w:pPr>
        <w:spacing w:after="0" w:line="107" w:lineRule="exact"/>
        <w:rPr>
          <w:sz w:val="20"/>
          <w:szCs w:val="20"/>
          <w:color w:val="auto"/>
        </w:rPr>
      </w:pPr>
    </w:p>
    <w:p>
      <w:pPr>
        <w:ind w:left="300" w:hanging="292"/>
        <w:spacing w:after="0"/>
        <w:tabs>
          <w:tab w:leader="none" w:pos="300" w:val="left"/>
        </w:tabs>
        <w:numPr>
          <w:ilvl w:val="0"/>
          <w:numId w:val="231"/>
        </w:numPr>
        <w:rPr>
          <w:rFonts w:ascii="Arial" w:cs="Arial" w:eastAsia="Arial" w:hAnsi="Arial"/>
          <w:sz w:val="11"/>
          <w:szCs w:val="11"/>
          <w:color w:val="auto"/>
        </w:rPr>
      </w:pPr>
      <w:r>
        <w:rPr>
          <w:rFonts w:ascii="Arial" w:cs="Arial" w:eastAsia="Arial" w:hAnsi="Arial"/>
          <w:sz w:val="13"/>
          <w:szCs w:val="13"/>
          <w:color w:val="auto"/>
        </w:rPr>
        <w:t>Includes 6,815,597 unused shares that were available for awards under a previously terminated plan.</w:t>
      </w:r>
    </w:p>
    <w:p>
      <w:pPr>
        <w:spacing w:after="0" w:line="12" w:lineRule="exact"/>
        <w:rPr>
          <w:rFonts w:ascii="Arial" w:cs="Arial" w:eastAsia="Arial" w:hAnsi="Arial"/>
          <w:sz w:val="11"/>
          <w:szCs w:val="11"/>
          <w:color w:val="auto"/>
        </w:rPr>
      </w:pPr>
    </w:p>
    <w:p>
      <w:pPr>
        <w:ind w:left="300" w:hanging="292"/>
        <w:spacing w:after="0"/>
        <w:tabs>
          <w:tab w:leader="none" w:pos="300" w:val="left"/>
        </w:tabs>
        <w:numPr>
          <w:ilvl w:val="0"/>
          <w:numId w:val="231"/>
        </w:numPr>
        <w:rPr>
          <w:rFonts w:ascii="Arial" w:cs="Arial" w:eastAsia="Arial" w:hAnsi="Arial"/>
          <w:sz w:val="11"/>
          <w:szCs w:val="11"/>
          <w:color w:val="auto"/>
        </w:rPr>
      </w:pPr>
      <w:r>
        <w:rPr>
          <w:rFonts w:ascii="Arial" w:cs="Arial" w:eastAsia="Arial" w:hAnsi="Arial"/>
          <w:sz w:val="13"/>
          <w:szCs w:val="13"/>
          <w:color w:val="auto"/>
        </w:rPr>
        <w:t>RSUs and PSAs granted after 2009 are deducted at a flexible share ratio of 2.1 to 1 from the authorized share pool.</w:t>
      </w:r>
    </w:p>
    <w:p>
      <w:pPr>
        <w:spacing w:after="0" w:line="232"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Authorized but unissued shares or treasury shares may be used to provide common stock for awards. On March 1, 2019, the closing price of our common stock as reported on the New York Stock Exchange was $95.01.</w:t>
      </w:r>
    </w:p>
    <w:p>
      <w:pPr>
        <w:spacing w:after="0" w:line="175" w:lineRule="exact"/>
        <w:rPr>
          <w:sz w:val="20"/>
          <w:szCs w:val="20"/>
          <w:color w:val="auto"/>
        </w:rPr>
      </w:pPr>
    </w:p>
    <w:p>
      <w:pPr>
        <w:spacing w:after="0"/>
        <w:rPr>
          <w:sz w:val="20"/>
          <w:szCs w:val="20"/>
          <w:color w:val="auto"/>
        </w:rPr>
      </w:pPr>
      <w:r>
        <w:rPr>
          <w:rFonts w:ascii="Arial" w:cs="Arial" w:eastAsia="Arial" w:hAnsi="Arial"/>
          <w:sz w:val="25"/>
          <w:szCs w:val="25"/>
          <w:b w:val="1"/>
          <w:bCs w:val="1"/>
          <w:color w:val="105EAB"/>
        </w:rPr>
        <w:t>New Plan Benefits Resulting From Approval of Plan</w:t>
      </w:r>
    </w:p>
    <w:p>
      <w:pPr>
        <w:spacing w:after="0" w:line="259"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It is not possible at this time to determine the benefits or amounts of awards that will be made in the future as a result of the increased number of shares of common stock authorized and the other revised provisions of the Plan.</w:t>
      </w:r>
    </w:p>
    <w:p>
      <w:pPr>
        <w:spacing w:after="0" w:line="175" w:lineRule="exact"/>
        <w:rPr>
          <w:sz w:val="20"/>
          <w:szCs w:val="20"/>
          <w:color w:val="auto"/>
        </w:rPr>
      </w:pPr>
    </w:p>
    <w:p>
      <w:pPr>
        <w:spacing w:after="0"/>
        <w:rPr>
          <w:sz w:val="20"/>
          <w:szCs w:val="20"/>
          <w:color w:val="auto"/>
        </w:rPr>
      </w:pPr>
      <w:r>
        <w:rPr>
          <w:rFonts w:ascii="Arial" w:cs="Arial" w:eastAsia="Arial" w:hAnsi="Arial"/>
          <w:sz w:val="25"/>
          <w:szCs w:val="25"/>
          <w:b w:val="1"/>
          <w:bCs w:val="1"/>
          <w:color w:val="105EAB"/>
        </w:rPr>
        <w:t>Options Granted Under the Existing Plan</w:t>
      </w:r>
    </w:p>
    <w:p>
      <w:pPr>
        <w:spacing w:after="0" w:line="259" w:lineRule="exact"/>
        <w:rPr>
          <w:sz w:val="20"/>
          <w:szCs w:val="20"/>
          <w:color w:val="auto"/>
        </w:rPr>
      </w:pPr>
    </w:p>
    <w:p>
      <w:pPr>
        <w:ind w:right="360"/>
        <w:spacing w:after="0" w:line="239" w:lineRule="auto"/>
        <w:rPr>
          <w:sz w:val="20"/>
          <w:szCs w:val="20"/>
          <w:color w:val="auto"/>
        </w:rPr>
      </w:pPr>
      <w:r>
        <w:rPr>
          <w:rFonts w:ascii="Arial" w:cs="Arial" w:eastAsia="Arial" w:hAnsi="Arial"/>
          <w:sz w:val="18"/>
          <w:szCs w:val="18"/>
          <w:color w:val="auto"/>
        </w:rPr>
        <w:t>Since the initial approval of the Plan in 2001 through March 1, 2019, the following number of stock options have been granted to the individuals and groups described in the table. No other options have been granted to any other individuals or groups under the Plan.</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8060" w:type="dxa"/>
            <w:vAlign w:val="bottom"/>
          </w:tcPr>
          <w:p>
            <w:pPr>
              <w:spacing w:after="0"/>
              <w:rPr>
                <w:sz w:val="13"/>
                <w:szCs w:val="13"/>
                <w:color w:val="auto"/>
              </w:rPr>
            </w:pPr>
          </w:p>
        </w:tc>
        <w:tc>
          <w:tcPr>
            <w:tcW w:w="3360" w:type="dxa"/>
            <w:vAlign w:val="bottom"/>
          </w:tcPr>
          <w:p>
            <w:pPr>
              <w:jc w:val="right"/>
              <w:ind w:right="13"/>
              <w:spacing w:after="0"/>
              <w:rPr>
                <w:sz w:val="20"/>
                <w:szCs w:val="20"/>
                <w:color w:val="auto"/>
              </w:rPr>
            </w:pPr>
            <w:r>
              <w:rPr>
                <w:rFonts w:ascii="Arial" w:cs="Arial" w:eastAsia="Arial" w:hAnsi="Arial"/>
                <w:sz w:val="13"/>
                <w:szCs w:val="13"/>
                <w:b w:val="1"/>
                <w:bCs w:val="1"/>
                <w:color w:val="105EAB"/>
              </w:rPr>
              <w:t>Number of</w:t>
            </w:r>
          </w:p>
        </w:tc>
      </w:tr>
      <w:tr>
        <w:trPr>
          <w:trHeight w:val="231"/>
        </w:trPr>
        <w:tc>
          <w:tcPr>
            <w:tcW w:w="8060" w:type="dxa"/>
            <w:vAlign w:val="bottom"/>
            <w:tcBorders>
              <w:bottom w:val="single" w:sz="8" w:color="105EAB"/>
            </w:tcBorders>
          </w:tcPr>
          <w:p>
            <w:pPr>
              <w:ind w:left="80"/>
              <w:spacing w:after="0"/>
              <w:rPr>
                <w:sz w:val="20"/>
                <w:szCs w:val="20"/>
                <w:color w:val="auto"/>
              </w:rPr>
            </w:pPr>
            <w:r>
              <w:rPr>
                <w:rFonts w:ascii="Arial" w:cs="Arial" w:eastAsia="Arial" w:hAnsi="Arial"/>
                <w:sz w:val="13"/>
                <w:szCs w:val="13"/>
                <w:b w:val="1"/>
                <w:bCs w:val="1"/>
                <w:color w:val="105EAB"/>
              </w:rPr>
              <w:t>Name and Position</w:t>
            </w:r>
          </w:p>
        </w:tc>
        <w:tc>
          <w:tcPr>
            <w:tcW w:w="3360" w:type="dxa"/>
            <w:vAlign w:val="bottom"/>
            <w:tcBorders>
              <w:bottom w:val="single" w:sz="8" w:color="105EAB"/>
            </w:tcBorders>
          </w:tcPr>
          <w:p>
            <w:pPr>
              <w:jc w:val="right"/>
              <w:ind w:right="13"/>
              <w:spacing w:after="0" w:line="224" w:lineRule="exact"/>
              <w:rPr>
                <w:sz w:val="20"/>
                <w:szCs w:val="20"/>
                <w:color w:val="auto"/>
              </w:rPr>
            </w:pPr>
            <w:r>
              <w:rPr>
                <w:rFonts w:ascii="Arial" w:cs="Arial" w:eastAsia="Arial" w:hAnsi="Arial"/>
                <w:sz w:val="13"/>
                <w:szCs w:val="13"/>
                <w:b w:val="1"/>
                <w:bCs w:val="1"/>
                <w:color w:val="105EAB"/>
              </w:rPr>
              <w:t>Options Granted</w:t>
            </w:r>
            <w:r>
              <w:rPr>
                <w:rFonts w:ascii="Arial" w:cs="Arial" w:eastAsia="Arial" w:hAnsi="Arial"/>
                <w:sz w:val="22"/>
                <w:szCs w:val="22"/>
                <w:b w:val="1"/>
                <w:bCs w:val="1"/>
                <w:color w:val="105EAB"/>
                <w:vertAlign w:val="superscript"/>
              </w:rPr>
              <w:t>(1)</w:t>
            </w:r>
          </w:p>
        </w:tc>
      </w:tr>
      <w:tr>
        <w:trPr>
          <w:trHeight w:val="202"/>
        </w:trPr>
        <w:tc>
          <w:tcPr>
            <w:tcW w:w="8060" w:type="dxa"/>
            <w:vAlign w:val="bottom"/>
          </w:tcPr>
          <w:p>
            <w:pPr>
              <w:ind w:left="80"/>
              <w:spacing w:after="0"/>
              <w:rPr>
                <w:sz w:val="20"/>
                <w:szCs w:val="20"/>
                <w:color w:val="auto"/>
              </w:rPr>
            </w:pPr>
            <w:r>
              <w:rPr>
                <w:rFonts w:ascii="Arial" w:cs="Arial" w:eastAsia="Arial" w:hAnsi="Arial"/>
                <w:sz w:val="13"/>
                <w:szCs w:val="13"/>
                <w:b w:val="1"/>
                <w:bCs w:val="1"/>
                <w:color w:val="auto"/>
              </w:rPr>
              <w:t>Named Executive Officers</w:t>
            </w:r>
          </w:p>
        </w:tc>
        <w:tc>
          <w:tcPr>
            <w:tcW w:w="3360" w:type="dxa"/>
            <w:vAlign w:val="bottom"/>
          </w:tcPr>
          <w:p>
            <w:pPr>
              <w:spacing w:after="0"/>
              <w:rPr>
                <w:sz w:val="17"/>
                <w:szCs w:val="17"/>
                <w:color w:val="auto"/>
              </w:rPr>
            </w:pPr>
          </w:p>
        </w:tc>
      </w:tr>
      <w:tr>
        <w:trPr>
          <w:trHeight w:val="41"/>
        </w:trPr>
        <w:tc>
          <w:tcPr>
            <w:tcW w:w="8060" w:type="dxa"/>
            <w:vAlign w:val="bottom"/>
            <w:tcBorders>
              <w:bottom w:val="single" w:sz="8" w:color="DFF1FB"/>
            </w:tcBorders>
          </w:tcPr>
          <w:p>
            <w:pPr>
              <w:spacing w:after="0"/>
              <w:rPr>
                <w:sz w:val="3"/>
                <w:szCs w:val="3"/>
                <w:color w:val="auto"/>
              </w:rPr>
            </w:pPr>
          </w:p>
        </w:tc>
        <w:tc>
          <w:tcPr>
            <w:tcW w:w="3360" w:type="dxa"/>
            <w:vAlign w:val="bottom"/>
            <w:tcBorders>
              <w:bottom w:val="single" w:sz="8" w:color="DFF1FB"/>
            </w:tcBorders>
          </w:tcPr>
          <w:p>
            <w:pPr>
              <w:spacing w:after="0"/>
              <w:rPr>
                <w:sz w:val="3"/>
                <w:szCs w:val="3"/>
                <w:color w:val="auto"/>
              </w:rPr>
            </w:pPr>
          </w:p>
        </w:tc>
      </w:tr>
      <w:tr>
        <w:trPr>
          <w:trHeight w:val="195"/>
        </w:trPr>
        <w:tc>
          <w:tcPr>
            <w:tcW w:w="8060" w:type="dxa"/>
            <w:vAlign w:val="bottom"/>
          </w:tcPr>
          <w:p>
            <w:pPr>
              <w:ind w:left="280"/>
              <w:spacing w:after="0"/>
              <w:rPr>
                <w:sz w:val="20"/>
                <w:szCs w:val="20"/>
                <w:color w:val="auto"/>
              </w:rPr>
            </w:pPr>
            <w:r>
              <w:rPr>
                <w:rFonts w:ascii="Arial" w:cs="Arial" w:eastAsia="Arial" w:hAnsi="Arial"/>
                <w:sz w:val="13"/>
                <w:szCs w:val="13"/>
                <w:b w:val="1"/>
                <w:bCs w:val="1"/>
                <w:color w:val="105EAB"/>
              </w:rPr>
              <w:t xml:space="preserve">Thomas J. Wilson </w:t>
            </w:r>
            <w:r>
              <w:rPr>
                <w:rFonts w:ascii="Arial" w:cs="Arial" w:eastAsia="Arial" w:hAnsi="Arial"/>
                <w:sz w:val="13"/>
                <w:szCs w:val="13"/>
                <w:color w:val="000000"/>
              </w:rPr>
              <w:t>(Chair, President, and CEO)</w:t>
            </w:r>
          </w:p>
        </w:tc>
        <w:tc>
          <w:tcPr>
            <w:tcW w:w="3360" w:type="dxa"/>
            <w:vAlign w:val="bottom"/>
          </w:tcPr>
          <w:p>
            <w:pPr>
              <w:jc w:val="right"/>
              <w:ind w:right="13"/>
              <w:spacing w:after="0"/>
              <w:rPr>
                <w:sz w:val="20"/>
                <w:szCs w:val="20"/>
                <w:color w:val="auto"/>
              </w:rPr>
            </w:pPr>
            <w:r>
              <w:rPr>
                <w:rFonts w:ascii="Arial" w:cs="Arial" w:eastAsia="Arial" w:hAnsi="Arial"/>
                <w:sz w:val="13"/>
                <w:szCs w:val="13"/>
                <w:color w:val="auto"/>
              </w:rPr>
              <w:t>5,648,550</w:t>
            </w:r>
          </w:p>
        </w:tc>
      </w:tr>
      <w:tr>
        <w:trPr>
          <w:trHeight w:val="41"/>
        </w:trPr>
        <w:tc>
          <w:tcPr>
            <w:tcW w:w="8060" w:type="dxa"/>
            <w:vAlign w:val="bottom"/>
            <w:tcBorders>
              <w:bottom w:val="single" w:sz="8" w:color="DFF1FB"/>
            </w:tcBorders>
          </w:tcPr>
          <w:p>
            <w:pPr>
              <w:spacing w:after="0"/>
              <w:rPr>
                <w:sz w:val="3"/>
                <w:szCs w:val="3"/>
                <w:color w:val="auto"/>
              </w:rPr>
            </w:pPr>
          </w:p>
        </w:tc>
        <w:tc>
          <w:tcPr>
            <w:tcW w:w="3360" w:type="dxa"/>
            <w:vAlign w:val="bottom"/>
            <w:tcBorders>
              <w:bottom w:val="single" w:sz="8" w:color="DFF1FB"/>
            </w:tcBorders>
          </w:tcPr>
          <w:p>
            <w:pPr>
              <w:spacing w:after="0"/>
              <w:rPr>
                <w:sz w:val="3"/>
                <w:szCs w:val="3"/>
                <w:color w:val="auto"/>
              </w:rPr>
            </w:pPr>
          </w:p>
        </w:tc>
      </w:tr>
      <w:tr>
        <w:trPr>
          <w:trHeight w:val="195"/>
        </w:trPr>
        <w:tc>
          <w:tcPr>
            <w:tcW w:w="8060" w:type="dxa"/>
            <w:vAlign w:val="bottom"/>
          </w:tcPr>
          <w:p>
            <w:pPr>
              <w:ind w:left="280"/>
              <w:spacing w:after="0"/>
              <w:rPr>
                <w:sz w:val="20"/>
                <w:szCs w:val="20"/>
                <w:color w:val="auto"/>
              </w:rPr>
            </w:pPr>
            <w:r>
              <w:rPr>
                <w:rFonts w:ascii="Arial" w:cs="Arial" w:eastAsia="Arial" w:hAnsi="Arial"/>
                <w:sz w:val="13"/>
                <w:szCs w:val="13"/>
                <w:b w:val="1"/>
                <w:bCs w:val="1"/>
                <w:color w:val="105EAB"/>
              </w:rPr>
              <w:t xml:space="preserve">Mario Rizzo </w:t>
            </w:r>
            <w:r>
              <w:rPr>
                <w:rFonts w:ascii="Arial" w:cs="Arial" w:eastAsia="Arial" w:hAnsi="Arial"/>
                <w:sz w:val="13"/>
                <w:szCs w:val="13"/>
                <w:color w:val="000000"/>
              </w:rPr>
              <w:t>(Executive Vice President and CFO)</w:t>
            </w:r>
          </w:p>
        </w:tc>
        <w:tc>
          <w:tcPr>
            <w:tcW w:w="3360" w:type="dxa"/>
            <w:vAlign w:val="bottom"/>
          </w:tcPr>
          <w:p>
            <w:pPr>
              <w:jc w:val="right"/>
              <w:ind w:right="13"/>
              <w:spacing w:after="0"/>
              <w:rPr>
                <w:sz w:val="20"/>
                <w:szCs w:val="20"/>
                <w:color w:val="auto"/>
              </w:rPr>
            </w:pPr>
            <w:r>
              <w:rPr>
                <w:rFonts w:ascii="Arial" w:cs="Arial" w:eastAsia="Arial" w:hAnsi="Arial"/>
                <w:sz w:val="13"/>
                <w:szCs w:val="13"/>
                <w:color w:val="auto"/>
              </w:rPr>
              <w:t>201,524</w:t>
            </w:r>
          </w:p>
        </w:tc>
      </w:tr>
      <w:tr>
        <w:trPr>
          <w:trHeight w:val="41"/>
        </w:trPr>
        <w:tc>
          <w:tcPr>
            <w:tcW w:w="8060" w:type="dxa"/>
            <w:vAlign w:val="bottom"/>
            <w:tcBorders>
              <w:bottom w:val="single" w:sz="8" w:color="DFF1FB"/>
            </w:tcBorders>
          </w:tcPr>
          <w:p>
            <w:pPr>
              <w:spacing w:after="0"/>
              <w:rPr>
                <w:sz w:val="3"/>
                <w:szCs w:val="3"/>
                <w:color w:val="auto"/>
              </w:rPr>
            </w:pPr>
          </w:p>
        </w:tc>
        <w:tc>
          <w:tcPr>
            <w:tcW w:w="3360" w:type="dxa"/>
            <w:vAlign w:val="bottom"/>
            <w:tcBorders>
              <w:bottom w:val="single" w:sz="8" w:color="DFF1FB"/>
            </w:tcBorders>
          </w:tcPr>
          <w:p>
            <w:pPr>
              <w:spacing w:after="0"/>
              <w:rPr>
                <w:sz w:val="3"/>
                <w:szCs w:val="3"/>
                <w:color w:val="auto"/>
              </w:rPr>
            </w:pPr>
          </w:p>
        </w:tc>
      </w:tr>
      <w:tr>
        <w:trPr>
          <w:trHeight w:val="195"/>
        </w:trPr>
        <w:tc>
          <w:tcPr>
            <w:tcW w:w="8060" w:type="dxa"/>
            <w:vAlign w:val="bottom"/>
          </w:tcPr>
          <w:p>
            <w:pPr>
              <w:ind w:left="280"/>
              <w:spacing w:after="0"/>
              <w:rPr>
                <w:sz w:val="20"/>
                <w:szCs w:val="20"/>
                <w:color w:val="auto"/>
              </w:rPr>
            </w:pPr>
            <w:r>
              <w:rPr>
                <w:rFonts w:ascii="Arial" w:cs="Arial" w:eastAsia="Arial" w:hAnsi="Arial"/>
                <w:sz w:val="13"/>
                <w:szCs w:val="13"/>
                <w:b w:val="1"/>
                <w:bCs w:val="1"/>
                <w:color w:val="105EAB"/>
              </w:rPr>
              <w:t xml:space="preserve">John E. Dugenske </w:t>
            </w:r>
            <w:r>
              <w:rPr>
                <w:rFonts w:ascii="Arial" w:cs="Arial" w:eastAsia="Arial" w:hAnsi="Arial"/>
                <w:sz w:val="13"/>
                <w:szCs w:val="13"/>
                <w:color w:val="000000"/>
              </w:rPr>
              <w:t>(Executive Vice President and Chief Investment and</w:t>
            </w:r>
          </w:p>
        </w:tc>
        <w:tc>
          <w:tcPr>
            <w:tcW w:w="3360" w:type="dxa"/>
            <w:vAlign w:val="bottom"/>
          </w:tcPr>
          <w:p>
            <w:pPr>
              <w:jc w:val="right"/>
              <w:ind w:right="13"/>
              <w:spacing w:after="0"/>
              <w:rPr>
                <w:sz w:val="20"/>
                <w:szCs w:val="20"/>
                <w:color w:val="auto"/>
              </w:rPr>
            </w:pPr>
            <w:r>
              <w:rPr>
                <w:rFonts w:ascii="Arial" w:cs="Arial" w:eastAsia="Arial" w:hAnsi="Arial"/>
                <w:sz w:val="13"/>
                <w:szCs w:val="13"/>
                <w:color w:val="auto"/>
              </w:rPr>
              <w:t>171,772</w:t>
            </w:r>
          </w:p>
        </w:tc>
      </w:tr>
      <w:tr>
        <w:trPr>
          <w:trHeight w:val="243"/>
        </w:trPr>
        <w:tc>
          <w:tcPr>
            <w:tcW w:w="8060" w:type="dxa"/>
            <w:vAlign w:val="bottom"/>
          </w:tcPr>
          <w:p>
            <w:pPr>
              <w:ind w:left="280"/>
              <w:spacing w:after="0"/>
              <w:rPr>
                <w:sz w:val="20"/>
                <w:szCs w:val="20"/>
                <w:color w:val="auto"/>
              </w:rPr>
            </w:pPr>
            <w:r>
              <w:rPr>
                <w:rFonts w:ascii="Arial" w:cs="Arial" w:eastAsia="Arial" w:hAnsi="Arial"/>
                <w:sz w:val="13"/>
                <w:szCs w:val="13"/>
                <w:color w:val="auto"/>
              </w:rPr>
              <w:t>Corporate Strategy Officer of Allstate Insurance Company)</w:t>
            </w:r>
          </w:p>
        </w:tc>
        <w:tc>
          <w:tcPr>
            <w:tcW w:w="3360" w:type="dxa"/>
            <w:vAlign w:val="bottom"/>
          </w:tcPr>
          <w:p>
            <w:pPr>
              <w:spacing w:after="0"/>
              <w:rPr>
                <w:sz w:val="21"/>
                <w:szCs w:val="21"/>
                <w:color w:val="auto"/>
              </w:rPr>
            </w:pPr>
          </w:p>
        </w:tc>
      </w:tr>
      <w:tr>
        <w:trPr>
          <w:trHeight w:val="41"/>
        </w:trPr>
        <w:tc>
          <w:tcPr>
            <w:tcW w:w="8060" w:type="dxa"/>
            <w:vAlign w:val="bottom"/>
            <w:tcBorders>
              <w:bottom w:val="single" w:sz="8" w:color="DFF1FB"/>
            </w:tcBorders>
          </w:tcPr>
          <w:p>
            <w:pPr>
              <w:spacing w:after="0"/>
              <w:rPr>
                <w:sz w:val="3"/>
                <w:szCs w:val="3"/>
                <w:color w:val="auto"/>
              </w:rPr>
            </w:pPr>
          </w:p>
        </w:tc>
        <w:tc>
          <w:tcPr>
            <w:tcW w:w="3360" w:type="dxa"/>
            <w:vAlign w:val="bottom"/>
            <w:tcBorders>
              <w:bottom w:val="single" w:sz="8" w:color="DFF1FB"/>
            </w:tcBorders>
          </w:tcPr>
          <w:p>
            <w:pPr>
              <w:spacing w:after="0"/>
              <w:rPr>
                <w:sz w:val="3"/>
                <w:szCs w:val="3"/>
                <w:color w:val="auto"/>
              </w:rPr>
            </w:pPr>
          </w:p>
        </w:tc>
      </w:tr>
      <w:tr>
        <w:trPr>
          <w:trHeight w:val="195"/>
        </w:trPr>
        <w:tc>
          <w:tcPr>
            <w:tcW w:w="8060" w:type="dxa"/>
            <w:vAlign w:val="bottom"/>
          </w:tcPr>
          <w:p>
            <w:pPr>
              <w:ind w:left="280"/>
              <w:spacing w:after="0"/>
              <w:rPr>
                <w:sz w:val="20"/>
                <w:szCs w:val="20"/>
                <w:color w:val="auto"/>
              </w:rPr>
            </w:pPr>
            <w:r>
              <w:rPr>
                <w:rFonts w:ascii="Arial" w:cs="Arial" w:eastAsia="Arial" w:hAnsi="Arial"/>
                <w:sz w:val="13"/>
                <w:szCs w:val="13"/>
                <w:b w:val="1"/>
                <w:bCs w:val="1"/>
                <w:color w:val="105EAB"/>
              </w:rPr>
              <w:t xml:space="preserve">Glenn T. Shapiro </w:t>
            </w:r>
            <w:r>
              <w:rPr>
                <w:rFonts w:ascii="Arial" w:cs="Arial" w:eastAsia="Arial" w:hAnsi="Arial"/>
                <w:sz w:val="13"/>
                <w:szCs w:val="13"/>
                <w:color w:val="000000"/>
              </w:rPr>
              <w:t>(President, Allstate Personal Lines of Allstate Insurance Company)</w:t>
            </w:r>
          </w:p>
        </w:tc>
        <w:tc>
          <w:tcPr>
            <w:tcW w:w="3360" w:type="dxa"/>
            <w:vAlign w:val="bottom"/>
          </w:tcPr>
          <w:p>
            <w:pPr>
              <w:jc w:val="right"/>
              <w:ind w:right="13"/>
              <w:spacing w:after="0"/>
              <w:rPr>
                <w:sz w:val="20"/>
                <w:szCs w:val="20"/>
                <w:color w:val="auto"/>
              </w:rPr>
            </w:pPr>
            <w:r>
              <w:rPr>
                <w:rFonts w:ascii="Arial" w:cs="Arial" w:eastAsia="Arial" w:hAnsi="Arial"/>
                <w:sz w:val="13"/>
                <w:szCs w:val="13"/>
                <w:color w:val="auto"/>
              </w:rPr>
              <w:t>202,417</w:t>
            </w:r>
          </w:p>
        </w:tc>
      </w:tr>
      <w:tr>
        <w:trPr>
          <w:trHeight w:val="41"/>
        </w:trPr>
        <w:tc>
          <w:tcPr>
            <w:tcW w:w="8060" w:type="dxa"/>
            <w:vAlign w:val="bottom"/>
            <w:tcBorders>
              <w:bottom w:val="single" w:sz="8" w:color="DFF1FB"/>
            </w:tcBorders>
          </w:tcPr>
          <w:p>
            <w:pPr>
              <w:spacing w:after="0"/>
              <w:rPr>
                <w:sz w:val="3"/>
                <w:szCs w:val="3"/>
                <w:color w:val="auto"/>
              </w:rPr>
            </w:pPr>
          </w:p>
        </w:tc>
        <w:tc>
          <w:tcPr>
            <w:tcW w:w="3360" w:type="dxa"/>
            <w:vAlign w:val="bottom"/>
            <w:tcBorders>
              <w:bottom w:val="single" w:sz="8" w:color="DFF1FB"/>
            </w:tcBorders>
          </w:tcPr>
          <w:p>
            <w:pPr>
              <w:spacing w:after="0"/>
              <w:rPr>
                <w:sz w:val="3"/>
                <w:szCs w:val="3"/>
                <w:color w:val="auto"/>
              </w:rPr>
            </w:pPr>
          </w:p>
        </w:tc>
      </w:tr>
      <w:tr>
        <w:trPr>
          <w:trHeight w:val="195"/>
        </w:trPr>
        <w:tc>
          <w:tcPr>
            <w:tcW w:w="8060" w:type="dxa"/>
            <w:vAlign w:val="bottom"/>
          </w:tcPr>
          <w:p>
            <w:pPr>
              <w:ind w:left="280"/>
              <w:spacing w:after="0"/>
              <w:rPr>
                <w:sz w:val="20"/>
                <w:szCs w:val="20"/>
                <w:color w:val="auto"/>
              </w:rPr>
            </w:pPr>
            <w:r>
              <w:rPr>
                <w:rFonts w:ascii="Arial" w:cs="Arial" w:eastAsia="Arial" w:hAnsi="Arial"/>
                <w:sz w:val="13"/>
                <w:szCs w:val="13"/>
                <w:b w:val="1"/>
                <w:bCs w:val="1"/>
                <w:color w:val="105EAB"/>
              </w:rPr>
              <w:t xml:space="preserve">Steven E. Shebik </w:t>
            </w:r>
            <w:r>
              <w:rPr>
                <w:rFonts w:ascii="Arial" w:cs="Arial" w:eastAsia="Arial" w:hAnsi="Arial"/>
                <w:sz w:val="13"/>
                <w:szCs w:val="13"/>
                <w:color w:val="000000"/>
              </w:rPr>
              <w:t>(Vice Chair)</w:t>
            </w:r>
          </w:p>
        </w:tc>
        <w:tc>
          <w:tcPr>
            <w:tcW w:w="3360" w:type="dxa"/>
            <w:vAlign w:val="bottom"/>
          </w:tcPr>
          <w:p>
            <w:pPr>
              <w:jc w:val="right"/>
              <w:ind w:right="13"/>
              <w:spacing w:after="0"/>
              <w:rPr>
                <w:sz w:val="20"/>
                <w:szCs w:val="20"/>
                <w:color w:val="auto"/>
              </w:rPr>
            </w:pPr>
            <w:r>
              <w:rPr>
                <w:rFonts w:ascii="Arial" w:cs="Arial" w:eastAsia="Arial" w:hAnsi="Arial"/>
                <w:sz w:val="13"/>
                <w:szCs w:val="13"/>
                <w:color w:val="auto"/>
              </w:rPr>
              <w:t>911,980</w:t>
            </w:r>
          </w:p>
        </w:tc>
      </w:tr>
      <w:tr>
        <w:trPr>
          <w:trHeight w:val="41"/>
        </w:trPr>
        <w:tc>
          <w:tcPr>
            <w:tcW w:w="8060" w:type="dxa"/>
            <w:vAlign w:val="bottom"/>
            <w:tcBorders>
              <w:bottom w:val="single" w:sz="8" w:color="DFF1FB"/>
            </w:tcBorders>
          </w:tcPr>
          <w:p>
            <w:pPr>
              <w:spacing w:after="0"/>
              <w:rPr>
                <w:sz w:val="3"/>
                <w:szCs w:val="3"/>
                <w:color w:val="auto"/>
              </w:rPr>
            </w:pPr>
          </w:p>
        </w:tc>
        <w:tc>
          <w:tcPr>
            <w:tcW w:w="3360" w:type="dxa"/>
            <w:vAlign w:val="bottom"/>
            <w:tcBorders>
              <w:bottom w:val="single" w:sz="8" w:color="DFF1FB"/>
            </w:tcBorders>
          </w:tcPr>
          <w:p>
            <w:pPr>
              <w:spacing w:after="0"/>
              <w:rPr>
                <w:sz w:val="3"/>
                <w:szCs w:val="3"/>
                <w:color w:val="auto"/>
              </w:rPr>
            </w:pPr>
          </w:p>
        </w:tc>
      </w:tr>
      <w:tr>
        <w:trPr>
          <w:trHeight w:val="290"/>
        </w:trPr>
        <w:tc>
          <w:tcPr>
            <w:tcW w:w="8060" w:type="dxa"/>
            <w:vAlign w:val="bottom"/>
            <w:tcBorders>
              <w:bottom w:val="single" w:sz="8" w:color="DFF1FB"/>
            </w:tcBorders>
          </w:tcPr>
          <w:p>
            <w:pPr>
              <w:ind w:left="80"/>
              <w:spacing w:after="0"/>
              <w:rPr>
                <w:sz w:val="20"/>
                <w:szCs w:val="20"/>
                <w:color w:val="auto"/>
              </w:rPr>
            </w:pPr>
            <w:r>
              <w:rPr>
                <w:rFonts w:ascii="Arial" w:cs="Arial" w:eastAsia="Arial" w:hAnsi="Arial"/>
                <w:sz w:val="13"/>
                <w:szCs w:val="13"/>
                <w:b w:val="1"/>
                <w:bCs w:val="1"/>
                <w:color w:val="auto"/>
              </w:rPr>
              <w:t>All current executive officers as a group</w:t>
            </w:r>
            <w:r>
              <w:rPr>
                <w:rFonts w:ascii="Arial" w:cs="Arial" w:eastAsia="Arial" w:hAnsi="Arial"/>
                <w:sz w:val="22"/>
                <w:szCs w:val="22"/>
                <w:b w:val="1"/>
                <w:bCs w:val="1"/>
                <w:color w:val="auto"/>
                <w:vertAlign w:val="superscript"/>
              </w:rPr>
              <w:t>(2)</w:t>
            </w:r>
          </w:p>
        </w:tc>
        <w:tc>
          <w:tcPr>
            <w:tcW w:w="3360" w:type="dxa"/>
            <w:vAlign w:val="bottom"/>
            <w:tcBorders>
              <w:bottom w:val="single" w:sz="8" w:color="DFF1FB"/>
            </w:tcBorders>
          </w:tcPr>
          <w:p>
            <w:pPr>
              <w:jc w:val="right"/>
              <w:ind w:right="13"/>
              <w:spacing w:after="0"/>
              <w:rPr>
                <w:sz w:val="20"/>
                <w:szCs w:val="20"/>
                <w:color w:val="auto"/>
              </w:rPr>
            </w:pPr>
            <w:r>
              <w:rPr>
                <w:rFonts w:ascii="Arial" w:cs="Arial" w:eastAsia="Arial" w:hAnsi="Arial"/>
                <w:sz w:val="13"/>
                <w:szCs w:val="13"/>
                <w:color w:val="auto"/>
              </w:rPr>
              <w:t>9,566,615</w:t>
            </w:r>
          </w:p>
        </w:tc>
      </w:tr>
      <w:tr>
        <w:trPr>
          <w:trHeight w:val="195"/>
        </w:trPr>
        <w:tc>
          <w:tcPr>
            <w:tcW w:w="8060" w:type="dxa"/>
            <w:vAlign w:val="bottom"/>
          </w:tcPr>
          <w:p>
            <w:pPr>
              <w:ind w:left="80"/>
              <w:spacing w:after="0"/>
              <w:rPr>
                <w:sz w:val="20"/>
                <w:szCs w:val="20"/>
                <w:color w:val="auto"/>
              </w:rPr>
            </w:pPr>
            <w:r>
              <w:rPr>
                <w:rFonts w:ascii="Arial" w:cs="Arial" w:eastAsia="Arial" w:hAnsi="Arial"/>
                <w:sz w:val="13"/>
                <w:szCs w:val="13"/>
                <w:b w:val="1"/>
                <w:bCs w:val="1"/>
                <w:color w:val="auto"/>
              </w:rPr>
              <w:t>All Directors (who are not executive officers) as a group</w:t>
            </w:r>
          </w:p>
        </w:tc>
        <w:tc>
          <w:tcPr>
            <w:tcW w:w="3360" w:type="dxa"/>
            <w:vAlign w:val="bottom"/>
          </w:tcPr>
          <w:p>
            <w:pPr>
              <w:jc w:val="right"/>
              <w:ind w:right="13"/>
              <w:spacing w:after="0"/>
              <w:rPr>
                <w:sz w:val="20"/>
                <w:szCs w:val="20"/>
                <w:color w:val="auto"/>
              </w:rPr>
            </w:pPr>
            <w:r>
              <w:rPr>
                <w:rFonts w:ascii="Arial" w:cs="Arial" w:eastAsia="Arial" w:hAnsi="Arial"/>
                <w:sz w:val="13"/>
                <w:szCs w:val="13"/>
                <w:color w:val="auto"/>
              </w:rPr>
              <w:t>0</w:t>
            </w:r>
          </w:p>
        </w:tc>
      </w:tr>
      <w:tr>
        <w:trPr>
          <w:trHeight w:val="41"/>
        </w:trPr>
        <w:tc>
          <w:tcPr>
            <w:tcW w:w="8060" w:type="dxa"/>
            <w:vAlign w:val="bottom"/>
            <w:tcBorders>
              <w:bottom w:val="single" w:sz="8" w:color="DFF1FB"/>
            </w:tcBorders>
          </w:tcPr>
          <w:p>
            <w:pPr>
              <w:spacing w:after="0"/>
              <w:rPr>
                <w:sz w:val="3"/>
                <w:szCs w:val="3"/>
                <w:color w:val="auto"/>
              </w:rPr>
            </w:pPr>
          </w:p>
        </w:tc>
        <w:tc>
          <w:tcPr>
            <w:tcW w:w="3360" w:type="dxa"/>
            <w:vAlign w:val="bottom"/>
            <w:tcBorders>
              <w:bottom w:val="single" w:sz="8" w:color="DFF1FB"/>
            </w:tcBorders>
          </w:tcPr>
          <w:p>
            <w:pPr>
              <w:spacing w:after="0"/>
              <w:rPr>
                <w:sz w:val="3"/>
                <w:szCs w:val="3"/>
                <w:color w:val="auto"/>
              </w:rPr>
            </w:pPr>
          </w:p>
        </w:tc>
      </w:tr>
      <w:tr>
        <w:trPr>
          <w:trHeight w:val="195"/>
        </w:trPr>
        <w:tc>
          <w:tcPr>
            <w:tcW w:w="8060" w:type="dxa"/>
            <w:vAlign w:val="bottom"/>
          </w:tcPr>
          <w:p>
            <w:pPr>
              <w:ind w:left="80"/>
              <w:spacing w:after="0"/>
              <w:rPr>
                <w:sz w:val="20"/>
                <w:szCs w:val="20"/>
                <w:color w:val="auto"/>
              </w:rPr>
            </w:pPr>
            <w:r>
              <w:rPr>
                <w:rFonts w:ascii="Arial" w:cs="Arial" w:eastAsia="Arial" w:hAnsi="Arial"/>
                <w:sz w:val="13"/>
                <w:szCs w:val="13"/>
                <w:b w:val="1"/>
                <w:bCs w:val="1"/>
                <w:color w:val="auto"/>
              </w:rPr>
              <w:t>Nominees for Director</w:t>
            </w:r>
          </w:p>
        </w:tc>
        <w:tc>
          <w:tcPr>
            <w:tcW w:w="3360" w:type="dxa"/>
            <w:vAlign w:val="bottom"/>
          </w:tcPr>
          <w:p>
            <w:pPr>
              <w:jc w:val="right"/>
              <w:ind w:right="13"/>
              <w:spacing w:after="0"/>
              <w:rPr>
                <w:sz w:val="20"/>
                <w:szCs w:val="20"/>
                <w:color w:val="auto"/>
              </w:rPr>
            </w:pPr>
            <w:r>
              <w:rPr>
                <w:rFonts w:ascii="Arial" w:cs="Arial" w:eastAsia="Arial" w:hAnsi="Arial"/>
                <w:sz w:val="13"/>
                <w:szCs w:val="13"/>
                <w:color w:val="auto"/>
              </w:rPr>
              <w:t>0</w:t>
            </w:r>
          </w:p>
        </w:tc>
      </w:tr>
      <w:tr>
        <w:trPr>
          <w:trHeight w:val="41"/>
        </w:trPr>
        <w:tc>
          <w:tcPr>
            <w:tcW w:w="8060" w:type="dxa"/>
            <w:vAlign w:val="bottom"/>
            <w:tcBorders>
              <w:bottom w:val="single" w:sz="8" w:color="DFF1FB"/>
            </w:tcBorders>
          </w:tcPr>
          <w:p>
            <w:pPr>
              <w:spacing w:after="0"/>
              <w:rPr>
                <w:sz w:val="3"/>
                <w:szCs w:val="3"/>
                <w:color w:val="auto"/>
              </w:rPr>
            </w:pPr>
          </w:p>
        </w:tc>
        <w:tc>
          <w:tcPr>
            <w:tcW w:w="3360" w:type="dxa"/>
            <w:vAlign w:val="bottom"/>
            <w:tcBorders>
              <w:bottom w:val="single" w:sz="8" w:color="DFF1FB"/>
            </w:tcBorders>
          </w:tcPr>
          <w:p>
            <w:pPr>
              <w:spacing w:after="0"/>
              <w:rPr>
                <w:sz w:val="3"/>
                <w:szCs w:val="3"/>
                <w:color w:val="auto"/>
              </w:rPr>
            </w:pPr>
          </w:p>
        </w:tc>
      </w:tr>
      <w:tr>
        <w:trPr>
          <w:trHeight w:val="195"/>
        </w:trPr>
        <w:tc>
          <w:tcPr>
            <w:tcW w:w="8060" w:type="dxa"/>
            <w:vAlign w:val="bottom"/>
          </w:tcPr>
          <w:p>
            <w:pPr>
              <w:ind w:left="80"/>
              <w:spacing w:after="0"/>
              <w:rPr>
                <w:sz w:val="20"/>
                <w:szCs w:val="20"/>
                <w:color w:val="auto"/>
              </w:rPr>
            </w:pPr>
            <w:r>
              <w:rPr>
                <w:rFonts w:ascii="Arial" w:cs="Arial" w:eastAsia="Arial" w:hAnsi="Arial"/>
                <w:sz w:val="13"/>
                <w:szCs w:val="13"/>
                <w:b w:val="1"/>
                <w:bCs w:val="1"/>
                <w:color w:val="auto"/>
              </w:rPr>
              <w:t>All other employees, including all current officers who are not executive officers, as a group</w:t>
            </w:r>
          </w:p>
        </w:tc>
        <w:tc>
          <w:tcPr>
            <w:tcW w:w="3360" w:type="dxa"/>
            <w:vAlign w:val="bottom"/>
          </w:tcPr>
          <w:p>
            <w:pPr>
              <w:jc w:val="right"/>
              <w:ind w:right="13"/>
              <w:spacing w:after="0"/>
              <w:rPr>
                <w:sz w:val="20"/>
                <w:szCs w:val="20"/>
                <w:color w:val="auto"/>
              </w:rPr>
            </w:pPr>
            <w:r>
              <w:rPr>
                <w:rFonts w:ascii="Arial" w:cs="Arial" w:eastAsia="Arial" w:hAnsi="Arial"/>
                <w:sz w:val="13"/>
                <w:szCs w:val="13"/>
                <w:color w:val="auto"/>
              </w:rPr>
              <w:t>73,345,579</w:t>
            </w:r>
          </w:p>
        </w:tc>
      </w:tr>
      <w:tr>
        <w:trPr>
          <w:trHeight w:val="48"/>
        </w:trPr>
        <w:tc>
          <w:tcPr>
            <w:tcW w:w="8060" w:type="dxa"/>
            <w:vAlign w:val="bottom"/>
            <w:tcBorders>
              <w:bottom w:val="single" w:sz="8" w:color="105EAB"/>
            </w:tcBorders>
          </w:tcPr>
          <w:p>
            <w:pPr>
              <w:spacing w:after="0"/>
              <w:rPr>
                <w:sz w:val="4"/>
                <w:szCs w:val="4"/>
                <w:color w:val="auto"/>
              </w:rPr>
            </w:pPr>
          </w:p>
        </w:tc>
        <w:tc>
          <w:tcPr>
            <w:tcW w:w="3360" w:type="dxa"/>
            <w:vAlign w:val="bottom"/>
            <w:tcBorders>
              <w:bottom w:val="single" w:sz="8" w:color="105EAB"/>
            </w:tcBorders>
          </w:tcPr>
          <w:p>
            <w:pPr>
              <w:spacing w:after="0"/>
              <w:rPr>
                <w:sz w:val="4"/>
                <w:szCs w:val="4"/>
                <w:color w:val="auto"/>
              </w:rPr>
            </w:pPr>
          </w:p>
        </w:tc>
      </w:tr>
    </w:tbl>
    <w:p>
      <w:pPr>
        <w:spacing w:after="0" w:line="30" w:lineRule="exact"/>
        <w:rPr>
          <w:sz w:val="20"/>
          <w:szCs w:val="20"/>
          <w:color w:val="auto"/>
        </w:rPr>
      </w:pPr>
    </w:p>
    <w:p>
      <w:pPr>
        <w:ind w:left="300" w:hanging="292"/>
        <w:spacing w:after="0"/>
        <w:tabs>
          <w:tab w:leader="none" w:pos="300" w:val="left"/>
        </w:tabs>
        <w:numPr>
          <w:ilvl w:val="0"/>
          <w:numId w:val="232"/>
        </w:numPr>
        <w:rPr>
          <w:rFonts w:ascii="Arial" w:cs="Arial" w:eastAsia="Arial" w:hAnsi="Arial"/>
          <w:sz w:val="22"/>
          <w:szCs w:val="22"/>
          <w:color w:val="auto"/>
          <w:vertAlign w:val="superscript"/>
        </w:rPr>
      </w:pPr>
      <w:r>
        <w:rPr>
          <w:rFonts w:ascii="Arial" w:cs="Arial" w:eastAsia="Arial" w:hAnsi="Arial"/>
          <w:sz w:val="13"/>
          <w:szCs w:val="13"/>
          <w:color w:val="auto"/>
        </w:rPr>
        <w:t>Reflects options granted since 2001 for Messrs. Wilson, Rizzo, and Shebik, 2017 for Mr. Dugenske, and 2016 for Mr. Shapiro.</w:t>
      </w:r>
    </w:p>
    <w:p>
      <w:pPr>
        <w:ind w:left="300" w:hanging="292"/>
        <w:spacing w:after="0" w:line="187" w:lineRule="auto"/>
        <w:tabs>
          <w:tab w:leader="none" w:pos="300" w:val="left"/>
        </w:tabs>
        <w:numPr>
          <w:ilvl w:val="0"/>
          <w:numId w:val="232"/>
        </w:numPr>
        <w:rPr>
          <w:rFonts w:ascii="Arial" w:cs="Arial" w:eastAsia="Arial" w:hAnsi="Arial"/>
          <w:sz w:val="18"/>
          <w:szCs w:val="18"/>
          <w:color w:val="auto"/>
          <w:vertAlign w:val="superscript"/>
        </w:rPr>
      </w:pPr>
      <w:r>
        <w:rPr>
          <w:rFonts w:ascii="Arial" w:cs="Arial" w:eastAsia="Arial" w:hAnsi="Arial"/>
          <w:sz w:val="11"/>
          <w:szCs w:val="11"/>
          <w:color w:val="auto"/>
        </w:rPr>
        <w:t>All current reporting officers under Section 16(a) of the Securities and Exchange Act of 1934, as amended, which includes the Named Executives.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1120" w:type="dxa"/>
            <w:vAlign w:val="bottom"/>
          </w:tcPr>
          <w:p>
            <w:pPr>
              <w:ind w:left="9640"/>
              <w:spacing w:after="0"/>
              <w:rPr>
                <w:sz w:val="20"/>
                <w:szCs w:val="20"/>
                <w:color w:val="auto"/>
              </w:rPr>
            </w:pPr>
            <w:r>
              <w:rPr>
                <w:rFonts w:ascii="Arial" w:cs="Arial" w:eastAsia="Arial" w:hAnsi="Arial"/>
                <w:sz w:val="13"/>
                <w:szCs w:val="13"/>
                <w:color w:val="105EAB"/>
              </w:rPr>
              <w:t>2019 Proxy Statement</w:t>
            </w:r>
          </w:p>
        </w:tc>
        <w:tc>
          <w:tcPr>
            <w:tcW w:w="320" w:type="dxa"/>
            <w:vAlign w:val="bottom"/>
          </w:tcPr>
          <w:p>
            <w:pPr>
              <w:jc w:val="right"/>
              <w:spacing w:after="0"/>
              <w:rPr>
                <w:sz w:val="20"/>
                <w:szCs w:val="20"/>
                <w:color w:val="auto"/>
              </w:rPr>
            </w:pPr>
            <w:r>
              <w:rPr>
                <w:rFonts w:ascii="Arial" w:cs="Arial" w:eastAsia="Arial" w:hAnsi="Arial"/>
                <w:sz w:val="13"/>
                <w:szCs w:val="13"/>
                <w:b w:val="1"/>
                <w:bCs w:val="1"/>
                <w:color w:val="105EAB"/>
              </w:rPr>
              <w:t>81</w:t>
            </w:r>
          </w:p>
        </w:tc>
      </w:tr>
      <w:tr>
        <w:trPr>
          <w:trHeight w:val="213"/>
        </w:trPr>
        <w:tc>
          <w:tcPr>
            <w:tcW w:w="1112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-13970</wp:posOffset>
            </wp:positionV>
            <wp:extent cx="1270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b w:val="1"/>
          <w:bCs w:val="1"/>
          <w:color w:val="105EAB"/>
        </w:rPr>
        <w:t xml:space="preserve">Equity Incentive Plan | </w:t>
      </w:r>
      <w:r>
        <w:rPr>
          <w:rFonts w:ascii="Arial" w:cs="Arial" w:eastAsia="Arial" w:hAnsi="Arial"/>
          <w:sz w:val="13"/>
          <w:szCs w:val="13"/>
          <w:b w:val="1"/>
          <w:bCs w:val="1"/>
          <w:color w:val="000000"/>
        </w:rPr>
        <w:t>Other Information</w:t>
      </w:r>
    </w:p>
    <w:p>
      <w:pPr>
        <w:spacing w:after="0" w:line="201" w:lineRule="exact"/>
        <w:rPr>
          <w:sz w:val="20"/>
          <w:szCs w:val="20"/>
          <w:color w:val="auto"/>
        </w:rPr>
      </w:pPr>
    </w:p>
    <w:p>
      <w:pPr>
        <w:spacing w:after="0"/>
        <w:rPr>
          <w:sz w:val="20"/>
          <w:szCs w:val="20"/>
          <w:color w:val="auto"/>
        </w:rPr>
      </w:pPr>
      <w:r>
        <w:rPr>
          <w:rFonts w:ascii="Arial" w:cs="Arial" w:eastAsia="Arial" w:hAnsi="Arial"/>
          <w:sz w:val="25"/>
          <w:szCs w:val="25"/>
          <w:b w:val="1"/>
          <w:bCs w:val="1"/>
          <w:color w:val="105EAB"/>
        </w:rPr>
        <w:t>Equity Compensation Plan Information</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includes information as of December 31, 2018, with respect to The Allstate Corporation’s equity compensation plans: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105EAB"/>
        </w:rPr>
        <w:t>Securities Authorized for Issuance Under Equity Compensation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246620" cy="171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30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980" w:type="dxa"/>
            <w:vAlign w:val="bottom"/>
          </w:tcPr>
          <w:p>
            <w:pPr>
              <w:jc w:val="right"/>
              <w:ind w:right="13"/>
              <w:spacing w:after="0"/>
              <w:rPr>
                <w:sz w:val="20"/>
                <w:szCs w:val="20"/>
                <w:color w:val="auto"/>
              </w:rPr>
            </w:pPr>
            <w:r>
              <w:rPr>
                <w:rFonts w:ascii="Arial" w:cs="Arial" w:eastAsia="Arial" w:hAnsi="Arial"/>
                <w:sz w:val="13"/>
                <w:szCs w:val="13"/>
                <w:b w:val="1"/>
                <w:bCs w:val="1"/>
                <w:color w:val="105EAB"/>
              </w:rPr>
              <w:t>Number of Securities</w:t>
            </w:r>
          </w:p>
        </w:tc>
      </w:tr>
      <w:tr>
        <w:trPr>
          <w:trHeight w:val="148"/>
        </w:trPr>
        <w:tc>
          <w:tcPr>
            <w:tcW w:w="430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980" w:type="dxa"/>
            <w:vAlign w:val="bottom"/>
          </w:tcPr>
          <w:p>
            <w:pPr>
              <w:jc w:val="right"/>
              <w:ind w:right="13"/>
              <w:spacing w:after="0" w:line="149" w:lineRule="exact"/>
              <w:rPr>
                <w:sz w:val="20"/>
                <w:szCs w:val="20"/>
                <w:color w:val="auto"/>
              </w:rPr>
            </w:pPr>
            <w:r>
              <w:rPr>
                <w:rFonts w:ascii="Arial" w:cs="Arial" w:eastAsia="Arial" w:hAnsi="Arial"/>
                <w:sz w:val="13"/>
                <w:szCs w:val="13"/>
                <w:b w:val="1"/>
                <w:bCs w:val="1"/>
                <w:color w:val="105EAB"/>
              </w:rPr>
              <w:t>Remaining Available for</w:t>
            </w:r>
          </w:p>
        </w:tc>
      </w:tr>
      <w:tr>
        <w:trPr>
          <w:trHeight w:val="148"/>
        </w:trPr>
        <w:tc>
          <w:tcPr>
            <w:tcW w:w="4300" w:type="dxa"/>
            <w:vAlign w:val="bottom"/>
          </w:tcPr>
          <w:p>
            <w:pPr>
              <w:spacing w:after="0"/>
              <w:rPr>
                <w:sz w:val="12"/>
                <w:szCs w:val="12"/>
                <w:color w:val="auto"/>
              </w:rPr>
            </w:pPr>
          </w:p>
        </w:tc>
        <w:tc>
          <w:tcPr>
            <w:tcW w:w="3480" w:type="dxa"/>
            <w:vAlign w:val="bottom"/>
          </w:tcPr>
          <w:p>
            <w:pPr>
              <w:jc w:val="right"/>
              <w:ind w:right="73"/>
              <w:spacing w:after="0" w:line="149" w:lineRule="exact"/>
              <w:rPr>
                <w:sz w:val="20"/>
                <w:szCs w:val="20"/>
                <w:color w:val="auto"/>
              </w:rPr>
            </w:pPr>
            <w:r>
              <w:rPr>
                <w:rFonts w:ascii="Arial" w:cs="Arial" w:eastAsia="Arial" w:hAnsi="Arial"/>
                <w:sz w:val="13"/>
                <w:szCs w:val="13"/>
                <w:b w:val="1"/>
                <w:bCs w:val="1"/>
                <w:color w:val="105EAB"/>
              </w:rPr>
              <w:t>Number of Securities to</w:t>
            </w:r>
          </w:p>
        </w:tc>
        <w:tc>
          <w:tcPr>
            <w:tcW w:w="1660" w:type="dxa"/>
            <w:vAlign w:val="bottom"/>
          </w:tcPr>
          <w:p>
            <w:pPr>
              <w:jc w:val="right"/>
              <w:ind w:right="73"/>
              <w:spacing w:after="0" w:line="149" w:lineRule="exact"/>
              <w:rPr>
                <w:sz w:val="20"/>
                <w:szCs w:val="20"/>
                <w:color w:val="auto"/>
              </w:rPr>
            </w:pPr>
            <w:r>
              <w:rPr>
                <w:rFonts w:ascii="Arial" w:cs="Arial" w:eastAsia="Arial" w:hAnsi="Arial"/>
                <w:sz w:val="13"/>
                <w:szCs w:val="13"/>
                <w:b w:val="1"/>
                <w:bCs w:val="1"/>
                <w:color w:val="105EAB"/>
              </w:rPr>
              <w:t>Weighted-Average</w:t>
            </w:r>
          </w:p>
        </w:tc>
        <w:tc>
          <w:tcPr>
            <w:tcW w:w="1980" w:type="dxa"/>
            <w:vAlign w:val="bottom"/>
          </w:tcPr>
          <w:p>
            <w:pPr>
              <w:jc w:val="right"/>
              <w:ind w:right="13"/>
              <w:spacing w:after="0" w:line="149" w:lineRule="exact"/>
              <w:rPr>
                <w:sz w:val="20"/>
                <w:szCs w:val="20"/>
                <w:color w:val="auto"/>
              </w:rPr>
            </w:pPr>
            <w:r>
              <w:rPr>
                <w:rFonts w:ascii="Arial" w:cs="Arial" w:eastAsia="Arial" w:hAnsi="Arial"/>
                <w:sz w:val="13"/>
                <w:szCs w:val="13"/>
                <w:b w:val="1"/>
                <w:bCs w:val="1"/>
                <w:color w:val="105EAB"/>
              </w:rPr>
              <w:t>Future Issuance under</w:t>
            </w:r>
          </w:p>
        </w:tc>
      </w:tr>
      <w:tr>
        <w:trPr>
          <w:trHeight w:val="148"/>
        </w:trPr>
        <w:tc>
          <w:tcPr>
            <w:tcW w:w="4300" w:type="dxa"/>
            <w:vAlign w:val="bottom"/>
          </w:tcPr>
          <w:p>
            <w:pPr>
              <w:spacing w:after="0"/>
              <w:rPr>
                <w:sz w:val="12"/>
                <w:szCs w:val="12"/>
                <w:color w:val="auto"/>
              </w:rPr>
            </w:pPr>
          </w:p>
        </w:tc>
        <w:tc>
          <w:tcPr>
            <w:tcW w:w="3480" w:type="dxa"/>
            <w:vAlign w:val="bottom"/>
          </w:tcPr>
          <w:p>
            <w:pPr>
              <w:jc w:val="right"/>
              <w:ind w:right="73"/>
              <w:spacing w:after="0" w:line="149" w:lineRule="exact"/>
              <w:rPr>
                <w:sz w:val="20"/>
                <w:szCs w:val="20"/>
                <w:color w:val="auto"/>
              </w:rPr>
            </w:pPr>
            <w:r>
              <w:rPr>
                <w:rFonts w:ascii="Arial" w:cs="Arial" w:eastAsia="Arial" w:hAnsi="Arial"/>
                <w:sz w:val="13"/>
                <w:szCs w:val="13"/>
                <w:b w:val="1"/>
                <w:bCs w:val="1"/>
                <w:color w:val="105EAB"/>
              </w:rPr>
              <w:t>be Issued upon Exercise</w:t>
            </w:r>
          </w:p>
        </w:tc>
        <w:tc>
          <w:tcPr>
            <w:tcW w:w="1660" w:type="dxa"/>
            <w:vAlign w:val="bottom"/>
          </w:tcPr>
          <w:p>
            <w:pPr>
              <w:jc w:val="right"/>
              <w:ind w:right="73"/>
              <w:spacing w:after="0" w:line="149" w:lineRule="exact"/>
              <w:rPr>
                <w:sz w:val="20"/>
                <w:szCs w:val="20"/>
                <w:color w:val="auto"/>
              </w:rPr>
            </w:pPr>
            <w:r>
              <w:rPr>
                <w:rFonts w:ascii="Arial" w:cs="Arial" w:eastAsia="Arial" w:hAnsi="Arial"/>
                <w:sz w:val="13"/>
                <w:szCs w:val="13"/>
                <w:b w:val="1"/>
                <w:bCs w:val="1"/>
                <w:color w:val="105EAB"/>
              </w:rPr>
              <w:t>Exercise Price of</w:t>
            </w:r>
          </w:p>
        </w:tc>
        <w:tc>
          <w:tcPr>
            <w:tcW w:w="1980" w:type="dxa"/>
            <w:vAlign w:val="bottom"/>
          </w:tcPr>
          <w:p>
            <w:pPr>
              <w:jc w:val="right"/>
              <w:ind w:right="13"/>
              <w:spacing w:after="0" w:line="149" w:lineRule="exact"/>
              <w:rPr>
                <w:sz w:val="20"/>
                <w:szCs w:val="20"/>
                <w:color w:val="auto"/>
              </w:rPr>
            </w:pPr>
            <w:r>
              <w:rPr>
                <w:rFonts w:ascii="Arial" w:cs="Arial" w:eastAsia="Arial" w:hAnsi="Arial"/>
                <w:sz w:val="13"/>
                <w:szCs w:val="13"/>
                <w:b w:val="1"/>
                <w:bCs w:val="1"/>
                <w:color w:val="105EAB"/>
              </w:rPr>
              <w:t>Equity Compensation</w:t>
            </w:r>
          </w:p>
        </w:tc>
      </w:tr>
      <w:tr>
        <w:trPr>
          <w:trHeight w:val="148"/>
        </w:trPr>
        <w:tc>
          <w:tcPr>
            <w:tcW w:w="4300" w:type="dxa"/>
            <w:vAlign w:val="bottom"/>
          </w:tcPr>
          <w:p>
            <w:pPr>
              <w:spacing w:after="0"/>
              <w:rPr>
                <w:sz w:val="12"/>
                <w:szCs w:val="12"/>
                <w:color w:val="auto"/>
              </w:rPr>
            </w:pPr>
          </w:p>
        </w:tc>
        <w:tc>
          <w:tcPr>
            <w:tcW w:w="3480" w:type="dxa"/>
            <w:vAlign w:val="bottom"/>
          </w:tcPr>
          <w:p>
            <w:pPr>
              <w:jc w:val="right"/>
              <w:ind w:right="73"/>
              <w:spacing w:after="0" w:line="149" w:lineRule="exact"/>
              <w:rPr>
                <w:sz w:val="20"/>
                <w:szCs w:val="20"/>
                <w:color w:val="auto"/>
              </w:rPr>
            </w:pPr>
            <w:r>
              <w:rPr>
                <w:rFonts w:ascii="Arial" w:cs="Arial" w:eastAsia="Arial" w:hAnsi="Arial"/>
                <w:sz w:val="13"/>
                <w:szCs w:val="13"/>
                <w:b w:val="1"/>
                <w:bCs w:val="1"/>
                <w:color w:val="105EAB"/>
              </w:rPr>
              <w:t>of Outstanding Options,</w:t>
            </w:r>
          </w:p>
        </w:tc>
        <w:tc>
          <w:tcPr>
            <w:tcW w:w="1660" w:type="dxa"/>
            <w:vAlign w:val="bottom"/>
          </w:tcPr>
          <w:p>
            <w:pPr>
              <w:jc w:val="right"/>
              <w:ind w:right="73"/>
              <w:spacing w:after="0" w:line="149" w:lineRule="exact"/>
              <w:rPr>
                <w:sz w:val="20"/>
                <w:szCs w:val="20"/>
                <w:color w:val="auto"/>
              </w:rPr>
            </w:pPr>
            <w:r>
              <w:rPr>
                <w:rFonts w:ascii="Arial" w:cs="Arial" w:eastAsia="Arial" w:hAnsi="Arial"/>
                <w:sz w:val="13"/>
                <w:szCs w:val="13"/>
                <w:b w:val="1"/>
                <w:bCs w:val="1"/>
                <w:color w:val="105EAB"/>
              </w:rPr>
              <w:t>Outstanding Options,</w:t>
            </w:r>
          </w:p>
        </w:tc>
        <w:tc>
          <w:tcPr>
            <w:tcW w:w="1980" w:type="dxa"/>
            <w:vAlign w:val="bottom"/>
          </w:tcPr>
          <w:p>
            <w:pPr>
              <w:jc w:val="right"/>
              <w:ind w:right="13"/>
              <w:spacing w:after="0" w:line="149" w:lineRule="exact"/>
              <w:rPr>
                <w:sz w:val="20"/>
                <w:szCs w:val="20"/>
                <w:color w:val="auto"/>
              </w:rPr>
            </w:pPr>
            <w:r>
              <w:rPr>
                <w:rFonts w:ascii="Arial" w:cs="Arial" w:eastAsia="Arial" w:hAnsi="Arial"/>
                <w:sz w:val="13"/>
                <w:szCs w:val="13"/>
                <w:b w:val="1"/>
                <w:bCs w:val="1"/>
                <w:color w:val="105EAB"/>
              </w:rPr>
              <w:t>Plans (Excluding Securities</w:t>
            </w:r>
          </w:p>
        </w:tc>
      </w:tr>
      <w:tr>
        <w:trPr>
          <w:trHeight w:val="148"/>
        </w:trPr>
        <w:tc>
          <w:tcPr>
            <w:tcW w:w="4300" w:type="dxa"/>
            <w:vAlign w:val="bottom"/>
          </w:tcPr>
          <w:p>
            <w:pPr>
              <w:spacing w:after="0"/>
              <w:rPr>
                <w:sz w:val="12"/>
                <w:szCs w:val="12"/>
                <w:color w:val="auto"/>
              </w:rPr>
            </w:pPr>
          </w:p>
        </w:tc>
        <w:tc>
          <w:tcPr>
            <w:tcW w:w="3480" w:type="dxa"/>
            <w:vAlign w:val="bottom"/>
          </w:tcPr>
          <w:p>
            <w:pPr>
              <w:jc w:val="right"/>
              <w:ind w:right="73"/>
              <w:spacing w:after="0" w:line="149" w:lineRule="exact"/>
              <w:rPr>
                <w:sz w:val="20"/>
                <w:szCs w:val="20"/>
                <w:color w:val="auto"/>
              </w:rPr>
            </w:pPr>
            <w:r>
              <w:rPr>
                <w:rFonts w:ascii="Arial" w:cs="Arial" w:eastAsia="Arial" w:hAnsi="Arial"/>
                <w:sz w:val="13"/>
                <w:szCs w:val="13"/>
                <w:b w:val="1"/>
                <w:bCs w:val="1"/>
                <w:color w:val="105EAB"/>
              </w:rPr>
              <w:t>Warrants, and Rights</w:t>
            </w:r>
          </w:p>
        </w:tc>
        <w:tc>
          <w:tcPr>
            <w:tcW w:w="1660" w:type="dxa"/>
            <w:vAlign w:val="bottom"/>
          </w:tcPr>
          <w:p>
            <w:pPr>
              <w:jc w:val="right"/>
              <w:ind w:right="73"/>
              <w:spacing w:after="0" w:line="149" w:lineRule="exact"/>
              <w:rPr>
                <w:sz w:val="20"/>
                <w:szCs w:val="20"/>
                <w:color w:val="auto"/>
              </w:rPr>
            </w:pPr>
            <w:r>
              <w:rPr>
                <w:rFonts w:ascii="Arial" w:cs="Arial" w:eastAsia="Arial" w:hAnsi="Arial"/>
                <w:sz w:val="13"/>
                <w:szCs w:val="13"/>
                <w:b w:val="1"/>
                <w:bCs w:val="1"/>
                <w:color w:val="105EAB"/>
              </w:rPr>
              <w:t>Warrants, and Rights</w:t>
            </w:r>
          </w:p>
        </w:tc>
        <w:tc>
          <w:tcPr>
            <w:tcW w:w="1980" w:type="dxa"/>
            <w:vAlign w:val="bottom"/>
          </w:tcPr>
          <w:p>
            <w:pPr>
              <w:jc w:val="right"/>
              <w:ind w:right="13"/>
              <w:spacing w:after="0" w:line="149" w:lineRule="exact"/>
              <w:rPr>
                <w:sz w:val="20"/>
                <w:szCs w:val="20"/>
                <w:color w:val="auto"/>
              </w:rPr>
            </w:pPr>
            <w:r>
              <w:rPr>
                <w:rFonts w:ascii="Arial" w:cs="Arial" w:eastAsia="Arial" w:hAnsi="Arial"/>
                <w:sz w:val="13"/>
                <w:szCs w:val="13"/>
                <w:b w:val="1"/>
                <w:bCs w:val="1"/>
                <w:color w:val="105EAB"/>
              </w:rPr>
              <w:t>Reflected in Column (a))</w:t>
            </w:r>
          </w:p>
        </w:tc>
      </w:tr>
      <w:tr>
        <w:trPr>
          <w:trHeight w:val="199"/>
        </w:trPr>
        <w:tc>
          <w:tcPr>
            <w:tcW w:w="4300" w:type="dxa"/>
            <w:vAlign w:val="bottom"/>
            <w:tcBorders>
              <w:bottom w:val="single" w:sz="8" w:color="105EAB"/>
            </w:tcBorders>
          </w:tcPr>
          <w:p>
            <w:pPr>
              <w:ind w:left="80"/>
              <w:spacing w:after="0"/>
              <w:rPr>
                <w:sz w:val="20"/>
                <w:szCs w:val="20"/>
                <w:color w:val="auto"/>
              </w:rPr>
            </w:pPr>
            <w:r>
              <w:rPr>
                <w:rFonts w:ascii="Arial" w:cs="Arial" w:eastAsia="Arial" w:hAnsi="Arial"/>
                <w:sz w:val="13"/>
                <w:szCs w:val="13"/>
                <w:b w:val="1"/>
                <w:bCs w:val="1"/>
                <w:color w:val="105EAB"/>
              </w:rPr>
              <w:t>Plan Category</w:t>
            </w:r>
          </w:p>
        </w:tc>
        <w:tc>
          <w:tcPr>
            <w:tcW w:w="3480" w:type="dxa"/>
            <w:vAlign w:val="bottom"/>
            <w:tcBorders>
              <w:bottom w:val="single" w:sz="8" w:color="105EAB"/>
            </w:tcBorders>
          </w:tcPr>
          <w:p>
            <w:pPr>
              <w:jc w:val="right"/>
              <w:ind w:right="73"/>
              <w:spacing w:after="0"/>
              <w:rPr>
                <w:sz w:val="20"/>
                <w:szCs w:val="20"/>
                <w:color w:val="auto"/>
              </w:rPr>
            </w:pPr>
            <w:r>
              <w:rPr>
                <w:rFonts w:ascii="Arial" w:cs="Arial" w:eastAsia="Arial" w:hAnsi="Arial"/>
                <w:sz w:val="13"/>
                <w:szCs w:val="13"/>
                <w:b w:val="1"/>
                <w:bCs w:val="1"/>
                <w:color w:val="105EAB"/>
              </w:rPr>
              <w:t>(a)</w:t>
            </w:r>
          </w:p>
        </w:tc>
        <w:tc>
          <w:tcPr>
            <w:tcW w:w="1660" w:type="dxa"/>
            <w:vAlign w:val="bottom"/>
            <w:tcBorders>
              <w:bottom w:val="single" w:sz="8" w:color="105EAB"/>
            </w:tcBorders>
          </w:tcPr>
          <w:p>
            <w:pPr>
              <w:jc w:val="right"/>
              <w:ind w:right="73"/>
              <w:spacing w:after="0"/>
              <w:rPr>
                <w:sz w:val="20"/>
                <w:szCs w:val="20"/>
                <w:color w:val="auto"/>
              </w:rPr>
            </w:pPr>
            <w:r>
              <w:rPr>
                <w:rFonts w:ascii="Arial" w:cs="Arial" w:eastAsia="Arial" w:hAnsi="Arial"/>
                <w:sz w:val="13"/>
                <w:szCs w:val="13"/>
                <w:b w:val="1"/>
                <w:bCs w:val="1"/>
                <w:color w:val="105EAB"/>
              </w:rPr>
              <w:t>(b)</w:t>
            </w:r>
          </w:p>
        </w:tc>
        <w:tc>
          <w:tcPr>
            <w:tcW w:w="1980" w:type="dxa"/>
            <w:vAlign w:val="bottom"/>
            <w:tcBorders>
              <w:bottom w:val="single" w:sz="8" w:color="105EAB"/>
            </w:tcBorders>
          </w:tcPr>
          <w:p>
            <w:pPr>
              <w:jc w:val="right"/>
              <w:ind w:right="13"/>
              <w:spacing w:after="0"/>
              <w:rPr>
                <w:sz w:val="20"/>
                <w:szCs w:val="20"/>
                <w:color w:val="auto"/>
              </w:rPr>
            </w:pPr>
            <w:r>
              <w:rPr>
                <w:rFonts w:ascii="Arial" w:cs="Arial" w:eastAsia="Arial" w:hAnsi="Arial"/>
                <w:sz w:val="13"/>
                <w:szCs w:val="13"/>
                <w:b w:val="1"/>
                <w:bCs w:val="1"/>
                <w:color w:val="105EAB"/>
              </w:rPr>
              <w:t>(c)</w:t>
            </w:r>
          </w:p>
        </w:tc>
      </w:tr>
      <w:tr>
        <w:trPr>
          <w:trHeight w:val="297"/>
        </w:trPr>
        <w:tc>
          <w:tcPr>
            <w:tcW w:w="4300" w:type="dxa"/>
            <w:vAlign w:val="bottom"/>
            <w:tcBorders>
              <w:bottom w:val="single" w:sz="8" w:color="DFF1FB"/>
            </w:tcBorders>
          </w:tcPr>
          <w:p>
            <w:pPr>
              <w:ind w:left="80"/>
              <w:spacing w:after="0"/>
              <w:rPr>
                <w:sz w:val="20"/>
                <w:szCs w:val="20"/>
                <w:color w:val="auto"/>
              </w:rPr>
            </w:pPr>
            <w:r>
              <w:rPr>
                <w:rFonts w:ascii="Arial" w:cs="Arial" w:eastAsia="Arial" w:hAnsi="Arial"/>
                <w:sz w:val="13"/>
                <w:szCs w:val="13"/>
                <w:color w:val="auto"/>
              </w:rPr>
              <w:t>Equity Compensation Plans Approved by</w:t>
            </w:r>
          </w:p>
        </w:tc>
        <w:tc>
          <w:tcPr>
            <w:tcW w:w="3480" w:type="dxa"/>
            <w:vAlign w:val="bottom"/>
            <w:tcBorders>
              <w:bottom w:val="single" w:sz="8" w:color="DFF1FB"/>
            </w:tcBorders>
          </w:tcPr>
          <w:p>
            <w:pPr>
              <w:jc w:val="right"/>
              <w:ind w:right="73"/>
              <w:spacing w:after="0" w:line="297" w:lineRule="exact"/>
              <w:rPr>
                <w:sz w:val="20"/>
                <w:szCs w:val="20"/>
                <w:color w:val="auto"/>
              </w:rPr>
            </w:pPr>
            <w:r>
              <w:rPr>
                <w:rFonts w:ascii="Arial" w:cs="Arial" w:eastAsia="Arial" w:hAnsi="Arial"/>
                <w:sz w:val="13"/>
                <w:szCs w:val="13"/>
                <w:color w:val="auto"/>
              </w:rPr>
              <w:t>15,015,769</w:t>
            </w:r>
            <w:r>
              <w:rPr>
                <w:rFonts w:ascii="Arial" w:cs="Arial" w:eastAsia="Arial" w:hAnsi="Arial"/>
                <w:sz w:val="26"/>
                <w:szCs w:val="26"/>
                <w:color w:val="auto"/>
                <w:vertAlign w:val="superscript"/>
              </w:rPr>
              <w:t>(2)</w:t>
            </w:r>
          </w:p>
        </w:tc>
        <w:tc>
          <w:tcPr>
            <w:tcW w:w="1660" w:type="dxa"/>
            <w:vAlign w:val="bottom"/>
            <w:tcBorders>
              <w:bottom w:val="single" w:sz="8" w:color="DFF1FB"/>
            </w:tcBorders>
          </w:tcPr>
          <w:p>
            <w:pPr>
              <w:jc w:val="right"/>
              <w:ind w:right="73"/>
              <w:spacing w:after="0"/>
              <w:rPr>
                <w:sz w:val="20"/>
                <w:szCs w:val="20"/>
                <w:color w:val="auto"/>
              </w:rPr>
            </w:pPr>
            <w:r>
              <w:rPr>
                <w:rFonts w:ascii="Arial" w:cs="Arial" w:eastAsia="Arial" w:hAnsi="Arial"/>
                <w:sz w:val="13"/>
                <w:szCs w:val="13"/>
                <w:color w:val="auto"/>
              </w:rPr>
              <w:t>$65.82</w:t>
            </w:r>
          </w:p>
        </w:tc>
        <w:tc>
          <w:tcPr>
            <w:tcW w:w="1980" w:type="dxa"/>
            <w:vAlign w:val="bottom"/>
            <w:tcBorders>
              <w:bottom w:val="single" w:sz="8" w:color="DFF1FB"/>
            </w:tcBorders>
          </w:tcPr>
          <w:p>
            <w:pPr>
              <w:jc w:val="right"/>
              <w:ind w:right="13"/>
              <w:spacing w:after="0" w:line="297" w:lineRule="exact"/>
              <w:rPr>
                <w:sz w:val="20"/>
                <w:szCs w:val="20"/>
                <w:color w:val="auto"/>
              </w:rPr>
            </w:pPr>
            <w:r>
              <w:rPr>
                <w:rFonts w:ascii="Arial" w:cs="Arial" w:eastAsia="Arial" w:hAnsi="Arial"/>
                <w:sz w:val="13"/>
                <w:szCs w:val="13"/>
                <w:color w:val="auto"/>
              </w:rPr>
              <w:t>12,645,317</w:t>
            </w:r>
            <w:r>
              <w:rPr>
                <w:rFonts w:ascii="Arial" w:cs="Arial" w:eastAsia="Arial" w:hAnsi="Arial"/>
                <w:sz w:val="26"/>
                <w:szCs w:val="26"/>
                <w:color w:val="auto"/>
                <w:vertAlign w:val="superscript"/>
              </w:rPr>
              <w:t>(3)</w:t>
            </w:r>
          </w:p>
        </w:tc>
      </w:tr>
      <w:tr>
        <w:trPr>
          <w:trHeight w:val="290"/>
        </w:trPr>
        <w:tc>
          <w:tcPr>
            <w:tcW w:w="4300" w:type="dxa"/>
            <w:vAlign w:val="bottom"/>
            <w:tcBorders>
              <w:bottom w:val="single" w:sz="8" w:color="DFF1FB"/>
            </w:tcBorders>
          </w:tcPr>
          <w:p>
            <w:pPr>
              <w:ind w:left="80"/>
              <w:spacing w:after="0"/>
              <w:rPr>
                <w:sz w:val="20"/>
                <w:szCs w:val="20"/>
                <w:color w:val="auto"/>
              </w:rPr>
            </w:pPr>
            <w:r>
              <w:rPr>
                <w:rFonts w:ascii="Arial" w:cs="Arial" w:eastAsia="Arial" w:hAnsi="Arial"/>
                <w:sz w:val="13"/>
                <w:szCs w:val="13"/>
                <w:color w:val="auto"/>
              </w:rPr>
              <w:t>Security Holders</w:t>
            </w:r>
            <w:r>
              <w:rPr>
                <w:rFonts w:ascii="Arial" w:cs="Arial" w:eastAsia="Arial" w:hAnsi="Arial"/>
                <w:sz w:val="22"/>
                <w:szCs w:val="22"/>
                <w:color w:val="auto"/>
                <w:vertAlign w:val="superscript"/>
              </w:rPr>
              <w:t>(1)</w:t>
            </w:r>
          </w:p>
        </w:tc>
        <w:tc>
          <w:tcPr>
            <w:tcW w:w="3480" w:type="dxa"/>
            <w:vAlign w:val="bottom"/>
            <w:tcBorders>
              <w:bottom w:val="single" w:sz="8" w:color="DFF1FB"/>
            </w:tcBorders>
          </w:tcPr>
          <w:p>
            <w:pPr>
              <w:spacing w:after="0"/>
              <w:rPr>
                <w:sz w:val="24"/>
                <w:szCs w:val="24"/>
                <w:color w:val="auto"/>
              </w:rPr>
            </w:pPr>
          </w:p>
        </w:tc>
        <w:tc>
          <w:tcPr>
            <w:tcW w:w="1660" w:type="dxa"/>
            <w:vAlign w:val="bottom"/>
            <w:tcBorders>
              <w:bottom w:val="single" w:sz="8" w:color="DFF1FB"/>
            </w:tcBorders>
          </w:tcPr>
          <w:p>
            <w:pPr>
              <w:spacing w:after="0"/>
              <w:rPr>
                <w:sz w:val="24"/>
                <w:szCs w:val="24"/>
                <w:color w:val="auto"/>
              </w:rPr>
            </w:pPr>
          </w:p>
        </w:tc>
        <w:tc>
          <w:tcPr>
            <w:tcW w:w="1980" w:type="dxa"/>
            <w:vAlign w:val="bottom"/>
            <w:tcBorders>
              <w:bottom w:val="single" w:sz="8" w:color="DFF1FB"/>
            </w:tcBorders>
          </w:tcPr>
          <w:p>
            <w:pPr>
              <w:spacing w:after="0"/>
              <w:rPr>
                <w:sz w:val="24"/>
                <w:szCs w:val="24"/>
                <w:color w:val="auto"/>
              </w:rPr>
            </w:pPr>
          </w:p>
        </w:tc>
      </w:tr>
      <w:tr>
        <w:trPr>
          <w:trHeight w:val="297"/>
        </w:trPr>
        <w:tc>
          <w:tcPr>
            <w:tcW w:w="4300" w:type="dxa"/>
            <w:vAlign w:val="bottom"/>
            <w:tcBorders>
              <w:bottom w:val="single" w:sz="8" w:color="105EAB"/>
            </w:tcBorders>
          </w:tcPr>
          <w:p>
            <w:pPr>
              <w:ind w:left="80"/>
              <w:spacing w:after="0"/>
              <w:rPr>
                <w:sz w:val="20"/>
                <w:szCs w:val="20"/>
                <w:color w:val="auto"/>
              </w:rPr>
            </w:pPr>
            <w:r>
              <w:rPr>
                <w:rFonts w:ascii="Arial" w:cs="Arial" w:eastAsia="Arial" w:hAnsi="Arial"/>
                <w:sz w:val="13"/>
                <w:szCs w:val="13"/>
                <w:color w:val="auto"/>
              </w:rPr>
              <w:t>Total</w:t>
            </w:r>
          </w:p>
        </w:tc>
        <w:tc>
          <w:tcPr>
            <w:tcW w:w="3480" w:type="dxa"/>
            <w:vAlign w:val="bottom"/>
            <w:tcBorders>
              <w:bottom w:val="single" w:sz="8" w:color="105EAB"/>
            </w:tcBorders>
          </w:tcPr>
          <w:p>
            <w:pPr>
              <w:jc w:val="right"/>
              <w:ind w:right="73"/>
              <w:spacing w:after="0" w:line="290" w:lineRule="exact"/>
              <w:rPr>
                <w:sz w:val="20"/>
                <w:szCs w:val="20"/>
                <w:color w:val="auto"/>
              </w:rPr>
            </w:pPr>
            <w:r>
              <w:rPr>
                <w:rFonts w:ascii="Arial" w:cs="Arial" w:eastAsia="Arial" w:hAnsi="Arial"/>
                <w:sz w:val="13"/>
                <w:szCs w:val="13"/>
                <w:color w:val="auto"/>
              </w:rPr>
              <w:t>15,015,769</w:t>
            </w:r>
            <w:r>
              <w:rPr>
                <w:rFonts w:ascii="Arial" w:cs="Arial" w:eastAsia="Arial" w:hAnsi="Arial"/>
                <w:sz w:val="26"/>
                <w:szCs w:val="26"/>
                <w:color w:val="auto"/>
                <w:vertAlign w:val="superscript"/>
              </w:rPr>
              <w:t>(2)</w:t>
            </w:r>
          </w:p>
        </w:tc>
        <w:tc>
          <w:tcPr>
            <w:tcW w:w="1660" w:type="dxa"/>
            <w:vAlign w:val="bottom"/>
            <w:tcBorders>
              <w:bottom w:val="single" w:sz="8" w:color="105EAB"/>
            </w:tcBorders>
          </w:tcPr>
          <w:p>
            <w:pPr>
              <w:jc w:val="right"/>
              <w:ind w:right="73"/>
              <w:spacing w:after="0"/>
              <w:rPr>
                <w:sz w:val="20"/>
                <w:szCs w:val="20"/>
                <w:color w:val="auto"/>
              </w:rPr>
            </w:pPr>
            <w:r>
              <w:rPr>
                <w:rFonts w:ascii="Arial" w:cs="Arial" w:eastAsia="Arial" w:hAnsi="Arial"/>
                <w:sz w:val="13"/>
                <w:szCs w:val="13"/>
                <w:color w:val="auto"/>
              </w:rPr>
              <w:t>$65.82</w:t>
            </w:r>
          </w:p>
        </w:tc>
        <w:tc>
          <w:tcPr>
            <w:tcW w:w="1980" w:type="dxa"/>
            <w:vAlign w:val="bottom"/>
            <w:tcBorders>
              <w:bottom w:val="single" w:sz="8" w:color="105EAB"/>
            </w:tcBorders>
          </w:tcPr>
          <w:p>
            <w:pPr>
              <w:jc w:val="right"/>
              <w:ind w:right="13"/>
              <w:spacing w:after="0" w:line="290" w:lineRule="exact"/>
              <w:rPr>
                <w:sz w:val="20"/>
                <w:szCs w:val="20"/>
                <w:color w:val="auto"/>
              </w:rPr>
            </w:pPr>
            <w:r>
              <w:rPr>
                <w:rFonts w:ascii="Arial" w:cs="Arial" w:eastAsia="Arial" w:hAnsi="Arial"/>
                <w:sz w:val="13"/>
                <w:szCs w:val="13"/>
                <w:color w:val="auto"/>
              </w:rPr>
              <w:t>12,645,317</w:t>
            </w:r>
            <w:r>
              <w:rPr>
                <w:rFonts w:ascii="Arial" w:cs="Arial" w:eastAsia="Arial" w:hAnsi="Arial"/>
                <w:sz w:val="26"/>
                <w:szCs w:val="26"/>
                <w:color w:val="auto"/>
                <w:vertAlign w:val="superscript"/>
              </w:rPr>
              <w:t>(3)</w:t>
            </w:r>
          </w:p>
        </w:tc>
      </w:tr>
    </w:tbl>
    <w:p>
      <w:pPr>
        <w:spacing w:after="0" w:line="107" w:lineRule="exact"/>
        <w:rPr>
          <w:sz w:val="20"/>
          <w:szCs w:val="20"/>
          <w:color w:val="auto"/>
        </w:rPr>
      </w:pPr>
    </w:p>
    <w:p>
      <w:pPr>
        <w:ind w:left="300" w:right="400" w:hanging="292"/>
        <w:spacing w:after="0" w:line="238" w:lineRule="auto"/>
        <w:tabs>
          <w:tab w:leader="none" w:pos="300" w:val="left"/>
        </w:tabs>
        <w:numPr>
          <w:ilvl w:val="0"/>
          <w:numId w:val="233"/>
        </w:numPr>
        <w:rPr>
          <w:rFonts w:ascii="Arial" w:cs="Arial" w:eastAsia="Arial" w:hAnsi="Arial"/>
          <w:sz w:val="11"/>
          <w:szCs w:val="11"/>
          <w:color w:val="auto"/>
        </w:rPr>
      </w:pPr>
      <w:r>
        <w:rPr>
          <w:rFonts w:ascii="Arial" w:cs="Arial" w:eastAsia="Arial" w:hAnsi="Arial"/>
          <w:sz w:val="13"/>
          <w:szCs w:val="13"/>
          <w:color w:val="auto"/>
        </w:rPr>
        <w:t>Consists of the 2013 Equity Incentive Plan, which amended and restated the 2009 Equity Incentive Plan; the 2017 Equity Compensation Plan for Non-Employee Directors; the 2006 Equity Compensation Plan for Non-Employee Directors; and the Equity Incentive Plan for Non-Employee Directors (the equity plan for non-employee directors prior to 2006). The Company does not maintain any equity compensation plans not approved by stockholders.</w:t>
      </w:r>
    </w:p>
    <w:p>
      <w:pPr>
        <w:ind w:left="300" w:right="40" w:hanging="292"/>
        <w:spacing w:after="0" w:line="238" w:lineRule="auto"/>
        <w:tabs>
          <w:tab w:leader="none" w:pos="300" w:val="left"/>
        </w:tabs>
        <w:numPr>
          <w:ilvl w:val="0"/>
          <w:numId w:val="233"/>
        </w:numPr>
        <w:rPr>
          <w:rFonts w:ascii="Arial" w:cs="Arial" w:eastAsia="Arial" w:hAnsi="Arial"/>
          <w:sz w:val="11"/>
          <w:szCs w:val="11"/>
          <w:color w:val="auto"/>
        </w:rPr>
      </w:pPr>
      <w:r>
        <w:rPr>
          <w:rFonts w:ascii="Arial" w:cs="Arial" w:eastAsia="Arial" w:hAnsi="Arial"/>
          <w:sz w:val="13"/>
          <w:szCs w:val="13"/>
          <w:color w:val="auto"/>
        </w:rPr>
        <w:t>As of December 31, 2018, 957,056 RSUs and 2,328,244 PSAs were outstanding. The weighted-average exercise price of outstanding options, warrants, and rights does not take into account RSUs and PSAs, which have no exercise price. PSAs are reported at the maximum potential amount awarded for incomplete performance periods and the amount earned for the 2016 PSA grant, reduced for forfeitures. For incomplete performance periods, the actual number of shares earned may be less and are based upon measures achieved at the end of the three-year performance period for those PSAs granted in 2017 and 2018.</w:t>
      </w:r>
    </w:p>
    <w:p>
      <w:pPr>
        <w:jc w:val="both"/>
        <w:ind w:left="300" w:right="160" w:hanging="292"/>
        <w:spacing w:after="0" w:line="248" w:lineRule="auto"/>
        <w:tabs>
          <w:tab w:leader="none" w:pos="300" w:val="left"/>
        </w:tabs>
        <w:numPr>
          <w:ilvl w:val="0"/>
          <w:numId w:val="233"/>
        </w:numPr>
        <w:rPr>
          <w:rFonts w:ascii="Arial" w:cs="Arial" w:eastAsia="Arial" w:hAnsi="Arial"/>
          <w:sz w:val="11"/>
          <w:szCs w:val="11"/>
          <w:color w:val="auto"/>
        </w:rPr>
      </w:pPr>
      <w:r>
        <w:rPr>
          <w:rFonts w:ascii="Arial" w:cs="Arial" w:eastAsia="Arial" w:hAnsi="Arial"/>
          <w:sz w:val="13"/>
          <w:szCs w:val="13"/>
          <w:color w:val="auto"/>
        </w:rPr>
        <w:t>Includes 12,278,616 shares that may be issued in the form of stock options, unrestricted stock, restricted stock, restricted stock units, SARs, performance units, performance stock, and stock in lieu of cash under the 2013 Equity Incentive Plan; and 366,701 shares that may be issued in the form of stock options, unrestricted stock, restricted stock, restricted stock units, and stock in lieu of cash compensation under the 2017 Equity Compensation Plan for Non-Employee Directors.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entire text of the Plan is set forth in Appendix D.</w:t>
      </w:r>
    </w:p>
    <w:p>
      <w:pPr>
        <w:spacing w:after="0" w:line="207" w:lineRule="exact"/>
        <w:rPr>
          <w:sz w:val="20"/>
          <w:szCs w:val="20"/>
          <w:color w:val="auto"/>
        </w:rPr>
      </w:pPr>
    </w:p>
    <w:p>
      <w:pPr>
        <w:ind w:left="460" w:hanging="452"/>
        <w:spacing w:after="0"/>
        <w:tabs>
          <w:tab w:leader="none" w:pos="460" w:val="left"/>
        </w:tabs>
        <w:numPr>
          <w:ilvl w:val="0"/>
          <w:numId w:val="234"/>
        </w:numPr>
        <w:rPr>
          <w:rFonts w:ascii="Arial" w:cs="Arial" w:eastAsia="Arial" w:hAnsi="Arial"/>
          <w:sz w:val="13"/>
          <w:szCs w:val="13"/>
          <w:b w:val="1"/>
          <w:bCs w:val="1"/>
          <w:color w:val="105EAB"/>
        </w:rPr>
      </w:pPr>
      <w:r>
        <w:rPr>
          <w:rFonts w:ascii="Arial" w:cs="Arial" w:eastAsia="Arial" w:hAnsi="Arial"/>
          <w:sz w:val="13"/>
          <w:szCs w:val="13"/>
          <w:color w:val="105EAB"/>
        </w:rPr>
        <w:t>www.allstateproxy.com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134620</wp:posOffset>
            </wp:positionV>
            <wp:extent cx="7268210" cy="209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169" w:lineRule="exact"/>
        <w:rPr>
          <w:sz w:val="20"/>
          <w:szCs w:val="20"/>
          <w:color w:val="auto"/>
        </w:rPr>
      </w:pPr>
    </w:p>
    <w:p>
      <w:pPr>
        <w:spacing w:after="0"/>
        <w:rPr>
          <w:sz w:val="20"/>
          <w:szCs w:val="20"/>
          <w:color w:val="auto"/>
        </w:rPr>
      </w:pPr>
      <w:r>
        <w:rPr>
          <w:rFonts w:ascii="Arial" w:cs="Arial" w:eastAsia="Arial" w:hAnsi="Arial"/>
          <w:sz w:val="50"/>
          <w:szCs w:val="50"/>
          <w:b w:val="1"/>
          <w:bCs w:val="1"/>
          <w:color w:val="105EAB"/>
        </w:rPr>
        <w:t>Audit Committee Matters</w:t>
      </w:r>
    </w:p>
    <w:p>
      <w:pPr>
        <w:spacing w:after="0" w:line="262" w:lineRule="exact"/>
        <w:rPr>
          <w:sz w:val="20"/>
          <w:szCs w:val="20"/>
          <w:color w:val="auto"/>
        </w:rPr>
      </w:pPr>
    </w:p>
    <w:tbl>
      <w:tblPr>
        <w:tblLayout w:type="fixed"/>
        <w:tblInd w:w="10" w:type="dxa"/>
        <w:tblCellMar>
          <w:top w:w="0" w:type="dxa"/>
          <w:left w:w="0" w:type="dxa"/>
          <w:bottom w:w="0" w:type="dxa"/>
          <w:right w:w="0" w:type="dxa"/>
        </w:tblCellMar>
      </w:tblPr>
      <w:tr>
        <w:trPr>
          <w:trHeight w:val="291"/>
        </w:trPr>
        <w:tc>
          <w:tcPr>
            <w:tcW w:w="920" w:type="dxa"/>
            <w:vAlign w:val="bottom"/>
            <w:tcBorders>
              <w:top w:val="single" w:sz="8" w:color="39B6E9"/>
              <w:left w:val="single" w:sz="8" w:color="39B6E9"/>
            </w:tcBorders>
          </w:tcPr>
          <w:p>
            <w:pPr>
              <w:ind w:left="120"/>
              <w:spacing w:after="0"/>
              <w:rPr>
                <w:sz w:val="20"/>
                <w:szCs w:val="20"/>
                <w:color w:val="auto"/>
              </w:rPr>
            </w:pPr>
            <w:r>
              <w:rPr>
                <w:rFonts w:ascii="Arial" w:cs="Arial" w:eastAsia="Arial" w:hAnsi="Arial"/>
                <w:sz w:val="13"/>
                <w:szCs w:val="13"/>
                <w:color w:val="39B6E9"/>
              </w:rPr>
              <w:t>PROPOSAL</w:t>
            </w:r>
          </w:p>
        </w:tc>
        <w:tc>
          <w:tcPr>
            <w:tcW w:w="660" w:type="dxa"/>
            <w:vAlign w:val="bottom"/>
            <w:tcBorders>
              <w:top w:val="single" w:sz="8" w:color="39B6E9"/>
              <w:right w:val="single" w:sz="8" w:color="39B6E9"/>
            </w:tcBorders>
            <w:vMerge w:val="restart"/>
          </w:tcPr>
          <w:p>
            <w:pPr>
              <w:jc w:val="right"/>
              <w:ind w:right="30"/>
              <w:spacing w:after="0"/>
              <w:rPr>
                <w:sz w:val="20"/>
                <w:szCs w:val="20"/>
                <w:color w:val="auto"/>
              </w:rPr>
            </w:pPr>
            <w:r>
              <w:rPr>
                <w:rFonts w:ascii="Arial" w:cs="Arial" w:eastAsia="Arial" w:hAnsi="Arial"/>
                <w:sz w:val="54"/>
                <w:szCs w:val="54"/>
                <w:b w:val="1"/>
                <w:bCs w:val="1"/>
                <w:color w:val="39B6E9"/>
              </w:rPr>
              <w:t>4</w:t>
            </w:r>
          </w:p>
        </w:tc>
        <w:tc>
          <w:tcPr>
            <w:tcW w:w="100" w:type="dxa"/>
            <w:vAlign w:val="bottom"/>
          </w:tcPr>
          <w:p>
            <w:pPr>
              <w:spacing w:after="0"/>
              <w:rPr>
                <w:sz w:val="24"/>
                <w:szCs w:val="24"/>
                <w:color w:val="auto"/>
              </w:rPr>
            </w:pPr>
          </w:p>
        </w:tc>
        <w:tc>
          <w:tcPr>
            <w:tcW w:w="8600" w:type="dxa"/>
            <w:vAlign w:val="bottom"/>
            <w:tcBorders>
              <w:top w:val="single" w:sz="8" w:color="39B6E9"/>
              <w:right w:val="single" w:sz="8" w:color="39B6E9"/>
            </w:tcBorders>
          </w:tcPr>
          <w:p>
            <w:pPr>
              <w:ind w:left="80"/>
              <w:spacing w:after="0"/>
              <w:rPr>
                <w:sz w:val="20"/>
                <w:szCs w:val="20"/>
                <w:color w:val="auto"/>
              </w:rPr>
            </w:pPr>
            <w:r>
              <w:rPr>
                <w:rFonts w:ascii="Arial" w:cs="Arial" w:eastAsia="Arial" w:hAnsi="Arial"/>
                <w:sz w:val="22"/>
                <w:szCs w:val="22"/>
                <w:b w:val="1"/>
                <w:bCs w:val="1"/>
                <w:color w:val="39B6E9"/>
              </w:rPr>
              <w:t>Ratification of Deloitte &amp; Touche LLP as the Independent Registered Public</w:t>
            </w:r>
          </w:p>
        </w:tc>
        <w:tc>
          <w:tcPr>
            <w:tcW w:w="0" w:type="dxa"/>
            <w:vAlign w:val="bottom"/>
          </w:tcPr>
          <w:p>
            <w:pPr>
              <w:spacing w:after="0"/>
              <w:rPr>
                <w:sz w:val="1"/>
                <w:szCs w:val="1"/>
                <w:color w:val="auto"/>
              </w:rPr>
            </w:pPr>
          </w:p>
        </w:tc>
      </w:tr>
      <w:tr>
        <w:trPr>
          <w:trHeight w:val="343"/>
        </w:trPr>
        <w:tc>
          <w:tcPr>
            <w:tcW w:w="920" w:type="dxa"/>
            <w:vAlign w:val="bottom"/>
            <w:tcBorders>
              <w:left w:val="single" w:sz="8" w:color="39B6E9"/>
            </w:tcBorders>
          </w:tcPr>
          <w:p>
            <w:pPr>
              <w:spacing w:after="0"/>
              <w:rPr>
                <w:sz w:val="24"/>
                <w:szCs w:val="24"/>
                <w:color w:val="auto"/>
              </w:rPr>
            </w:pPr>
          </w:p>
        </w:tc>
        <w:tc>
          <w:tcPr>
            <w:tcW w:w="660" w:type="dxa"/>
            <w:vAlign w:val="bottom"/>
            <w:tcBorders>
              <w:right w:val="single" w:sz="8" w:color="39B6E9"/>
            </w:tcBorders>
            <w:vMerge w:val="continue"/>
          </w:tcPr>
          <w:p>
            <w:pPr>
              <w:spacing w:after="0"/>
              <w:rPr>
                <w:sz w:val="24"/>
                <w:szCs w:val="24"/>
                <w:color w:val="auto"/>
              </w:rPr>
            </w:pPr>
          </w:p>
        </w:tc>
        <w:tc>
          <w:tcPr>
            <w:tcW w:w="100" w:type="dxa"/>
            <w:vAlign w:val="bottom"/>
          </w:tcPr>
          <w:p>
            <w:pPr>
              <w:spacing w:after="0"/>
              <w:rPr>
                <w:sz w:val="24"/>
                <w:szCs w:val="24"/>
                <w:color w:val="auto"/>
              </w:rPr>
            </w:pPr>
          </w:p>
        </w:tc>
        <w:tc>
          <w:tcPr>
            <w:tcW w:w="8600" w:type="dxa"/>
            <w:vAlign w:val="bottom"/>
            <w:tcBorders>
              <w:right w:val="single" w:sz="8" w:color="39B6E9"/>
            </w:tcBorders>
          </w:tcPr>
          <w:p>
            <w:pPr>
              <w:ind w:left="80"/>
              <w:spacing w:after="0"/>
              <w:rPr>
                <w:sz w:val="20"/>
                <w:szCs w:val="20"/>
                <w:color w:val="auto"/>
              </w:rPr>
            </w:pPr>
            <w:r>
              <w:rPr>
                <w:rFonts w:ascii="Arial" w:cs="Arial" w:eastAsia="Arial" w:hAnsi="Arial"/>
                <w:sz w:val="22"/>
                <w:szCs w:val="22"/>
                <w:b w:val="1"/>
                <w:bCs w:val="1"/>
                <w:color w:val="39B6E9"/>
              </w:rPr>
              <w:t>Accountant for 2019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55510" cy="3683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55510" cy="368300"/>
                    </a:xfrm>
                    <a:prstGeom prst="rect">
                      <a:avLst/>
                    </a:prstGeom>
                    <a:noFill/>
                  </pic:spPr>
                </pic:pic>
              </a:graphicData>
            </a:graphic>
          </wp:anchor>
        </w:drawing>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105EAB"/>
        </w:rPr>
        <w:t xml:space="preserve">The Board recommends a vote </w:t>
      </w:r>
      <w:r>
        <w:rPr>
          <w:rFonts w:ascii="Arial" w:cs="Arial" w:eastAsia="Arial" w:hAnsi="Arial"/>
          <w:sz w:val="20"/>
          <w:szCs w:val="20"/>
          <w:b w:val="1"/>
          <w:bCs w:val="1"/>
          <w:color w:val="5CA34F"/>
        </w:rPr>
        <w:t>FOR</w:t>
      </w:r>
      <w:r>
        <w:rPr>
          <w:rFonts w:ascii="Arial" w:cs="Arial" w:eastAsia="Arial" w:hAnsi="Arial"/>
          <w:sz w:val="20"/>
          <w:szCs w:val="20"/>
          <w:b w:val="1"/>
          <w:bCs w:val="1"/>
          <w:color w:val="105EAB"/>
        </w:rPr>
        <w:t xml:space="preserve"> ratification of Deloitte &amp; Touche LLP for 2019. </w:t>
      </w:r>
      <w:r>
        <w:rPr>
          <w:sz w:val="1"/>
          <w:szCs w:val="1"/>
          <w:color w:val="auto"/>
        </w:rPr>
        <w:drawing>
          <wp:inline distT="0" distB="0" distL="0" distR="0">
            <wp:extent cx="205740" cy="213995"/>
            <wp:effectExtent l="0" t="0" r="0" b="0"/>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205740" cy="213995"/>
                    </a:xfrm>
                    <a:prstGeom prst="rect">
                      <a:avLst/>
                    </a:prstGeom>
                    <a:noFill/>
                    <a:ln>
                      <a:noFill/>
                    </a:ln>
                  </pic:spPr>
                </pic:pic>
              </a:graphicData>
            </a:graphic>
          </wp:inline>
        </w:drawing>
      </w:r>
    </w:p>
    <w:p>
      <w:pPr>
        <w:spacing w:after="0" w:line="340" w:lineRule="exact"/>
        <w:rPr>
          <w:sz w:val="20"/>
          <w:szCs w:val="20"/>
          <w:color w:val="auto"/>
        </w:rPr>
      </w:pPr>
    </w:p>
    <w:p>
      <w:pPr>
        <w:ind w:right="240"/>
        <w:spacing w:after="0" w:line="236" w:lineRule="auto"/>
        <w:rPr>
          <w:sz w:val="20"/>
          <w:szCs w:val="20"/>
          <w:color w:val="auto"/>
        </w:rPr>
      </w:pPr>
      <w:r>
        <w:rPr>
          <w:rFonts w:ascii="Arial" w:cs="Arial" w:eastAsia="Arial" w:hAnsi="Arial"/>
          <w:sz w:val="18"/>
          <w:szCs w:val="18"/>
          <w:color w:val="auto"/>
        </w:rPr>
        <w:t>The audit committee has established strong practices to evaluate the qualifications, compensation, performance, and independence of the independent registered public accountant both on an ongoing basis throughout the year and through the completion of an annual evaluation. Additional information regarding the audit committee’s duties and responsibilities is available in the committee’s charter located under the Governance section of Allstate’s investor relations website at www.allstateinvestors.com. Deloitte &amp; Touche LLP has been Allstate’s independent registered public accountant since Allstate became a publicly traded entity in 1993.</w:t>
      </w:r>
    </w:p>
    <w:p>
      <w:pPr>
        <w:spacing w:after="0" w:line="210"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As a starting point for the annual evaluation, a survey of management and the audit committee is administered by a Deloitte &amp; Touche LLP partner who is not affiliated with the Allstate account. The survey assesses Allstate’s general satisfaction with the quality and efficiency of the services provided. Results are reported to the audit committee for its discussion and analysis.</w:t>
      </w:r>
    </w:p>
    <w:p>
      <w:pPr>
        <w:spacing w:after="0" w:line="210"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In addition, the audit committee reviews and discusses the results of the firm’s reports on its quality controls and external assessments, including results of inspections conducted by the Public Company Accounting Oversight Board (PCAOB).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53975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46620" cy="539750"/>
                    </a:xfrm>
                    <a:prstGeom prst="rect">
                      <a:avLst/>
                    </a:prstGeom>
                    <a:noFill/>
                  </pic:spPr>
                </pic:pic>
              </a:graphicData>
            </a:graphic>
          </wp:anchor>
        </w:drawing>
      </w:r>
    </w:p>
    <w:p>
      <w:pPr>
        <w:spacing w:after="0" w:line="288" w:lineRule="exact"/>
        <w:rPr>
          <w:sz w:val="20"/>
          <w:szCs w:val="20"/>
          <w:color w:val="auto"/>
        </w:rPr>
      </w:pPr>
    </w:p>
    <w:p>
      <w:pPr>
        <w:ind w:left="120" w:right="380"/>
        <w:spacing w:after="0" w:line="249" w:lineRule="auto"/>
        <w:rPr>
          <w:sz w:val="20"/>
          <w:szCs w:val="20"/>
          <w:color w:val="auto"/>
        </w:rPr>
      </w:pPr>
      <w:r>
        <w:rPr>
          <w:rFonts w:ascii="Arial" w:cs="Arial" w:eastAsia="Arial" w:hAnsi="Arial"/>
          <w:sz w:val="18"/>
          <w:szCs w:val="18"/>
          <w:b w:val="1"/>
          <w:bCs w:val="1"/>
          <w:color w:val="auto"/>
        </w:rPr>
        <w:t>Rotation of the independent registered public accounting firm is explicitly considered each year by the committee in addition to the regular mandated rotation of audit partners. The committee and its chair approve the selection of Deloitte &amp; Touche LLP’s lead engagement partner.</w:t>
      </w:r>
    </w:p>
    <w:p>
      <w:pPr>
        <w:spacing w:after="0" w:line="322"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The audit committee has adopted a policy regarding its pre-approval of all audit and permissible non-audit services provided by the independent registered public accountant. The policy identifies the basic principles that must be considered by the audit committee in approving services to ensure that the registered public accountant’s independence is not impaired, describes the type of audit, audit-related, tax and other services that may be provided, and lists the non-audit services that may not be performed. The independent registered public accountant or management submits to the audit committee detailed schedules with all of the proposed services within each category, together with the estimated fees. Each specific service requires approval before service can begin.</w:t>
      </w:r>
    </w:p>
    <w:p>
      <w:pPr>
        <w:spacing w:after="0" w:line="209"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Prior to requesting approval from the audit committee, the registered public accountant and management consider and conclude that the services are permissible in that they: (1) do not place the registered public accountant in the position of auditing their own work, (2) do not result in the registered public accountant’s personnel acting as management or an employee of Allstate, (3) do not place the registered public accountant in a position of being an advocate for Allstate, (4) do not create a mutual or conflicting interest between the registered public accountant and Allstate and (5) are not based on a contingent fee arrangement. The audit committee’s policy delegates to the chair the authority to grant approvals, but the decisions of the chair must be reported to the audit committee at its next regularly scheduled meeting. All services provided by Deloitte &amp; Touche LLP in 2017 and 2018 were approved in accordance with this pre-approval policy.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1120" w:type="dxa"/>
            <w:vAlign w:val="bottom"/>
          </w:tcPr>
          <w:p>
            <w:pPr>
              <w:ind w:left="9640"/>
              <w:spacing w:after="0"/>
              <w:rPr>
                <w:sz w:val="20"/>
                <w:szCs w:val="20"/>
                <w:color w:val="auto"/>
              </w:rPr>
            </w:pPr>
            <w:r>
              <w:rPr>
                <w:rFonts w:ascii="Arial" w:cs="Arial" w:eastAsia="Arial" w:hAnsi="Arial"/>
                <w:sz w:val="13"/>
                <w:szCs w:val="13"/>
                <w:color w:val="105EAB"/>
              </w:rPr>
              <w:t>2019 Proxy Statement</w:t>
            </w:r>
          </w:p>
        </w:tc>
        <w:tc>
          <w:tcPr>
            <w:tcW w:w="320" w:type="dxa"/>
            <w:vAlign w:val="bottom"/>
          </w:tcPr>
          <w:p>
            <w:pPr>
              <w:jc w:val="right"/>
              <w:spacing w:after="0"/>
              <w:rPr>
                <w:sz w:val="20"/>
                <w:szCs w:val="20"/>
                <w:color w:val="auto"/>
              </w:rPr>
            </w:pPr>
            <w:r>
              <w:rPr>
                <w:rFonts w:ascii="Arial" w:cs="Arial" w:eastAsia="Arial" w:hAnsi="Arial"/>
                <w:sz w:val="13"/>
                <w:szCs w:val="13"/>
                <w:b w:val="1"/>
                <w:bCs w:val="1"/>
                <w:color w:val="105EAB"/>
              </w:rPr>
              <w:t>83</w:t>
            </w:r>
          </w:p>
        </w:tc>
      </w:tr>
      <w:tr>
        <w:trPr>
          <w:trHeight w:val="213"/>
        </w:trPr>
        <w:tc>
          <w:tcPr>
            <w:tcW w:w="1112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-13970</wp:posOffset>
            </wp:positionV>
            <wp:extent cx="1270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b w:val="1"/>
          <w:bCs w:val="1"/>
          <w:color w:val="105EAB"/>
        </w:rPr>
        <w:t xml:space="preserve">Audit Committee Matters | </w:t>
      </w:r>
      <w:r>
        <w:rPr>
          <w:rFonts w:ascii="Arial" w:cs="Arial" w:eastAsia="Arial" w:hAnsi="Arial"/>
          <w:sz w:val="13"/>
          <w:szCs w:val="13"/>
          <w:b w:val="1"/>
          <w:bCs w:val="1"/>
          <w:color w:val="000000"/>
        </w:rPr>
        <w:t>Proposal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7246620" cy="242443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46620" cy="2424430"/>
                    </a:xfrm>
                    <a:prstGeom prst="rect">
                      <a:avLst/>
                    </a:prstGeom>
                    <a:noFill/>
                  </pic:spPr>
                </pic:pic>
              </a:graphicData>
            </a:graphic>
          </wp:anchor>
        </w:drawing>
      </w:r>
    </w:p>
    <w:p>
      <w:pPr>
        <w:spacing w:after="0" w:line="336" w:lineRule="exact"/>
        <w:rPr>
          <w:sz w:val="20"/>
          <w:szCs w:val="20"/>
          <w:color w:val="auto"/>
        </w:rPr>
      </w:pPr>
    </w:p>
    <w:p>
      <w:pPr>
        <w:ind w:left="140" w:right="400"/>
        <w:spacing w:after="0" w:line="239" w:lineRule="auto"/>
        <w:rPr>
          <w:sz w:val="20"/>
          <w:szCs w:val="20"/>
          <w:color w:val="auto"/>
        </w:rPr>
      </w:pPr>
      <w:r>
        <w:rPr>
          <w:rFonts w:ascii="Arial" w:cs="Arial" w:eastAsia="Arial" w:hAnsi="Arial"/>
          <w:sz w:val="18"/>
          <w:szCs w:val="18"/>
          <w:color w:val="auto"/>
        </w:rPr>
        <w:t>Based on the results of the annual evaluation, the audit committee has appointed Deloitte &amp; Touche LLP as Allstate’s independent registered public accountant for 2019. The factors considered by the audit committee include:</w:t>
      </w:r>
    </w:p>
    <w:p>
      <w:pPr>
        <w:spacing w:after="0" w:line="177" w:lineRule="exact"/>
        <w:rPr>
          <w:sz w:val="20"/>
          <w:szCs w:val="20"/>
          <w:color w:val="auto"/>
        </w:rPr>
      </w:pPr>
    </w:p>
    <w:p>
      <w:pPr>
        <w:ind w:left="460" w:hanging="326"/>
        <w:spacing w:after="0"/>
        <w:tabs>
          <w:tab w:leader="none" w:pos="460" w:val="left"/>
        </w:tabs>
        <w:numPr>
          <w:ilvl w:val="0"/>
          <w:numId w:val="235"/>
        </w:numPr>
        <w:rPr>
          <w:rFonts w:ascii="Arial" w:cs="Arial" w:eastAsia="Arial" w:hAnsi="Arial"/>
          <w:sz w:val="17"/>
          <w:szCs w:val="17"/>
          <w:color w:val="105EAB"/>
        </w:rPr>
      </w:pPr>
      <w:r>
        <w:rPr>
          <w:rFonts w:ascii="Arial" w:cs="Arial" w:eastAsia="Arial" w:hAnsi="Arial"/>
          <w:sz w:val="18"/>
          <w:szCs w:val="18"/>
          <w:color w:val="auto"/>
        </w:rPr>
        <w:t>Focus on independence, objectivity, and professional skepticism;</w:t>
      </w:r>
    </w:p>
    <w:p>
      <w:pPr>
        <w:spacing w:after="0" w:line="103" w:lineRule="exact"/>
        <w:rPr>
          <w:rFonts w:ascii="Arial" w:cs="Arial" w:eastAsia="Arial" w:hAnsi="Arial"/>
          <w:sz w:val="17"/>
          <w:szCs w:val="17"/>
          <w:color w:val="105EAB"/>
        </w:rPr>
      </w:pPr>
    </w:p>
    <w:p>
      <w:pPr>
        <w:ind w:left="460" w:hanging="326"/>
        <w:spacing w:after="0"/>
        <w:tabs>
          <w:tab w:leader="none" w:pos="460" w:val="left"/>
        </w:tabs>
        <w:numPr>
          <w:ilvl w:val="0"/>
          <w:numId w:val="235"/>
        </w:numPr>
        <w:rPr>
          <w:rFonts w:ascii="Arial" w:cs="Arial" w:eastAsia="Arial" w:hAnsi="Arial"/>
          <w:sz w:val="17"/>
          <w:szCs w:val="17"/>
          <w:color w:val="105EAB"/>
        </w:rPr>
      </w:pPr>
      <w:r>
        <w:rPr>
          <w:rFonts w:ascii="Arial" w:cs="Arial" w:eastAsia="Arial" w:hAnsi="Arial"/>
          <w:sz w:val="18"/>
          <w:szCs w:val="18"/>
          <w:color w:val="auto"/>
        </w:rPr>
        <w:t>Insurance and technical expertise and capability in handling the breadth and complexity of Allstate’s operations and industry;</w:t>
      </w:r>
    </w:p>
    <w:p>
      <w:pPr>
        <w:spacing w:after="0" w:line="103" w:lineRule="exact"/>
        <w:rPr>
          <w:rFonts w:ascii="Arial" w:cs="Arial" w:eastAsia="Arial" w:hAnsi="Arial"/>
          <w:sz w:val="17"/>
          <w:szCs w:val="17"/>
          <w:color w:val="105EAB"/>
        </w:rPr>
      </w:pPr>
    </w:p>
    <w:p>
      <w:pPr>
        <w:ind w:left="460" w:hanging="326"/>
        <w:spacing w:after="0"/>
        <w:tabs>
          <w:tab w:leader="none" w:pos="460" w:val="left"/>
        </w:tabs>
        <w:numPr>
          <w:ilvl w:val="0"/>
          <w:numId w:val="235"/>
        </w:numPr>
        <w:rPr>
          <w:rFonts w:ascii="Arial" w:cs="Arial" w:eastAsia="Arial" w:hAnsi="Arial"/>
          <w:sz w:val="17"/>
          <w:szCs w:val="17"/>
          <w:color w:val="105EAB"/>
        </w:rPr>
      </w:pPr>
      <w:r>
        <w:rPr>
          <w:rFonts w:ascii="Arial" w:cs="Arial" w:eastAsia="Arial" w:hAnsi="Arial"/>
          <w:sz w:val="18"/>
          <w:szCs w:val="18"/>
          <w:color w:val="auto"/>
        </w:rPr>
        <w:t>Professionalism and responsiveness;</w:t>
      </w:r>
    </w:p>
    <w:p>
      <w:pPr>
        <w:spacing w:after="0" w:line="103" w:lineRule="exact"/>
        <w:rPr>
          <w:rFonts w:ascii="Arial" w:cs="Arial" w:eastAsia="Arial" w:hAnsi="Arial"/>
          <w:sz w:val="17"/>
          <w:szCs w:val="17"/>
          <w:color w:val="105EAB"/>
        </w:rPr>
      </w:pPr>
    </w:p>
    <w:p>
      <w:pPr>
        <w:ind w:left="460" w:hanging="326"/>
        <w:spacing w:after="0"/>
        <w:tabs>
          <w:tab w:leader="none" w:pos="460" w:val="left"/>
        </w:tabs>
        <w:numPr>
          <w:ilvl w:val="0"/>
          <w:numId w:val="235"/>
        </w:numPr>
        <w:rPr>
          <w:rFonts w:ascii="Arial" w:cs="Arial" w:eastAsia="Arial" w:hAnsi="Arial"/>
          <w:sz w:val="17"/>
          <w:szCs w:val="17"/>
          <w:color w:val="105EAB"/>
        </w:rPr>
      </w:pPr>
      <w:r>
        <w:rPr>
          <w:rFonts w:ascii="Arial" w:cs="Arial" w:eastAsia="Arial" w:hAnsi="Arial"/>
          <w:sz w:val="18"/>
          <w:szCs w:val="18"/>
          <w:color w:val="auto"/>
        </w:rPr>
        <w:t>Sharing industry insights, trends, and latest practices;</w:t>
      </w:r>
    </w:p>
    <w:p>
      <w:pPr>
        <w:spacing w:after="0" w:line="103" w:lineRule="exact"/>
        <w:rPr>
          <w:rFonts w:ascii="Arial" w:cs="Arial" w:eastAsia="Arial" w:hAnsi="Arial"/>
          <w:sz w:val="17"/>
          <w:szCs w:val="17"/>
          <w:color w:val="105EAB"/>
        </w:rPr>
      </w:pPr>
    </w:p>
    <w:p>
      <w:pPr>
        <w:ind w:left="460" w:hanging="326"/>
        <w:spacing w:after="0"/>
        <w:tabs>
          <w:tab w:leader="none" w:pos="460" w:val="left"/>
        </w:tabs>
        <w:numPr>
          <w:ilvl w:val="0"/>
          <w:numId w:val="235"/>
        </w:numPr>
        <w:rPr>
          <w:rFonts w:ascii="Arial" w:cs="Arial" w:eastAsia="Arial" w:hAnsi="Arial"/>
          <w:sz w:val="17"/>
          <w:szCs w:val="17"/>
          <w:color w:val="105EAB"/>
        </w:rPr>
      </w:pPr>
      <w:r>
        <w:rPr>
          <w:rFonts w:ascii="Arial" w:cs="Arial" w:eastAsia="Arial" w:hAnsi="Arial"/>
          <w:sz w:val="18"/>
          <w:szCs w:val="18"/>
          <w:color w:val="auto"/>
        </w:rPr>
        <w:t>Quality and efficiency of the work performed;</w:t>
      </w:r>
    </w:p>
    <w:p>
      <w:pPr>
        <w:spacing w:after="0" w:line="103" w:lineRule="exact"/>
        <w:rPr>
          <w:rFonts w:ascii="Arial" w:cs="Arial" w:eastAsia="Arial" w:hAnsi="Arial"/>
          <w:sz w:val="17"/>
          <w:szCs w:val="17"/>
          <w:color w:val="105EAB"/>
        </w:rPr>
      </w:pPr>
    </w:p>
    <w:p>
      <w:pPr>
        <w:ind w:left="460" w:hanging="326"/>
        <w:spacing w:after="0"/>
        <w:tabs>
          <w:tab w:leader="none" w:pos="460" w:val="left"/>
        </w:tabs>
        <w:numPr>
          <w:ilvl w:val="0"/>
          <w:numId w:val="235"/>
        </w:numPr>
        <w:rPr>
          <w:rFonts w:ascii="Arial" w:cs="Arial" w:eastAsia="Arial" w:hAnsi="Arial"/>
          <w:sz w:val="17"/>
          <w:szCs w:val="17"/>
          <w:color w:val="105EAB"/>
        </w:rPr>
      </w:pPr>
      <w:r>
        <w:rPr>
          <w:rFonts w:ascii="Arial" w:cs="Arial" w:eastAsia="Arial" w:hAnsi="Arial"/>
          <w:sz w:val="18"/>
          <w:szCs w:val="18"/>
          <w:color w:val="auto"/>
        </w:rPr>
        <w:t>Quality of discussions and feedback sessions;</w:t>
      </w:r>
    </w:p>
    <w:p>
      <w:pPr>
        <w:spacing w:after="0" w:line="103" w:lineRule="exact"/>
        <w:rPr>
          <w:rFonts w:ascii="Arial" w:cs="Arial" w:eastAsia="Arial" w:hAnsi="Arial"/>
          <w:sz w:val="17"/>
          <w:szCs w:val="17"/>
          <w:color w:val="105EAB"/>
        </w:rPr>
      </w:pPr>
    </w:p>
    <w:p>
      <w:pPr>
        <w:ind w:left="460" w:hanging="326"/>
        <w:spacing w:after="0"/>
        <w:tabs>
          <w:tab w:leader="none" w:pos="460" w:val="left"/>
        </w:tabs>
        <w:numPr>
          <w:ilvl w:val="0"/>
          <w:numId w:val="235"/>
        </w:numPr>
        <w:rPr>
          <w:rFonts w:ascii="Arial" w:cs="Arial" w:eastAsia="Arial" w:hAnsi="Arial"/>
          <w:sz w:val="17"/>
          <w:szCs w:val="17"/>
          <w:color w:val="105EAB"/>
        </w:rPr>
      </w:pPr>
      <w:r>
        <w:rPr>
          <w:rFonts w:ascii="Arial" w:cs="Arial" w:eastAsia="Arial" w:hAnsi="Arial"/>
          <w:sz w:val="18"/>
          <w:szCs w:val="18"/>
          <w:color w:val="auto"/>
        </w:rPr>
        <w:t>External data on audit quality and performance, including the results from the PCAOB; and</w:t>
      </w:r>
    </w:p>
    <w:p>
      <w:pPr>
        <w:spacing w:after="0" w:line="103" w:lineRule="exact"/>
        <w:rPr>
          <w:rFonts w:ascii="Arial" w:cs="Arial" w:eastAsia="Arial" w:hAnsi="Arial"/>
          <w:sz w:val="17"/>
          <w:szCs w:val="17"/>
          <w:color w:val="105EAB"/>
        </w:rPr>
      </w:pPr>
    </w:p>
    <w:p>
      <w:pPr>
        <w:ind w:left="460" w:hanging="326"/>
        <w:spacing w:after="0"/>
        <w:tabs>
          <w:tab w:leader="none" w:pos="460" w:val="left"/>
        </w:tabs>
        <w:numPr>
          <w:ilvl w:val="0"/>
          <w:numId w:val="235"/>
        </w:numPr>
        <w:rPr>
          <w:rFonts w:ascii="Arial" w:cs="Arial" w:eastAsia="Arial" w:hAnsi="Arial"/>
          <w:sz w:val="17"/>
          <w:szCs w:val="17"/>
          <w:color w:val="105EAB"/>
        </w:rPr>
      </w:pPr>
      <w:r>
        <w:rPr>
          <w:rFonts w:ascii="Arial" w:cs="Arial" w:eastAsia="Arial" w:hAnsi="Arial"/>
          <w:sz w:val="18"/>
          <w:szCs w:val="18"/>
          <w:color w:val="auto"/>
        </w:rPr>
        <w:t>Reasonableness of fees.</w:t>
      </w:r>
    </w:p>
    <w:p>
      <w:pPr>
        <w:spacing w:after="0" w:line="180" w:lineRule="exact"/>
        <w:rPr>
          <w:sz w:val="20"/>
          <w:szCs w:val="20"/>
          <w:color w:val="auto"/>
        </w:rPr>
      </w:pPr>
    </w:p>
    <w:p>
      <w:pPr>
        <w:ind w:left="140" w:right="400"/>
        <w:spacing w:after="0" w:line="264" w:lineRule="auto"/>
        <w:rPr>
          <w:sz w:val="20"/>
          <w:szCs w:val="20"/>
          <w:color w:val="auto"/>
        </w:rPr>
      </w:pPr>
      <w:r>
        <w:rPr>
          <w:rFonts w:ascii="Arial" w:cs="Arial" w:eastAsia="Arial" w:hAnsi="Arial"/>
          <w:sz w:val="18"/>
          <w:szCs w:val="18"/>
          <w:b w:val="1"/>
          <w:bCs w:val="1"/>
          <w:color w:val="auto"/>
        </w:rPr>
        <w:t>The audit committee and the Board believe it is in the best interests of Allstate and its stockholders to continue to retain Deloitte &amp; Touche LLP as Allstate’s independent registered public accountant.</w:t>
      </w:r>
    </w:p>
    <w:p>
      <w:pPr>
        <w:spacing w:after="0" w:line="309"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color w:val="auto"/>
        </w:rPr>
        <w:t>The audit committee oversees and is ultimately responsible for the negotiation of audit fees associated with the retention of Deloitte &amp; Touche LLP. The following fees have been, or are anticipated to be, billed by Deloitte &amp; Touche LLP, the member firms of Deloitte Touche Tohmatsu, and their respective affiliates, for professional services rendered to Allstate for the fiscal years ending December 31, 2017, and December 31, 2018.</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5420" w:type="dxa"/>
            <w:vAlign w:val="bottom"/>
            <w:tcBorders>
              <w:bottom w:val="single" w:sz="8" w:color="105EAB"/>
            </w:tcBorders>
          </w:tcPr>
          <w:p>
            <w:pPr>
              <w:spacing w:after="0"/>
              <w:rPr>
                <w:sz w:val="22"/>
                <w:szCs w:val="22"/>
                <w:color w:val="auto"/>
              </w:rPr>
            </w:pPr>
          </w:p>
        </w:tc>
        <w:tc>
          <w:tcPr>
            <w:tcW w:w="5040" w:type="dxa"/>
            <w:vAlign w:val="bottom"/>
            <w:tcBorders>
              <w:bottom w:val="single" w:sz="8" w:color="105EAB"/>
            </w:tcBorders>
          </w:tcPr>
          <w:p>
            <w:pPr>
              <w:jc w:val="right"/>
              <w:ind w:right="73"/>
              <w:spacing w:after="0"/>
              <w:rPr>
                <w:sz w:val="20"/>
                <w:szCs w:val="20"/>
                <w:color w:val="auto"/>
              </w:rPr>
            </w:pPr>
            <w:r>
              <w:rPr>
                <w:rFonts w:ascii="Arial" w:cs="Arial" w:eastAsia="Arial" w:hAnsi="Arial"/>
                <w:sz w:val="13"/>
                <w:szCs w:val="13"/>
                <w:b w:val="1"/>
                <w:bCs w:val="1"/>
                <w:color w:val="105EAB"/>
              </w:rPr>
              <w:t>2017</w:t>
            </w:r>
            <w:r>
              <w:rPr>
                <w:rFonts w:ascii="Arial" w:cs="Arial" w:eastAsia="Arial" w:hAnsi="Arial"/>
                <w:sz w:val="22"/>
                <w:szCs w:val="22"/>
                <w:b w:val="1"/>
                <w:bCs w:val="1"/>
                <w:color w:val="105EAB"/>
                <w:vertAlign w:val="superscript"/>
              </w:rPr>
              <w:t>(5)</w:t>
            </w:r>
          </w:p>
        </w:tc>
        <w:tc>
          <w:tcPr>
            <w:tcW w:w="960" w:type="dxa"/>
            <w:vAlign w:val="bottom"/>
            <w:tcBorders>
              <w:bottom w:val="single" w:sz="8" w:color="105EAB"/>
            </w:tcBorders>
          </w:tcPr>
          <w:p>
            <w:pPr>
              <w:jc w:val="right"/>
              <w:ind w:right="13"/>
              <w:spacing w:after="0"/>
              <w:rPr>
                <w:sz w:val="20"/>
                <w:szCs w:val="20"/>
                <w:color w:val="auto"/>
              </w:rPr>
            </w:pPr>
            <w:r>
              <w:rPr>
                <w:rFonts w:ascii="Arial" w:cs="Arial" w:eastAsia="Arial" w:hAnsi="Arial"/>
                <w:sz w:val="13"/>
                <w:szCs w:val="13"/>
                <w:b w:val="1"/>
                <w:bCs w:val="1"/>
                <w:color w:val="105EAB"/>
              </w:rPr>
              <w:t>2018</w:t>
            </w:r>
          </w:p>
        </w:tc>
      </w:tr>
      <w:tr>
        <w:trPr>
          <w:trHeight w:val="297"/>
        </w:trPr>
        <w:tc>
          <w:tcPr>
            <w:tcW w:w="5420" w:type="dxa"/>
            <w:vAlign w:val="bottom"/>
            <w:tcBorders>
              <w:bottom w:val="single" w:sz="8" w:color="DFF1FB"/>
            </w:tcBorders>
          </w:tcPr>
          <w:p>
            <w:pPr>
              <w:ind w:left="80"/>
              <w:spacing w:after="0"/>
              <w:rPr>
                <w:sz w:val="20"/>
                <w:szCs w:val="20"/>
                <w:color w:val="auto"/>
              </w:rPr>
            </w:pPr>
            <w:r>
              <w:rPr>
                <w:rFonts w:ascii="Arial" w:cs="Arial" w:eastAsia="Arial" w:hAnsi="Arial"/>
                <w:sz w:val="13"/>
                <w:szCs w:val="13"/>
                <w:color w:val="auto"/>
              </w:rPr>
              <w:t>Audit fees</w:t>
            </w:r>
            <w:r>
              <w:rPr>
                <w:rFonts w:ascii="Arial" w:cs="Arial" w:eastAsia="Arial" w:hAnsi="Arial"/>
                <w:sz w:val="22"/>
                <w:szCs w:val="22"/>
                <w:color w:val="auto"/>
                <w:vertAlign w:val="superscript"/>
              </w:rPr>
              <w:t>(1)</w:t>
            </w:r>
          </w:p>
        </w:tc>
        <w:tc>
          <w:tcPr>
            <w:tcW w:w="5040" w:type="dxa"/>
            <w:vAlign w:val="bottom"/>
            <w:tcBorders>
              <w:bottom w:val="single" w:sz="8" w:color="DFF1FB"/>
            </w:tcBorders>
          </w:tcPr>
          <w:p>
            <w:pPr>
              <w:jc w:val="right"/>
              <w:ind w:right="73"/>
              <w:spacing w:after="0"/>
              <w:rPr>
                <w:sz w:val="20"/>
                <w:szCs w:val="20"/>
                <w:color w:val="auto"/>
              </w:rPr>
            </w:pPr>
            <w:r>
              <w:rPr>
                <w:rFonts w:ascii="Arial" w:cs="Arial" w:eastAsia="Arial" w:hAnsi="Arial"/>
                <w:sz w:val="13"/>
                <w:szCs w:val="13"/>
                <w:color w:val="auto"/>
              </w:rPr>
              <w:t>$10,544,000</w:t>
            </w:r>
          </w:p>
        </w:tc>
        <w:tc>
          <w:tcPr>
            <w:tcW w:w="960" w:type="dxa"/>
            <w:vAlign w:val="bottom"/>
            <w:tcBorders>
              <w:bottom w:val="single" w:sz="8" w:color="DFF1FB"/>
            </w:tcBorders>
          </w:tcPr>
          <w:p>
            <w:pPr>
              <w:jc w:val="right"/>
              <w:ind w:right="13"/>
              <w:spacing w:after="0"/>
              <w:rPr>
                <w:sz w:val="20"/>
                <w:szCs w:val="20"/>
                <w:color w:val="auto"/>
              </w:rPr>
            </w:pPr>
            <w:r>
              <w:rPr>
                <w:rFonts w:ascii="Arial" w:cs="Arial" w:eastAsia="Arial" w:hAnsi="Arial"/>
                <w:sz w:val="13"/>
                <w:szCs w:val="13"/>
                <w:color w:val="auto"/>
              </w:rPr>
              <w:t>$10,606,000</w:t>
            </w:r>
          </w:p>
        </w:tc>
      </w:tr>
      <w:tr>
        <w:trPr>
          <w:trHeight w:val="290"/>
        </w:trPr>
        <w:tc>
          <w:tcPr>
            <w:tcW w:w="5420" w:type="dxa"/>
            <w:vAlign w:val="bottom"/>
            <w:tcBorders>
              <w:bottom w:val="single" w:sz="8" w:color="DFF1FB"/>
            </w:tcBorders>
          </w:tcPr>
          <w:p>
            <w:pPr>
              <w:ind w:left="80"/>
              <w:spacing w:after="0"/>
              <w:rPr>
                <w:sz w:val="20"/>
                <w:szCs w:val="20"/>
                <w:color w:val="auto"/>
              </w:rPr>
            </w:pPr>
            <w:r>
              <w:rPr>
                <w:rFonts w:ascii="Arial" w:cs="Arial" w:eastAsia="Arial" w:hAnsi="Arial"/>
                <w:sz w:val="13"/>
                <w:szCs w:val="13"/>
                <w:color w:val="auto"/>
              </w:rPr>
              <w:t>Audit-related fees</w:t>
            </w:r>
            <w:r>
              <w:rPr>
                <w:rFonts w:ascii="Arial" w:cs="Arial" w:eastAsia="Arial" w:hAnsi="Arial"/>
                <w:sz w:val="22"/>
                <w:szCs w:val="22"/>
                <w:color w:val="auto"/>
                <w:vertAlign w:val="superscript"/>
              </w:rPr>
              <w:t>(2)</w:t>
            </w:r>
          </w:p>
        </w:tc>
        <w:tc>
          <w:tcPr>
            <w:tcW w:w="5040" w:type="dxa"/>
            <w:vAlign w:val="bottom"/>
            <w:tcBorders>
              <w:bottom w:val="single" w:sz="8" w:color="DFF1FB"/>
            </w:tcBorders>
          </w:tcPr>
          <w:p>
            <w:pPr>
              <w:jc w:val="right"/>
              <w:ind w:right="73"/>
              <w:spacing w:after="0"/>
              <w:rPr>
                <w:sz w:val="20"/>
                <w:szCs w:val="20"/>
                <w:color w:val="auto"/>
              </w:rPr>
            </w:pPr>
            <w:r>
              <w:rPr>
                <w:rFonts w:ascii="Arial" w:cs="Arial" w:eastAsia="Arial" w:hAnsi="Arial"/>
                <w:sz w:val="13"/>
                <w:szCs w:val="13"/>
                <w:color w:val="auto"/>
              </w:rPr>
              <w:t>$601,000</w:t>
            </w:r>
          </w:p>
        </w:tc>
        <w:tc>
          <w:tcPr>
            <w:tcW w:w="960" w:type="dxa"/>
            <w:vAlign w:val="bottom"/>
            <w:tcBorders>
              <w:bottom w:val="single" w:sz="8" w:color="DFF1FB"/>
            </w:tcBorders>
          </w:tcPr>
          <w:p>
            <w:pPr>
              <w:jc w:val="right"/>
              <w:ind w:right="13"/>
              <w:spacing w:after="0"/>
              <w:rPr>
                <w:sz w:val="20"/>
                <w:szCs w:val="20"/>
                <w:color w:val="auto"/>
              </w:rPr>
            </w:pPr>
            <w:r>
              <w:rPr>
                <w:rFonts w:ascii="Arial" w:cs="Arial" w:eastAsia="Arial" w:hAnsi="Arial"/>
                <w:sz w:val="13"/>
                <w:szCs w:val="13"/>
                <w:color w:val="auto"/>
              </w:rPr>
              <w:t>$818,000</w:t>
            </w:r>
          </w:p>
        </w:tc>
      </w:tr>
      <w:tr>
        <w:trPr>
          <w:trHeight w:val="290"/>
        </w:trPr>
        <w:tc>
          <w:tcPr>
            <w:tcW w:w="5420" w:type="dxa"/>
            <w:vAlign w:val="bottom"/>
            <w:tcBorders>
              <w:bottom w:val="single" w:sz="8" w:color="DFF1FB"/>
            </w:tcBorders>
          </w:tcPr>
          <w:p>
            <w:pPr>
              <w:ind w:left="80"/>
              <w:spacing w:after="0"/>
              <w:rPr>
                <w:sz w:val="20"/>
                <w:szCs w:val="20"/>
                <w:color w:val="auto"/>
              </w:rPr>
            </w:pPr>
            <w:r>
              <w:rPr>
                <w:rFonts w:ascii="Arial" w:cs="Arial" w:eastAsia="Arial" w:hAnsi="Arial"/>
                <w:sz w:val="13"/>
                <w:szCs w:val="13"/>
                <w:color w:val="auto"/>
              </w:rPr>
              <w:t>Tax fees</w:t>
            </w:r>
            <w:r>
              <w:rPr>
                <w:rFonts w:ascii="Arial" w:cs="Arial" w:eastAsia="Arial" w:hAnsi="Arial"/>
                <w:sz w:val="22"/>
                <w:szCs w:val="22"/>
                <w:color w:val="auto"/>
                <w:vertAlign w:val="superscript"/>
              </w:rPr>
              <w:t>(3)</w:t>
            </w:r>
          </w:p>
        </w:tc>
        <w:tc>
          <w:tcPr>
            <w:tcW w:w="5040" w:type="dxa"/>
            <w:vAlign w:val="bottom"/>
            <w:tcBorders>
              <w:bottom w:val="single" w:sz="8" w:color="DFF1FB"/>
            </w:tcBorders>
          </w:tcPr>
          <w:p>
            <w:pPr>
              <w:jc w:val="right"/>
              <w:ind w:right="73"/>
              <w:spacing w:after="0"/>
              <w:rPr>
                <w:sz w:val="20"/>
                <w:szCs w:val="20"/>
                <w:color w:val="auto"/>
              </w:rPr>
            </w:pPr>
            <w:r>
              <w:rPr>
                <w:rFonts w:ascii="Arial" w:cs="Arial" w:eastAsia="Arial" w:hAnsi="Arial"/>
                <w:sz w:val="13"/>
                <w:szCs w:val="13"/>
                <w:color w:val="auto"/>
              </w:rPr>
              <w:t>$308,000</w:t>
            </w:r>
          </w:p>
        </w:tc>
        <w:tc>
          <w:tcPr>
            <w:tcW w:w="960" w:type="dxa"/>
            <w:vAlign w:val="bottom"/>
            <w:tcBorders>
              <w:bottom w:val="single" w:sz="8" w:color="DFF1FB"/>
            </w:tcBorders>
          </w:tcPr>
          <w:p>
            <w:pPr>
              <w:jc w:val="right"/>
              <w:ind w:right="13"/>
              <w:spacing w:after="0"/>
              <w:rPr>
                <w:sz w:val="20"/>
                <w:szCs w:val="20"/>
                <w:color w:val="auto"/>
              </w:rPr>
            </w:pPr>
            <w:r>
              <w:rPr>
                <w:rFonts w:ascii="Arial" w:cs="Arial" w:eastAsia="Arial" w:hAnsi="Arial"/>
                <w:sz w:val="13"/>
                <w:szCs w:val="13"/>
                <w:color w:val="auto"/>
              </w:rPr>
              <w:t>$351,000</w:t>
            </w:r>
          </w:p>
        </w:tc>
      </w:tr>
      <w:tr>
        <w:trPr>
          <w:trHeight w:val="290"/>
        </w:trPr>
        <w:tc>
          <w:tcPr>
            <w:tcW w:w="5420" w:type="dxa"/>
            <w:vAlign w:val="bottom"/>
            <w:tcBorders>
              <w:bottom w:val="single" w:sz="8" w:color="DFF1FB"/>
            </w:tcBorders>
          </w:tcPr>
          <w:p>
            <w:pPr>
              <w:ind w:left="80"/>
              <w:spacing w:after="0"/>
              <w:rPr>
                <w:sz w:val="20"/>
                <w:szCs w:val="20"/>
                <w:color w:val="auto"/>
              </w:rPr>
            </w:pPr>
            <w:r>
              <w:rPr>
                <w:rFonts w:ascii="Arial" w:cs="Arial" w:eastAsia="Arial" w:hAnsi="Arial"/>
                <w:sz w:val="13"/>
                <w:szCs w:val="13"/>
                <w:color w:val="auto"/>
              </w:rPr>
              <w:t>All other fees</w:t>
            </w:r>
            <w:r>
              <w:rPr>
                <w:rFonts w:ascii="Arial" w:cs="Arial" w:eastAsia="Arial" w:hAnsi="Arial"/>
                <w:sz w:val="22"/>
                <w:szCs w:val="22"/>
                <w:color w:val="auto"/>
                <w:vertAlign w:val="superscript"/>
              </w:rPr>
              <w:t>(4)</w:t>
            </w:r>
          </w:p>
        </w:tc>
        <w:tc>
          <w:tcPr>
            <w:tcW w:w="5040" w:type="dxa"/>
            <w:vAlign w:val="bottom"/>
            <w:tcBorders>
              <w:bottom w:val="single" w:sz="8" w:color="DFF1FB"/>
            </w:tcBorders>
          </w:tcPr>
          <w:p>
            <w:pPr>
              <w:jc w:val="right"/>
              <w:ind w:right="73"/>
              <w:spacing w:after="0"/>
              <w:rPr>
                <w:sz w:val="20"/>
                <w:szCs w:val="20"/>
                <w:color w:val="auto"/>
              </w:rPr>
            </w:pPr>
            <w:r>
              <w:rPr>
                <w:rFonts w:ascii="Arial" w:cs="Arial" w:eastAsia="Arial" w:hAnsi="Arial"/>
                <w:sz w:val="13"/>
                <w:szCs w:val="13"/>
                <w:color w:val="auto"/>
              </w:rPr>
              <w:t>$13,000</w:t>
            </w:r>
          </w:p>
        </w:tc>
        <w:tc>
          <w:tcPr>
            <w:tcW w:w="960" w:type="dxa"/>
            <w:vAlign w:val="bottom"/>
            <w:tcBorders>
              <w:bottom w:val="single" w:sz="8" w:color="DFF1FB"/>
            </w:tcBorders>
          </w:tcPr>
          <w:p>
            <w:pPr>
              <w:jc w:val="right"/>
              <w:ind w:right="13"/>
              <w:spacing w:after="0"/>
              <w:rPr>
                <w:sz w:val="20"/>
                <w:szCs w:val="20"/>
                <w:color w:val="auto"/>
              </w:rPr>
            </w:pPr>
            <w:r>
              <w:rPr>
                <w:rFonts w:ascii="Arial" w:cs="Arial" w:eastAsia="Arial" w:hAnsi="Arial"/>
                <w:sz w:val="13"/>
                <w:szCs w:val="13"/>
                <w:color w:val="auto"/>
              </w:rPr>
              <w:t>$475,000</w:t>
            </w:r>
          </w:p>
        </w:tc>
      </w:tr>
      <w:tr>
        <w:trPr>
          <w:trHeight w:val="195"/>
        </w:trPr>
        <w:tc>
          <w:tcPr>
            <w:tcW w:w="5420" w:type="dxa"/>
            <w:vAlign w:val="bottom"/>
          </w:tcPr>
          <w:p>
            <w:pPr>
              <w:ind w:left="80"/>
              <w:spacing w:after="0"/>
              <w:rPr>
                <w:sz w:val="20"/>
                <w:szCs w:val="20"/>
                <w:color w:val="auto"/>
              </w:rPr>
            </w:pPr>
            <w:r>
              <w:rPr>
                <w:rFonts w:ascii="Arial" w:cs="Arial" w:eastAsia="Arial" w:hAnsi="Arial"/>
                <w:sz w:val="13"/>
                <w:szCs w:val="13"/>
                <w:color w:val="auto"/>
              </w:rPr>
              <w:t>Total fees</w:t>
            </w:r>
          </w:p>
        </w:tc>
        <w:tc>
          <w:tcPr>
            <w:tcW w:w="5040" w:type="dxa"/>
            <w:vAlign w:val="bottom"/>
          </w:tcPr>
          <w:p>
            <w:pPr>
              <w:jc w:val="right"/>
              <w:ind w:right="73"/>
              <w:spacing w:after="0"/>
              <w:rPr>
                <w:sz w:val="20"/>
                <w:szCs w:val="20"/>
                <w:color w:val="auto"/>
              </w:rPr>
            </w:pPr>
            <w:r>
              <w:rPr>
                <w:rFonts w:ascii="Arial" w:cs="Arial" w:eastAsia="Arial" w:hAnsi="Arial"/>
                <w:sz w:val="13"/>
                <w:szCs w:val="13"/>
                <w:color w:val="auto"/>
              </w:rPr>
              <w:t>$11,466,000</w:t>
            </w:r>
          </w:p>
        </w:tc>
        <w:tc>
          <w:tcPr>
            <w:tcW w:w="960" w:type="dxa"/>
            <w:vAlign w:val="bottom"/>
          </w:tcPr>
          <w:p>
            <w:pPr>
              <w:jc w:val="right"/>
              <w:ind w:right="13"/>
              <w:spacing w:after="0"/>
              <w:rPr>
                <w:sz w:val="20"/>
                <w:szCs w:val="20"/>
                <w:color w:val="auto"/>
              </w:rPr>
            </w:pPr>
            <w:r>
              <w:rPr>
                <w:rFonts w:ascii="Arial" w:cs="Arial" w:eastAsia="Arial" w:hAnsi="Arial"/>
                <w:sz w:val="13"/>
                <w:szCs w:val="13"/>
                <w:color w:val="auto"/>
              </w:rPr>
              <w:t>$12,250,000</w:t>
            </w:r>
          </w:p>
        </w:tc>
      </w:tr>
      <w:tr>
        <w:trPr>
          <w:trHeight w:val="48"/>
        </w:trPr>
        <w:tc>
          <w:tcPr>
            <w:tcW w:w="5420" w:type="dxa"/>
            <w:vAlign w:val="bottom"/>
            <w:tcBorders>
              <w:bottom w:val="single" w:sz="8" w:color="105EAB"/>
            </w:tcBorders>
          </w:tcPr>
          <w:p>
            <w:pPr>
              <w:spacing w:after="0"/>
              <w:rPr>
                <w:sz w:val="4"/>
                <w:szCs w:val="4"/>
                <w:color w:val="auto"/>
              </w:rPr>
            </w:pPr>
          </w:p>
        </w:tc>
        <w:tc>
          <w:tcPr>
            <w:tcW w:w="5040" w:type="dxa"/>
            <w:vAlign w:val="bottom"/>
            <w:tcBorders>
              <w:bottom w:val="single" w:sz="8" w:color="105EAB"/>
            </w:tcBorders>
          </w:tcPr>
          <w:p>
            <w:pPr>
              <w:spacing w:after="0"/>
              <w:rPr>
                <w:sz w:val="4"/>
                <w:szCs w:val="4"/>
                <w:color w:val="auto"/>
              </w:rPr>
            </w:pPr>
          </w:p>
        </w:tc>
        <w:tc>
          <w:tcPr>
            <w:tcW w:w="960" w:type="dxa"/>
            <w:vAlign w:val="bottom"/>
            <w:tcBorders>
              <w:bottom w:val="single" w:sz="8" w:color="105EAB"/>
            </w:tcBorders>
          </w:tcPr>
          <w:p>
            <w:pPr>
              <w:spacing w:after="0"/>
              <w:rPr>
                <w:sz w:val="4"/>
                <w:szCs w:val="4"/>
                <w:color w:val="auto"/>
              </w:rPr>
            </w:pPr>
          </w:p>
        </w:tc>
      </w:tr>
    </w:tbl>
    <w:p>
      <w:pPr>
        <w:spacing w:after="0" w:line="107" w:lineRule="exact"/>
        <w:rPr>
          <w:sz w:val="20"/>
          <w:szCs w:val="20"/>
          <w:color w:val="auto"/>
        </w:rPr>
      </w:pPr>
    </w:p>
    <w:p>
      <w:pPr>
        <w:ind w:left="300" w:right="100" w:hanging="292"/>
        <w:spacing w:after="0" w:line="238" w:lineRule="auto"/>
        <w:tabs>
          <w:tab w:leader="none" w:pos="300" w:val="left"/>
        </w:tabs>
        <w:numPr>
          <w:ilvl w:val="0"/>
          <w:numId w:val="236"/>
        </w:numPr>
        <w:rPr>
          <w:rFonts w:ascii="Arial" w:cs="Arial" w:eastAsia="Arial" w:hAnsi="Arial"/>
          <w:sz w:val="11"/>
          <w:szCs w:val="11"/>
          <w:color w:val="auto"/>
        </w:rPr>
      </w:pPr>
      <w:r>
        <w:rPr>
          <w:rFonts w:ascii="Arial" w:cs="Arial" w:eastAsia="Arial" w:hAnsi="Arial"/>
          <w:sz w:val="13"/>
          <w:szCs w:val="13"/>
          <w:color w:val="auto"/>
        </w:rPr>
        <w:t>Fees for audits of annual financial statements, reviews of quarterly financial statements, statutory audits, attest services, comfort letters, consents, and review of documents filed with the SEC. The amount disclosed does not reflect reimbursements expected to be received for certain separate account audit fees from the managing entity in the amounts of $189,000 and $165,000 for 2017 and 2018, respectively.</w:t>
      </w:r>
    </w:p>
    <w:p>
      <w:pPr>
        <w:ind w:left="300" w:right="220" w:hanging="292"/>
        <w:spacing w:after="0" w:line="258" w:lineRule="auto"/>
        <w:tabs>
          <w:tab w:leader="none" w:pos="300" w:val="left"/>
        </w:tabs>
        <w:numPr>
          <w:ilvl w:val="0"/>
          <w:numId w:val="236"/>
        </w:numPr>
        <w:rPr>
          <w:rFonts w:ascii="Arial" w:cs="Arial" w:eastAsia="Arial" w:hAnsi="Arial"/>
          <w:sz w:val="11"/>
          <w:szCs w:val="11"/>
          <w:color w:val="auto"/>
        </w:rPr>
      </w:pPr>
      <w:r>
        <w:rPr>
          <w:rFonts w:ascii="Arial" w:cs="Arial" w:eastAsia="Arial" w:hAnsi="Arial"/>
          <w:sz w:val="13"/>
          <w:szCs w:val="13"/>
          <w:color w:val="auto"/>
        </w:rPr>
        <w:t>Audit-related fees relate to professional services, such as accounting consultations relating to new accounting standards and audits, Service Organization Controls (SOC) audit reports and other attest services for non-consolidated affiliates (i.e., employee benefit plans, various trusts, etc.) and are set forth below.</w:t>
      </w:r>
    </w:p>
    <w:p>
      <w:pPr>
        <w:spacing w:after="0" w:line="243" w:lineRule="exact"/>
        <w:rPr>
          <w:sz w:val="20"/>
          <w:szCs w:val="20"/>
          <w:color w:val="auto"/>
        </w:rPr>
      </w:pPr>
    </w:p>
    <w:tbl>
      <w:tblPr>
        <w:tblLayout w:type="fixed"/>
        <w:tblInd w:w="280" w:type="dxa"/>
        <w:tblCellMar>
          <w:top w:w="0" w:type="dxa"/>
          <w:left w:w="0" w:type="dxa"/>
          <w:bottom w:w="0" w:type="dxa"/>
          <w:right w:w="0" w:type="dxa"/>
        </w:tblCellMar>
      </w:tblPr>
      <w:tr>
        <w:trPr>
          <w:trHeight w:val="178"/>
        </w:trPr>
        <w:tc>
          <w:tcPr>
            <w:tcW w:w="6660" w:type="dxa"/>
            <w:vAlign w:val="bottom"/>
          </w:tcPr>
          <w:p>
            <w:pPr>
              <w:spacing w:after="0"/>
              <w:rPr>
                <w:sz w:val="15"/>
                <w:szCs w:val="15"/>
                <w:color w:val="auto"/>
              </w:rPr>
            </w:pPr>
          </w:p>
        </w:tc>
        <w:tc>
          <w:tcPr>
            <w:tcW w:w="3700" w:type="dxa"/>
            <w:vAlign w:val="bottom"/>
          </w:tcPr>
          <w:p>
            <w:pPr>
              <w:jc w:val="right"/>
              <w:ind w:right="73"/>
              <w:spacing w:after="0"/>
              <w:rPr>
                <w:sz w:val="20"/>
                <w:szCs w:val="20"/>
                <w:color w:val="auto"/>
              </w:rPr>
            </w:pPr>
            <w:r>
              <w:rPr>
                <w:rFonts w:ascii="Arial" w:cs="Arial" w:eastAsia="Arial" w:hAnsi="Arial"/>
                <w:sz w:val="13"/>
                <w:szCs w:val="13"/>
                <w:b w:val="1"/>
                <w:bCs w:val="1"/>
                <w:color w:val="105EAB"/>
              </w:rPr>
              <w:t>2017</w:t>
            </w:r>
          </w:p>
        </w:tc>
        <w:tc>
          <w:tcPr>
            <w:tcW w:w="780" w:type="dxa"/>
            <w:vAlign w:val="bottom"/>
          </w:tcPr>
          <w:p>
            <w:pPr>
              <w:jc w:val="right"/>
              <w:ind w:right="13"/>
              <w:spacing w:after="0"/>
              <w:rPr>
                <w:sz w:val="20"/>
                <w:szCs w:val="20"/>
                <w:color w:val="auto"/>
              </w:rPr>
            </w:pPr>
            <w:r>
              <w:rPr>
                <w:rFonts w:ascii="Arial" w:cs="Arial" w:eastAsia="Arial" w:hAnsi="Arial"/>
                <w:sz w:val="13"/>
                <w:szCs w:val="13"/>
                <w:b w:val="1"/>
                <w:bCs w:val="1"/>
                <w:color w:val="105EAB"/>
              </w:rPr>
              <w:t>2018</w:t>
            </w:r>
          </w:p>
        </w:tc>
      </w:tr>
      <w:tr>
        <w:trPr>
          <w:trHeight w:val="48"/>
        </w:trPr>
        <w:tc>
          <w:tcPr>
            <w:tcW w:w="6660" w:type="dxa"/>
            <w:vAlign w:val="bottom"/>
            <w:tcBorders>
              <w:bottom w:val="single" w:sz="8" w:color="105EAB"/>
            </w:tcBorders>
          </w:tcPr>
          <w:p>
            <w:pPr>
              <w:spacing w:after="0"/>
              <w:rPr>
                <w:sz w:val="4"/>
                <w:szCs w:val="4"/>
                <w:color w:val="auto"/>
              </w:rPr>
            </w:pPr>
          </w:p>
        </w:tc>
        <w:tc>
          <w:tcPr>
            <w:tcW w:w="3700" w:type="dxa"/>
            <w:vAlign w:val="bottom"/>
            <w:tcBorders>
              <w:bottom w:val="single" w:sz="8" w:color="105EAB"/>
            </w:tcBorders>
          </w:tcPr>
          <w:p>
            <w:pPr>
              <w:spacing w:after="0"/>
              <w:rPr>
                <w:sz w:val="4"/>
                <w:szCs w:val="4"/>
                <w:color w:val="auto"/>
              </w:rPr>
            </w:pPr>
          </w:p>
        </w:tc>
        <w:tc>
          <w:tcPr>
            <w:tcW w:w="780" w:type="dxa"/>
            <w:vAlign w:val="bottom"/>
            <w:tcBorders>
              <w:bottom w:val="single" w:sz="8" w:color="105EAB"/>
            </w:tcBorders>
          </w:tcPr>
          <w:p>
            <w:pPr>
              <w:spacing w:after="0"/>
              <w:rPr>
                <w:sz w:val="4"/>
                <w:szCs w:val="4"/>
                <w:color w:val="auto"/>
              </w:rPr>
            </w:pPr>
          </w:p>
        </w:tc>
      </w:tr>
      <w:tr>
        <w:trPr>
          <w:trHeight w:val="202"/>
        </w:trPr>
        <w:tc>
          <w:tcPr>
            <w:tcW w:w="6660" w:type="dxa"/>
            <w:vAlign w:val="bottom"/>
          </w:tcPr>
          <w:p>
            <w:pPr>
              <w:ind w:left="60"/>
              <w:spacing w:after="0"/>
              <w:rPr>
                <w:sz w:val="20"/>
                <w:szCs w:val="20"/>
                <w:color w:val="auto"/>
              </w:rPr>
            </w:pPr>
            <w:r>
              <w:rPr>
                <w:rFonts w:ascii="Arial" w:cs="Arial" w:eastAsia="Arial" w:hAnsi="Arial"/>
                <w:sz w:val="13"/>
                <w:szCs w:val="13"/>
                <w:color w:val="auto"/>
              </w:rPr>
              <w:t>Audits and other attest services for non-consolidated entities</w:t>
            </w:r>
          </w:p>
        </w:tc>
        <w:tc>
          <w:tcPr>
            <w:tcW w:w="3700" w:type="dxa"/>
            <w:vAlign w:val="bottom"/>
          </w:tcPr>
          <w:p>
            <w:pPr>
              <w:jc w:val="right"/>
              <w:ind w:right="73"/>
              <w:spacing w:after="0"/>
              <w:rPr>
                <w:sz w:val="20"/>
                <w:szCs w:val="20"/>
                <w:color w:val="auto"/>
              </w:rPr>
            </w:pPr>
            <w:r>
              <w:rPr>
                <w:rFonts w:ascii="Arial" w:cs="Arial" w:eastAsia="Arial" w:hAnsi="Arial"/>
                <w:sz w:val="13"/>
                <w:szCs w:val="13"/>
                <w:color w:val="auto"/>
              </w:rPr>
              <w:t>$346,000</w:t>
            </w:r>
          </w:p>
        </w:tc>
        <w:tc>
          <w:tcPr>
            <w:tcW w:w="780" w:type="dxa"/>
            <w:vAlign w:val="bottom"/>
          </w:tcPr>
          <w:p>
            <w:pPr>
              <w:jc w:val="right"/>
              <w:ind w:right="13"/>
              <w:spacing w:after="0"/>
              <w:rPr>
                <w:sz w:val="20"/>
                <w:szCs w:val="20"/>
                <w:color w:val="auto"/>
              </w:rPr>
            </w:pPr>
            <w:r>
              <w:rPr>
                <w:rFonts w:ascii="Arial" w:cs="Arial" w:eastAsia="Arial" w:hAnsi="Arial"/>
                <w:sz w:val="13"/>
                <w:szCs w:val="13"/>
                <w:color w:val="auto"/>
              </w:rPr>
              <w:t>$358,000</w:t>
            </w:r>
          </w:p>
        </w:tc>
      </w:tr>
      <w:tr>
        <w:trPr>
          <w:trHeight w:val="41"/>
        </w:trPr>
        <w:tc>
          <w:tcPr>
            <w:tcW w:w="6660" w:type="dxa"/>
            <w:vAlign w:val="bottom"/>
            <w:tcBorders>
              <w:bottom w:val="single" w:sz="8" w:color="DFF1FB"/>
            </w:tcBorders>
          </w:tcPr>
          <w:p>
            <w:pPr>
              <w:spacing w:after="0"/>
              <w:rPr>
                <w:sz w:val="3"/>
                <w:szCs w:val="3"/>
                <w:color w:val="auto"/>
              </w:rPr>
            </w:pPr>
          </w:p>
        </w:tc>
        <w:tc>
          <w:tcPr>
            <w:tcW w:w="3700" w:type="dxa"/>
            <w:vAlign w:val="bottom"/>
            <w:tcBorders>
              <w:bottom w:val="single" w:sz="8" w:color="DFF1FB"/>
            </w:tcBorders>
          </w:tcPr>
          <w:p>
            <w:pPr>
              <w:spacing w:after="0"/>
              <w:rPr>
                <w:sz w:val="3"/>
                <w:szCs w:val="3"/>
                <w:color w:val="auto"/>
              </w:rPr>
            </w:pPr>
          </w:p>
        </w:tc>
        <w:tc>
          <w:tcPr>
            <w:tcW w:w="780" w:type="dxa"/>
            <w:vAlign w:val="bottom"/>
            <w:tcBorders>
              <w:bottom w:val="single" w:sz="8" w:color="DFF1FB"/>
            </w:tcBorders>
          </w:tcPr>
          <w:p>
            <w:pPr>
              <w:spacing w:after="0"/>
              <w:rPr>
                <w:sz w:val="3"/>
                <w:szCs w:val="3"/>
                <w:color w:val="auto"/>
              </w:rPr>
            </w:pPr>
          </w:p>
        </w:tc>
      </w:tr>
      <w:tr>
        <w:trPr>
          <w:trHeight w:val="195"/>
        </w:trPr>
        <w:tc>
          <w:tcPr>
            <w:tcW w:w="6660" w:type="dxa"/>
            <w:vAlign w:val="bottom"/>
          </w:tcPr>
          <w:p>
            <w:pPr>
              <w:ind w:left="60"/>
              <w:spacing w:after="0"/>
              <w:rPr>
                <w:sz w:val="20"/>
                <w:szCs w:val="20"/>
                <w:color w:val="auto"/>
              </w:rPr>
            </w:pPr>
            <w:r>
              <w:rPr>
                <w:rFonts w:ascii="Arial" w:cs="Arial" w:eastAsia="Arial" w:hAnsi="Arial"/>
                <w:sz w:val="13"/>
                <w:szCs w:val="13"/>
                <w:color w:val="auto"/>
              </w:rPr>
              <w:t>Other audit-related fees</w:t>
            </w:r>
          </w:p>
        </w:tc>
        <w:tc>
          <w:tcPr>
            <w:tcW w:w="3700" w:type="dxa"/>
            <w:vAlign w:val="bottom"/>
          </w:tcPr>
          <w:p>
            <w:pPr>
              <w:jc w:val="right"/>
              <w:ind w:right="73"/>
              <w:spacing w:after="0"/>
              <w:rPr>
                <w:sz w:val="20"/>
                <w:szCs w:val="20"/>
                <w:color w:val="auto"/>
              </w:rPr>
            </w:pPr>
            <w:r>
              <w:rPr>
                <w:rFonts w:ascii="Arial" w:cs="Arial" w:eastAsia="Arial" w:hAnsi="Arial"/>
                <w:sz w:val="13"/>
                <w:szCs w:val="13"/>
                <w:color w:val="auto"/>
              </w:rPr>
              <w:t>$255,000</w:t>
            </w:r>
          </w:p>
        </w:tc>
        <w:tc>
          <w:tcPr>
            <w:tcW w:w="780" w:type="dxa"/>
            <w:vAlign w:val="bottom"/>
          </w:tcPr>
          <w:p>
            <w:pPr>
              <w:jc w:val="right"/>
              <w:ind w:right="13"/>
              <w:spacing w:after="0"/>
              <w:rPr>
                <w:sz w:val="20"/>
                <w:szCs w:val="20"/>
                <w:color w:val="auto"/>
              </w:rPr>
            </w:pPr>
            <w:r>
              <w:rPr>
                <w:rFonts w:ascii="Arial" w:cs="Arial" w:eastAsia="Arial" w:hAnsi="Arial"/>
                <w:sz w:val="13"/>
                <w:szCs w:val="13"/>
                <w:color w:val="auto"/>
              </w:rPr>
              <w:t>$460,000</w:t>
            </w:r>
          </w:p>
        </w:tc>
      </w:tr>
      <w:tr>
        <w:trPr>
          <w:trHeight w:val="41"/>
        </w:trPr>
        <w:tc>
          <w:tcPr>
            <w:tcW w:w="6660" w:type="dxa"/>
            <w:vAlign w:val="bottom"/>
            <w:tcBorders>
              <w:bottom w:val="single" w:sz="8" w:color="DFF1FB"/>
            </w:tcBorders>
          </w:tcPr>
          <w:p>
            <w:pPr>
              <w:spacing w:after="0"/>
              <w:rPr>
                <w:sz w:val="3"/>
                <w:szCs w:val="3"/>
                <w:color w:val="auto"/>
              </w:rPr>
            </w:pPr>
          </w:p>
        </w:tc>
        <w:tc>
          <w:tcPr>
            <w:tcW w:w="3700" w:type="dxa"/>
            <w:vAlign w:val="bottom"/>
            <w:tcBorders>
              <w:bottom w:val="single" w:sz="8" w:color="DFF1FB"/>
            </w:tcBorders>
          </w:tcPr>
          <w:p>
            <w:pPr>
              <w:spacing w:after="0"/>
              <w:rPr>
                <w:sz w:val="3"/>
                <w:szCs w:val="3"/>
                <w:color w:val="auto"/>
              </w:rPr>
            </w:pPr>
          </w:p>
        </w:tc>
        <w:tc>
          <w:tcPr>
            <w:tcW w:w="780" w:type="dxa"/>
            <w:vAlign w:val="bottom"/>
            <w:tcBorders>
              <w:bottom w:val="single" w:sz="8" w:color="DFF1FB"/>
            </w:tcBorders>
          </w:tcPr>
          <w:p>
            <w:pPr>
              <w:spacing w:after="0"/>
              <w:rPr>
                <w:sz w:val="3"/>
                <w:szCs w:val="3"/>
                <w:color w:val="auto"/>
              </w:rPr>
            </w:pPr>
          </w:p>
        </w:tc>
      </w:tr>
      <w:tr>
        <w:trPr>
          <w:trHeight w:val="195"/>
        </w:trPr>
        <w:tc>
          <w:tcPr>
            <w:tcW w:w="6660" w:type="dxa"/>
            <w:vAlign w:val="bottom"/>
          </w:tcPr>
          <w:p>
            <w:pPr>
              <w:ind w:left="60"/>
              <w:spacing w:after="0"/>
              <w:rPr>
                <w:sz w:val="20"/>
                <w:szCs w:val="20"/>
                <w:color w:val="auto"/>
              </w:rPr>
            </w:pPr>
            <w:r>
              <w:rPr>
                <w:rFonts w:ascii="Arial" w:cs="Arial" w:eastAsia="Arial" w:hAnsi="Arial"/>
                <w:sz w:val="13"/>
                <w:szCs w:val="13"/>
                <w:color w:val="auto"/>
              </w:rPr>
              <w:t>Total audit-related fees</w:t>
            </w:r>
          </w:p>
        </w:tc>
        <w:tc>
          <w:tcPr>
            <w:tcW w:w="3700" w:type="dxa"/>
            <w:vAlign w:val="bottom"/>
          </w:tcPr>
          <w:p>
            <w:pPr>
              <w:jc w:val="right"/>
              <w:ind w:right="73"/>
              <w:spacing w:after="0"/>
              <w:rPr>
                <w:sz w:val="20"/>
                <w:szCs w:val="20"/>
                <w:color w:val="auto"/>
              </w:rPr>
            </w:pPr>
            <w:r>
              <w:rPr>
                <w:rFonts w:ascii="Arial" w:cs="Arial" w:eastAsia="Arial" w:hAnsi="Arial"/>
                <w:sz w:val="13"/>
                <w:szCs w:val="13"/>
                <w:color w:val="auto"/>
              </w:rPr>
              <w:t>$601,000</w:t>
            </w:r>
          </w:p>
        </w:tc>
        <w:tc>
          <w:tcPr>
            <w:tcW w:w="780" w:type="dxa"/>
            <w:vAlign w:val="bottom"/>
          </w:tcPr>
          <w:p>
            <w:pPr>
              <w:jc w:val="right"/>
              <w:ind w:right="13"/>
              <w:spacing w:after="0"/>
              <w:rPr>
                <w:sz w:val="20"/>
                <w:szCs w:val="20"/>
                <w:color w:val="auto"/>
              </w:rPr>
            </w:pPr>
            <w:r>
              <w:rPr>
                <w:rFonts w:ascii="Arial" w:cs="Arial" w:eastAsia="Arial" w:hAnsi="Arial"/>
                <w:sz w:val="13"/>
                <w:szCs w:val="13"/>
                <w:color w:val="auto"/>
              </w:rPr>
              <w:t>$818,000</w:t>
            </w:r>
          </w:p>
        </w:tc>
      </w:tr>
      <w:tr>
        <w:trPr>
          <w:trHeight w:val="48"/>
        </w:trPr>
        <w:tc>
          <w:tcPr>
            <w:tcW w:w="6660" w:type="dxa"/>
            <w:vAlign w:val="bottom"/>
            <w:tcBorders>
              <w:bottom w:val="single" w:sz="8" w:color="105EAB"/>
            </w:tcBorders>
          </w:tcPr>
          <w:p>
            <w:pPr>
              <w:spacing w:after="0"/>
              <w:rPr>
                <w:sz w:val="4"/>
                <w:szCs w:val="4"/>
                <w:color w:val="auto"/>
              </w:rPr>
            </w:pPr>
          </w:p>
        </w:tc>
        <w:tc>
          <w:tcPr>
            <w:tcW w:w="3700" w:type="dxa"/>
            <w:vAlign w:val="bottom"/>
            <w:tcBorders>
              <w:bottom w:val="single" w:sz="8" w:color="105EAB"/>
            </w:tcBorders>
          </w:tcPr>
          <w:p>
            <w:pPr>
              <w:spacing w:after="0"/>
              <w:rPr>
                <w:sz w:val="4"/>
                <w:szCs w:val="4"/>
                <w:color w:val="auto"/>
              </w:rPr>
            </w:pPr>
          </w:p>
        </w:tc>
        <w:tc>
          <w:tcPr>
            <w:tcW w:w="780" w:type="dxa"/>
            <w:vAlign w:val="bottom"/>
            <w:tcBorders>
              <w:bottom w:val="single" w:sz="8" w:color="105EAB"/>
            </w:tcBorders>
          </w:tcPr>
          <w:p>
            <w:pPr>
              <w:spacing w:after="0"/>
              <w:rPr>
                <w:sz w:val="4"/>
                <w:szCs w:val="4"/>
                <w:color w:val="auto"/>
              </w:rPr>
            </w:pPr>
          </w:p>
        </w:tc>
      </w:tr>
    </w:tbl>
    <w:p>
      <w:pPr>
        <w:spacing w:after="0" w:line="107" w:lineRule="exact"/>
        <w:rPr>
          <w:sz w:val="20"/>
          <w:szCs w:val="20"/>
          <w:color w:val="auto"/>
        </w:rPr>
      </w:pPr>
    </w:p>
    <w:p>
      <w:pPr>
        <w:ind w:left="300" w:hanging="292"/>
        <w:spacing w:after="0"/>
        <w:tabs>
          <w:tab w:leader="none" w:pos="300" w:val="left"/>
        </w:tabs>
        <w:numPr>
          <w:ilvl w:val="0"/>
          <w:numId w:val="237"/>
        </w:numPr>
        <w:rPr>
          <w:rFonts w:ascii="Arial" w:cs="Arial" w:eastAsia="Arial" w:hAnsi="Arial"/>
          <w:sz w:val="11"/>
          <w:szCs w:val="11"/>
          <w:color w:val="auto"/>
        </w:rPr>
      </w:pPr>
      <w:r>
        <w:rPr>
          <w:rFonts w:ascii="Arial" w:cs="Arial" w:eastAsia="Arial" w:hAnsi="Arial"/>
          <w:sz w:val="13"/>
          <w:szCs w:val="13"/>
          <w:color w:val="auto"/>
        </w:rPr>
        <w:t>Tax fees include income tax return preparation, compliance assistance, tax studies and research, and international tax planning.</w:t>
      </w:r>
    </w:p>
    <w:p>
      <w:pPr>
        <w:spacing w:after="0" w:line="12" w:lineRule="exact"/>
        <w:rPr>
          <w:rFonts w:ascii="Arial" w:cs="Arial" w:eastAsia="Arial" w:hAnsi="Arial"/>
          <w:sz w:val="11"/>
          <w:szCs w:val="11"/>
          <w:color w:val="auto"/>
        </w:rPr>
      </w:pPr>
    </w:p>
    <w:p>
      <w:pPr>
        <w:ind w:left="300" w:hanging="292"/>
        <w:spacing w:after="0"/>
        <w:tabs>
          <w:tab w:leader="none" w:pos="300" w:val="left"/>
        </w:tabs>
        <w:numPr>
          <w:ilvl w:val="0"/>
          <w:numId w:val="237"/>
        </w:numPr>
        <w:rPr>
          <w:rFonts w:ascii="Arial" w:cs="Arial" w:eastAsia="Arial" w:hAnsi="Arial"/>
          <w:sz w:val="11"/>
          <w:szCs w:val="11"/>
          <w:color w:val="auto"/>
        </w:rPr>
      </w:pPr>
      <w:r>
        <w:rPr>
          <w:rFonts w:ascii="Arial" w:cs="Arial" w:eastAsia="Arial" w:hAnsi="Arial"/>
          <w:sz w:val="13"/>
          <w:szCs w:val="13"/>
          <w:color w:val="auto"/>
        </w:rPr>
        <w:t>“All other fees” includes all fees paid that are not audit, audit-related, or tax services. These fees relate to advisory services.</w:t>
      </w:r>
    </w:p>
    <w:p>
      <w:pPr>
        <w:spacing w:after="0" w:line="12" w:lineRule="exact"/>
        <w:rPr>
          <w:rFonts w:ascii="Arial" w:cs="Arial" w:eastAsia="Arial" w:hAnsi="Arial"/>
          <w:sz w:val="11"/>
          <w:szCs w:val="11"/>
          <w:color w:val="auto"/>
        </w:rPr>
      </w:pPr>
    </w:p>
    <w:p>
      <w:pPr>
        <w:ind w:left="300" w:hanging="292"/>
        <w:spacing w:after="0"/>
        <w:tabs>
          <w:tab w:leader="none" w:pos="300" w:val="left"/>
        </w:tabs>
        <w:numPr>
          <w:ilvl w:val="0"/>
          <w:numId w:val="237"/>
        </w:numPr>
        <w:rPr>
          <w:rFonts w:ascii="Arial" w:cs="Arial" w:eastAsia="Arial" w:hAnsi="Arial"/>
          <w:sz w:val="11"/>
          <w:szCs w:val="11"/>
          <w:color w:val="auto"/>
        </w:rPr>
      </w:pPr>
      <w:r>
        <w:rPr>
          <w:rFonts w:ascii="Arial" w:cs="Arial" w:eastAsia="Arial" w:hAnsi="Arial"/>
          <w:sz w:val="13"/>
          <w:szCs w:val="13"/>
          <w:color w:val="auto"/>
        </w:rPr>
        <w:t>Fees for 2017 were adjusted to reflect lower than anticipated services performed after the proxy statement was filed.</w:t>
      </w:r>
    </w:p>
    <w:p>
      <w:pPr>
        <w:spacing w:after="0" w:line="232" w:lineRule="exact"/>
        <w:rPr>
          <w:sz w:val="20"/>
          <w:szCs w:val="20"/>
          <w:color w:val="auto"/>
        </w:rPr>
      </w:pPr>
    </w:p>
    <w:p>
      <w:pPr>
        <w:jc w:val="both"/>
        <w:ind w:right="200"/>
        <w:spacing w:after="0" w:line="281" w:lineRule="auto"/>
        <w:rPr>
          <w:sz w:val="20"/>
          <w:szCs w:val="20"/>
          <w:color w:val="auto"/>
        </w:rPr>
      </w:pPr>
      <w:r>
        <w:rPr>
          <w:rFonts w:ascii="Arial" w:cs="Arial" w:eastAsia="Arial" w:hAnsi="Arial"/>
          <w:sz w:val="16"/>
          <w:szCs w:val="16"/>
          <w:color w:val="auto"/>
        </w:rPr>
        <w:t>Representatives of Deloitte &amp; Touche LLP will be present at the 2019 Annual Meeting to respond to questions and may make a statement if they choose. If stockholders fail to ratify the appointment, the audit committee will reconsider the appointment, but no assurance can be given that the audit committee will be able to change the appointment while enabling timely completion of the 2019 audited financial statements.</w:t>
      </w:r>
    </w:p>
    <w:p>
      <w:pPr>
        <w:spacing w:after="0" w:line="173" w:lineRule="exact"/>
        <w:rPr>
          <w:sz w:val="20"/>
          <w:szCs w:val="20"/>
          <w:color w:val="auto"/>
        </w:rPr>
      </w:pPr>
    </w:p>
    <w:p>
      <w:pPr>
        <w:ind w:left="460" w:hanging="452"/>
        <w:spacing w:after="0"/>
        <w:tabs>
          <w:tab w:leader="none" w:pos="460" w:val="left"/>
        </w:tabs>
        <w:numPr>
          <w:ilvl w:val="0"/>
          <w:numId w:val="238"/>
        </w:numPr>
        <w:rPr>
          <w:rFonts w:ascii="Arial" w:cs="Arial" w:eastAsia="Arial" w:hAnsi="Arial"/>
          <w:sz w:val="13"/>
          <w:szCs w:val="13"/>
          <w:b w:val="1"/>
          <w:bCs w:val="1"/>
          <w:color w:val="105EAB"/>
        </w:rPr>
      </w:pPr>
      <w:r>
        <w:rPr>
          <w:rFonts w:ascii="Arial" w:cs="Arial" w:eastAsia="Arial" w:hAnsi="Arial"/>
          <w:sz w:val="13"/>
          <w:szCs w:val="13"/>
          <w:color w:val="105EAB"/>
        </w:rPr>
        <w:t>www.allstateproxy.com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134620</wp:posOffset>
            </wp:positionV>
            <wp:extent cx="7268210" cy="209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jc w:val="right"/>
        <w:ind w:right="20"/>
        <w:spacing w:after="0"/>
        <w:rPr>
          <w:sz w:val="20"/>
          <w:szCs w:val="20"/>
          <w:color w:val="auto"/>
        </w:rPr>
      </w:pPr>
      <w:r>
        <w:rPr>
          <w:rFonts w:ascii="Arial" w:cs="Arial" w:eastAsia="Arial" w:hAnsi="Arial"/>
          <w:sz w:val="13"/>
          <w:szCs w:val="13"/>
          <w:b w:val="1"/>
          <w:bCs w:val="1"/>
          <w:color w:val="auto"/>
        </w:rPr>
        <w:t xml:space="preserve">Audit Committee Report </w:t>
      </w:r>
      <w:r>
        <w:rPr>
          <w:rFonts w:ascii="Arial" w:cs="Arial" w:eastAsia="Arial" w:hAnsi="Arial"/>
          <w:sz w:val="13"/>
          <w:szCs w:val="13"/>
          <w:b w:val="1"/>
          <w:bCs w:val="1"/>
          <w:color w:val="105EAB"/>
        </w:rPr>
        <w:t>| Audit Committee Matters</w:t>
      </w:r>
    </w:p>
    <w:p>
      <w:pPr>
        <w:spacing w:after="0" w:line="200" w:lineRule="exact"/>
        <w:rPr>
          <w:sz w:val="20"/>
          <w:szCs w:val="20"/>
          <w:color w:val="auto"/>
        </w:rPr>
      </w:pPr>
    </w:p>
    <w:p>
      <w:pPr>
        <w:spacing w:after="0"/>
        <w:rPr>
          <w:sz w:val="20"/>
          <w:szCs w:val="20"/>
          <w:color w:val="auto"/>
        </w:rPr>
      </w:pPr>
      <w:r>
        <w:rPr>
          <w:rFonts w:ascii="Arial" w:cs="Arial" w:eastAsia="Arial" w:hAnsi="Arial"/>
          <w:sz w:val="31"/>
          <w:szCs w:val="31"/>
          <w:b w:val="1"/>
          <w:bCs w:val="1"/>
          <w:color w:val="959595"/>
        </w:rPr>
        <w:t>Audit Committee Report</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 (Deloitte) was Allstate’s independent registered public accountant for the year ended December 31,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 reviewed and discussed with management the audited financial statements for the fiscal year ended December 31, 2018.</w:t>
      </w:r>
    </w:p>
    <w:p>
      <w:pPr>
        <w:spacing w:after="0" w:line="211"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The committee discussed with Deloitte the matters required to be discussed by Auditing Standard No. 1301, as adopted by the Public Company Accounting Oversight Board. The committee received the written disclosures and letter from Deloitte that is required by applicable requirements of the Public Company Accounting Oversight Board regarding Deloitte’s communications with the committee concerning independence and has discussed with Deloitte its independence.</w:t>
      </w:r>
    </w:p>
    <w:p>
      <w:pPr>
        <w:spacing w:after="0" w:line="208"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Based on these reviews and discussions and other information considered by the committee in its judgment, the committee recommended to the Board of Directors that the audited financial statements be included in Allstate’s Annual Report on Form 10-K for the fiscal year ended December 31, 2018, for filing with the Securities and Exchange Commission, and furnished to stockholders with this Notice of Annual Meeting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129540</wp:posOffset>
            </wp:positionV>
            <wp:extent cx="4942205" cy="29972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4942205" cy="299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tabs>
          <w:tab w:leader="none" w:pos="2600" w:val="left"/>
          <w:tab w:leader="none" w:pos="4620" w:val="left"/>
          <w:tab w:leader="none" w:pos="6540" w:val="left"/>
        </w:tabs>
        <w:rPr>
          <w:sz w:val="20"/>
          <w:szCs w:val="20"/>
          <w:color w:val="auto"/>
        </w:rPr>
      </w:pPr>
      <w:r>
        <w:rPr>
          <w:rFonts w:ascii="Arial" w:cs="Arial" w:eastAsia="Arial" w:hAnsi="Arial"/>
          <w:sz w:val="13"/>
          <w:szCs w:val="13"/>
          <w:b w:val="1"/>
          <w:bCs w:val="1"/>
          <w:color w:val="105EAB"/>
        </w:rPr>
        <w:t>KERMIT R. CRAWFORD (CHAIR)</w:t>
      </w:r>
      <w:r>
        <w:rPr>
          <w:sz w:val="20"/>
          <w:szCs w:val="20"/>
          <w:color w:val="auto"/>
        </w:rPr>
        <w:tab/>
      </w:r>
      <w:r>
        <w:rPr>
          <w:rFonts w:ascii="Arial" w:cs="Arial" w:eastAsia="Arial" w:hAnsi="Arial"/>
          <w:sz w:val="13"/>
          <w:szCs w:val="13"/>
          <w:b w:val="1"/>
          <w:bCs w:val="1"/>
          <w:color w:val="105EAB"/>
        </w:rPr>
        <w:t>MICHAEL L. ESKEW</w:t>
      </w:r>
      <w:r>
        <w:rPr>
          <w:sz w:val="20"/>
          <w:szCs w:val="20"/>
          <w:color w:val="auto"/>
        </w:rPr>
        <w:tab/>
      </w:r>
      <w:r>
        <w:rPr>
          <w:rFonts w:ascii="Arial" w:cs="Arial" w:eastAsia="Arial" w:hAnsi="Arial"/>
          <w:sz w:val="13"/>
          <w:szCs w:val="13"/>
          <w:b w:val="1"/>
          <w:bCs w:val="1"/>
          <w:color w:val="105EAB"/>
        </w:rPr>
        <w:t>SIDDHARTH N. MEHTA</w:t>
      </w:r>
      <w:r>
        <w:rPr>
          <w:sz w:val="20"/>
          <w:szCs w:val="20"/>
          <w:color w:val="auto"/>
        </w:rPr>
        <w:tab/>
      </w:r>
      <w:r>
        <w:rPr>
          <w:rFonts w:ascii="Arial" w:cs="Arial" w:eastAsia="Arial" w:hAnsi="Arial"/>
          <w:sz w:val="13"/>
          <w:szCs w:val="13"/>
          <w:b w:val="1"/>
          <w:bCs w:val="1"/>
          <w:color w:val="105EAB"/>
        </w:rPr>
        <w:t>GREGG M. SHERRILL</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1120" w:type="dxa"/>
            <w:vAlign w:val="bottom"/>
          </w:tcPr>
          <w:p>
            <w:pPr>
              <w:ind w:left="9640"/>
              <w:spacing w:after="0"/>
              <w:rPr>
                <w:sz w:val="20"/>
                <w:szCs w:val="20"/>
                <w:color w:val="auto"/>
              </w:rPr>
            </w:pPr>
            <w:r>
              <w:rPr>
                <w:rFonts w:ascii="Arial" w:cs="Arial" w:eastAsia="Arial" w:hAnsi="Arial"/>
                <w:sz w:val="13"/>
                <w:szCs w:val="13"/>
                <w:color w:val="105EAB"/>
              </w:rPr>
              <w:t>2019 Proxy Statement</w:t>
            </w:r>
          </w:p>
        </w:tc>
        <w:tc>
          <w:tcPr>
            <w:tcW w:w="320" w:type="dxa"/>
            <w:vAlign w:val="bottom"/>
          </w:tcPr>
          <w:p>
            <w:pPr>
              <w:jc w:val="right"/>
              <w:spacing w:after="0"/>
              <w:rPr>
                <w:sz w:val="20"/>
                <w:szCs w:val="20"/>
                <w:color w:val="auto"/>
              </w:rPr>
            </w:pPr>
            <w:r>
              <w:rPr>
                <w:rFonts w:ascii="Arial" w:cs="Arial" w:eastAsia="Arial" w:hAnsi="Arial"/>
                <w:sz w:val="13"/>
                <w:szCs w:val="13"/>
                <w:b w:val="1"/>
                <w:bCs w:val="1"/>
                <w:color w:val="105EAB"/>
              </w:rPr>
              <w:t>85</w:t>
            </w:r>
          </w:p>
        </w:tc>
      </w:tr>
      <w:tr>
        <w:trPr>
          <w:trHeight w:val="213"/>
        </w:trPr>
        <w:tc>
          <w:tcPr>
            <w:tcW w:w="1112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-13970</wp:posOffset>
            </wp:positionV>
            <wp:extent cx="1270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169" w:lineRule="exact"/>
        <w:rPr>
          <w:sz w:val="20"/>
          <w:szCs w:val="20"/>
          <w:color w:val="auto"/>
        </w:rPr>
      </w:pPr>
    </w:p>
    <w:p>
      <w:pPr>
        <w:spacing w:after="0"/>
        <w:rPr>
          <w:sz w:val="20"/>
          <w:szCs w:val="20"/>
          <w:color w:val="auto"/>
        </w:rPr>
      </w:pPr>
      <w:r>
        <w:rPr>
          <w:rFonts w:ascii="Arial" w:cs="Arial" w:eastAsia="Arial" w:hAnsi="Arial"/>
          <w:sz w:val="50"/>
          <w:szCs w:val="50"/>
          <w:b w:val="1"/>
          <w:bCs w:val="1"/>
          <w:color w:val="105EAB"/>
        </w:rPr>
        <w:t>Stockholder Proposal</w:t>
      </w:r>
    </w:p>
    <w:p>
      <w:pPr>
        <w:spacing w:after="0" w:line="262" w:lineRule="exact"/>
        <w:rPr>
          <w:sz w:val="20"/>
          <w:szCs w:val="20"/>
          <w:color w:val="auto"/>
        </w:rPr>
      </w:pPr>
    </w:p>
    <w:tbl>
      <w:tblPr>
        <w:tblLayout w:type="fixed"/>
        <w:tblInd w:w="10" w:type="dxa"/>
        <w:tblCellMar>
          <w:top w:w="0" w:type="dxa"/>
          <w:left w:w="0" w:type="dxa"/>
          <w:bottom w:w="0" w:type="dxa"/>
          <w:right w:w="0" w:type="dxa"/>
        </w:tblCellMar>
      </w:tblPr>
      <w:tr>
        <w:trPr>
          <w:trHeight w:val="621"/>
        </w:trPr>
        <w:tc>
          <w:tcPr>
            <w:tcW w:w="1600" w:type="dxa"/>
            <w:vAlign w:val="bottom"/>
            <w:tcBorders>
              <w:top w:val="single" w:sz="8" w:color="959595"/>
              <w:left w:val="single" w:sz="8" w:color="959595"/>
              <w:right w:val="single" w:sz="8" w:color="959595"/>
            </w:tcBorders>
          </w:tcPr>
          <w:p>
            <w:pPr>
              <w:ind w:left="140"/>
              <w:spacing w:after="0"/>
              <w:rPr>
                <w:sz w:val="20"/>
                <w:szCs w:val="20"/>
                <w:color w:val="auto"/>
              </w:rPr>
            </w:pPr>
            <w:r>
              <w:rPr>
                <w:rFonts w:ascii="Arial" w:cs="Arial" w:eastAsia="Arial" w:hAnsi="Arial"/>
                <w:sz w:val="13"/>
                <w:szCs w:val="13"/>
                <w:color w:val="959595"/>
              </w:rPr>
              <w:t xml:space="preserve">PROPOSAL  </w:t>
            </w:r>
            <w:r>
              <w:rPr>
                <w:rFonts w:ascii="Arial" w:cs="Arial" w:eastAsia="Arial" w:hAnsi="Arial"/>
                <w:sz w:val="53"/>
                <w:szCs w:val="53"/>
                <w:b w:val="1"/>
                <w:bCs w:val="1"/>
                <w:color w:val="959595"/>
              </w:rPr>
              <w:t>5</w:t>
            </w:r>
          </w:p>
        </w:tc>
        <w:tc>
          <w:tcPr>
            <w:tcW w:w="100" w:type="dxa"/>
            <w:vAlign w:val="bottom"/>
          </w:tcPr>
          <w:p>
            <w:pPr>
              <w:spacing w:after="0"/>
              <w:rPr>
                <w:sz w:val="24"/>
                <w:szCs w:val="24"/>
                <w:color w:val="auto"/>
              </w:rPr>
            </w:pPr>
          </w:p>
        </w:tc>
        <w:tc>
          <w:tcPr>
            <w:tcW w:w="6300" w:type="dxa"/>
            <w:vAlign w:val="bottom"/>
            <w:tcBorders>
              <w:top w:val="single" w:sz="8" w:color="959595"/>
              <w:right w:val="single" w:sz="8" w:color="959595"/>
            </w:tcBorders>
          </w:tcPr>
          <w:p>
            <w:pPr>
              <w:ind w:left="60"/>
              <w:spacing w:after="0"/>
              <w:rPr>
                <w:sz w:val="20"/>
                <w:szCs w:val="20"/>
                <w:color w:val="auto"/>
              </w:rPr>
            </w:pPr>
            <w:r>
              <w:rPr>
                <w:rFonts w:ascii="Arial" w:cs="Arial" w:eastAsia="Arial" w:hAnsi="Arial"/>
                <w:sz w:val="22"/>
                <w:szCs w:val="22"/>
                <w:b w:val="1"/>
                <w:bCs w:val="1"/>
                <w:color w:val="959595"/>
              </w:rPr>
              <w:t>Stockholder Proposal on Reporting Political Contributions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51065" cy="3810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51065" cy="381000"/>
                    </a:xfrm>
                    <a:prstGeom prst="rect">
                      <a:avLst/>
                    </a:prstGeom>
                    <a:noFill/>
                  </pic:spPr>
                </pic:pic>
              </a:graphicData>
            </a:graphic>
          </wp:anchor>
        </w:drawing>
      </w:r>
    </w:p>
    <w:p>
      <w:pPr>
        <w:spacing w:after="0" w:line="167"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E35F5E"/>
        </w:rPr>
        <w:t xml:space="preserve">The Board recommends a vote AGAINST this proposal. </w:t>
      </w:r>
      <w:r>
        <w:rPr>
          <w:sz w:val="1"/>
          <w:szCs w:val="1"/>
          <w:color w:val="auto"/>
        </w:rPr>
        <w:drawing>
          <wp:inline distT="0" distB="0" distL="0" distR="0">
            <wp:extent cx="213995" cy="213995"/>
            <wp:effectExtent l="0" t="0" r="0" b="0"/>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213995" cy="213995"/>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237490</wp:posOffset>
            </wp:positionV>
            <wp:extent cx="7251065" cy="487807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51065" cy="4878070"/>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100" w:right="140"/>
        <w:spacing w:after="0" w:line="239" w:lineRule="auto"/>
        <w:rPr>
          <w:sz w:val="20"/>
          <w:szCs w:val="20"/>
          <w:color w:val="auto"/>
        </w:rPr>
      </w:pPr>
      <w:r>
        <w:rPr>
          <w:rFonts w:ascii="Arial" w:cs="Arial" w:eastAsia="Arial" w:hAnsi="Arial"/>
          <w:sz w:val="18"/>
          <w:szCs w:val="18"/>
          <w:color w:val="auto"/>
        </w:rPr>
        <w:t>The International Brotherhood of Teamsters, 25 Louisiana Avenue, NW, Washington, D.C. 20001, beneficial owner of no less than 64 shares of Allstate common stock as of November 19, 2018, intends to propose the following resolution at the Annual Meeting.</w:t>
      </w:r>
    </w:p>
    <w:p>
      <w:pPr>
        <w:spacing w:after="0" w:line="186" w:lineRule="exact"/>
        <w:rPr>
          <w:sz w:val="20"/>
          <w:szCs w:val="20"/>
          <w:color w:val="auto"/>
        </w:rPr>
      </w:pPr>
    </w:p>
    <w:p>
      <w:pPr>
        <w:ind w:left="100" w:right="580"/>
        <w:spacing w:after="0" w:line="264"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the shareholders of The Allstate Corporation (“Allstate” or “Company”) hereby request that the Company provide a report,</w:t>
      </w:r>
      <w:r>
        <w:rPr>
          <w:rFonts w:ascii="Arial" w:cs="Arial" w:eastAsia="Arial" w:hAnsi="Arial"/>
          <w:sz w:val="18"/>
          <w:szCs w:val="18"/>
          <w:b w:val="1"/>
          <w:bCs w:val="1"/>
          <w:color w:val="auto"/>
        </w:rPr>
        <w:t xml:space="preserve"> </w:t>
      </w:r>
      <w:r>
        <w:rPr>
          <w:rFonts w:ascii="Arial" w:cs="Arial" w:eastAsia="Arial" w:hAnsi="Arial"/>
          <w:sz w:val="18"/>
          <w:szCs w:val="18"/>
          <w:color w:val="auto"/>
        </w:rPr>
        <w:t>updated semiannually, disclosing the Company’s:</w:t>
      </w:r>
    </w:p>
    <w:p>
      <w:pPr>
        <w:spacing w:after="0" w:line="187" w:lineRule="exact"/>
        <w:rPr>
          <w:sz w:val="20"/>
          <w:szCs w:val="20"/>
          <w:color w:val="auto"/>
        </w:rPr>
      </w:pPr>
    </w:p>
    <w:p>
      <w:pPr>
        <w:ind w:left="400" w:right="320" w:hanging="302"/>
        <w:spacing w:after="0" w:line="237" w:lineRule="auto"/>
        <w:tabs>
          <w:tab w:leader="none" w:pos="40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Policies and procedures for making, with corporate funds or assets, contributions and expenditures (direct or indirect) to (a) participate or intervene in any campaign on behalf of (or in opposition to) any candidate for public office, or (b) influence the general public, or any segment thereof, with respect to an election or referendum.</w:t>
      </w:r>
    </w:p>
    <w:p>
      <w:pPr>
        <w:spacing w:after="0" w:line="101" w:lineRule="exact"/>
        <w:rPr>
          <w:rFonts w:ascii="Arial" w:cs="Arial" w:eastAsia="Arial" w:hAnsi="Arial"/>
          <w:sz w:val="18"/>
          <w:szCs w:val="18"/>
          <w:color w:val="auto"/>
        </w:rPr>
      </w:pPr>
    </w:p>
    <w:p>
      <w:pPr>
        <w:ind w:left="400" w:hanging="302"/>
        <w:spacing w:after="0"/>
        <w:tabs>
          <w:tab w:leader="none" w:pos="400" w:val="left"/>
        </w:tabs>
        <w:numPr>
          <w:ilvl w:val="0"/>
          <w:numId w:val="239"/>
        </w:numPr>
        <w:rPr>
          <w:rFonts w:ascii="Arial" w:cs="Arial" w:eastAsia="Arial" w:hAnsi="Arial"/>
          <w:sz w:val="16"/>
          <w:szCs w:val="16"/>
          <w:color w:val="auto"/>
        </w:rPr>
      </w:pPr>
      <w:r>
        <w:rPr>
          <w:rFonts w:ascii="Arial" w:cs="Arial" w:eastAsia="Arial" w:hAnsi="Arial"/>
          <w:sz w:val="16"/>
          <w:szCs w:val="16"/>
          <w:color w:val="auto"/>
        </w:rPr>
        <w:t>Monetary and non-monetary contributions and expenditures (direct and indirect) used in the manner described in section 1 above, including:</w:t>
      </w:r>
    </w:p>
    <w:p>
      <w:pPr>
        <w:spacing w:after="0" w:line="126" w:lineRule="exact"/>
        <w:rPr>
          <w:rFonts w:ascii="Arial" w:cs="Arial" w:eastAsia="Arial" w:hAnsi="Arial"/>
          <w:sz w:val="16"/>
          <w:szCs w:val="16"/>
          <w:color w:val="auto"/>
        </w:rPr>
      </w:pPr>
    </w:p>
    <w:p>
      <w:pPr>
        <w:ind w:left="700" w:hanging="306"/>
        <w:spacing w:after="0"/>
        <w:tabs>
          <w:tab w:leader="none" w:pos="700" w:val="left"/>
        </w:tabs>
        <w:numPr>
          <w:ilvl w:val="1"/>
          <w:numId w:val="239"/>
        </w:numPr>
        <w:rPr>
          <w:rFonts w:ascii="Arial" w:cs="Arial" w:eastAsia="Arial" w:hAnsi="Arial"/>
          <w:sz w:val="18"/>
          <w:szCs w:val="18"/>
          <w:color w:val="auto"/>
        </w:rPr>
      </w:pPr>
      <w:r>
        <w:rPr>
          <w:rFonts w:ascii="Arial" w:cs="Arial" w:eastAsia="Arial" w:hAnsi="Arial"/>
          <w:sz w:val="18"/>
          <w:szCs w:val="18"/>
          <w:color w:val="auto"/>
        </w:rPr>
        <w:t>The identity of the recipient as well as the amount paid to each; and</w:t>
      </w:r>
    </w:p>
    <w:p>
      <w:pPr>
        <w:spacing w:after="0" w:line="103" w:lineRule="exact"/>
        <w:rPr>
          <w:rFonts w:ascii="Arial" w:cs="Arial" w:eastAsia="Arial" w:hAnsi="Arial"/>
          <w:sz w:val="18"/>
          <w:szCs w:val="18"/>
          <w:color w:val="auto"/>
        </w:rPr>
      </w:pPr>
    </w:p>
    <w:p>
      <w:pPr>
        <w:ind w:left="700" w:hanging="306"/>
        <w:spacing w:after="0"/>
        <w:tabs>
          <w:tab w:leader="none" w:pos="700" w:val="left"/>
        </w:tabs>
        <w:numPr>
          <w:ilvl w:val="1"/>
          <w:numId w:val="239"/>
        </w:numPr>
        <w:rPr>
          <w:rFonts w:ascii="Arial" w:cs="Arial" w:eastAsia="Arial" w:hAnsi="Arial"/>
          <w:sz w:val="18"/>
          <w:szCs w:val="18"/>
          <w:color w:val="auto"/>
        </w:rPr>
      </w:pPr>
      <w:r>
        <w:rPr>
          <w:rFonts w:ascii="Arial" w:cs="Arial" w:eastAsia="Arial" w:hAnsi="Arial"/>
          <w:sz w:val="18"/>
          <w:szCs w:val="18"/>
          <w:color w:val="auto"/>
        </w:rPr>
        <w:t>The title(s) of the person(s) in the Company responsible for decision making.</w:t>
      </w:r>
    </w:p>
    <w:p>
      <w:pPr>
        <w:spacing w:after="0" w:line="211" w:lineRule="exact"/>
        <w:rPr>
          <w:sz w:val="20"/>
          <w:szCs w:val="20"/>
          <w:color w:val="auto"/>
        </w:rPr>
      </w:pPr>
    </w:p>
    <w:p>
      <w:pPr>
        <w:ind w:left="100" w:right="340"/>
        <w:spacing w:after="0" w:line="239" w:lineRule="auto"/>
        <w:rPr>
          <w:sz w:val="20"/>
          <w:szCs w:val="20"/>
          <w:color w:val="auto"/>
        </w:rPr>
      </w:pPr>
      <w:r>
        <w:rPr>
          <w:rFonts w:ascii="Arial" w:cs="Arial" w:eastAsia="Arial" w:hAnsi="Arial"/>
          <w:sz w:val="18"/>
          <w:szCs w:val="18"/>
          <w:color w:val="auto"/>
        </w:rPr>
        <w:t>The report shall be presented to the Board of Directors or relevant board committee and posted on the Company’s website within 12 months from the date of the annual meeting. This proposal does not encompass lobbying spending.</w:t>
      </w:r>
    </w:p>
    <w:p>
      <w:pPr>
        <w:spacing w:after="0" w:line="186" w:lineRule="exact"/>
        <w:rPr>
          <w:sz w:val="20"/>
          <w:szCs w:val="20"/>
          <w:color w:val="auto"/>
        </w:rPr>
      </w:pPr>
    </w:p>
    <w:p>
      <w:pPr>
        <w:ind w:left="100"/>
        <w:spacing w:after="0" w:line="244" w:lineRule="auto"/>
        <w:rPr>
          <w:sz w:val="20"/>
          <w:szCs w:val="20"/>
          <w:color w:val="auto"/>
        </w:rPr>
      </w:pPr>
      <w:r>
        <w:rPr>
          <w:rFonts w:ascii="Arial" w:cs="Arial" w:eastAsia="Arial" w:hAnsi="Arial"/>
          <w:sz w:val="18"/>
          <w:szCs w:val="18"/>
          <w:b w:val="1"/>
          <w:bCs w:val="1"/>
          <w:color w:val="auto"/>
        </w:rPr>
        <w:t xml:space="preserve">Supporting Statement: </w:t>
      </w:r>
      <w:r>
        <w:rPr>
          <w:rFonts w:ascii="Arial" w:cs="Arial" w:eastAsia="Arial" w:hAnsi="Arial"/>
          <w:sz w:val="18"/>
          <w:szCs w:val="18"/>
          <w:color w:val="auto"/>
        </w:rPr>
        <w:t>As long-term shareholders of Allstate, we support transparency and accountability in corporate electoral spending. This</w:t>
      </w:r>
      <w:r>
        <w:rPr>
          <w:rFonts w:ascii="Arial" w:cs="Arial" w:eastAsia="Arial" w:hAnsi="Arial"/>
          <w:sz w:val="18"/>
          <w:szCs w:val="18"/>
          <w:b w:val="1"/>
          <w:bCs w:val="1"/>
          <w:color w:val="auto"/>
        </w:rPr>
        <w:t xml:space="preserve"> </w:t>
      </w:r>
      <w:r>
        <w:rPr>
          <w:rFonts w:ascii="Arial" w:cs="Arial" w:eastAsia="Arial" w:hAnsi="Arial"/>
          <w:sz w:val="18"/>
          <w:szCs w:val="18"/>
          <w:color w:val="auto"/>
        </w:rPr>
        <w:t>includes any activity considered intervention in a political campaign under the Internal Revenue Code, such as direct and indirect contributions to political candidates, parties, or organizations, and independent expenditures or electioneering communications on behalf of federal, state, or local candidates.</w:t>
      </w:r>
    </w:p>
    <w:p>
      <w:pPr>
        <w:spacing w:after="0" w:line="187" w:lineRule="exact"/>
        <w:rPr>
          <w:sz w:val="20"/>
          <w:szCs w:val="20"/>
          <w:color w:val="auto"/>
        </w:rPr>
      </w:pPr>
    </w:p>
    <w:p>
      <w:pPr>
        <w:ind w:left="100" w:right="120"/>
        <w:spacing w:after="0" w:line="247" w:lineRule="auto"/>
        <w:rPr>
          <w:sz w:val="20"/>
          <w:szCs w:val="20"/>
          <w:color w:val="auto"/>
        </w:rPr>
      </w:pPr>
      <w:r>
        <w:rPr>
          <w:rFonts w:ascii="Arial" w:cs="Arial" w:eastAsia="Arial" w:hAnsi="Arial"/>
          <w:sz w:val="18"/>
          <w:szCs w:val="18"/>
          <w:color w:val="auto"/>
        </w:rPr>
        <w:t xml:space="preserve">Disclosure is in the best interest of the Company and its shareholders. The Supreme Court recognized this in its 2010 </w:t>
      </w:r>
      <w:r>
        <w:rPr>
          <w:rFonts w:ascii="Arial" w:cs="Arial" w:eastAsia="Arial" w:hAnsi="Arial"/>
          <w:sz w:val="18"/>
          <w:szCs w:val="18"/>
          <w:i w:val="1"/>
          <w:iCs w:val="1"/>
          <w:color w:val="auto"/>
        </w:rPr>
        <w:t>Citizens United</w:t>
      </w:r>
      <w:r>
        <w:rPr>
          <w:rFonts w:ascii="Arial" w:cs="Arial" w:eastAsia="Arial" w:hAnsi="Arial"/>
          <w:sz w:val="18"/>
          <w:szCs w:val="18"/>
          <w:color w:val="auto"/>
        </w:rPr>
        <w:t xml:space="preserve"> decision, which said, “[D]isclosure permits citizens and shareholders to react to the speech of corporate entities in a proper way. This transparency enables the electorate to make informed decisions and give proper weight to different speakers and messages.”</w:t>
      </w:r>
    </w:p>
    <w:p>
      <w:pPr>
        <w:spacing w:after="0" w:line="20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Publicly available records show Allstate has contributed at least $2,350,000 in corporate funds since the 2010 election cycle. (CQMoneyLine:</w:t>
      </w:r>
    </w:p>
    <w:p>
      <w:pPr>
        <w:spacing w:after="0" w:line="1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http://</w:t>
      </w:r>
      <w:r>
        <w:rPr>
          <w:rFonts w:ascii="Arial" w:cs="Arial" w:eastAsia="Arial" w:hAnsi="Arial"/>
          <w:sz w:val="18"/>
          <w:szCs w:val="18"/>
          <w:u w:val="single" w:color="auto"/>
          <w:color w:val="auto"/>
        </w:rPr>
        <w:t>moneyline.cq.com;</w:t>
      </w:r>
      <w:r>
        <w:rPr>
          <w:rFonts w:ascii="Arial" w:cs="Arial" w:eastAsia="Arial" w:hAnsi="Arial"/>
          <w:sz w:val="18"/>
          <w:szCs w:val="18"/>
          <w:color w:val="auto"/>
        </w:rPr>
        <w:t xml:space="preserve"> National Institute on Money in State Politics: http://</w:t>
      </w:r>
      <w:r>
        <w:rPr>
          <w:rFonts w:ascii="Arial" w:cs="Arial" w:eastAsia="Arial" w:hAnsi="Arial"/>
          <w:sz w:val="18"/>
          <w:szCs w:val="18"/>
          <w:u w:val="single" w:color="auto"/>
          <w:color w:val="auto"/>
        </w:rPr>
        <w:t>www.followthemoney.org</w:t>
      </w:r>
      <w:r>
        <w:rPr>
          <w:rFonts w:ascii="Arial" w:cs="Arial" w:eastAsia="Arial" w:hAnsi="Arial"/>
          <w:sz w:val="18"/>
          <w:szCs w:val="18"/>
          <w:color w:val="auto"/>
        </w:rPr>
        <w:t>).</w:t>
      </w:r>
    </w:p>
    <w:p>
      <w:pPr>
        <w:spacing w:after="0" w:line="211" w:lineRule="exact"/>
        <w:rPr>
          <w:sz w:val="20"/>
          <w:szCs w:val="20"/>
          <w:color w:val="auto"/>
        </w:rPr>
      </w:pPr>
    </w:p>
    <w:p>
      <w:pPr>
        <w:ind w:left="100" w:right="20"/>
        <w:spacing w:after="0" w:line="236" w:lineRule="auto"/>
        <w:rPr>
          <w:sz w:val="20"/>
          <w:szCs w:val="20"/>
          <w:color w:val="auto"/>
        </w:rPr>
      </w:pPr>
      <w:r>
        <w:rPr>
          <w:rFonts w:ascii="Arial" w:cs="Arial" w:eastAsia="Arial" w:hAnsi="Arial"/>
          <w:sz w:val="18"/>
          <w:szCs w:val="18"/>
          <w:color w:val="auto"/>
        </w:rPr>
        <w:t>However, relying on publicly available data does not provide a complete picture of the Company’s electoral spending. For example, the Company’s payments to trade associations that may be used for election-related activities are undisclosed and unknown. This proposal asks the Company to disclose all of its electoral spending, including payments to trade associations and other tax-exempt organizations, which may be used for electoral purposes. This would bring our Company in line with a growing number of leading companies, including: American International Group Inc., The Hartford Financial Services Group Inc., and Prudential Financial Inc., which present this information on their websites. The Company’s Board and shareholders need comprehensive disclosure to fully evaluate the use of corporate assets in elections. We urge your support for this critical governance reform.</w:t>
      </w:r>
    </w:p>
    <w:p>
      <w:pPr>
        <w:spacing w:after="0" w:line="285" w:lineRule="exact"/>
        <w:rPr>
          <w:sz w:val="20"/>
          <w:szCs w:val="20"/>
          <w:color w:val="auto"/>
        </w:rPr>
      </w:pPr>
    </w:p>
    <w:p>
      <w:pPr>
        <w:ind w:left="460" w:hanging="452"/>
        <w:spacing w:after="0"/>
        <w:tabs>
          <w:tab w:leader="none" w:pos="460" w:val="left"/>
        </w:tabs>
        <w:numPr>
          <w:ilvl w:val="0"/>
          <w:numId w:val="240"/>
        </w:numPr>
        <w:rPr>
          <w:rFonts w:ascii="Arial" w:cs="Arial" w:eastAsia="Arial" w:hAnsi="Arial"/>
          <w:sz w:val="13"/>
          <w:szCs w:val="13"/>
          <w:b w:val="1"/>
          <w:bCs w:val="1"/>
          <w:color w:val="105EAB"/>
        </w:rPr>
      </w:pPr>
      <w:r>
        <w:rPr>
          <w:rFonts w:ascii="Arial" w:cs="Arial" w:eastAsia="Arial" w:hAnsi="Arial"/>
          <w:sz w:val="13"/>
          <w:szCs w:val="13"/>
          <w:color w:val="105EAB"/>
        </w:rPr>
        <w:t>www.allstateproxy.com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134620</wp:posOffset>
            </wp:positionV>
            <wp:extent cx="7268210" cy="209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300"/>
          </w:cols>
          <w:pgMar w:left="240" w:top="121" w:right="3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jc w:val="right"/>
        <w:ind w:right="20"/>
        <w:spacing w:after="0"/>
        <w:rPr>
          <w:sz w:val="20"/>
          <w:szCs w:val="20"/>
          <w:color w:val="auto"/>
        </w:rPr>
      </w:pPr>
      <w:r>
        <w:rPr>
          <w:rFonts w:ascii="Arial" w:cs="Arial" w:eastAsia="Arial" w:hAnsi="Arial"/>
          <w:sz w:val="13"/>
          <w:szCs w:val="13"/>
          <w:b w:val="1"/>
          <w:bCs w:val="1"/>
          <w:color w:val="auto"/>
        </w:rPr>
        <w:t xml:space="preserve">Board of Directors’ Statement in Opposition to the Stockholder Proposal on Reporting Political Contributions </w:t>
      </w:r>
      <w:r>
        <w:rPr>
          <w:rFonts w:ascii="Arial" w:cs="Arial" w:eastAsia="Arial" w:hAnsi="Arial"/>
          <w:sz w:val="13"/>
          <w:szCs w:val="13"/>
          <w:b w:val="1"/>
          <w:bCs w:val="1"/>
          <w:color w:val="105EAB"/>
        </w:rPr>
        <w:t>| Stockholder Proposal</w:t>
      </w:r>
    </w:p>
    <w:p>
      <w:pPr>
        <w:spacing w:after="0" w:line="200" w:lineRule="exact"/>
        <w:rPr>
          <w:sz w:val="20"/>
          <w:szCs w:val="20"/>
          <w:color w:val="auto"/>
        </w:rPr>
      </w:pPr>
    </w:p>
    <w:p>
      <w:pPr>
        <w:ind w:right="420"/>
        <w:spacing w:after="0" w:line="278" w:lineRule="auto"/>
        <w:rPr>
          <w:sz w:val="20"/>
          <w:szCs w:val="20"/>
          <w:color w:val="auto"/>
        </w:rPr>
      </w:pPr>
      <w:r>
        <w:rPr>
          <w:rFonts w:ascii="Arial" w:cs="Arial" w:eastAsia="Arial" w:hAnsi="Arial"/>
          <w:sz w:val="31"/>
          <w:szCs w:val="31"/>
          <w:b w:val="1"/>
          <w:bCs w:val="1"/>
          <w:color w:val="959595"/>
        </w:rPr>
        <w:t>Board of Directors’ Statement in Opposition to the Stockholder Proposal on Reporting Political Contributions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E35F5E"/>
        </w:rPr>
        <w:t>The Board recommends that stockholders vote AGAINST this proposal for the following reasons:</w:t>
      </w:r>
    </w:p>
    <w:p>
      <w:pPr>
        <w:spacing w:after="0" w:line="200" w:lineRule="exact"/>
        <w:rPr>
          <w:sz w:val="20"/>
          <w:szCs w:val="20"/>
          <w:color w:val="auto"/>
        </w:rPr>
      </w:pPr>
    </w:p>
    <w:p>
      <w:pPr>
        <w:ind w:right="440"/>
        <w:spacing w:after="0" w:line="288" w:lineRule="auto"/>
        <w:rPr>
          <w:sz w:val="20"/>
          <w:szCs w:val="20"/>
          <w:color w:val="auto"/>
        </w:rPr>
      </w:pPr>
      <w:r>
        <w:rPr>
          <w:rFonts w:ascii="Arial" w:cs="Arial" w:eastAsia="Arial" w:hAnsi="Arial"/>
          <w:sz w:val="25"/>
          <w:szCs w:val="25"/>
          <w:b w:val="1"/>
          <w:bCs w:val="1"/>
          <w:color w:val="105EAB"/>
        </w:rPr>
        <w:t>Allstate Already Provides Significant Disclosure of Political Activities, Including Information That Is Not Requested by the Proponent.</w:t>
      </w:r>
    </w:p>
    <w:p>
      <w:pPr>
        <w:spacing w:after="0" w:line="153" w:lineRule="exact"/>
        <w:rPr>
          <w:sz w:val="20"/>
          <w:szCs w:val="20"/>
          <w:color w:val="auto"/>
        </w:rPr>
      </w:pPr>
    </w:p>
    <w:p>
      <w:pPr>
        <w:ind w:left="340" w:right="540" w:hanging="332"/>
        <w:spacing w:after="0" w:line="237" w:lineRule="auto"/>
        <w:tabs>
          <w:tab w:leader="none" w:pos="340" w:val="left"/>
        </w:tabs>
        <w:numPr>
          <w:ilvl w:val="0"/>
          <w:numId w:val="241"/>
        </w:numPr>
        <w:rPr>
          <w:rFonts w:ascii="Arial" w:cs="Arial" w:eastAsia="Arial" w:hAnsi="Arial"/>
          <w:sz w:val="17"/>
          <w:szCs w:val="17"/>
          <w:color w:val="105EAB"/>
        </w:rPr>
      </w:pPr>
      <w:r>
        <w:rPr>
          <w:rFonts w:ascii="Arial" w:cs="Arial" w:eastAsia="Arial" w:hAnsi="Arial"/>
          <w:sz w:val="18"/>
          <w:szCs w:val="18"/>
          <w:color w:val="auto"/>
        </w:rPr>
        <w:t>Allstate issues an annual Public Policy report (found at allstatesustainability.com), which describes the Board’s oversight and internal governance processes, business rationale for expenditures, total amounts contributed by category (including non-deductible amounts for lobbying), and major organizations supported.</w:t>
      </w:r>
    </w:p>
    <w:p>
      <w:pPr>
        <w:spacing w:after="0" w:line="101" w:lineRule="exact"/>
        <w:rPr>
          <w:rFonts w:ascii="Arial" w:cs="Arial" w:eastAsia="Arial" w:hAnsi="Arial"/>
          <w:sz w:val="17"/>
          <w:szCs w:val="17"/>
          <w:color w:val="105EAB"/>
        </w:rPr>
      </w:pPr>
    </w:p>
    <w:p>
      <w:pPr>
        <w:ind w:left="340" w:right="540" w:hanging="332"/>
        <w:spacing w:after="0" w:line="237" w:lineRule="auto"/>
        <w:tabs>
          <w:tab w:leader="none" w:pos="340" w:val="left"/>
        </w:tabs>
        <w:numPr>
          <w:ilvl w:val="0"/>
          <w:numId w:val="241"/>
        </w:numPr>
        <w:rPr>
          <w:rFonts w:ascii="Arial" w:cs="Arial" w:eastAsia="Arial" w:hAnsi="Arial"/>
          <w:sz w:val="17"/>
          <w:szCs w:val="17"/>
          <w:color w:val="105EAB"/>
        </w:rPr>
      </w:pPr>
      <w:r>
        <w:rPr>
          <w:rFonts w:ascii="Arial" w:cs="Arial" w:eastAsia="Arial" w:hAnsi="Arial"/>
          <w:sz w:val="18"/>
          <w:szCs w:val="18"/>
          <w:color w:val="auto"/>
        </w:rPr>
        <w:t>Allstate discloses contributions to trade associations and other non-profit industry groups, including the portion of that spend attributed to lobbying. This support primarily funds research and industry forums on issues of importance to Allstate’s customers, shareholders, and employees. Only 12% of Allstate’s support of these organizations was directed to lobbying activities in 2018.</w:t>
      </w:r>
    </w:p>
    <w:p>
      <w:pPr>
        <w:spacing w:after="0" w:line="101" w:lineRule="exact"/>
        <w:rPr>
          <w:rFonts w:ascii="Arial" w:cs="Arial" w:eastAsia="Arial" w:hAnsi="Arial"/>
          <w:sz w:val="17"/>
          <w:szCs w:val="17"/>
          <w:color w:val="105EAB"/>
        </w:rPr>
      </w:pPr>
    </w:p>
    <w:p>
      <w:pPr>
        <w:ind w:left="340" w:right="140" w:hanging="332"/>
        <w:spacing w:after="0" w:line="239" w:lineRule="auto"/>
        <w:tabs>
          <w:tab w:leader="none" w:pos="340" w:val="left"/>
        </w:tabs>
        <w:numPr>
          <w:ilvl w:val="0"/>
          <w:numId w:val="241"/>
        </w:numPr>
        <w:rPr>
          <w:rFonts w:ascii="Arial" w:cs="Arial" w:eastAsia="Arial" w:hAnsi="Arial"/>
          <w:sz w:val="17"/>
          <w:szCs w:val="17"/>
          <w:color w:val="105EAB"/>
        </w:rPr>
      </w:pPr>
      <w:r>
        <w:rPr>
          <w:rFonts w:ascii="Arial" w:cs="Arial" w:eastAsia="Arial" w:hAnsi="Arial"/>
          <w:sz w:val="18"/>
          <w:szCs w:val="18"/>
          <w:color w:val="auto"/>
        </w:rPr>
        <w:t>The proponent seeks line-item disclosure of the amounts paid to each recipient. Much of this information is publicly available and providing an itemized list in Allstate’s report would not provide shareholders information to support additional analysis.</w:t>
      </w:r>
    </w:p>
    <w:p>
      <w:pPr>
        <w:spacing w:after="0" w:line="175" w:lineRule="exact"/>
        <w:rPr>
          <w:sz w:val="20"/>
          <w:szCs w:val="20"/>
          <w:color w:val="auto"/>
        </w:rPr>
      </w:pPr>
    </w:p>
    <w:p>
      <w:pPr>
        <w:ind w:right="80"/>
        <w:spacing w:after="0" w:line="267" w:lineRule="auto"/>
        <w:rPr>
          <w:sz w:val="20"/>
          <w:szCs w:val="20"/>
          <w:color w:val="auto"/>
        </w:rPr>
      </w:pPr>
      <w:r>
        <w:rPr>
          <w:rFonts w:ascii="Arial" w:cs="Arial" w:eastAsia="Arial" w:hAnsi="Arial"/>
          <w:sz w:val="25"/>
          <w:szCs w:val="25"/>
          <w:b w:val="1"/>
          <w:bCs w:val="1"/>
          <w:color w:val="105EAB"/>
        </w:rPr>
        <w:t>Allstate’s Board Expanded its Oversight of the Company’s Public Policy Involvement in 2018 in Response to Stockholder Input, Including Instituting a Leading Practice of Having the Chief Risk Officer Independently Assess This Activity for the Board.</w:t>
      </w:r>
    </w:p>
    <w:p>
      <w:pPr>
        <w:spacing w:after="0" w:line="180" w:lineRule="exact"/>
        <w:rPr>
          <w:sz w:val="20"/>
          <w:szCs w:val="20"/>
          <w:color w:val="auto"/>
        </w:rPr>
      </w:pPr>
    </w:p>
    <w:p>
      <w:pPr>
        <w:ind w:left="340" w:right="300" w:hanging="332"/>
        <w:spacing w:after="0" w:line="239" w:lineRule="auto"/>
        <w:tabs>
          <w:tab w:leader="none" w:pos="340" w:val="left"/>
        </w:tabs>
        <w:numPr>
          <w:ilvl w:val="0"/>
          <w:numId w:val="242"/>
        </w:numPr>
        <w:rPr>
          <w:rFonts w:ascii="Arial" w:cs="Arial" w:eastAsia="Arial" w:hAnsi="Arial"/>
          <w:sz w:val="17"/>
          <w:szCs w:val="17"/>
          <w:color w:val="105EAB"/>
        </w:rPr>
      </w:pPr>
      <w:r>
        <w:rPr>
          <w:rFonts w:ascii="Arial" w:cs="Arial" w:eastAsia="Arial" w:hAnsi="Arial"/>
          <w:sz w:val="18"/>
          <w:szCs w:val="18"/>
          <w:color w:val="auto"/>
        </w:rPr>
        <w:t>The Board engaged with stockholders about Allstate’s program and related Board oversight of political contributions in response to a similar proposal at last year’s Annual Meeting, which received less than majority support.</w:t>
      </w:r>
    </w:p>
    <w:p>
      <w:pPr>
        <w:spacing w:after="0" w:line="100" w:lineRule="exact"/>
        <w:rPr>
          <w:rFonts w:ascii="Arial" w:cs="Arial" w:eastAsia="Arial" w:hAnsi="Arial"/>
          <w:sz w:val="17"/>
          <w:szCs w:val="17"/>
          <w:color w:val="105EAB"/>
        </w:rPr>
      </w:pPr>
    </w:p>
    <w:p>
      <w:pPr>
        <w:ind w:left="340" w:right="200" w:hanging="332"/>
        <w:spacing w:after="0" w:line="237" w:lineRule="auto"/>
        <w:tabs>
          <w:tab w:leader="none" w:pos="340" w:val="left"/>
        </w:tabs>
        <w:numPr>
          <w:ilvl w:val="0"/>
          <w:numId w:val="242"/>
        </w:numPr>
        <w:rPr>
          <w:rFonts w:ascii="Arial" w:cs="Arial" w:eastAsia="Arial" w:hAnsi="Arial"/>
          <w:sz w:val="17"/>
          <w:szCs w:val="17"/>
          <w:color w:val="105EAB"/>
        </w:rPr>
      </w:pPr>
      <w:r>
        <w:rPr>
          <w:rFonts w:ascii="Arial" w:cs="Arial" w:eastAsia="Arial" w:hAnsi="Arial"/>
          <w:sz w:val="18"/>
          <w:szCs w:val="18"/>
          <w:color w:val="auto"/>
        </w:rPr>
        <w:t>The Board made the following changes as of November 2018: instituting (i) a semi-annual review by the nominating and governance committee of Allstate’s priorities and expenditures in the public policy arena and (ii) an annual risk and return assessment performed by the chief risk officer. The enhanced oversight allows the nominating and governance committee and the Board to evaluate the rationale, benefits, and risks of these activities.</w:t>
      </w:r>
    </w:p>
    <w:p>
      <w:pPr>
        <w:spacing w:after="0" w:line="174" w:lineRule="exact"/>
        <w:rPr>
          <w:sz w:val="20"/>
          <w:szCs w:val="20"/>
          <w:color w:val="auto"/>
        </w:rPr>
      </w:pPr>
    </w:p>
    <w:p>
      <w:pPr>
        <w:ind w:right="1100"/>
        <w:spacing w:after="0" w:line="288" w:lineRule="auto"/>
        <w:rPr>
          <w:sz w:val="20"/>
          <w:szCs w:val="20"/>
          <w:color w:val="auto"/>
        </w:rPr>
      </w:pPr>
      <w:r>
        <w:rPr>
          <w:rFonts w:ascii="Arial" w:cs="Arial" w:eastAsia="Arial" w:hAnsi="Arial"/>
          <w:sz w:val="25"/>
          <w:szCs w:val="25"/>
          <w:b w:val="1"/>
          <w:bCs w:val="1"/>
          <w:color w:val="105EAB"/>
        </w:rPr>
        <w:t>The Proposal Relates to Expenditures That Are Not Significant to Allstate’s Size and Is Contrary to the Interests of Allstate’s Stockholders.</w:t>
      </w:r>
    </w:p>
    <w:p>
      <w:pPr>
        <w:spacing w:after="0" w:line="153" w:lineRule="exact"/>
        <w:rPr>
          <w:sz w:val="20"/>
          <w:szCs w:val="20"/>
          <w:color w:val="auto"/>
        </w:rPr>
      </w:pPr>
    </w:p>
    <w:p>
      <w:pPr>
        <w:ind w:left="340" w:right="580" w:hanging="332"/>
        <w:spacing w:after="0" w:line="239" w:lineRule="auto"/>
        <w:tabs>
          <w:tab w:leader="none" w:pos="340" w:val="left"/>
        </w:tabs>
        <w:numPr>
          <w:ilvl w:val="0"/>
          <w:numId w:val="243"/>
        </w:numPr>
        <w:rPr>
          <w:rFonts w:ascii="Arial" w:cs="Arial" w:eastAsia="Arial" w:hAnsi="Arial"/>
          <w:sz w:val="17"/>
          <w:szCs w:val="17"/>
          <w:color w:val="105EAB"/>
        </w:rPr>
      </w:pPr>
      <w:r>
        <w:rPr>
          <w:rFonts w:ascii="Arial" w:cs="Arial" w:eastAsia="Arial" w:hAnsi="Arial"/>
          <w:sz w:val="18"/>
          <w:szCs w:val="18"/>
          <w:color w:val="auto"/>
        </w:rPr>
        <w:t>In 2018, Allstate contributed only $740,300 in corporate funds to political organizations, including federal, state and local candidates and committees, in comparison to total revenues of almost $40 billion.</w:t>
      </w:r>
    </w:p>
    <w:p>
      <w:pPr>
        <w:spacing w:after="0" w:line="100" w:lineRule="exact"/>
        <w:rPr>
          <w:rFonts w:ascii="Arial" w:cs="Arial" w:eastAsia="Arial" w:hAnsi="Arial"/>
          <w:sz w:val="17"/>
          <w:szCs w:val="17"/>
          <w:color w:val="105EAB"/>
        </w:rPr>
      </w:pPr>
    </w:p>
    <w:p>
      <w:pPr>
        <w:ind w:left="340" w:right="100" w:hanging="332"/>
        <w:spacing w:after="0" w:line="298" w:lineRule="auto"/>
        <w:tabs>
          <w:tab w:leader="none" w:pos="340" w:val="left"/>
        </w:tabs>
        <w:numPr>
          <w:ilvl w:val="0"/>
          <w:numId w:val="243"/>
        </w:numPr>
        <w:rPr>
          <w:rFonts w:ascii="Arial" w:cs="Arial" w:eastAsia="Arial" w:hAnsi="Arial"/>
          <w:sz w:val="16"/>
          <w:szCs w:val="16"/>
          <w:color w:val="105EAB"/>
        </w:rPr>
      </w:pPr>
      <w:r>
        <w:rPr>
          <w:rFonts w:ascii="Arial" w:cs="Arial" w:eastAsia="Arial" w:hAnsi="Arial"/>
          <w:sz w:val="16"/>
          <w:szCs w:val="16"/>
          <w:color w:val="auto"/>
        </w:rPr>
        <w:t>Additional political contribution reporting requirements that go beyond those required under existing law should be applicable to all participants engaged in the political process, some of whom have objectives that would negatively affect Allstate’s ability to serve its stakeholders.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1120" w:type="dxa"/>
            <w:vAlign w:val="bottom"/>
          </w:tcPr>
          <w:p>
            <w:pPr>
              <w:ind w:left="9640"/>
              <w:spacing w:after="0"/>
              <w:rPr>
                <w:sz w:val="20"/>
                <w:szCs w:val="20"/>
                <w:color w:val="auto"/>
              </w:rPr>
            </w:pPr>
            <w:r>
              <w:rPr>
                <w:rFonts w:ascii="Arial" w:cs="Arial" w:eastAsia="Arial" w:hAnsi="Arial"/>
                <w:sz w:val="13"/>
                <w:szCs w:val="13"/>
                <w:color w:val="105EAB"/>
              </w:rPr>
              <w:t>2019 Proxy Statement</w:t>
            </w:r>
          </w:p>
        </w:tc>
        <w:tc>
          <w:tcPr>
            <w:tcW w:w="320" w:type="dxa"/>
            <w:vAlign w:val="bottom"/>
          </w:tcPr>
          <w:p>
            <w:pPr>
              <w:jc w:val="right"/>
              <w:spacing w:after="0"/>
              <w:rPr>
                <w:sz w:val="20"/>
                <w:szCs w:val="20"/>
                <w:color w:val="auto"/>
              </w:rPr>
            </w:pPr>
            <w:r>
              <w:rPr>
                <w:rFonts w:ascii="Arial" w:cs="Arial" w:eastAsia="Arial" w:hAnsi="Arial"/>
                <w:sz w:val="13"/>
                <w:szCs w:val="13"/>
                <w:b w:val="1"/>
                <w:bCs w:val="1"/>
                <w:color w:val="105EAB"/>
              </w:rPr>
              <w:t>87</w:t>
            </w:r>
          </w:p>
        </w:tc>
      </w:tr>
      <w:tr>
        <w:trPr>
          <w:trHeight w:val="213"/>
        </w:trPr>
        <w:tc>
          <w:tcPr>
            <w:tcW w:w="1112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-13970</wp:posOffset>
            </wp:positionV>
            <wp:extent cx="1270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b w:val="1"/>
          <w:bCs w:val="1"/>
          <w:color w:val="105EAB"/>
        </w:rPr>
        <w:t xml:space="preserve">Stockholder Proposal | </w:t>
      </w:r>
      <w:r>
        <w:rPr>
          <w:rFonts w:ascii="Arial" w:cs="Arial" w:eastAsia="Arial" w:hAnsi="Arial"/>
          <w:sz w:val="13"/>
          <w:szCs w:val="13"/>
          <w:b w:val="1"/>
          <w:bCs w:val="1"/>
          <w:color w:val="000000"/>
        </w:rPr>
        <w:t>Stockholder Proposals or Director Nominations for the 2020 Annual Meeting</w:t>
      </w:r>
    </w:p>
    <w:p>
      <w:pPr>
        <w:spacing w:after="0" w:line="200" w:lineRule="exact"/>
        <w:rPr>
          <w:sz w:val="20"/>
          <w:szCs w:val="20"/>
          <w:color w:val="auto"/>
        </w:rPr>
      </w:pPr>
    </w:p>
    <w:p>
      <w:pPr>
        <w:spacing w:after="0"/>
        <w:rPr>
          <w:sz w:val="20"/>
          <w:szCs w:val="20"/>
          <w:color w:val="auto"/>
        </w:rPr>
      </w:pPr>
      <w:r>
        <w:rPr>
          <w:rFonts w:ascii="Arial" w:cs="Arial" w:eastAsia="Arial" w:hAnsi="Arial"/>
          <w:sz w:val="31"/>
          <w:szCs w:val="31"/>
          <w:b w:val="1"/>
          <w:bCs w:val="1"/>
          <w:color w:val="959595"/>
        </w:rPr>
        <w:t>Stockholder Proposals or Director Nominations for the 2020 Annual Meeting</w:t>
      </w:r>
    </w:p>
    <w:p>
      <w:pPr>
        <w:spacing w:after="0" w:line="25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Proposals that stockholders would like to include in Allstate’s proxy materials for presentation at the 2020 annual meeting of stockholders must be received by the Office of the Secretary by December 10, 2019, and must otherwise comply with SEC rules in order to be eligible for inclusion in the proxy materials for the 2020 Annual Meeting.</w:t>
      </w:r>
    </w:p>
    <w:p>
      <w:pPr>
        <w:spacing w:after="0" w:line="210"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If a stockholder would like to bring a matter before the meeting that is not the subject of a proposal that meets the SEC proxy rule requirements for inclusion in the proxy statement, the stockholder must follow procedures in Allstate’s bylaws in order to personally present the proposal at the meeting.</w:t>
      </w:r>
    </w:p>
    <w:p>
      <w:pPr>
        <w:spacing w:after="0" w:line="210"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One of the procedural requirements in the bylaws is timely notice in writing of the business the stockholder proposes to bring before the meeting. Notice of business proposed to be brought before the 2020 annual meeting must be received by the Office of the Secretary no earlier than the close of business on January 22, 2020, and no later than the close of business on February 21, 2020. Among other things, the notice must describe the business proposed to be brought before the meeting, the reasons for conducting the business at the meeting, and any material interest of the stockholder in the business.</w:t>
      </w:r>
    </w:p>
    <w:p>
      <w:pPr>
        <w:spacing w:after="0" w:line="21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 stockholder also may directly nominate someone for election as a director at a stockholders’ meeting. Under our bylaws, a stockholder may nominate a candidate at the 2020 annual meeting by providing advance notice to Allstate to the Office of the Secretary that is received no earlier than the close of business on January 22, 2020, and no later than the close of business on February 21, 2020. For proxy access nominees to be considered at the 2020 annual meeting, the nomination notice must be received by the Office of the Secretary no earlier than the close of business on November 10, 2019, and no later than the close of business on December 10, 2019. Among other things, the notice must include the information and documents described in Section 20 of the company’s bylaws.</w:t>
      </w:r>
    </w:p>
    <w:p>
      <w:pPr>
        <w:spacing w:after="0" w:line="209" w:lineRule="exact"/>
        <w:rPr>
          <w:sz w:val="20"/>
          <w:szCs w:val="20"/>
          <w:color w:val="auto"/>
        </w:rPr>
      </w:pPr>
    </w:p>
    <w:p>
      <w:pPr>
        <w:jc w:val="both"/>
        <w:ind w:right="20"/>
        <w:spacing w:after="0" w:line="237" w:lineRule="auto"/>
        <w:rPr>
          <w:sz w:val="20"/>
          <w:szCs w:val="20"/>
          <w:color w:val="auto"/>
        </w:rPr>
      </w:pPr>
      <w:r>
        <w:rPr>
          <w:rFonts w:ascii="Arial" w:cs="Arial" w:eastAsia="Arial" w:hAnsi="Arial"/>
          <w:sz w:val="18"/>
          <w:szCs w:val="18"/>
          <w:color w:val="auto"/>
        </w:rPr>
        <w:t>A copy of the procedures and requirements related to the above matters is available upon request from the Office of the Secretary or can be found on Allstate’s website, www.allstateinvestors.com. The notices required above must be sent to the Office of the Secretary, The Allstate Corporation, 2775 Sanders Road, Suite F7, Northbrook, IL 60062-6127.</w:t>
      </w:r>
    </w:p>
    <w:p>
      <w:pPr>
        <w:spacing w:after="0" w:line="206" w:lineRule="exact"/>
        <w:rPr>
          <w:sz w:val="20"/>
          <w:szCs w:val="20"/>
          <w:color w:val="auto"/>
        </w:rPr>
      </w:pPr>
    </w:p>
    <w:p>
      <w:pPr>
        <w:ind w:left="460" w:hanging="452"/>
        <w:spacing w:after="0"/>
        <w:tabs>
          <w:tab w:leader="none" w:pos="460" w:val="left"/>
        </w:tabs>
        <w:numPr>
          <w:ilvl w:val="0"/>
          <w:numId w:val="244"/>
        </w:numPr>
        <w:rPr>
          <w:rFonts w:ascii="Arial" w:cs="Arial" w:eastAsia="Arial" w:hAnsi="Arial"/>
          <w:sz w:val="13"/>
          <w:szCs w:val="13"/>
          <w:b w:val="1"/>
          <w:bCs w:val="1"/>
          <w:color w:val="105EAB"/>
        </w:rPr>
      </w:pPr>
      <w:r>
        <w:rPr>
          <w:rFonts w:ascii="Arial" w:cs="Arial" w:eastAsia="Arial" w:hAnsi="Arial"/>
          <w:sz w:val="13"/>
          <w:szCs w:val="13"/>
          <w:color w:val="105EAB"/>
        </w:rPr>
        <w:t>www.allstateproxy.com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134620</wp:posOffset>
            </wp:positionV>
            <wp:extent cx="7268210" cy="209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169" w:lineRule="exact"/>
        <w:rPr>
          <w:sz w:val="20"/>
          <w:szCs w:val="20"/>
          <w:color w:val="auto"/>
        </w:rPr>
      </w:pPr>
    </w:p>
    <w:p>
      <w:pPr>
        <w:spacing w:after="0"/>
        <w:rPr>
          <w:sz w:val="20"/>
          <w:szCs w:val="20"/>
          <w:color w:val="auto"/>
        </w:rPr>
      </w:pPr>
      <w:r>
        <w:rPr>
          <w:rFonts w:ascii="Arial" w:cs="Arial" w:eastAsia="Arial" w:hAnsi="Arial"/>
          <w:sz w:val="50"/>
          <w:szCs w:val="50"/>
          <w:b w:val="1"/>
          <w:bCs w:val="1"/>
          <w:color w:val="105EAB"/>
        </w:rPr>
        <w:t>Stock Ownership Information</w:t>
      </w:r>
    </w:p>
    <w:p>
      <w:pPr>
        <w:spacing w:after="0" w:line="251" w:lineRule="exact"/>
        <w:rPr>
          <w:sz w:val="20"/>
          <w:szCs w:val="20"/>
          <w:color w:val="auto"/>
        </w:rPr>
      </w:pPr>
    </w:p>
    <w:p>
      <w:pPr>
        <w:spacing w:after="0"/>
        <w:rPr>
          <w:sz w:val="20"/>
          <w:szCs w:val="20"/>
          <w:color w:val="auto"/>
        </w:rPr>
      </w:pPr>
      <w:r>
        <w:rPr>
          <w:rFonts w:ascii="Arial" w:cs="Arial" w:eastAsia="Arial" w:hAnsi="Arial"/>
          <w:sz w:val="31"/>
          <w:szCs w:val="31"/>
          <w:b w:val="1"/>
          <w:bCs w:val="1"/>
          <w:color w:val="959595"/>
        </w:rPr>
        <w:t>Security Ownership of Directors and Executive Officers</w:t>
      </w:r>
    </w:p>
    <w:p>
      <w:pPr>
        <w:spacing w:after="0" w:line="258"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The following table shows the Allstate common shares beneficially owned as of March 1, 2019, by each director and named executive individually, and by all executive officers and directors of Allstate as a group. Shares reported as beneficially owned include shares held indirectly through the Allstate 401(k) Savings Plan and other shares held indirectly. It also includes shares subject to stock options exercisable, and restricted stock units subject to conversion into common shares, within sixty days of March 1. As of March 1, 2019, none of these shares were pledged as security.</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720" w:type="dxa"/>
            <w:vAlign w:val="bottom"/>
          </w:tcPr>
          <w:p>
            <w:pPr>
              <w:spacing w:after="0"/>
              <w:rPr>
                <w:sz w:val="13"/>
                <w:szCs w:val="13"/>
                <w:color w:val="auto"/>
              </w:rPr>
            </w:pPr>
          </w:p>
        </w:tc>
        <w:tc>
          <w:tcPr>
            <w:tcW w:w="2740" w:type="dxa"/>
            <w:vAlign w:val="bottom"/>
          </w:tcPr>
          <w:p>
            <w:pPr>
              <w:jc w:val="right"/>
              <w:ind w:right="53"/>
              <w:spacing w:after="0"/>
              <w:rPr>
                <w:sz w:val="20"/>
                <w:szCs w:val="20"/>
                <w:color w:val="auto"/>
              </w:rPr>
            </w:pPr>
            <w:r>
              <w:rPr>
                <w:rFonts w:ascii="Arial" w:cs="Arial" w:eastAsia="Arial" w:hAnsi="Arial"/>
                <w:sz w:val="13"/>
                <w:szCs w:val="13"/>
                <w:b w:val="1"/>
                <w:bCs w:val="1"/>
                <w:color w:val="105EAB"/>
              </w:rPr>
              <w:t>Amount and</w:t>
            </w:r>
          </w:p>
        </w:tc>
        <w:tc>
          <w:tcPr>
            <w:tcW w:w="1480" w:type="dxa"/>
            <w:vAlign w:val="bottom"/>
          </w:tcPr>
          <w:p>
            <w:pPr>
              <w:jc w:val="right"/>
              <w:ind w:right="73"/>
              <w:spacing w:after="0"/>
              <w:rPr>
                <w:sz w:val="20"/>
                <w:szCs w:val="20"/>
                <w:color w:val="auto"/>
              </w:rPr>
            </w:pPr>
            <w:r>
              <w:rPr>
                <w:rFonts w:ascii="Arial" w:cs="Arial" w:eastAsia="Arial" w:hAnsi="Arial"/>
                <w:sz w:val="13"/>
                <w:szCs w:val="13"/>
                <w:b w:val="1"/>
                <w:bCs w:val="1"/>
                <w:color w:val="105EAB"/>
              </w:rPr>
              <w:t>Common Stock</w:t>
            </w:r>
          </w:p>
        </w:tc>
        <w:tc>
          <w:tcPr>
            <w:tcW w:w="130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48"/>
        </w:trPr>
        <w:tc>
          <w:tcPr>
            <w:tcW w:w="4720" w:type="dxa"/>
            <w:vAlign w:val="bottom"/>
          </w:tcPr>
          <w:p>
            <w:pPr>
              <w:spacing w:after="0"/>
              <w:rPr>
                <w:sz w:val="12"/>
                <w:szCs w:val="12"/>
                <w:color w:val="auto"/>
              </w:rPr>
            </w:pPr>
          </w:p>
        </w:tc>
        <w:tc>
          <w:tcPr>
            <w:tcW w:w="2740" w:type="dxa"/>
            <w:vAlign w:val="bottom"/>
          </w:tcPr>
          <w:p>
            <w:pPr>
              <w:jc w:val="right"/>
              <w:ind w:right="53"/>
              <w:spacing w:after="0" w:line="149" w:lineRule="exact"/>
              <w:rPr>
                <w:sz w:val="20"/>
                <w:szCs w:val="20"/>
                <w:color w:val="auto"/>
              </w:rPr>
            </w:pPr>
            <w:r>
              <w:rPr>
                <w:rFonts w:ascii="Arial" w:cs="Arial" w:eastAsia="Arial" w:hAnsi="Arial"/>
                <w:sz w:val="13"/>
                <w:szCs w:val="13"/>
                <w:b w:val="1"/>
                <w:bCs w:val="1"/>
                <w:color w:val="105EAB"/>
              </w:rPr>
              <w:t>Nature of Beneficial</w:t>
            </w:r>
          </w:p>
        </w:tc>
        <w:tc>
          <w:tcPr>
            <w:tcW w:w="1480" w:type="dxa"/>
            <w:vAlign w:val="bottom"/>
          </w:tcPr>
          <w:p>
            <w:pPr>
              <w:jc w:val="right"/>
              <w:ind w:right="73"/>
              <w:spacing w:after="0" w:line="149" w:lineRule="exact"/>
              <w:rPr>
                <w:sz w:val="20"/>
                <w:szCs w:val="20"/>
                <w:color w:val="auto"/>
              </w:rPr>
            </w:pPr>
            <w:r>
              <w:rPr>
                <w:rFonts w:ascii="Arial" w:cs="Arial" w:eastAsia="Arial" w:hAnsi="Arial"/>
                <w:sz w:val="13"/>
                <w:szCs w:val="13"/>
                <w:b w:val="1"/>
                <w:bCs w:val="1"/>
                <w:color w:val="105EAB"/>
              </w:rPr>
              <w:t>Subject to Options</w:t>
            </w:r>
          </w:p>
        </w:tc>
        <w:tc>
          <w:tcPr>
            <w:tcW w:w="130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48"/>
        </w:trPr>
        <w:tc>
          <w:tcPr>
            <w:tcW w:w="4720" w:type="dxa"/>
            <w:vAlign w:val="bottom"/>
          </w:tcPr>
          <w:p>
            <w:pPr>
              <w:spacing w:after="0"/>
              <w:rPr>
                <w:sz w:val="12"/>
                <w:szCs w:val="12"/>
                <w:color w:val="auto"/>
              </w:rPr>
            </w:pPr>
          </w:p>
        </w:tc>
        <w:tc>
          <w:tcPr>
            <w:tcW w:w="2740" w:type="dxa"/>
            <w:vAlign w:val="bottom"/>
          </w:tcPr>
          <w:p>
            <w:pPr>
              <w:jc w:val="right"/>
              <w:ind w:right="53"/>
              <w:spacing w:after="0" w:line="149" w:lineRule="exact"/>
              <w:rPr>
                <w:sz w:val="20"/>
                <w:szCs w:val="20"/>
                <w:color w:val="auto"/>
              </w:rPr>
            </w:pPr>
            <w:r>
              <w:rPr>
                <w:rFonts w:ascii="Arial" w:cs="Arial" w:eastAsia="Arial" w:hAnsi="Arial"/>
                <w:sz w:val="13"/>
                <w:szCs w:val="13"/>
                <w:b w:val="1"/>
                <w:bCs w:val="1"/>
                <w:color w:val="105EAB"/>
              </w:rPr>
              <w:t>Ownership of</w:t>
            </w:r>
          </w:p>
        </w:tc>
        <w:tc>
          <w:tcPr>
            <w:tcW w:w="1480" w:type="dxa"/>
            <w:vAlign w:val="bottom"/>
          </w:tcPr>
          <w:p>
            <w:pPr>
              <w:jc w:val="right"/>
              <w:ind w:right="73"/>
              <w:spacing w:after="0" w:line="149" w:lineRule="exact"/>
              <w:rPr>
                <w:sz w:val="20"/>
                <w:szCs w:val="20"/>
                <w:color w:val="auto"/>
              </w:rPr>
            </w:pPr>
            <w:r>
              <w:rPr>
                <w:rFonts w:ascii="Arial" w:cs="Arial" w:eastAsia="Arial" w:hAnsi="Arial"/>
                <w:sz w:val="13"/>
                <w:szCs w:val="13"/>
                <w:b w:val="1"/>
                <w:bCs w:val="1"/>
                <w:color w:val="105EAB"/>
              </w:rPr>
              <w:t>Exercisable on</w:t>
            </w:r>
          </w:p>
        </w:tc>
        <w:tc>
          <w:tcPr>
            <w:tcW w:w="1300" w:type="dxa"/>
            <w:vAlign w:val="bottom"/>
          </w:tcPr>
          <w:p>
            <w:pPr>
              <w:spacing w:after="0"/>
              <w:rPr>
                <w:sz w:val="12"/>
                <w:szCs w:val="12"/>
                <w:color w:val="auto"/>
              </w:rPr>
            </w:pPr>
          </w:p>
        </w:tc>
        <w:tc>
          <w:tcPr>
            <w:tcW w:w="1180" w:type="dxa"/>
            <w:vAlign w:val="bottom"/>
          </w:tcPr>
          <w:p>
            <w:pPr>
              <w:jc w:val="right"/>
              <w:ind w:right="13"/>
              <w:spacing w:after="0" w:line="149" w:lineRule="exact"/>
              <w:rPr>
                <w:sz w:val="20"/>
                <w:szCs w:val="20"/>
                <w:color w:val="auto"/>
              </w:rPr>
            </w:pPr>
            <w:r>
              <w:rPr>
                <w:rFonts w:ascii="Arial" w:cs="Arial" w:eastAsia="Arial" w:hAnsi="Arial"/>
                <w:sz w:val="13"/>
                <w:szCs w:val="13"/>
                <w:b w:val="1"/>
                <w:bCs w:val="1"/>
                <w:color w:val="105EAB"/>
              </w:rPr>
              <w:t>Total</w:t>
            </w:r>
          </w:p>
        </w:tc>
      </w:tr>
      <w:tr>
        <w:trPr>
          <w:trHeight w:val="157"/>
        </w:trPr>
        <w:tc>
          <w:tcPr>
            <w:tcW w:w="4720" w:type="dxa"/>
            <w:vAlign w:val="bottom"/>
          </w:tcPr>
          <w:p>
            <w:pPr>
              <w:spacing w:after="0"/>
              <w:rPr>
                <w:sz w:val="13"/>
                <w:szCs w:val="13"/>
                <w:color w:val="auto"/>
              </w:rPr>
            </w:pPr>
          </w:p>
        </w:tc>
        <w:tc>
          <w:tcPr>
            <w:tcW w:w="2740" w:type="dxa"/>
            <w:vAlign w:val="bottom"/>
          </w:tcPr>
          <w:p>
            <w:pPr>
              <w:jc w:val="right"/>
              <w:ind w:right="53"/>
              <w:spacing w:after="0"/>
              <w:rPr>
                <w:sz w:val="20"/>
                <w:szCs w:val="20"/>
                <w:color w:val="auto"/>
              </w:rPr>
            </w:pPr>
            <w:r>
              <w:rPr>
                <w:rFonts w:ascii="Arial" w:cs="Arial" w:eastAsia="Arial" w:hAnsi="Arial"/>
                <w:sz w:val="13"/>
                <w:szCs w:val="13"/>
                <w:b w:val="1"/>
                <w:bCs w:val="1"/>
                <w:color w:val="105EAB"/>
              </w:rPr>
              <w:t>Allstate</w:t>
            </w:r>
          </w:p>
        </w:tc>
        <w:tc>
          <w:tcPr>
            <w:tcW w:w="1480" w:type="dxa"/>
            <w:vAlign w:val="bottom"/>
          </w:tcPr>
          <w:p>
            <w:pPr>
              <w:jc w:val="right"/>
              <w:ind w:right="73"/>
              <w:spacing w:after="0"/>
              <w:rPr>
                <w:sz w:val="20"/>
                <w:szCs w:val="20"/>
                <w:color w:val="auto"/>
              </w:rPr>
            </w:pPr>
            <w:r>
              <w:rPr>
                <w:rFonts w:ascii="Arial" w:cs="Arial" w:eastAsia="Arial" w:hAnsi="Arial"/>
                <w:sz w:val="13"/>
                <w:szCs w:val="13"/>
                <w:b w:val="1"/>
                <w:bCs w:val="1"/>
                <w:color w:val="105EAB"/>
              </w:rPr>
              <w:t>or Prior to</w:t>
            </w:r>
          </w:p>
        </w:tc>
        <w:tc>
          <w:tcPr>
            <w:tcW w:w="1300" w:type="dxa"/>
            <w:vAlign w:val="bottom"/>
          </w:tcPr>
          <w:p>
            <w:pPr>
              <w:jc w:val="right"/>
              <w:ind w:right="73"/>
              <w:spacing w:after="0"/>
              <w:rPr>
                <w:sz w:val="20"/>
                <w:szCs w:val="20"/>
                <w:color w:val="auto"/>
              </w:rPr>
            </w:pPr>
            <w:r>
              <w:rPr>
                <w:rFonts w:ascii="Arial" w:cs="Arial" w:eastAsia="Arial" w:hAnsi="Arial"/>
                <w:sz w:val="13"/>
                <w:szCs w:val="13"/>
                <w:b w:val="1"/>
                <w:bCs w:val="1"/>
                <w:color w:val="105EAB"/>
              </w:rPr>
              <w:t>Restricted</w:t>
            </w:r>
          </w:p>
        </w:tc>
        <w:tc>
          <w:tcPr>
            <w:tcW w:w="1180" w:type="dxa"/>
            <w:vAlign w:val="bottom"/>
          </w:tcPr>
          <w:p>
            <w:pPr>
              <w:jc w:val="right"/>
              <w:ind w:right="13"/>
              <w:spacing w:after="0"/>
              <w:rPr>
                <w:sz w:val="20"/>
                <w:szCs w:val="20"/>
                <w:color w:val="auto"/>
              </w:rPr>
            </w:pPr>
            <w:r>
              <w:rPr>
                <w:rFonts w:ascii="Arial" w:cs="Arial" w:eastAsia="Arial" w:hAnsi="Arial"/>
                <w:sz w:val="13"/>
                <w:szCs w:val="13"/>
                <w:b w:val="1"/>
                <w:bCs w:val="1"/>
                <w:color w:val="105EAB"/>
              </w:rPr>
              <w:t>Stock-Based</w:t>
            </w:r>
          </w:p>
        </w:tc>
      </w:tr>
      <w:tr>
        <w:trPr>
          <w:trHeight w:val="231"/>
        </w:trPr>
        <w:tc>
          <w:tcPr>
            <w:tcW w:w="4720" w:type="dxa"/>
            <w:vAlign w:val="bottom"/>
            <w:tcBorders>
              <w:bottom w:val="single" w:sz="8" w:color="105EAB"/>
            </w:tcBorders>
          </w:tcPr>
          <w:p>
            <w:pPr>
              <w:ind w:left="80"/>
              <w:spacing w:after="0"/>
              <w:rPr>
                <w:sz w:val="20"/>
                <w:szCs w:val="20"/>
                <w:color w:val="auto"/>
              </w:rPr>
            </w:pPr>
            <w:r>
              <w:rPr>
                <w:rFonts w:ascii="Arial" w:cs="Arial" w:eastAsia="Arial" w:hAnsi="Arial"/>
                <w:sz w:val="13"/>
                <w:szCs w:val="13"/>
                <w:b w:val="1"/>
                <w:bCs w:val="1"/>
                <w:color w:val="105EAB"/>
              </w:rPr>
              <w:t>Name of Beneficial Owner</w:t>
            </w:r>
          </w:p>
        </w:tc>
        <w:tc>
          <w:tcPr>
            <w:tcW w:w="2740" w:type="dxa"/>
            <w:vAlign w:val="bottom"/>
            <w:tcBorders>
              <w:bottom w:val="single" w:sz="8" w:color="105EAB"/>
            </w:tcBorders>
          </w:tcPr>
          <w:p>
            <w:pPr>
              <w:jc w:val="right"/>
              <w:ind w:right="53"/>
              <w:spacing w:after="0" w:line="224" w:lineRule="exact"/>
              <w:rPr>
                <w:sz w:val="20"/>
                <w:szCs w:val="20"/>
                <w:color w:val="auto"/>
              </w:rPr>
            </w:pPr>
            <w:r>
              <w:rPr>
                <w:rFonts w:ascii="Arial" w:cs="Arial" w:eastAsia="Arial" w:hAnsi="Arial"/>
                <w:sz w:val="13"/>
                <w:szCs w:val="13"/>
                <w:b w:val="1"/>
                <w:bCs w:val="1"/>
                <w:color w:val="105EAB"/>
              </w:rPr>
              <w:t>Common Stock</w:t>
            </w:r>
            <w:r>
              <w:rPr>
                <w:rFonts w:ascii="Arial" w:cs="Arial" w:eastAsia="Arial" w:hAnsi="Arial"/>
                <w:sz w:val="22"/>
                <w:szCs w:val="22"/>
                <w:b w:val="1"/>
                <w:bCs w:val="1"/>
                <w:color w:val="105EAB"/>
                <w:vertAlign w:val="superscript"/>
              </w:rPr>
              <w:t>(1)</w:t>
            </w:r>
          </w:p>
        </w:tc>
        <w:tc>
          <w:tcPr>
            <w:tcW w:w="1480" w:type="dxa"/>
            <w:vAlign w:val="bottom"/>
            <w:tcBorders>
              <w:bottom w:val="single" w:sz="8" w:color="105EAB"/>
            </w:tcBorders>
          </w:tcPr>
          <w:p>
            <w:pPr>
              <w:jc w:val="right"/>
              <w:ind w:right="73"/>
              <w:spacing w:after="0" w:line="224" w:lineRule="exact"/>
              <w:rPr>
                <w:sz w:val="20"/>
                <w:szCs w:val="20"/>
                <w:color w:val="auto"/>
              </w:rPr>
            </w:pPr>
            <w:r>
              <w:rPr>
                <w:rFonts w:ascii="Arial" w:cs="Arial" w:eastAsia="Arial" w:hAnsi="Arial"/>
                <w:sz w:val="13"/>
                <w:szCs w:val="13"/>
                <w:b w:val="1"/>
                <w:bCs w:val="1"/>
                <w:color w:val="105EAB"/>
              </w:rPr>
              <w:t>April 29, 2019</w:t>
            </w:r>
            <w:r>
              <w:rPr>
                <w:rFonts w:ascii="Arial" w:cs="Arial" w:eastAsia="Arial" w:hAnsi="Arial"/>
                <w:sz w:val="22"/>
                <w:szCs w:val="22"/>
                <w:b w:val="1"/>
                <w:bCs w:val="1"/>
                <w:color w:val="105EAB"/>
                <w:vertAlign w:val="superscript"/>
              </w:rPr>
              <w:t>(1)</w:t>
            </w:r>
          </w:p>
        </w:tc>
        <w:tc>
          <w:tcPr>
            <w:tcW w:w="1300" w:type="dxa"/>
            <w:vAlign w:val="bottom"/>
            <w:tcBorders>
              <w:bottom w:val="single" w:sz="8" w:color="105EAB"/>
            </w:tcBorders>
          </w:tcPr>
          <w:p>
            <w:pPr>
              <w:jc w:val="right"/>
              <w:ind w:right="73"/>
              <w:spacing w:after="0" w:line="224" w:lineRule="exact"/>
              <w:rPr>
                <w:sz w:val="20"/>
                <w:szCs w:val="20"/>
                <w:color w:val="auto"/>
              </w:rPr>
            </w:pPr>
            <w:r>
              <w:rPr>
                <w:rFonts w:ascii="Arial" w:cs="Arial" w:eastAsia="Arial" w:hAnsi="Arial"/>
                <w:sz w:val="13"/>
                <w:szCs w:val="13"/>
                <w:b w:val="1"/>
                <w:bCs w:val="1"/>
                <w:color w:val="105EAB"/>
              </w:rPr>
              <w:t>Stock Units</w:t>
            </w:r>
            <w:r>
              <w:rPr>
                <w:rFonts w:ascii="Arial" w:cs="Arial" w:eastAsia="Arial" w:hAnsi="Arial"/>
                <w:sz w:val="22"/>
                <w:szCs w:val="22"/>
                <w:b w:val="1"/>
                <w:bCs w:val="1"/>
                <w:color w:val="105EAB"/>
                <w:vertAlign w:val="superscript"/>
              </w:rPr>
              <w:t>(1)(2)</w:t>
            </w:r>
          </w:p>
        </w:tc>
        <w:tc>
          <w:tcPr>
            <w:tcW w:w="1180" w:type="dxa"/>
            <w:vAlign w:val="bottom"/>
            <w:tcBorders>
              <w:bottom w:val="single" w:sz="8" w:color="105EAB"/>
            </w:tcBorders>
          </w:tcPr>
          <w:p>
            <w:pPr>
              <w:jc w:val="right"/>
              <w:ind w:right="13"/>
              <w:spacing w:after="0" w:line="224" w:lineRule="exact"/>
              <w:rPr>
                <w:sz w:val="20"/>
                <w:szCs w:val="20"/>
                <w:color w:val="auto"/>
              </w:rPr>
            </w:pPr>
            <w:r>
              <w:rPr>
                <w:rFonts w:ascii="Arial" w:cs="Arial" w:eastAsia="Arial" w:hAnsi="Arial"/>
                <w:sz w:val="13"/>
                <w:szCs w:val="13"/>
                <w:b w:val="1"/>
                <w:bCs w:val="1"/>
                <w:color w:val="105EAB"/>
              </w:rPr>
              <w:t>Ownership</w:t>
            </w:r>
            <w:r>
              <w:rPr>
                <w:rFonts w:ascii="Arial" w:cs="Arial" w:eastAsia="Arial" w:hAnsi="Arial"/>
                <w:sz w:val="22"/>
                <w:szCs w:val="22"/>
                <w:b w:val="1"/>
                <w:bCs w:val="1"/>
                <w:color w:val="105EAB"/>
                <w:vertAlign w:val="superscript"/>
              </w:rPr>
              <w:t>(1)(3)</w:t>
            </w:r>
          </w:p>
        </w:tc>
      </w:tr>
      <w:tr>
        <w:trPr>
          <w:trHeight w:val="202"/>
        </w:trPr>
        <w:tc>
          <w:tcPr>
            <w:tcW w:w="4720" w:type="dxa"/>
            <w:vAlign w:val="bottom"/>
          </w:tcPr>
          <w:p>
            <w:pPr>
              <w:ind w:left="80"/>
              <w:spacing w:after="0"/>
              <w:rPr>
                <w:sz w:val="20"/>
                <w:szCs w:val="20"/>
                <w:color w:val="auto"/>
              </w:rPr>
            </w:pPr>
            <w:r>
              <w:rPr>
                <w:rFonts w:ascii="Arial" w:cs="Arial" w:eastAsia="Arial" w:hAnsi="Arial"/>
                <w:sz w:val="13"/>
                <w:szCs w:val="13"/>
                <w:color w:val="auto"/>
              </w:rPr>
              <w:t>Kermit R. Crawford</w:t>
            </w:r>
          </w:p>
        </w:tc>
        <w:tc>
          <w:tcPr>
            <w:tcW w:w="2740" w:type="dxa"/>
            <w:vAlign w:val="bottom"/>
          </w:tcPr>
          <w:p>
            <w:pPr>
              <w:jc w:val="right"/>
              <w:ind w:right="53"/>
              <w:spacing w:after="0"/>
              <w:rPr>
                <w:sz w:val="20"/>
                <w:szCs w:val="20"/>
                <w:color w:val="auto"/>
              </w:rPr>
            </w:pPr>
            <w:r>
              <w:rPr>
                <w:rFonts w:ascii="Arial" w:cs="Arial" w:eastAsia="Arial" w:hAnsi="Arial"/>
                <w:sz w:val="13"/>
                <w:szCs w:val="13"/>
                <w:color w:val="auto"/>
              </w:rPr>
              <w:t>1,000</w:t>
            </w:r>
          </w:p>
        </w:tc>
        <w:tc>
          <w:tcPr>
            <w:tcW w:w="1480" w:type="dxa"/>
            <w:vAlign w:val="bottom"/>
          </w:tcPr>
          <w:p>
            <w:pPr>
              <w:jc w:val="right"/>
              <w:ind w:right="73"/>
              <w:spacing w:after="0"/>
              <w:rPr>
                <w:sz w:val="20"/>
                <w:szCs w:val="20"/>
                <w:color w:val="auto"/>
              </w:rPr>
            </w:pPr>
            <w:r>
              <w:rPr>
                <w:rFonts w:ascii="Arial" w:cs="Arial" w:eastAsia="Arial" w:hAnsi="Arial"/>
                <w:sz w:val="13"/>
                <w:szCs w:val="13"/>
                <w:color w:val="auto"/>
              </w:rPr>
              <w:t>0</w:t>
            </w:r>
          </w:p>
        </w:tc>
        <w:tc>
          <w:tcPr>
            <w:tcW w:w="1300" w:type="dxa"/>
            <w:vAlign w:val="bottom"/>
          </w:tcPr>
          <w:p>
            <w:pPr>
              <w:jc w:val="right"/>
              <w:ind w:right="73"/>
              <w:spacing w:after="0"/>
              <w:rPr>
                <w:sz w:val="20"/>
                <w:szCs w:val="20"/>
                <w:color w:val="auto"/>
              </w:rPr>
            </w:pPr>
            <w:r>
              <w:rPr>
                <w:rFonts w:ascii="Arial" w:cs="Arial" w:eastAsia="Arial" w:hAnsi="Arial"/>
                <w:sz w:val="13"/>
                <w:szCs w:val="13"/>
                <w:color w:val="auto"/>
              </w:rPr>
              <w:t>14,718</w:t>
            </w:r>
          </w:p>
        </w:tc>
        <w:tc>
          <w:tcPr>
            <w:tcW w:w="1180" w:type="dxa"/>
            <w:vAlign w:val="bottom"/>
          </w:tcPr>
          <w:p>
            <w:pPr>
              <w:jc w:val="right"/>
              <w:ind w:right="13"/>
              <w:spacing w:after="0"/>
              <w:rPr>
                <w:sz w:val="20"/>
                <w:szCs w:val="20"/>
                <w:color w:val="auto"/>
              </w:rPr>
            </w:pPr>
            <w:r>
              <w:rPr>
                <w:rFonts w:ascii="Arial" w:cs="Arial" w:eastAsia="Arial" w:hAnsi="Arial"/>
                <w:sz w:val="13"/>
                <w:szCs w:val="13"/>
                <w:color w:val="auto"/>
              </w:rPr>
              <w:t>15,718</w:t>
            </w:r>
          </w:p>
        </w:tc>
      </w:tr>
      <w:tr>
        <w:trPr>
          <w:trHeight w:val="41"/>
        </w:trPr>
        <w:tc>
          <w:tcPr>
            <w:tcW w:w="4720" w:type="dxa"/>
            <w:vAlign w:val="bottom"/>
            <w:tcBorders>
              <w:bottom w:val="single" w:sz="8" w:color="DFF1FB"/>
            </w:tcBorders>
          </w:tcPr>
          <w:p>
            <w:pPr>
              <w:spacing w:after="0"/>
              <w:rPr>
                <w:sz w:val="3"/>
                <w:szCs w:val="3"/>
                <w:color w:val="auto"/>
              </w:rPr>
            </w:pPr>
          </w:p>
        </w:tc>
        <w:tc>
          <w:tcPr>
            <w:tcW w:w="2740" w:type="dxa"/>
            <w:vAlign w:val="bottom"/>
            <w:tcBorders>
              <w:bottom w:val="single" w:sz="8" w:color="DFF1FB"/>
            </w:tcBorders>
          </w:tcPr>
          <w:p>
            <w:pPr>
              <w:spacing w:after="0"/>
              <w:rPr>
                <w:sz w:val="3"/>
                <w:szCs w:val="3"/>
                <w:color w:val="auto"/>
              </w:rPr>
            </w:pPr>
          </w:p>
        </w:tc>
        <w:tc>
          <w:tcPr>
            <w:tcW w:w="1480" w:type="dxa"/>
            <w:vAlign w:val="bottom"/>
            <w:tcBorders>
              <w:bottom w:val="single" w:sz="8" w:color="DFF1FB"/>
            </w:tcBorders>
          </w:tcPr>
          <w:p>
            <w:pPr>
              <w:spacing w:after="0"/>
              <w:rPr>
                <w:sz w:val="3"/>
                <w:szCs w:val="3"/>
                <w:color w:val="auto"/>
              </w:rPr>
            </w:pPr>
          </w:p>
        </w:tc>
        <w:tc>
          <w:tcPr>
            <w:tcW w:w="1300" w:type="dxa"/>
            <w:vAlign w:val="bottom"/>
            <w:tcBorders>
              <w:bottom w:val="single" w:sz="8" w:color="DFF1FB"/>
            </w:tcBorders>
          </w:tcPr>
          <w:p>
            <w:pPr>
              <w:spacing w:after="0"/>
              <w:rPr>
                <w:sz w:val="3"/>
                <w:szCs w:val="3"/>
                <w:color w:val="auto"/>
              </w:rPr>
            </w:pPr>
          </w:p>
        </w:tc>
        <w:tc>
          <w:tcPr>
            <w:tcW w:w="1180" w:type="dxa"/>
            <w:vAlign w:val="bottom"/>
            <w:tcBorders>
              <w:bottom w:val="single" w:sz="8" w:color="DFF1FB"/>
            </w:tcBorders>
          </w:tcPr>
          <w:p>
            <w:pPr>
              <w:spacing w:after="0"/>
              <w:rPr>
                <w:sz w:val="3"/>
                <w:szCs w:val="3"/>
                <w:color w:val="auto"/>
              </w:rPr>
            </w:pPr>
          </w:p>
        </w:tc>
      </w:tr>
      <w:tr>
        <w:trPr>
          <w:trHeight w:val="195"/>
        </w:trPr>
        <w:tc>
          <w:tcPr>
            <w:tcW w:w="4720" w:type="dxa"/>
            <w:vAlign w:val="bottom"/>
          </w:tcPr>
          <w:p>
            <w:pPr>
              <w:ind w:left="80"/>
              <w:spacing w:after="0"/>
              <w:rPr>
                <w:sz w:val="20"/>
                <w:szCs w:val="20"/>
                <w:color w:val="auto"/>
              </w:rPr>
            </w:pPr>
            <w:r>
              <w:rPr>
                <w:rFonts w:ascii="Arial" w:cs="Arial" w:eastAsia="Arial" w:hAnsi="Arial"/>
                <w:sz w:val="13"/>
                <w:szCs w:val="13"/>
                <w:color w:val="auto"/>
              </w:rPr>
              <w:t>Michael L. Eskew</w:t>
            </w:r>
          </w:p>
        </w:tc>
        <w:tc>
          <w:tcPr>
            <w:tcW w:w="2740" w:type="dxa"/>
            <w:vAlign w:val="bottom"/>
          </w:tcPr>
          <w:p>
            <w:pPr>
              <w:jc w:val="right"/>
              <w:ind w:right="53"/>
              <w:spacing w:after="0"/>
              <w:rPr>
                <w:sz w:val="20"/>
                <w:szCs w:val="20"/>
                <w:color w:val="auto"/>
              </w:rPr>
            </w:pPr>
            <w:r>
              <w:rPr>
                <w:rFonts w:ascii="Arial" w:cs="Arial" w:eastAsia="Arial" w:hAnsi="Arial"/>
                <w:sz w:val="13"/>
                <w:szCs w:val="13"/>
                <w:color w:val="auto"/>
              </w:rPr>
              <w:t>190</w:t>
            </w:r>
          </w:p>
        </w:tc>
        <w:tc>
          <w:tcPr>
            <w:tcW w:w="1480" w:type="dxa"/>
            <w:vAlign w:val="bottom"/>
          </w:tcPr>
          <w:p>
            <w:pPr>
              <w:jc w:val="right"/>
              <w:ind w:right="73"/>
              <w:spacing w:after="0"/>
              <w:rPr>
                <w:sz w:val="20"/>
                <w:szCs w:val="20"/>
                <w:color w:val="auto"/>
              </w:rPr>
            </w:pPr>
            <w:r>
              <w:rPr>
                <w:rFonts w:ascii="Arial" w:cs="Arial" w:eastAsia="Arial" w:hAnsi="Arial"/>
                <w:sz w:val="13"/>
                <w:szCs w:val="13"/>
                <w:color w:val="auto"/>
              </w:rPr>
              <w:t>0</w:t>
            </w:r>
          </w:p>
        </w:tc>
        <w:tc>
          <w:tcPr>
            <w:tcW w:w="1300" w:type="dxa"/>
            <w:vAlign w:val="bottom"/>
          </w:tcPr>
          <w:p>
            <w:pPr>
              <w:jc w:val="right"/>
              <w:ind w:right="73"/>
              <w:spacing w:after="0"/>
              <w:rPr>
                <w:sz w:val="20"/>
                <w:szCs w:val="20"/>
                <w:color w:val="auto"/>
              </w:rPr>
            </w:pPr>
            <w:r>
              <w:rPr>
                <w:rFonts w:ascii="Arial" w:cs="Arial" w:eastAsia="Arial" w:hAnsi="Arial"/>
                <w:sz w:val="13"/>
                <w:szCs w:val="13"/>
                <w:color w:val="auto"/>
              </w:rPr>
              <w:t>7,832</w:t>
            </w:r>
          </w:p>
        </w:tc>
        <w:tc>
          <w:tcPr>
            <w:tcW w:w="1180" w:type="dxa"/>
            <w:vAlign w:val="bottom"/>
          </w:tcPr>
          <w:p>
            <w:pPr>
              <w:jc w:val="right"/>
              <w:ind w:right="13"/>
              <w:spacing w:after="0"/>
              <w:rPr>
                <w:sz w:val="20"/>
                <w:szCs w:val="20"/>
                <w:color w:val="auto"/>
              </w:rPr>
            </w:pPr>
            <w:r>
              <w:rPr>
                <w:rFonts w:ascii="Arial" w:cs="Arial" w:eastAsia="Arial" w:hAnsi="Arial"/>
                <w:sz w:val="13"/>
                <w:szCs w:val="13"/>
                <w:color w:val="auto"/>
              </w:rPr>
              <w:t>8,022</w:t>
            </w:r>
          </w:p>
        </w:tc>
      </w:tr>
      <w:tr>
        <w:trPr>
          <w:trHeight w:val="41"/>
        </w:trPr>
        <w:tc>
          <w:tcPr>
            <w:tcW w:w="4720" w:type="dxa"/>
            <w:vAlign w:val="bottom"/>
            <w:tcBorders>
              <w:bottom w:val="single" w:sz="8" w:color="DFF1FB"/>
            </w:tcBorders>
          </w:tcPr>
          <w:p>
            <w:pPr>
              <w:spacing w:after="0"/>
              <w:rPr>
                <w:sz w:val="3"/>
                <w:szCs w:val="3"/>
                <w:color w:val="auto"/>
              </w:rPr>
            </w:pPr>
          </w:p>
        </w:tc>
        <w:tc>
          <w:tcPr>
            <w:tcW w:w="2740" w:type="dxa"/>
            <w:vAlign w:val="bottom"/>
            <w:tcBorders>
              <w:bottom w:val="single" w:sz="8" w:color="DFF1FB"/>
            </w:tcBorders>
          </w:tcPr>
          <w:p>
            <w:pPr>
              <w:spacing w:after="0"/>
              <w:rPr>
                <w:sz w:val="3"/>
                <w:szCs w:val="3"/>
                <w:color w:val="auto"/>
              </w:rPr>
            </w:pPr>
          </w:p>
        </w:tc>
        <w:tc>
          <w:tcPr>
            <w:tcW w:w="1480" w:type="dxa"/>
            <w:vAlign w:val="bottom"/>
            <w:tcBorders>
              <w:bottom w:val="single" w:sz="8" w:color="DFF1FB"/>
            </w:tcBorders>
          </w:tcPr>
          <w:p>
            <w:pPr>
              <w:spacing w:after="0"/>
              <w:rPr>
                <w:sz w:val="3"/>
                <w:szCs w:val="3"/>
                <w:color w:val="auto"/>
              </w:rPr>
            </w:pPr>
          </w:p>
        </w:tc>
        <w:tc>
          <w:tcPr>
            <w:tcW w:w="1300" w:type="dxa"/>
            <w:vAlign w:val="bottom"/>
            <w:tcBorders>
              <w:bottom w:val="single" w:sz="8" w:color="DFF1FB"/>
            </w:tcBorders>
          </w:tcPr>
          <w:p>
            <w:pPr>
              <w:spacing w:after="0"/>
              <w:rPr>
                <w:sz w:val="3"/>
                <w:szCs w:val="3"/>
                <w:color w:val="auto"/>
              </w:rPr>
            </w:pPr>
          </w:p>
        </w:tc>
        <w:tc>
          <w:tcPr>
            <w:tcW w:w="1180" w:type="dxa"/>
            <w:vAlign w:val="bottom"/>
            <w:tcBorders>
              <w:bottom w:val="single" w:sz="8" w:color="DFF1FB"/>
            </w:tcBorders>
          </w:tcPr>
          <w:p>
            <w:pPr>
              <w:spacing w:after="0"/>
              <w:rPr>
                <w:sz w:val="3"/>
                <w:szCs w:val="3"/>
                <w:color w:val="auto"/>
              </w:rPr>
            </w:pPr>
          </w:p>
        </w:tc>
      </w:tr>
      <w:tr>
        <w:trPr>
          <w:trHeight w:val="195"/>
        </w:trPr>
        <w:tc>
          <w:tcPr>
            <w:tcW w:w="4720" w:type="dxa"/>
            <w:vAlign w:val="bottom"/>
          </w:tcPr>
          <w:p>
            <w:pPr>
              <w:ind w:left="80"/>
              <w:spacing w:after="0"/>
              <w:rPr>
                <w:sz w:val="20"/>
                <w:szCs w:val="20"/>
                <w:color w:val="auto"/>
              </w:rPr>
            </w:pPr>
            <w:r>
              <w:rPr>
                <w:rFonts w:ascii="Arial" w:cs="Arial" w:eastAsia="Arial" w:hAnsi="Arial"/>
                <w:sz w:val="13"/>
                <w:szCs w:val="13"/>
                <w:color w:val="auto"/>
              </w:rPr>
              <w:t>Margaret M. Keane</w:t>
            </w:r>
          </w:p>
        </w:tc>
        <w:tc>
          <w:tcPr>
            <w:tcW w:w="2740" w:type="dxa"/>
            <w:vAlign w:val="bottom"/>
          </w:tcPr>
          <w:p>
            <w:pPr>
              <w:jc w:val="right"/>
              <w:ind w:right="53"/>
              <w:spacing w:after="0"/>
              <w:rPr>
                <w:sz w:val="20"/>
                <w:szCs w:val="20"/>
                <w:color w:val="auto"/>
              </w:rPr>
            </w:pPr>
            <w:r>
              <w:rPr>
                <w:rFonts w:ascii="Arial" w:cs="Arial" w:eastAsia="Arial" w:hAnsi="Arial"/>
                <w:sz w:val="13"/>
                <w:szCs w:val="13"/>
                <w:color w:val="auto"/>
              </w:rPr>
              <w:t>1,020</w:t>
            </w:r>
          </w:p>
        </w:tc>
        <w:tc>
          <w:tcPr>
            <w:tcW w:w="1480" w:type="dxa"/>
            <w:vAlign w:val="bottom"/>
          </w:tcPr>
          <w:p>
            <w:pPr>
              <w:jc w:val="right"/>
              <w:ind w:right="73"/>
              <w:spacing w:after="0"/>
              <w:rPr>
                <w:sz w:val="20"/>
                <w:szCs w:val="20"/>
                <w:color w:val="auto"/>
              </w:rPr>
            </w:pPr>
            <w:r>
              <w:rPr>
                <w:rFonts w:ascii="Arial" w:cs="Arial" w:eastAsia="Arial" w:hAnsi="Arial"/>
                <w:sz w:val="13"/>
                <w:szCs w:val="13"/>
                <w:color w:val="auto"/>
              </w:rPr>
              <w:t>0</w:t>
            </w:r>
          </w:p>
        </w:tc>
        <w:tc>
          <w:tcPr>
            <w:tcW w:w="1300" w:type="dxa"/>
            <w:vAlign w:val="bottom"/>
          </w:tcPr>
          <w:p>
            <w:pPr>
              <w:jc w:val="right"/>
              <w:ind w:right="73"/>
              <w:spacing w:after="0"/>
              <w:rPr>
                <w:sz w:val="20"/>
                <w:szCs w:val="20"/>
                <w:color w:val="auto"/>
              </w:rPr>
            </w:pPr>
            <w:r>
              <w:rPr>
                <w:rFonts w:ascii="Arial" w:cs="Arial" w:eastAsia="Arial" w:hAnsi="Arial"/>
                <w:sz w:val="13"/>
                <w:szCs w:val="13"/>
                <w:color w:val="auto"/>
              </w:rPr>
              <w:t>2,269</w:t>
            </w:r>
          </w:p>
        </w:tc>
        <w:tc>
          <w:tcPr>
            <w:tcW w:w="1180" w:type="dxa"/>
            <w:vAlign w:val="bottom"/>
          </w:tcPr>
          <w:p>
            <w:pPr>
              <w:jc w:val="right"/>
              <w:ind w:right="13"/>
              <w:spacing w:after="0"/>
              <w:rPr>
                <w:sz w:val="20"/>
                <w:szCs w:val="20"/>
                <w:color w:val="auto"/>
              </w:rPr>
            </w:pPr>
            <w:r>
              <w:rPr>
                <w:rFonts w:ascii="Arial" w:cs="Arial" w:eastAsia="Arial" w:hAnsi="Arial"/>
                <w:sz w:val="13"/>
                <w:szCs w:val="13"/>
                <w:color w:val="auto"/>
              </w:rPr>
              <w:t>3,289</w:t>
            </w:r>
          </w:p>
        </w:tc>
      </w:tr>
      <w:tr>
        <w:trPr>
          <w:trHeight w:val="41"/>
        </w:trPr>
        <w:tc>
          <w:tcPr>
            <w:tcW w:w="4720" w:type="dxa"/>
            <w:vAlign w:val="bottom"/>
            <w:tcBorders>
              <w:bottom w:val="single" w:sz="8" w:color="DFF1FB"/>
            </w:tcBorders>
          </w:tcPr>
          <w:p>
            <w:pPr>
              <w:spacing w:after="0"/>
              <w:rPr>
                <w:sz w:val="3"/>
                <w:szCs w:val="3"/>
                <w:color w:val="auto"/>
              </w:rPr>
            </w:pPr>
          </w:p>
        </w:tc>
        <w:tc>
          <w:tcPr>
            <w:tcW w:w="2740" w:type="dxa"/>
            <w:vAlign w:val="bottom"/>
            <w:tcBorders>
              <w:bottom w:val="single" w:sz="8" w:color="DFF1FB"/>
            </w:tcBorders>
          </w:tcPr>
          <w:p>
            <w:pPr>
              <w:spacing w:after="0"/>
              <w:rPr>
                <w:sz w:val="3"/>
                <w:szCs w:val="3"/>
                <w:color w:val="auto"/>
              </w:rPr>
            </w:pPr>
          </w:p>
        </w:tc>
        <w:tc>
          <w:tcPr>
            <w:tcW w:w="1480" w:type="dxa"/>
            <w:vAlign w:val="bottom"/>
            <w:tcBorders>
              <w:bottom w:val="single" w:sz="8" w:color="DFF1FB"/>
            </w:tcBorders>
          </w:tcPr>
          <w:p>
            <w:pPr>
              <w:spacing w:after="0"/>
              <w:rPr>
                <w:sz w:val="3"/>
                <w:szCs w:val="3"/>
                <w:color w:val="auto"/>
              </w:rPr>
            </w:pPr>
          </w:p>
        </w:tc>
        <w:tc>
          <w:tcPr>
            <w:tcW w:w="1300" w:type="dxa"/>
            <w:vAlign w:val="bottom"/>
            <w:tcBorders>
              <w:bottom w:val="single" w:sz="8" w:color="DFF1FB"/>
            </w:tcBorders>
          </w:tcPr>
          <w:p>
            <w:pPr>
              <w:spacing w:after="0"/>
              <w:rPr>
                <w:sz w:val="3"/>
                <w:szCs w:val="3"/>
                <w:color w:val="auto"/>
              </w:rPr>
            </w:pPr>
          </w:p>
        </w:tc>
        <w:tc>
          <w:tcPr>
            <w:tcW w:w="1180" w:type="dxa"/>
            <w:vAlign w:val="bottom"/>
            <w:tcBorders>
              <w:bottom w:val="single" w:sz="8" w:color="DFF1FB"/>
            </w:tcBorders>
          </w:tcPr>
          <w:p>
            <w:pPr>
              <w:spacing w:after="0"/>
              <w:rPr>
                <w:sz w:val="3"/>
                <w:szCs w:val="3"/>
                <w:color w:val="auto"/>
              </w:rPr>
            </w:pPr>
          </w:p>
        </w:tc>
      </w:tr>
      <w:tr>
        <w:trPr>
          <w:trHeight w:val="195"/>
        </w:trPr>
        <w:tc>
          <w:tcPr>
            <w:tcW w:w="4720" w:type="dxa"/>
            <w:vAlign w:val="bottom"/>
          </w:tcPr>
          <w:p>
            <w:pPr>
              <w:ind w:left="80"/>
              <w:spacing w:after="0"/>
              <w:rPr>
                <w:sz w:val="20"/>
                <w:szCs w:val="20"/>
                <w:color w:val="auto"/>
              </w:rPr>
            </w:pPr>
            <w:r>
              <w:rPr>
                <w:rFonts w:ascii="Arial" w:cs="Arial" w:eastAsia="Arial" w:hAnsi="Arial"/>
                <w:sz w:val="13"/>
                <w:szCs w:val="13"/>
                <w:color w:val="auto"/>
              </w:rPr>
              <w:t>Siddharth N. Mehta</w:t>
            </w:r>
          </w:p>
        </w:tc>
        <w:tc>
          <w:tcPr>
            <w:tcW w:w="2740" w:type="dxa"/>
            <w:vAlign w:val="bottom"/>
          </w:tcPr>
          <w:p>
            <w:pPr>
              <w:jc w:val="right"/>
              <w:ind w:right="53"/>
              <w:spacing w:after="0"/>
              <w:rPr>
                <w:sz w:val="20"/>
                <w:szCs w:val="20"/>
                <w:color w:val="auto"/>
              </w:rPr>
            </w:pPr>
            <w:r>
              <w:rPr>
                <w:rFonts w:ascii="Arial" w:cs="Arial" w:eastAsia="Arial" w:hAnsi="Arial"/>
                <w:sz w:val="13"/>
                <w:szCs w:val="13"/>
                <w:color w:val="auto"/>
              </w:rPr>
              <w:t>0</w:t>
            </w:r>
          </w:p>
        </w:tc>
        <w:tc>
          <w:tcPr>
            <w:tcW w:w="1480" w:type="dxa"/>
            <w:vAlign w:val="bottom"/>
          </w:tcPr>
          <w:p>
            <w:pPr>
              <w:jc w:val="right"/>
              <w:ind w:right="73"/>
              <w:spacing w:after="0"/>
              <w:rPr>
                <w:sz w:val="20"/>
                <w:szCs w:val="20"/>
                <w:color w:val="auto"/>
              </w:rPr>
            </w:pPr>
            <w:r>
              <w:rPr>
                <w:rFonts w:ascii="Arial" w:cs="Arial" w:eastAsia="Arial" w:hAnsi="Arial"/>
                <w:sz w:val="13"/>
                <w:szCs w:val="13"/>
                <w:color w:val="auto"/>
              </w:rPr>
              <w:t>0</w:t>
            </w:r>
          </w:p>
        </w:tc>
        <w:tc>
          <w:tcPr>
            <w:tcW w:w="1300" w:type="dxa"/>
            <w:vAlign w:val="bottom"/>
          </w:tcPr>
          <w:p>
            <w:pPr>
              <w:jc w:val="right"/>
              <w:ind w:right="73"/>
              <w:spacing w:after="0"/>
              <w:rPr>
                <w:sz w:val="20"/>
                <w:szCs w:val="20"/>
                <w:color w:val="auto"/>
              </w:rPr>
            </w:pPr>
            <w:r>
              <w:rPr>
                <w:rFonts w:ascii="Arial" w:cs="Arial" w:eastAsia="Arial" w:hAnsi="Arial"/>
                <w:sz w:val="13"/>
                <w:szCs w:val="13"/>
                <w:color w:val="auto"/>
              </w:rPr>
              <w:t>11,196</w:t>
            </w:r>
          </w:p>
        </w:tc>
        <w:tc>
          <w:tcPr>
            <w:tcW w:w="1180" w:type="dxa"/>
            <w:vAlign w:val="bottom"/>
          </w:tcPr>
          <w:p>
            <w:pPr>
              <w:jc w:val="right"/>
              <w:ind w:right="13"/>
              <w:spacing w:after="0"/>
              <w:rPr>
                <w:sz w:val="20"/>
                <w:szCs w:val="20"/>
                <w:color w:val="auto"/>
              </w:rPr>
            </w:pPr>
            <w:r>
              <w:rPr>
                <w:rFonts w:ascii="Arial" w:cs="Arial" w:eastAsia="Arial" w:hAnsi="Arial"/>
                <w:sz w:val="13"/>
                <w:szCs w:val="13"/>
                <w:color w:val="auto"/>
              </w:rPr>
              <w:t>11,196</w:t>
            </w:r>
          </w:p>
        </w:tc>
      </w:tr>
      <w:tr>
        <w:trPr>
          <w:trHeight w:val="41"/>
        </w:trPr>
        <w:tc>
          <w:tcPr>
            <w:tcW w:w="4720" w:type="dxa"/>
            <w:vAlign w:val="bottom"/>
            <w:tcBorders>
              <w:bottom w:val="single" w:sz="8" w:color="DFF1FB"/>
            </w:tcBorders>
          </w:tcPr>
          <w:p>
            <w:pPr>
              <w:spacing w:after="0"/>
              <w:rPr>
                <w:sz w:val="3"/>
                <w:szCs w:val="3"/>
                <w:color w:val="auto"/>
              </w:rPr>
            </w:pPr>
          </w:p>
        </w:tc>
        <w:tc>
          <w:tcPr>
            <w:tcW w:w="2740" w:type="dxa"/>
            <w:vAlign w:val="bottom"/>
            <w:tcBorders>
              <w:bottom w:val="single" w:sz="8" w:color="DFF1FB"/>
            </w:tcBorders>
          </w:tcPr>
          <w:p>
            <w:pPr>
              <w:spacing w:after="0"/>
              <w:rPr>
                <w:sz w:val="3"/>
                <w:szCs w:val="3"/>
                <w:color w:val="auto"/>
              </w:rPr>
            </w:pPr>
          </w:p>
        </w:tc>
        <w:tc>
          <w:tcPr>
            <w:tcW w:w="1480" w:type="dxa"/>
            <w:vAlign w:val="bottom"/>
            <w:tcBorders>
              <w:bottom w:val="single" w:sz="8" w:color="DFF1FB"/>
            </w:tcBorders>
          </w:tcPr>
          <w:p>
            <w:pPr>
              <w:spacing w:after="0"/>
              <w:rPr>
                <w:sz w:val="3"/>
                <w:szCs w:val="3"/>
                <w:color w:val="auto"/>
              </w:rPr>
            </w:pPr>
          </w:p>
        </w:tc>
        <w:tc>
          <w:tcPr>
            <w:tcW w:w="1300" w:type="dxa"/>
            <w:vAlign w:val="bottom"/>
            <w:tcBorders>
              <w:bottom w:val="single" w:sz="8" w:color="DFF1FB"/>
            </w:tcBorders>
          </w:tcPr>
          <w:p>
            <w:pPr>
              <w:spacing w:after="0"/>
              <w:rPr>
                <w:sz w:val="3"/>
                <w:szCs w:val="3"/>
                <w:color w:val="auto"/>
              </w:rPr>
            </w:pPr>
          </w:p>
        </w:tc>
        <w:tc>
          <w:tcPr>
            <w:tcW w:w="1180" w:type="dxa"/>
            <w:vAlign w:val="bottom"/>
            <w:tcBorders>
              <w:bottom w:val="single" w:sz="8" w:color="DFF1FB"/>
            </w:tcBorders>
          </w:tcPr>
          <w:p>
            <w:pPr>
              <w:spacing w:after="0"/>
              <w:rPr>
                <w:sz w:val="3"/>
                <w:szCs w:val="3"/>
                <w:color w:val="auto"/>
              </w:rPr>
            </w:pPr>
          </w:p>
        </w:tc>
      </w:tr>
      <w:tr>
        <w:trPr>
          <w:trHeight w:val="290"/>
        </w:trPr>
        <w:tc>
          <w:tcPr>
            <w:tcW w:w="4720" w:type="dxa"/>
            <w:vAlign w:val="bottom"/>
            <w:tcBorders>
              <w:bottom w:val="single" w:sz="8" w:color="DFF1FB"/>
            </w:tcBorders>
          </w:tcPr>
          <w:p>
            <w:pPr>
              <w:ind w:left="80"/>
              <w:spacing w:after="0"/>
              <w:rPr>
                <w:sz w:val="20"/>
                <w:szCs w:val="20"/>
                <w:color w:val="auto"/>
              </w:rPr>
            </w:pPr>
            <w:r>
              <w:rPr>
                <w:rFonts w:ascii="Arial" w:cs="Arial" w:eastAsia="Arial" w:hAnsi="Arial"/>
                <w:sz w:val="13"/>
                <w:szCs w:val="13"/>
                <w:color w:val="auto"/>
              </w:rPr>
              <w:t>Jacques P. Perold</w:t>
            </w:r>
            <w:r>
              <w:rPr>
                <w:rFonts w:ascii="Arial" w:cs="Arial" w:eastAsia="Arial" w:hAnsi="Arial"/>
                <w:sz w:val="22"/>
                <w:szCs w:val="22"/>
                <w:color w:val="auto"/>
                <w:vertAlign w:val="superscript"/>
              </w:rPr>
              <w:t>(4)</w:t>
            </w:r>
          </w:p>
        </w:tc>
        <w:tc>
          <w:tcPr>
            <w:tcW w:w="2740" w:type="dxa"/>
            <w:vAlign w:val="bottom"/>
            <w:tcBorders>
              <w:bottom w:val="single" w:sz="8" w:color="DFF1FB"/>
            </w:tcBorders>
          </w:tcPr>
          <w:p>
            <w:pPr>
              <w:jc w:val="right"/>
              <w:ind w:right="53"/>
              <w:spacing w:after="0"/>
              <w:rPr>
                <w:sz w:val="20"/>
                <w:szCs w:val="20"/>
                <w:color w:val="auto"/>
              </w:rPr>
            </w:pPr>
            <w:r>
              <w:rPr>
                <w:rFonts w:ascii="Arial" w:cs="Arial" w:eastAsia="Arial" w:hAnsi="Arial"/>
                <w:sz w:val="13"/>
                <w:szCs w:val="13"/>
                <w:color w:val="auto"/>
              </w:rPr>
              <w:t>35</w:t>
            </w:r>
          </w:p>
        </w:tc>
        <w:tc>
          <w:tcPr>
            <w:tcW w:w="1480" w:type="dxa"/>
            <w:vAlign w:val="bottom"/>
            <w:tcBorders>
              <w:bottom w:val="single" w:sz="8" w:color="DFF1FB"/>
            </w:tcBorders>
          </w:tcPr>
          <w:p>
            <w:pPr>
              <w:jc w:val="right"/>
              <w:ind w:right="73"/>
              <w:spacing w:after="0"/>
              <w:rPr>
                <w:sz w:val="20"/>
                <w:szCs w:val="20"/>
                <w:color w:val="auto"/>
              </w:rPr>
            </w:pPr>
            <w:r>
              <w:rPr>
                <w:rFonts w:ascii="Arial" w:cs="Arial" w:eastAsia="Arial" w:hAnsi="Arial"/>
                <w:sz w:val="13"/>
                <w:szCs w:val="13"/>
                <w:color w:val="auto"/>
              </w:rPr>
              <w:t>0</w:t>
            </w:r>
          </w:p>
        </w:tc>
        <w:tc>
          <w:tcPr>
            <w:tcW w:w="1300" w:type="dxa"/>
            <w:vAlign w:val="bottom"/>
            <w:tcBorders>
              <w:bottom w:val="single" w:sz="8" w:color="DFF1FB"/>
            </w:tcBorders>
          </w:tcPr>
          <w:p>
            <w:pPr>
              <w:jc w:val="right"/>
              <w:ind w:right="73"/>
              <w:spacing w:after="0"/>
              <w:rPr>
                <w:sz w:val="20"/>
                <w:szCs w:val="20"/>
                <w:color w:val="auto"/>
              </w:rPr>
            </w:pPr>
            <w:r>
              <w:rPr>
                <w:rFonts w:ascii="Arial" w:cs="Arial" w:eastAsia="Arial" w:hAnsi="Arial"/>
                <w:sz w:val="13"/>
                <w:szCs w:val="13"/>
                <w:color w:val="auto"/>
              </w:rPr>
              <w:t>6,842</w:t>
            </w:r>
          </w:p>
        </w:tc>
        <w:tc>
          <w:tcPr>
            <w:tcW w:w="1180" w:type="dxa"/>
            <w:vAlign w:val="bottom"/>
            <w:tcBorders>
              <w:bottom w:val="single" w:sz="8" w:color="DFF1FB"/>
            </w:tcBorders>
          </w:tcPr>
          <w:p>
            <w:pPr>
              <w:jc w:val="right"/>
              <w:ind w:right="13"/>
              <w:spacing w:after="0"/>
              <w:rPr>
                <w:sz w:val="20"/>
                <w:szCs w:val="20"/>
                <w:color w:val="auto"/>
              </w:rPr>
            </w:pPr>
            <w:r>
              <w:rPr>
                <w:rFonts w:ascii="Arial" w:cs="Arial" w:eastAsia="Arial" w:hAnsi="Arial"/>
                <w:sz w:val="13"/>
                <w:szCs w:val="13"/>
                <w:color w:val="auto"/>
              </w:rPr>
              <w:t>6,877</w:t>
            </w:r>
          </w:p>
        </w:tc>
      </w:tr>
      <w:tr>
        <w:trPr>
          <w:trHeight w:val="195"/>
        </w:trPr>
        <w:tc>
          <w:tcPr>
            <w:tcW w:w="4720" w:type="dxa"/>
            <w:vAlign w:val="bottom"/>
          </w:tcPr>
          <w:p>
            <w:pPr>
              <w:ind w:left="80"/>
              <w:spacing w:after="0"/>
              <w:rPr>
                <w:sz w:val="20"/>
                <w:szCs w:val="20"/>
                <w:color w:val="auto"/>
              </w:rPr>
            </w:pPr>
            <w:r>
              <w:rPr>
                <w:rFonts w:ascii="Arial" w:cs="Arial" w:eastAsia="Arial" w:hAnsi="Arial"/>
                <w:sz w:val="13"/>
                <w:szCs w:val="13"/>
                <w:color w:val="auto"/>
              </w:rPr>
              <w:t>Andrea Redmond</w:t>
            </w:r>
          </w:p>
        </w:tc>
        <w:tc>
          <w:tcPr>
            <w:tcW w:w="2740" w:type="dxa"/>
            <w:vAlign w:val="bottom"/>
          </w:tcPr>
          <w:p>
            <w:pPr>
              <w:jc w:val="right"/>
              <w:ind w:right="53"/>
              <w:spacing w:after="0"/>
              <w:rPr>
                <w:sz w:val="20"/>
                <w:szCs w:val="20"/>
                <w:color w:val="auto"/>
              </w:rPr>
            </w:pPr>
            <w:r>
              <w:rPr>
                <w:rFonts w:ascii="Arial" w:cs="Arial" w:eastAsia="Arial" w:hAnsi="Arial"/>
                <w:sz w:val="13"/>
                <w:szCs w:val="13"/>
                <w:color w:val="auto"/>
              </w:rPr>
              <w:t>4,000</w:t>
            </w:r>
          </w:p>
        </w:tc>
        <w:tc>
          <w:tcPr>
            <w:tcW w:w="1480" w:type="dxa"/>
            <w:vAlign w:val="bottom"/>
          </w:tcPr>
          <w:p>
            <w:pPr>
              <w:jc w:val="right"/>
              <w:ind w:right="73"/>
              <w:spacing w:after="0"/>
              <w:rPr>
                <w:sz w:val="20"/>
                <w:szCs w:val="20"/>
                <w:color w:val="auto"/>
              </w:rPr>
            </w:pPr>
            <w:r>
              <w:rPr>
                <w:rFonts w:ascii="Arial" w:cs="Arial" w:eastAsia="Arial" w:hAnsi="Arial"/>
                <w:sz w:val="13"/>
                <w:szCs w:val="13"/>
                <w:color w:val="auto"/>
              </w:rPr>
              <w:t>0</w:t>
            </w:r>
          </w:p>
        </w:tc>
        <w:tc>
          <w:tcPr>
            <w:tcW w:w="1300" w:type="dxa"/>
            <w:vAlign w:val="bottom"/>
          </w:tcPr>
          <w:p>
            <w:pPr>
              <w:jc w:val="right"/>
              <w:ind w:right="73"/>
              <w:spacing w:after="0"/>
              <w:rPr>
                <w:sz w:val="20"/>
                <w:szCs w:val="20"/>
                <w:color w:val="auto"/>
              </w:rPr>
            </w:pPr>
            <w:r>
              <w:rPr>
                <w:rFonts w:ascii="Arial" w:cs="Arial" w:eastAsia="Arial" w:hAnsi="Arial"/>
                <w:sz w:val="13"/>
                <w:szCs w:val="13"/>
                <w:color w:val="auto"/>
              </w:rPr>
              <w:t>24,530</w:t>
            </w:r>
          </w:p>
        </w:tc>
        <w:tc>
          <w:tcPr>
            <w:tcW w:w="1180" w:type="dxa"/>
            <w:vAlign w:val="bottom"/>
          </w:tcPr>
          <w:p>
            <w:pPr>
              <w:jc w:val="right"/>
              <w:ind w:right="13"/>
              <w:spacing w:after="0"/>
              <w:rPr>
                <w:sz w:val="20"/>
                <w:szCs w:val="20"/>
                <w:color w:val="auto"/>
              </w:rPr>
            </w:pPr>
            <w:r>
              <w:rPr>
                <w:rFonts w:ascii="Arial" w:cs="Arial" w:eastAsia="Arial" w:hAnsi="Arial"/>
                <w:sz w:val="13"/>
                <w:szCs w:val="13"/>
                <w:color w:val="auto"/>
              </w:rPr>
              <w:t>28,530</w:t>
            </w:r>
          </w:p>
        </w:tc>
      </w:tr>
      <w:tr>
        <w:trPr>
          <w:trHeight w:val="41"/>
        </w:trPr>
        <w:tc>
          <w:tcPr>
            <w:tcW w:w="4720" w:type="dxa"/>
            <w:vAlign w:val="bottom"/>
            <w:tcBorders>
              <w:bottom w:val="single" w:sz="8" w:color="DFF1FB"/>
            </w:tcBorders>
          </w:tcPr>
          <w:p>
            <w:pPr>
              <w:spacing w:after="0"/>
              <w:rPr>
                <w:sz w:val="3"/>
                <w:szCs w:val="3"/>
                <w:color w:val="auto"/>
              </w:rPr>
            </w:pPr>
          </w:p>
        </w:tc>
        <w:tc>
          <w:tcPr>
            <w:tcW w:w="2740" w:type="dxa"/>
            <w:vAlign w:val="bottom"/>
            <w:tcBorders>
              <w:bottom w:val="single" w:sz="8" w:color="DFF1FB"/>
            </w:tcBorders>
          </w:tcPr>
          <w:p>
            <w:pPr>
              <w:spacing w:after="0"/>
              <w:rPr>
                <w:sz w:val="3"/>
                <w:szCs w:val="3"/>
                <w:color w:val="auto"/>
              </w:rPr>
            </w:pPr>
          </w:p>
        </w:tc>
        <w:tc>
          <w:tcPr>
            <w:tcW w:w="1480" w:type="dxa"/>
            <w:vAlign w:val="bottom"/>
            <w:tcBorders>
              <w:bottom w:val="single" w:sz="8" w:color="DFF1FB"/>
            </w:tcBorders>
          </w:tcPr>
          <w:p>
            <w:pPr>
              <w:spacing w:after="0"/>
              <w:rPr>
                <w:sz w:val="3"/>
                <w:szCs w:val="3"/>
                <w:color w:val="auto"/>
              </w:rPr>
            </w:pPr>
          </w:p>
        </w:tc>
        <w:tc>
          <w:tcPr>
            <w:tcW w:w="1300" w:type="dxa"/>
            <w:vAlign w:val="bottom"/>
            <w:tcBorders>
              <w:bottom w:val="single" w:sz="8" w:color="DFF1FB"/>
            </w:tcBorders>
          </w:tcPr>
          <w:p>
            <w:pPr>
              <w:spacing w:after="0"/>
              <w:rPr>
                <w:sz w:val="3"/>
                <w:szCs w:val="3"/>
                <w:color w:val="auto"/>
              </w:rPr>
            </w:pPr>
          </w:p>
        </w:tc>
        <w:tc>
          <w:tcPr>
            <w:tcW w:w="1180" w:type="dxa"/>
            <w:vAlign w:val="bottom"/>
            <w:tcBorders>
              <w:bottom w:val="single" w:sz="8" w:color="DFF1FB"/>
            </w:tcBorders>
          </w:tcPr>
          <w:p>
            <w:pPr>
              <w:spacing w:after="0"/>
              <w:rPr>
                <w:sz w:val="3"/>
                <w:szCs w:val="3"/>
                <w:color w:val="auto"/>
              </w:rPr>
            </w:pPr>
          </w:p>
        </w:tc>
      </w:tr>
      <w:tr>
        <w:trPr>
          <w:trHeight w:val="195"/>
        </w:trPr>
        <w:tc>
          <w:tcPr>
            <w:tcW w:w="4720" w:type="dxa"/>
            <w:vAlign w:val="bottom"/>
          </w:tcPr>
          <w:p>
            <w:pPr>
              <w:ind w:left="80"/>
              <w:spacing w:after="0"/>
              <w:rPr>
                <w:sz w:val="20"/>
                <w:szCs w:val="20"/>
                <w:color w:val="auto"/>
              </w:rPr>
            </w:pPr>
            <w:r>
              <w:rPr>
                <w:rFonts w:ascii="Arial" w:cs="Arial" w:eastAsia="Arial" w:hAnsi="Arial"/>
                <w:sz w:val="13"/>
                <w:szCs w:val="13"/>
                <w:color w:val="auto"/>
              </w:rPr>
              <w:t>Gregg M. Sherrill</w:t>
            </w:r>
          </w:p>
        </w:tc>
        <w:tc>
          <w:tcPr>
            <w:tcW w:w="2740" w:type="dxa"/>
            <w:vAlign w:val="bottom"/>
          </w:tcPr>
          <w:p>
            <w:pPr>
              <w:jc w:val="right"/>
              <w:ind w:right="53"/>
              <w:spacing w:after="0"/>
              <w:rPr>
                <w:sz w:val="20"/>
                <w:szCs w:val="20"/>
                <w:color w:val="auto"/>
              </w:rPr>
            </w:pPr>
            <w:r>
              <w:rPr>
                <w:rFonts w:ascii="Arial" w:cs="Arial" w:eastAsia="Arial" w:hAnsi="Arial"/>
                <w:sz w:val="13"/>
                <w:szCs w:val="13"/>
                <w:color w:val="auto"/>
              </w:rPr>
              <w:t>0</w:t>
            </w:r>
          </w:p>
        </w:tc>
        <w:tc>
          <w:tcPr>
            <w:tcW w:w="1480" w:type="dxa"/>
            <w:vAlign w:val="bottom"/>
          </w:tcPr>
          <w:p>
            <w:pPr>
              <w:jc w:val="right"/>
              <w:ind w:right="73"/>
              <w:spacing w:after="0"/>
              <w:rPr>
                <w:sz w:val="20"/>
                <w:szCs w:val="20"/>
                <w:color w:val="auto"/>
              </w:rPr>
            </w:pPr>
            <w:r>
              <w:rPr>
                <w:rFonts w:ascii="Arial" w:cs="Arial" w:eastAsia="Arial" w:hAnsi="Arial"/>
                <w:sz w:val="13"/>
                <w:szCs w:val="13"/>
                <w:color w:val="auto"/>
              </w:rPr>
              <w:t>0</w:t>
            </w:r>
          </w:p>
        </w:tc>
        <w:tc>
          <w:tcPr>
            <w:tcW w:w="1300" w:type="dxa"/>
            <w:vAlign w:val="bottom"/>
          </w:tcPr>
          <w:p>
            <w:pPr>
              <w:jc w:val="right"/>
              <w:ind w:right="73"/>
              <w:spacing w:after="0"/>
              <w:rPr>
                <w:sz w:val="20"/>
                <w:szCs w:val="20"/>
                <w:color w:val="auto"/>
              </w:rPr>
            </w:pPr>
            <w:r>
              <w:rPr>
                <w:rFonts w:ascii="Arial" w:cs="Arial" w:eastAsia="Arial" w:hAnsi="Arial"/>
                <w:sz w:val="13"/>
                <w:szCs w:val="13"/>
                <w:color w:val="auto"/>
              </w:rPr>
              <w:t>2,777</w:t>
            </w:r>
          </w:p>
        </w:tc>
        <w:tc>
          <w:tcPr>
            <w:tcW w:w="1180" w:type="dxa"/>
            <w:vAlign w:val="bottom"/>
          </w:tcPr>
          <w:p>
            <w:pPr>
              <w:jc w:val="right"/>
              <w:ind w:right="13"/>
              <w:spacing w:after="0"/>
              <w:rPr>
                <w:sz w:val="20"/>
                <w:szCs w:val="20"/>
                <w:color w:val="auto"/>
              </w:rPr>
            </w:pPr>
            <w:r>
              <w:rPr>
                <w:rFonts w:ascii="Arial" w:cs="Arial" w:eastAsia="Arial" w:hAnsi="Arial"/>
                <w:sz w:val="13"/>
                <w:szCs w:val="13"/>
                <w:color w:val="auto"/>
              </w:rPr>
              <w:t>2,777</w:t>
            </w:r>
          </w:p>
        </w:tc>
      </w:tr>
      <w:tr>
        <w:trPr>
          <w:trHeight w:val="41"/>
        </w:trPr>
        <w:tc>
          <w:tcPr>
            <w:tcW w:w="4720" w:type="dxa"/>
            <w:vAlign w:val="bottom"/>
            <w:tcBorders>
              <w:bottom w:val="single" w:sz="8" w:color="DFF1FB"/>
            </w:tcBorders>
          </w:tcPr>
          <w:p>
            <w:pPr>
              <w:spacing w:after="0"/>
              <w:rPr>
                <w:sz w:val="3"/>
                <w:szCs w:val="3"/>
                <w:color w:val="auto"/>
              </w:rPr>
            </w:pPr>
          </w:p>
        </w:tc>
        <w:tc>
          <w:tcPr>
            <w:tcW w:w="2740" w:type="dxa"/>
            <w:vAlign w:val="bottom"/>
            <w:tcBorders>
              <w:bottom w:val="single" w:sz="8" w:color="DFF1FB"/>
            </w:tcBorders>
          </w:tcPr>
          <w:p>
            <w:pPr>
              <w:spacing w:after="0"/>
              <w:rPr>
                <w:sz w:val="3"/>
                <w:szCs w:val="3"/>
                <w:color w:val="auto"/>
              </w:rPr>
            </w:pPr>
          </w:p>
        </w:tc>
        <w:tc>
          <w:tcPr>
            <w:tcW w:w="1480" w:type="dxa"/>
            <w:vAlign w:val="bottom"/>
            <w:tcBorders>
              <w:bottom w:val="single" w:sz="8" w:color="DFF1FB"/>
            </w:tcBorders>
          </w:tcPr>
          <w:p>
            <w:pPr>
              <w:spacing w:after="0"/>
              <w:rPr>
                <w:sz w:val="3"/>
                <w:szCs w:val="3"/>
                <w:color w:val="auto"/>
              </w:rPr>
            </w:pPr>
          </w:p>
        </w:tc>
        <w:tc>
          <w:tcPr>
            <w:tcW w:w="1300" w:type="dxa"/>
            <w:vAlign w:val="bottom"/>
            <w:tcBorders>
              <w:bottom w:val="single" w:sz="8" w:color="DFF1FB"/>
            </w:tcBorders>
          </w:tcPr>
          <w:p>
            <w:pPr>
              <w:spacing w:after="0"/>
              <w:rPr>
                <w:sz w:val="3"/>
                <w:szCs w:val="3"/>
                <w:color w:val="auto"/>
              </w:rPr>
            </w:pPr>
          </w:p>
        </w:tc>
        <w:tc>
          <w:tcPr>
            <w:tcW w:w="1180" w:type="dxa"/>
            <w:vAlign w:val="bottom"/>
            <w:tcBorders>
              <w:bottom w:val="single" w:sz="8" w:color="DFF1FB"/>
            </w:tcBorders>
          </w:tcPr>
          <w:p>
            <w:pPr>
              <w:spacing w:after="0"/>
              <w:rPr>
                <w:sz w:val="3"/>
                <w:szCs w:val="3"/>
                <w:color w:val="auto"/>
              </w:rPr>
            </w:pPr>
          </w:p>
        </w:tc>
      </w:tr>
      <w:tr>
        <w:trPr>
          <w:trHeight w:val="195"/>
        </w:trPr>
        <w:tc>
          <w:tcPr>
            <w:tcW w:w="4720" w:type="dxa"/>
            <w:vAlign w:val="bottom"/>
          </w:tcPr>
          <w:p>
            <w:pPr>
              <w:ind w:left="80"/>
              <w:spacing w:after="0"/>
              <w:rPr>
                <w:sz w:val="20"/>
                <w:szCs w:val="20"/>
                <w:color w:val="auto"/>
              </w:rPr>
            </w:pPr>
            <w:r>
              <w:rPr>
                <w:rFonts w:ascii="Arial" w:cs="Arial" w:eastAsia="Arial" w:hAnsi="Arial"/>
                <w:sz w:val="13"/>
                <w:szCs w:val="13"/>
                <w:color w:val="auto"/>
              </w:rPr>
              <w:t>Judith A. Sprieser</w:t>
            </w:r>
          </w:p>
        </w:tc>
        <w:tc>
          <w:tcPr>
            <w:tcW w:w="2740" w:type="dxa"/>
            <w:vAlign w:val="bottom"/>
          </w:tcPr>
          <w:p>
            <w:pPr>
              <w:jc w:val="right"/>
              <w:ind w:right="53"/>
              <w:spacing w:after="0"/>
              <w:rPr>
                <w:sz w:val="20"/>
                <w:szCs w:val="20"/>
                <w:color w:val="auto"/>
              </w:rPr>
            </w:pPr>
            <w:r>
              <w:rPr>
                <w:rFonts w:ascii="Arial" w:cs="Arial" w:eastAsia="Arial" w:hAnsi="Arial"/>
                <w:sz w:val="13"/>
                <w:szCs w:val="13"/>
                <w:color w:val="auto"/>
              </w:rPr>
              <w:t>0</w:t>
            </w:r>
          </w:p>
        </w:tc>
        <w:tc>
          <w:tcPr>
            <w:tcW w:w="1480" w:type="dxa"/>
            <w:vAlign w:val="bottom"/>
          </w:tcPr>
          <w:p>
            <w:pPr>
              <w:jc w:val="right"/>
              <w:ind w:right="73"/>
              <w:spacing w:after="0"/>
              <w:rPr>
                <w:sz w:val="20"/>
                <w:szCs w:val="20"/>
                <w:color w:val="auto"/>
              </w:rPr>
            </w:pPr>
            <w:r>
              <w:rPr>
                <w:rFonts w:ascii="Arial" w:cs="Arial" w:eastAsia="Arial" w:hAnsi="Arial"/>
                <w:sz w:val="13"/>
                <w:szCs w:val="13"/>
                <w:color w:val="auto"/>
              </w:rPr>
              <w:t>0</w:t>
            </w:r>
          </w:p>
        </w:tc>
        <w:tc>
          <w:tcPr>
            <w:tcW w:w="1300" w:type="dxa"/>
            <w:vAlign w:val="bottom"/>
          </w:tcPr>
          <w:p>
            <w:pPr>
              <w:jc w:val="right"/>
              <w:ind w:right="73"/>
              <w:spacing w:after="0"/>
              <w:rPr>
                <w:sz w:val="20"/>
                <w:szCs w:val="20"/>
                <w:color w:val="auto"/>
              </w:rPr>
            </w:pPr>
            <w:r>
              <w:rPr>
                <w:rFonts w:ascii="Arial" w:cs="Arial" w:eastAsia="Arial" w:hAnsi="Arial"/>
                <w:sz w:val="13"/>
                <w:szCs w:val="13"/>
                <w:color w:val="auto"/>
              </w:rPr>
              <w:t>35,848</w:t>
            </w:r>
          </w:p>
        </w:tc>
        <w:tc>
          <w:tcPr>
            <w:tcW w:w="1180" w:type="dxa"/>
            <w:vAlign w:val="bottom"/>
          </w:tcPr>
          <w:p>
            <w:pPr>
              <w:jc w:val="right"/>
              <w:ind w:right="13"/>
              <w:spacing w:after="0"/>
              <w:rPr>
                <w:sz w:val="20"/>
                <w:szCs w:val="20"/>
                <w:color w:val="auto"/>
              </w:rPr>
            </w:pPr>
            <w:r>
              <w:rPr>
                <w:rFonts w:ascii="Arial" w:cs="Arial" w:eastAsia="Arial" w:hAnsi="Arial"/>
                <w:sz w:val="13"/>
                <w:szCs w:val="13"/>
                <w:color w:val="auto"/>
              </w:rPr>
              <w:t>35,848</w:t>
            </w:r>
          </w:p>
        </w:tc>
      </w:tr>
      <w:tr>
        <w:trPr>
          <w:trHeight w:val="41"/>
        </w:trPr>
        <w:tc>
          <w:tcPr>
            <w:tcW w:w="4720" w:type="dxa"/>
            <w:vAlign w:val="bottom"/>
            <w:tcBorders>
              <w:bottom w:val="single" w:sz="8" w:color="DFF1FB"/>
            </w:tcBorders>
          </w:tcPr>
          <w:p>
            <w:pPr>
              <w:spacing w:after="0"/>
              <w:rPr>
                <w:sz w:val="3"/>
                <w:szCs w:val="3"/>
                <w:color w:val="auto"/>
              </w:rPr>
            </w:pPr>
          </w:p>
        </w:tc>
        <w:tc>
          <w:tcPr>
            <w:tcW w:w="2740" w:type="dxa"/>
            <w:vAlign w:val="bottom"/>
            <w:tcBorders>
              <w:bottom w:val="single" w:sz="8" w:color="DFF1FB"/>
            </w:tcBorders>
          </w:tcPr>
          <w:p>
            <w:pPr>
              <w:spacing w:after="0"/>
              <w:rPr>
                <w:sz w:val="3"/>
                <w:szCs w:val="3"/>
                <w:color w:val="auto"/>
              </w:rPr>
            </w:pPr>
          </w:p>
        </w:tc>
        <w:tc>
          <w:tcPr>
            <w:tcW w:w="1480" w:type="dxa"/>
            <w:vAlign w:val="bottom"/>
            <w:tcBorders>
              <w:bottom w:val="single" w:sz="8" w:color="DFF1FB"/>
            </w:tcBorders>
          </w:tcPr>
          <w:p>
            <w:pPr>
              <w:spacing w:after="0"/>
              <w:rPr>
                <w:sz w:val="3"/>
                <w:szCs w:val="3"/>
                <w:color w:val="auto"/>
              </w:rPr>
            </w:pPr>
          </w:p>
        </w:tc>
        <w:tc>
          <w:tcPr>
            <w:tcW w:w="1300" w:type="dxa"/>
            <w:vAlign w:val="bottom"/>
            <w:tcBorders>
              <w:bottom w:val="single" w:sz="8" w:color="DFF1FB"/>
            </w:tcBorders>
          </w:tcPr>
          <w:p>
            <w:pPr>
              <w:spacing w:after="0"/>
              <w:rPr>
                <w:sz w:val="3"/>
                <w:szCs w:val="3"/>
                <w:color w:val="auto"/>
              </w:rPr>
            </w:pPr>
          </w:p>
        </w:tc>
        <w:tc>
          <w:tcPr>
            <w:tcW w:w="1180" w:type="dxa"/>
            <w:vAlign w:val="bottom"/>
            <w:tcBorders>
              <w:bottom w:val="single" w:sz="8" w:color="DFF1FB"/>
            </w:tcBorders>
          </w:tcPr>
          <w:p>
            <w:pPr>
              <w:spacing w:after="0"/>
              <w:rPr>
                <w:sz w:val="3"/>
                <w:szCs w:val="3"/>
                <w:color w:val="auto"/>
              </w:rPr>
            </w:pPr>
          </w:p>
        </w:tc>
      </w:tr>
      <w:tr>
        <w:trPr>
          <w:trHeight w:val="195"/>
        </w:trPr>
        <w:tc>
          <w:tcPr>
            <w:tcW w:w="4720" w:type="dxa"/>
            <w:vAlign w:val="bottom"/>
          </w:tcPr>
          <w:p>
            <w:pPr>
              <w:ind w:left="80"/>
              <w:spacing w:after="0"/>
              <w:rPr>
                <w:sz w:val="20"/>
                <w:szCs w:val="20"/>
                <w:color w:val="auto"/>
              </w:rPr>
            </w:pPr>
            <w:r>
              <w:rPr>
                <w:rFonts w:ascii="Arial" w:cs="Arial" w:eastAsia="Arial" w:hAnsi="Arial"/>
                <w:sz w:val="13"/>
                <w:szCs w:val="13"/>
                <w:color w:val="auto"/>
              </w:rPr>
              <w:t>Perry M. Traquina</w:t>
            </w:r>
          </w:p>
        </w:tc>
        <w:tc>
          <w:tcPr>
            <w:tcW w:w="2740" w:type="dxa"/>
            <w:vAlign w:val="bottom"/>
          </w:tcPr>
          <w:p>
            <w:pPr>
              <w:jc w:val="right"/>
              <w:ind w:right="53"/>
              <w:spacing w:after="0"/>
              <w:rPr>
                <w:sz w:val="20"/>
                <w:szCs w:val="20"/>
                <w:color w:val="auto"/>
              </w:rPr>
            </w:pPr>
            <w:r>
              <w:rPr>
                <w:rFonts w:ascii="Arial" w:cs="Arial" w:eastAsia="Arial" w:hAnsi="Arial"/>
                <w:sz w:val="13"/>
                <w:szCs w:val="13"/>
                <w:color w:val="auto"/>
              </w:rPr>
              <w:t>793</w:t>
            </w:r>
          </w:p>
        </w:tc>
        <w:tc>
          <w:tcPr>
            <w:tcW w:w="1480" w:type="dxa"/>
            <w:vAlign w:val="bottom"/>
          </w:tcPr>
          <w:p>
            <w:pPr>
              <w:jc w:val="right"/>
              <w:ind w:right="73"/>
              <w:spacing w:after="0"/>
              <w:rPr>
                <w:sz w:val="20"/>
                <w:szCs w:val="20"/>
                <w:color w:val="auto"/>
              </w:rPr>
            </w:pPr>
            <w:r>
              <w:rPr>
                <w:rFonts w:ascii="Arial" w:cs="Arial" w:eastAsia="Arial" w:hAnsi="Arial"/>
                <w:sz w:val="13"/>
                <w:szCs w:val="13"/>
                <w:color w:val="auto"/>
              </w:rPr>
              <w:t>0</w:t>
            </w:r>
          </w:p>
        </w:tc>
        <w:tc>
          <w:tcPr>
            <w:tcW w:w="1300" w:type="dxa"/>
            <w:vAlign w:val="bottom"/>
          </w:tcPr>
          <w:p>
            <w:pPr>
              <w:jc w:val="right"/>
              <w:ind w:right="73"/>
              <w:spacing w:after="0"/>
              <w:rPr>
                <w:sz w:val="20"/>
                <w:szCs w:val="20"/>
                <w:color w:val="auto"/>
              </w:rPr>
            </w:pPr>
            <w:r>
              <w:rPr>
                <w:rFonts w:ascii="Arial" w:cs="Arial" w:eastAsia="Arial" w:hAnsi="Arial"/>
                <w:sz w:val="13"/>
                <w:szCs w:val="13"/>
                <w:color w:val="auto"/>
              </w:rPr>
              <w:t>3,435</w:t>
            </w:r>
          </w:p>
        </w:tc>
        <w:tc>
          <w:tcPr>
            <w:tcW w:w="1180" w:type="dxa"/>
            <w:vAlign w:val="bottom"/>
          </w:tcPr>
          <w:p>
            <w:pPr>
              <w:jc w:val="right"/>
              <w:ind w:right="13"/>
              <w:spacing w:after="0"/>
              <w:rPr>
                <w:sz w:val="20"/>
                <w:szCs w:val="20"/>
                <w:color w:val="auto"/>
              </w:rPr>
            </w:pPr>
            <w:r>
              <w:rPr>
                <w:rFonts w:ascii="Arial" w:cs="Arial" w:eastAsia="Arial" w:hAnsi="Arial"/>
                <w:sz w:val="13"/>
                <w:szCs w:val="13"/>
                <w:color w:val="auto"/>
              </w:rPr>
              <w:t>4,228</w:t>
            </w:r>
          </w:p>
        </w:tc>
      </w:tr>
      <w:tr>
        <w:trPr>
          <w:trHeight w:val="41"/>
        </w:trPr>
        <w:tc>
          <w:tcPr>
            <w:tcW w:w="4720" w:type="dxa"/>
            <w:vAlign w:val="bottom"/>
            <w:tcBorders>
              <w:bottom w:val="single" w:sz="8" w:color="DFF1FB"/>
            </w:tcBorders>
          </w:tcPr>
          <w:p>
            <w:pPr>
              <w:spacing w:after="0"/>
              <w:rPr>
                <w:sz w:val="3"/>
                <w:szCs w:val="3"/>
                <w:color w:val="auto"/>
              </w:rPr>
            </w:pPr>
          </w:p>
        </w:tc>
        <w:tc>
          <w:tcPr>
            <w:tcW w:w="2740" w:type="dxa"/>
            <w:vAlign w:val="bottom"/>
            <w:tcBorders>
              <w:bottom w:val="single" w:sz="8" w:color="DFF1FB"/>
            </w:tcBorders>
          </w:tcPr>
          <w:p>
            <w:pPr>
              <w:spacing w:after="0"/>
              <w:rPr>
                <w:sz w:val="3"/>
                <w:szCs w:val="3"/>
                <w:color w:val="auto"/>
              </w:rPr>
            </w:pPr>
          </w:p>
        </w:tc>
        <w:tc>
          <w:tcPr>
            <w:tcW w:w="1480" w:type="dxa"/>
            <w:vAlign w:val="bottom"/>
            <w:tcBorders>
              <w:bottom w:val="single" w:sz="8" w:color="DFF1FB"/>
            </w:tcBorders>
          </w:tcPr>
          <w:p>
            <w:pPr>
              <w:spacing w:after="0"/>
              <w:rPr>
                <w:sz w:val="3"/>
                <w:szCs w:val="3"/>
                <w:color w:val="auto"/>
              </w:rPr>
            </w:pPr>
          </w:p>
        </w:tc>
        <w:tc>
          <w:tcPr>
            <w:tcW w:w="1300" w:type="dxa"/>
            <w:vAlign w:val="bottom"/>
            <w:tcBorders>
              <w:bottom w:val="single" w:sz="8" w:color="DFF1FB"/>
            </w:tcBorders>
          </w:tcPr>
          <w:p>
            <w:pPr>
              <w:spacing w:after="0"/>
              <w:rPr>
                <w:sz w:val="3"/>
                <w:szCs w:val="3"/>
                <w:color w:val="auto"/>
              </w:rPr>
            </w:pPr>
          </w:p>
        </w:tc>
        <w:tc>
          <w:tcPr>
            <w:tcW w:w="1180" w:type="dxa"/>
            <w:vAlign w:val="bottom"/>
            <w:tcBorders>
              <w:bottom w:val="single" w:sz="8" w:color="DFF1FB"/>
            </w:tcBorders>
          </w:tcPr>
          <w:p>
            <w:pPr>
              <w:spacing w:after="0"/>
              <w:rPr>
                <w:sz w:val="3"/>
                <w:szCs w:val="3"/>
                <w:color w:val="auto"/>
              </w:rPr>
            </w:pPr>
          </w:p>
        </w:tc>
      </w:tr>
      <w:tr>
        <w:trPr>
          <w:trHeight w:val="290"/>
        </w:trPr>
        <w:tc>
          <w:tcPr>
            <w:tcW w:w="4720" w:type="dxa"/>
            <w:vAlign w:val="bottom"/>
            <w:tcBorders>
              <w:bottom w:val="single" w:sz="8" w:color="DFF1FB"/>
            </w:tcBorders>
          </w:tcPr>
          <w:p>
            <w:pPr>
              <w:ind w:left="80"/>
              <w:spacing w:after="0"/>
              <w:rPr>
                <w:sz w:val="20"/>
                <w:szCs w:val="20"/>
                <w:color w:val="auto"/>
              </w:rPr>
            </w:pPr>
            <w:r>
              <w:rPr>
                <w:rFonts w:ascii="Arial" w:cs="Arial" w:eastAsia="Arial" w:hAnsi="Arial"/>
                <w:sz w:val="13"/>
                <w:szCs w:val="13"/>
                <w:color w:val="auto"/>
              </w:rPr>
              <w:t>Thomas J. Wilson</w:t>
            </w:r>
            <w:r>
              <w:rPr>
                <w:rFonts w:ascii="Arial" w:cs="Arial" w:eastAsia="Arial" w:hAnsi="Arial"/>
                <w:sz w:val="22"/>
                <w:szCs w:val="22"/>
                <w:color w:val="auto"/>
                <w:vertAlign w:val="superscript"/>
              </w:rPr>
              <w:t>(4)</w:t>
            </w:r>
          </w:p>
        </w:tc>
        <w:tc>
          <w:tcPr>
            <w:tcW w:w="2740" w:type="dxa"/>
            <w:vAlign w:val="bottom"/>
            <w:tcBorders>
              <w:bottom w:val="single" w:sz="8" w:color="DFF1FB"/>
            </w:tcBorders>
          </w:tcPr>
          <w:p>
            <w:pPr>
              <w:jc w:val="right"/>
              <w:ind w:right="53"/>
              <w:spacing w:after="0"/>
              <w:rPr>
                <w:sz w:val="20"/>
                <w:szCs w:val="20"/>
                <w:color w:val="auto"/>
              </w:rPr>
            </w:pPr>
            <w:r>
              <w:rPr>
                <w:rFonts w:ascii="Arial" w:cs="Arial" w:eastAsia="Arial" w:hAnsi="Arial"/>
                <w:sz w:val="13"/>
                <w:szCs w:val="13"/>
                <w:color w:val="auto"/>
              </w:rPr>
              <w:t>692,641</w:t>
            </w:r>
          </w:p>
        </w:tc>
        <w:tc>
          <w:tcPr>
            <w:tcW w:w="1480" w:type="dxa"/>
            <w:vAlign w:val="bottom"/>
            <w:tcBorders>
              <w:bottom w:val="single" w:sz="8" w:color="DFF1FB"/>
            </w:tcBorders>
          </w:tcPr>
          <w:p>
            <w:pPr>
              <w:jc w:val="right"/>
              <w:ind w:right="73"/>
              <w:spacing w:after="0"/>
              <w:rPr>
                <w:sz w:val="20"/>
                <w:szCs w:val="20"/>
                <w:color w:val="auto"/>
              </w:rPr>
            </w:pPr>
            <w:r>
              <w:rPr>
                <w:rFonts w:ascii="Arial" w:cs="Arial" w:eastAsia="Arial" w:hAnsi="Arial"/>
                <w:sz w:val="13"/>
                <w:szCs w:val="13"/>
                <w:color w:val="auto"/>
              </w:rPr>
              <w:t>2,395,765</w:t>
            </w:r>
          </w:p>
        </w:tc>
        <w:tc>
          <w:tcPr>
            <w:tcW w:w="1300" w:type="dxa"/>
            <w:vAlign w:val="bottom"/>
            <w:tcBorders>
              <w:bottom w:val="single" w:sz="8" w:color="DFF1FB"/>
            </w:tcBorders>
          </w:tcPr>
          <w:p>
            <w:pPr>
              <w:jc w:val="right"/>
              <w:ind w:right="73"/>
              <w:spacing w:after="0"/>
              <w:rPr>
                <w:sz w:val="20"/>
                <w:szCs w:val="20"/>
                <w:color w:val="auto"/>
              </w:rPr>
            </w:pPr>
            <w:r>
              <w:rPr>
                <w:rFonts w:ascii="Arial" w:cs="Arial" w:eastAsia="Arial" w:hAnsi="Arial"/>
                <w:sz w:val="13"/>
                <w:szCs w:val="13"/>
                <w:color w:val="auto"/>
              </w:rPr>
              <w:t>0</w:t>
            </w:r>
          </w:p>
        </w:tc>
        <w:tc>
          <w:tcPr>
            <w:tcW w:w="1180" w:type="dxa"/>
            <w:vAlign w:val="bottom"/>
            <w:tcBorders>
              <w:bottom w:val="single" w:sz="8" w:color="DFF1FB"/>
            </w:tcBorders>
          </w:tcPr>
          <w:p>
            <w:pPr>
              <w:jc w:val="right"/>
              <w:ind w:right="13"/>
              <w:spacing w:after="0"/>
              <w:rPr>
                <w:sz w:val="20"/>
                <w:szCs w:val="20"/>
                <w:color w:val="auto"/>
              </w:rPr>
            </w:pPr>
            <w:r>
              <w:rPr>
                <w:rFonts w:ascii="Arial" w:cs="Arial" w:eastAsia="Arial" w:hAnsi="Arial"/>
                <w:sz w:val="13"/>
                <w:szCs w:val="13"/>
                <w:color w:val="auto"/>
              </w:rPr>
              <w:t>3,088,406</w:t>
            </w:r>
          </w:p>
        </w:tc>
      </w:tr>
      <w:tr>
        <w:trPr>
          <w:trHeight w:val="195"/>
        </w:trPr>
        <w:tc>
          <w:tcPr>
            <w:tcW w:w="4720" w:type="dxa"/>
            <w:vAlign w:val="bottom"/>
          </w:tcPr>
          <w:p>
            <w:pPr>
              <w:ind w:left="80"/>
              <w:spacing w:after="0"/>
              <w:rPr>
                <w:sz w:val="20"/>
                <w:szCs w:val="20"/>
                <w:color w:val="auto"/>
              </w:rPr>
            </w:pPr>
            <w:r>
              <w:rPr>
                <w:rFonts w:ascii="Arial" w:cs="Arial" w:eastAsia="Arial" w:hAnsi="Arial"/>
                <w:sz w:val="13"/>
                <w:szCs w:val="13"/>
                <w:color w:val="auto"/>
              </w:rPr>
              <w:t>Mario Rizzo</w:t>
            </w:r>
          </w:p>
        </w:tc>
        <w:tc>
          <w:tcPr>
            <w:tcW w:w="2740" w:type="dxa"/>
            <w:vAlign w:val="bottom"/>
          </w:tcPr>
          <w:p>
            <w:pPr>
              <w:jc w:val="right"/>
              <w:ind w:right="53"/>
              <w:spacing w:after="0"/>
              <w:rPr>
                <w:sz w:val="20"/>
                <w:szCs w:val="20"/>
                <w:color w:val="auto"/>
              </w:rPr>
            </w:pPr>
            <w:r>
              <w:rPr>
                <w:rFonts w:ascii="Arial" w:cs="Arial" w:eastAsia="Arial" w:hAnsi="Arial"/>
                <w:sz w:val="13"/>
                <w:szCs w:val="13"/>
                <w:color w:val="auto"/>
              </w:rPr>
              <w:t>14,638</w:t>
            </w:r>
          </w:p>
        </w:tc>
        <w:tc>
          <w:tcPr>
            <w:tcW w:w="1480" w:type="dxa"/>
            <w:vAlign w:val="bottom"/>
          </w:tcPr>
          <w:p>
            <w:pPr>
              <w:jc w:val="right"/>
              <w:ind w:right="73"/>
              <w:spacing w:after="0"/>
              <w:rPr>
                <w:sz w:val="20"/>
                <w:szCs w:val="20"/>
                <w:color w:val="auto"/>
              </w:rPr>
            </w:pPr>
            <w:r>
              <w:rPr>
                <w:rFonts w:ascii="Arial" w:cs="Arial" w:eastAsia="Arial" w:hAnsi="Arial"/>
                <w:sz w:val="13"/>
                <w:szCs w:val="13"/>
                <w:color w:val="auto"/>
              </w:rPr>
              <w:t>62,127</w:t>
            </w:r>
          </w:p>
        </w:tc>
        <w:tc>
          <w:tcPr>
            <w:tcW w:w="1300" w:type="dxa"/>
            <w:vAlign w:val="bottom"/>
          </w:tcPr>
          <w:p>
            <w:pPr>
              <w:jc w:val="right"/>
              <w:ind w:right="73"/>
              <w:spacing w:after="0"/>
              <w:rPr>
                <w:sz w:val="20"/>
                <w:szCs w:val="20"/>
                <w:color w:val="auto"/>
              </w:rPr>
            </w:pPr>
            <w:r>
              <w:rPr>
                <w:rFonts w:ascii="Arial" w:cs="Arial" w:eastAsia="Arial" w:hAnsi="Arial"/>
                <w:sz w:val="13"/>
                <w:szCs w:val="13"/>
                <w:color w:val="auto"/>
              </w:rPr>
              <w:t>0</w:t>
            </w:r>
          </w:p>
        </w:tc>
        <w:tc>
          <w:tcPr>
            <w:tcW w:w="1180" w:type="dxa"/>
            <w:vAlign w:val="bottom"/>
          </w:tcPr>
          <w:p>
            <w:pPr>
              <w:jc w:val="right"/>
              <w:ind w:right="13"/>
              <w:spacing w:after="0"/>
              <w:rPr>
                <w:sz w:val="20"/>
                <w:szCs w:val="20"/>
                <w:color w:val="auto"/>
              </w:rPr>
            </w:pPr>
            <w:r>
              <w:rPr>
                <w:rFonts w:ascii="Arial" w:cs="Arial" w:eastAsia="Arial" w:hAnsi="Arial"/>
                <w:sz w:val="13"/>
                <w:szCs w:val="13"/>
                <w:color w:val="auto"/>
              </w:rPr>
              <w:t>76,765</w:t>
            </w:r>
          </w:p>
        </w:tc>
      </w:tr>
      <w:tr>
        <w:trPr>
          <w:trHeight w:val="41"/>
        </w:trPr>
        <w:tc>
          <w:tcPr>
            <w:tcW w:w="4720" w:type="dxa"/>
            <w:vAlign w:val="bottom"/>
            <w:tcBorders>
              <w:bottom w:val="single" w:sz="8" w:color="DFF1FB"/>
            </w:tcBorders>
          </w:tcPr>
          <w:p>
            <w:pPr>
              <w:spacing w:after="0"/>
              <w:rPr>
                <w:sz w:val="3"/>
                <w:szCs w:val="3"/>
                <w:color w:val="auto"/>
              </w:rPr>
            </w:pPr>
          </w:p>
        </w:tc>
        <w:tc>
          <w:tcPr>
            <w:tcW w:w="2740" w:type="dxa"/>
            <w:vAlign w:val="bottom"/>
            <w:tcBorders>
              <w:bottom w:val="single" w:sz="8" w:color="DFF1FB"/>
            </w:tcBorders>
          </w:tcPr>
          <w:p>
            <w:pPr>
              <w:spacing w:after="0"/>
              <w:rPr>
                <w:sz w:val="3"/>
                <w:szCs w:val="3"/>
                <w:color w:val="auto"/>
              </w:rPr>
            </w:pPr>
          </w:p>
        </w:tc>
        <w:tc>
          <w:tcPr>
            <w:tcW w:w="1480" w:type="dxa"/>
            <w:vAlign w:val="bottom"/>
            <w:tcBorders>
              <w:bottom w:val="single" w:sz="8" w:color="DFF1FB"/>
            </w:tcBorders>
          </w:tcPr>
          <w:p>
            <w:pPr>
              <w:spacing w:after="0"/>
              <w:rPr>
                <w:sz w:val="3"/>
                <w:szCs w:val="3"/>
                <w:color w:val="auto"/>
              </w:rPr>
            </w:pPr>
          </w:p>
        </w:tc>
        <w:tc>
          <w:tcPr>
            <w:tcW w:w="1300" w:type="dxa"/>
            <w:vAlign w:val="bottom"/>
            <w:tcBorders>
              <w:bottom w:val="single" w:sz="8" w:color="DFF1FB"/>
            </w:tcBorders>
          </w:tcPr>
          <w:p>
            <w:pPr>
              <w:spacing w:after="0"/>
              <w:rPr>
                <w:sz w:val="3"/>
                <w:szCs w:val="3"/>
                <w:color w:val="auto"/>
              </w:rPr>
            </w:pPr>
          </w:p>
        </w:tc>
        <w:tc>
          <w:tcPr>
            <w:tcW w:w="1180" w:type="dxa"/>
            <w:vAlign w:val="bottom"/>
            <w:tcBorders>
              <w:bottom w:val="single" w:sz="8" w:color="DFF1FB"/>
            </w:tcBorders>
          </w:tcPr>
          <w:p>
            <w:pPr>
              <w:spacing w:after="0"/>
              <w:rPr>
                <w:sz w:val="3"/>
                <w:szCs w:val="3"/>
                <w:color w:val="auto"/>
              </w:rPr>
            </w:pPr>
          </w:p>
        </w:tc>
      </w:tr>
      <w:tr>
        <w:trPr>
          <w:trHeight w:val="195"/>
        </w:trPr>
        <w:tc>
          <w:tcPr>
            <w:tcW w:w="4720" w:type="dxa"/>
            <w:vAlign w:val="bottom"/>
          </w:tcPr>
          <w:p>
            <w:pPr>
              <w:ind w:left="80"/>
              <w:spacing w:after="0"/>
              <w:rPr>
                <w:sz w:val="20"/>
                <w:szCs w:val="20"/>
                <w:color w:val="auto"/>
              </w:rPr>
            </w:pPr>
            <w:r>
              <w:rPr>
                <w:rFonts w:ascii="Arial" w:cs="Arial" w:eastAsia="Arial" w:hAnsi="Arial"/>
                <w:sz w:val="13"/>
                <w:szCs w:val="13"/>
                <w:color w:val="auto"/>
              </w:rPr>
              <w:t>John E. Dugenske</w:t>
            </w:r>
          </w:p>
        </w:tc>
        <w:tc>
          <w:tcPr>
            <w:tcW w:w="2740" w:type="dxa"/>
            <w:vAlign w:val="bottom"/>
          </w:tcPr>
          <w:p>
            <w:pPr>
              <w:jc w:val="right"/>
              <w:ind w:right="53"/>
              <w:spacing w:after="0"/>
              <w:rPr>
                <w:sz w:val="20"/>
                <w:szCs w:val="20"/>
                <w:color w:val="auto"/>
              </w:rPr>
            </w:pPr>
            <w:r>
              <w:rPr>
                <w:rFonts w:ascii="Arial" w:cs="Arial" w:eastAsia="Arial" w:hAnsi="Arial"/>
                <w:sz w:val="13"/>
                <w:szCs w:val="13"/>
                <w:color w:val="auto"/>
              </w:rPr>
              <w:t>192</w:t>
            </w:r>
          </w:p>
        </w:tc>
        <w:tc>
          <w:tcPr>
            <w:tcW w:w="1480" w:type="dxa"/>
            <w:vAlign w:val="bottom"/>
          </w:tcPr>
          <w:p>
            <w:pPr>
              <w:jc w:val="right"/>
              <w:ind w:right="73"/>
              <w:spacing w:after="0"/>
              <w:rPr>
                <w:sz w:val="20"/>
                <w:szCs w:val="20"/>
                <w:color w:val="auto"/>
              </w:rPr>
            </w:pPr>
            <w:r>
              <w:rPr>
                <w:rFonts w:ascii="Arial" w:cs="Arial" w:eastAsia="Arial" w:hAnsi="Arial"/>
                <w:sz w:val="13"/>
                <w:szCs w:val="13"/>
                <w:color w:val="auto"/>
              </w:rPr>
              <w:t>56,357</w:t>
            </w:r>
          </w:p>
        </w:tc>
        <w:tc>
          <w:tcPr>
            <w:tcW w:w="1300" w:type="dxa"/>
            <w:vAlign w:val="bottom"/>
          </w:tcPr>
          <w:p>
            <w:pPr>
              <w:jc w:val="right"/>
              <w:ind w:right="73"/>
              <w:spacing w:after="0"/>
              <w:rPr>
                <w:sz w:val="20"/>
                <w:szCs w:val="20"/>
                <w:color w:val="auto"/>
              </w:rPr>
            </w:pPr>
            <w:r>
              <w:rPr>
                <w:rFonts w:ascii="Arial" w:cs="Arial" w:eastAsia="Arial" w:hAnsi="Arial"/>
                <w:sz w:val="13"/>
                <w:szCs w:val="13"/>
                <w:color w:val="auto"/>
              </w:rPr>
              <w:t>0</w:t>
            </w:r>
          </w:p>
        </w:tc>
        <w:tc>
          <w:tcPr>
            <w:tcW w:w="1180" w:type="dxa"/>
            <w:vAlign w:val="bottom"/>
          </w:tcPr>
          <w:p>
            <w:pPr>
              <w:jc w:val="right"/>
              <w:ind w:right="13"/>
              <w:spacing w:after="0"/>
              <w:rPr>
                <w:sz w:val="20"/>
                <w:szCs w:val="20"/>
                <w:color w:val="auto"/>
              </w:rPr>
            </w:pPr>
            <w:r>
              <w:rPr>
                <w:rFonts w:ascii="Arial" w:cs="Arial" w:eastAsia="Arial" w:hAnsi="Arial"/>
                <w:sz w:val="13"/>
                <w:szCs w:val="13"/>
                <w:color w:val="auto"/>
              </w:rPr>
              <w:t>56,549</w:t>
            </w:r>
          </w:p>
        </w:tc>
      </w:tr>
      <w:tr>
        <w:trPr>
          <w:trHeight w:val="41"/>
        </w:trPr>
        <w:tc>
          <w:tcPr>
            <w:tcW w:w="4720" w:type="dxa"/>
            <w:vAlign w:val="bottom"/>
            <w:tcBorders>
              <w:bottom w:val="single" w:sz="8" w:color="DFF1FB"/>
            </w:tcBorders>
          </w:tcPr>
          <w:p>
            <w:pPr>
              <w:spacing w:after="0"/>
              <w:rPr>
                <w:sz w:val="3"/>
                <w:szCs w:val="3"/>
                <w:color w:val="auto"/>
              </w:rPr>
            </w:pPr>
          </w:p>
        </w:tc>
        <w:tc>
          <w:tcPr>
            <w:tcW w:w="2740" w:type="dxa"/>
            <w:vAlign w:val="bottom"/>
            <w:tcBorders>
              <w:bottom w:val="single" w:sz="8" w:color="DFF1FB"/>
            </w:tcBorders>
          </w:tcPr>
          <w:p>
            <w:pPr>
              <w:spacing w:after="0"/>
              <w:rPr>
                <w:sz w:val="3"/>
                <w:szCs w:val="3"/>
                <w:color w:val="auto"/>
              </w:rPr>
            </w:pPr>
          </w:p>
        </w:tc>
        <w:tc>
          <w:tcPr>
            <w:tcW w:w="1480" w:type="dxa"/>
            <w:vAlign w:val="bottom"/>
            <w:tcBorders>
              <w:bottom w:val="single" w:sz="8" w:color="DFF1FB"/>
            </w:tcBorders>
          </w:tcPr>
          <w:p>
            <w:pPr>
              <w:spacing w:after="0"/>
              <w:rPr>
                <w:sz w:val="3"/>
                <w:szCs w:val="3"/>
                <w:color w:val="auto"/>
              </w:rPr>
            </w:pPr>
          </w:p>
        </w:tc>
        <w:tc>
          <w:tcPr>
            <w:tcW w:w="1300" w:type="dxa"/>
            <w:vAlign w:val="bottom"/>
            <w:tcBorders>
              <w:bottom w:val="single" w:sz="8" w:color="DFF1FB"/>
            </w:tcBorders>
          </w:tcPr>
          <w:p>
            <w:pPr>
              <w:spacing w:after="0"/>
              <w:rPr>
                <w:sz w:val="3"/>
                <w:szCs w:val="3"/>
                <w:color w:val="auto"/>
              </w:rPr>
            </w:pPr>
          </w:p>
        </w:tc>
        <w:tc>
          <w:tcPr>
            <w:tcW w:w="1180" w:type="dxa"/>
            <w:vAlign w:val="bottom"/>
            <w:tcBorders>
              <w:bottom w:val="single" w:sz="8" w:color="DFF1FB"/>
            </w:tcBorders>
          </w:tcPr>
          <w:p>
            <w:pPr>
              <w:spacing w:after="0"/>
              <w:rPr>
                <w:sz w:val="3"/>
                <w:szCs w:val="3"/>
                <w:color w:val="auto"/>
              </w:rPr>
            </w:pPr>
          </w:p>
        </w:tc>
      </w:tr>
      <w:tr>
        <w:trPr>
          <w:trHeight w:val="195"/>
        </w:trPr>
        <w:tc>
          <w:tcPr>
            <w:tcW w:w="4720" w:type="dxa"/>
            <w:vAlign w:val="bottom"/>
          </w:tcPr>
          <w:p>
            <w:pPr>
              <w:ind w:left="80"/>
              <w:spacing w:after="0"/>
              <w:rPr>
                <w:sz w:val="20"/>
                <w:szCs w:val="20"/>
                <w:color w:val="auto"/>
              </w:rPr>
            </w:pPr>
            <w:r>
              <w:rPr>
                <w:rFonts w:ascii="Arial" w:cs="Arial" w:eastAsia="Arial" w:hAnsi="Arial"/>
                <w:sz w:val="13"/>
                <w:szCs w:val="13"/>
                <w:color w:val="auto"/>
              </w:rPr>
              <w:t>Glenn T. Shapiro</w:t>
            </w:r>
          </w:p>
        </w:tc>
        <w:tc>
          <w:tcPr>
            <w:tcW w:w="2740" w:type="dxa"/>
            <w:vAlign w:val="bottom"/>
          </w:tcPr>
          <w:p>
            <w:pPr>
              <w:jc w:val="right"/>
              <w:ind w:right="53"/>
              <w:spacing w:after="0"/>
              <w:rPr>
                <w:sz w:val="20"/>
                <w:szCs w:val="20"/>
                <w:color w:val="auto"/>
              </w:rPr>
            </w:pPr>
            <w:r>
              <w:rPr>
                <w:rFonts w:ascii="Arial" w:cs="Arial" w:eastAsia="Arial" w:hAnsi="Arial"/>
                <w:sz w:val="13"/>
                <w:szCs w:val="13"/>
                <w:color w:val="auto"/>
              </w:rPr>
              <w:t>17,631</w:t>
            </w:r>
          </w:p>
        </w:tc>
        <w:tc>
          <w:tcPr>
            <w:tcW w:w="1480" w:type="dxa"/>
            <w:vAlign w:val="bottom"/>
          </w:tcPr>
          <w:p>
            <w:pPr>
              <w:jc w:val="right"/>
              <w:ind w:right="73"/>
              <w:spacing w:after="0"/>
              <w:rPr>
                <w:sz w:val="20"/>
                <w:szCs w:val="20"/>
                <w:color w:val="auto"/>
              </w:rPr>
            </w:pPr>
            <w:r>
              <w:rPr>
                <w:rFonts w:ascii="Arial" w:cs="Arial" w:eastAsia="Arial" w:hAnsi="Arial"/>
                <w:sz w:val="13"/>
                <w:szCs w:val="13"/>
                <w:color w:val="auto"/>
              </w:rPr>
              <w:t>45,719</w:t>
            </w:r>
          </w:p>
        </w:tc>
        <w:tc>
          <w:tcPr>
            <w:tcW w:w="1300" w:type="dxa"/>
            <w:vAlign w:val="bottom"/>
          </w:tcPr>
          <w:p>
            <w:pPr>
              <w:jc w:val="right"/>
              <w:ind w:right="73"/>
              <w:spacing w:after="0"/>
              <w:rPr>
                <w:sz w:val="20"/>
                <w:szCs w:val="20"/>
                <w:color w:val="auto"/>
              </w:rPr>
            </w:pPr>
            <w:r>
              <w:rPr>
                <w:rFonts w:ascii="Arial" w:cs="Arial" w:eastAsia="Arial" w:hAnsi="Arial"/>
                <w:sz w:val="13"/>
                <w:szCs w:val="13"/>
                <w:color w:val="auto"/>
              </w:rPr>
              <w:t>0</w:t>
            </w:r>
          </w:p>
        </w:tc>
        <w:tc>
          <w:tcPr>
            <w:tcW w:w="1180" w:type="dxa"/>
            <w:vAlign w:val="bottom"/>
          </w:tcPr>
          <w:p>
            <w:pPr>
              <w:jc w:val="right"/>
              <w:ind w:right="13"/>
              <w:spacing w:after="0"/>
              <w:rPr>
                <w:sz w:val="20"/>
                <w:szCs w:val="20"/>
                <w:color w:val="auto"/>
              </w:rPr>
            </w:pPr>
            <w:r>
              <w:rPr>
                <w:rFonts w:ascii="Arial" w:cs="Arial" w:eastAsia="Arial" w:hAnsi="Arial"/>
                <w:sz w:val="13"/>
                <w:szCs w:val="13"/>
                <w:color w:val="auto"/>
              </w:rPr>
              <w:t>63,350</w:t>
            </w:r>
          </w:p>
        </w:tc>
      </w:tr>
      <w:tr>
        <w:trPr>
          <w:trHeight w:val="41"/>
        </w:trPr>
        <w:tc>
          <w:tcPr>
            <w:tcW w:w="4720" w:type="dxa"/>
            <w:vAlign w:val="bottom"/>
            <w:tcBorders>
              <w:bottom w:val="single" w:sz="8" w:color="DFF1FB"/>
            </w:tcBorders>
          </w:tcPr>
          <w:p>
            <w:pPr>
              <w:spacing w:after="0"/>
              <w:rPr>
                <w:sz w:val="3"/>
                <w:szCs w:val="3"/>
                <w:color w:val="auto"/>
              </w:rPr>
            </w:pPr>
          </w:p>
        </w:tc>
        <w:tc>
          <w:tcPr>
            <w:tcW w:w="2740" w:type="dxa"/>
            <w:vAlign w:val="bottom"/>
            <w:tcBorders>
              <w:bottom w:val="single" w:sz="8" w:color="DFF1FB"/>
            </w:tcBorders>
          </w:tcPr>
          <w:p>
            <w:pPr>
              <w:spacing w:after="0"/>
              <w:rPr>
                <w:sz w:val="3"/>
                <w:szCs w:val="3"/>
                <w:color w:val="auto"/>
              </w:rPr>
            </w:pPr>
          </w:p>
        </w:tc>
        <w:tc>
          <w:tcPr>
            <w:tcW w:w="1480" w:type="dxa"/>
            <w:vAlign w:val="bottom"/>
            <w:tcBorders>
              <w:bottom w:val="single" w:sz="8" w:color="DFF1FB"/>
            </w:tcBorders>
          </w:tcPr>
          <w:p>
            <w:pPr>
              <w:spacing w:after="0"/>
              <w:rPr>
                <w:sz w:val="3"/>
                <w:szCs w:val="3"/>
                <w:color w:val="auto"/>
              </w:rPr>
            </w:pPr>
          </w:p>
        </w:tc>
        <w:tc>
          <w:tcPr>
            <w:tcW w:w="1300" w:type="dxa"/>
            <w:vAlign w:val="bottom"/>
            <w:tcBorders>
              <w:bottom w:val="single" w:sz="8" w:color="DFF1FB"/>
            </w:tcBorders>
          </w:tcPr>
          <w:p>
            <w:pPr>
              <w:spacing w:after="0"/>
              <w:rPr>
                <w:sz w:val="3"/>
                <w:szCs w:val="3"/>
                <w:color w:val="auto"/>
              </w:rPr>
            </w:pPr>
          </w:p>
        </w:tc>
        <w:tc>
          <w:tcPr>
            <w:tcW w:w="1180" w:type="dxa"/>
            <w:vAlign w:val="bottom"/>
            <w:tcBorders>
              <w:bottom w:val="single" w:sz="8" w:color="DFF1FB"/>
            </w:tcBorders>
          </w:tcPr>
          <w:p>
            <w:pPr>
              <w:spacing w:after="0"/>
              <w:rPr>
                <w:sz w:val="3"/>
                <w:szCs w:val="3"/>
                <w:color w:val="auto"/>
              </w:rPr>
            </w:pPr>
          </w:p>
        </w:tc>
      </w:tr>
      <w:tr>
        <w:trPr>
          <w:trHeight w:val="195"/>
        </w:trPr>
        <w:tc>
          <w:tcPr>
            <w:tcW w:w="4720" w:type="dxa"/>
            <w:vAlign w:val="bottom"/>
          </w:tcPr>
          <w:p>
            <w:pPr>
              <w:ind w:left="80"/>
              <w:spacing w:after="0"/>
              <w:rPr>
                <w:sz w:val="20"/>
                <w:szCs w:val="20"/>
                <w:color w:val="auto"/>
              </w:rPr>
            </w:pPr>
            <w:r>
              <w:rPr>
                <w:rFonts w:ascii="Arial" w:cs="Arial" w:eastAsia="Arial" w:hAnsi="Arial"/>
                <w:sz w:val="13"/>
                <w:szCs w:val="13"/>
                <w:color w:val="auto"/>
              </w:rPr>
              <w:t>Steven E. Shebik</w:t>
            </w:r>
          </w:p>
        </w:tc>
        <w:tc>
          <w:tcPr>
            <w:tcW w:w="2740" w:type="dxa"/>
            <w:vAlign w:val="bottom"/>
          </w:tcPr>
          <w:p>
            <w:pPr>
              <w:jc w:val="right"/>
              <w:ind w:right="53"/>
              <w:spacing w:after="0"/>
              <w:rPr>
                <w:sz w:val="20"/>
                <w:szCs w:val="20"/>
                <w:color w:val="auto"/>
              </w:rPr>
            </w:pPr>
            <w:r>
              <w:rPr>
                <w:rFonts w:ascii="Arial" w:cs="Arial" w:eastAsia="Arial" w:hAnsi="Arial"/>
                <w:sz w:val="13"/>
                <w:szCs w:val="13"/>
                <w:color w:val="auto"/>
              </w:rPr>
              <w:t>134,956</w:t>
            </w:r>
          </w:p>
        </w:tc>
        <w:tc>
          <w:tcPr>
            <w:tcW w:w="1480" w:type="dxa"/>
            <w:vAlign w:val="bottom"/>
          </w:tcPr>
          <w:p>
            <w:pPr>
              <w:jc w:val="right"/>
              <w:ind w:right="73"/>
              <w:spacing w:after="0"/>
              <w:rPr>
                <w:sz w:val="20"/>
                <w:szCs w:val="20"/>
                <w:color w:val="auto"/>
              </w:rPr>
            </w:pPr>
            <w:r>
              <w:rPr>
                <w:rFonts w:ascii="Arial" w:cs="Arial" w:eastAsia="Arial" w:hAnsi="Arial"/>
                <w:sz w:val="13"/>
                <w:szCs w:val="13"/>
                <w:color w:val="auto"/>
              </w:rPr>
              <w:t>455,667</w:t>
            </w:r>
          </w:p>
        </w:tc>
        <w:tc>
          <w:tcPr>
            <w:tcW w:w="1300" w:type="dxa"/>
            <w:vAlign w:val="bottom"/>
          </w:tcPr>
          <w:p>
            <w:pPr>
              <w:jc w:val="right"/>
              <w:ind w:right="73"/>
              <w:spacing w:after="0"/>
              <w:rPr>
                <w:sz w:val="20"/>
                <w:szCs w:val="20"/>
                <w:color w:val="auto"/>
              </w:rPr>
            </w:pPr>
            <w:r>
              <w:rPr>
                <w:rFonts w:ascii="Arial" w:cs="Arial" w:eastAsia="Arial" w:hAnsi="Arial"/>
                <w:sz w:val="13"/>
                <w:szCs w:val="13"/>
                <w:color w:val="auto"/>
              </w:rPr>
              <w:t>0</w:t>
            </w:r>
          </w:p>
        </w:tc>
        <w:tc>
          <w:tcPr>
            <w:tcW w:w="1180" w:type="dxa"/>
            <w:vAlign w:val="bottom"/>
          </w:tcPr>
          <w:p>
            <w:pPr>
              <w:jc w:val="right"/>
              <w:ind w:right="13"/>
              <w:spacing w:after="0"/>
              <w:rPr>
                <w:sz w:val="20"/>
                <w:szCs w:val="20"/>
                <w:color w:val="auto"/>
              </w:rPr>
            </w:pPr>
            <w:r>
              <w:rPr>
                <w:rFonts w:ascii="Arial" w:cs="Arial" w:eastAsia="Arial" w:hAnsi="Arial"/>
                <w:sz w:val="13"/>
                <w:szCs w:val="13"/>
                <w:color w:val="auto"/>
              </w:rPr>
              <w:t>590,623</w:t>
            </w:r>
          </w:p>
        </w:tc>
      </w:tr>
      <w:tr>
        <w:trPr>
          <w:trHeight w:val="41"/>
        </w:trPr>
        <w:tc>
          <w:tcPr>
            <w:tcW w:w="4720" w:type="dxa"/>
            <w:vAlign w:val="bottom"/>
            <w:tcBorders>
              <w:bottom w:val="single" w:sz="8" w:color="DFF1FB"/>
            </w:tcBorders>
          </w:tcPr>
          <w:p>
            <w:pPr>
              <w:spacing w:after="0"/>
              <w:rPr>
                <w:sz w:val="3"/>
                <w:szCs w:val="3"/>
                <w:color w:val="auto"/>
              </w:rPr>
            </w:pPr>
          </w:p>
        </w:tc>
        <w:tc>
          <w:tcPr>
            <w:tcW w:w="2740" w:type="dxa"/>
            <w:vAlign w:val="bottom"/>
            <w:tcBorders>
              <w:bottom w:val="single" w:sz="8" w:color="DFF1FB"/>
            </w:tcBorders>
          </w:tcPr>
          <w:p>
            <w:pPr>
              <w:spacing w:after="0"/>
              <w:rPr>
                <w:sz w:val="3"/>
                <w:szCs w:val="3"/>
                <w:color w:val="auto"/>
              </w:rPr>
            </w:pPr>
          </w:p>
        </w:tc>
        <w:tc>
          <w:tcPr>
            <w:tcW w:w="1480" w:type="dxa"/>
            <w:vAlign w:val="bottom"/>
            <w:tcBorders>
              <w:bottom w:val="single" w:sz="8" w:color="DFF1FB"/>
            </w:tcBorders>
          </w:tcPr>
          <w:p>
            <w:pPr>
              <w:spacing w:after="0"/>
              <w:rPr>
                <w:sz w:val="3"/>
                <w:szCs w:val="3"/>
                <w:color w:val="auto"/>
              </w:rPr>
            </w:pPr>
          </w:p>
        </w:tc>
        <w:tc>
          <w:tcPr>
            <w:tcW w:w="1300" w:type="dxa"/>
            <w:vAlign w:val="bottom"/>
            <w:tcBorders>
              <w:bottom w:val="single" w:sz="8" w:color="DFF1FB"/>
            </w:tcBorders>
          </w:tcPr>
          <w:p>
            <w:pPr>
              <w:spacing w:after="0"/>
              <w:rPr>
                <w:sz w:val="3"/>
                <w:szCs w:val="3"/>
                <w:color w:val="auto"/>
              </w:rPr>
            </w:pPr>
          </w:p>
        </w:tc>
        <w:tc>
          <w:tcPr>
            <w:tcW w:w="1180" w:type="dxa"/>
            <w:vAlign w:val="bottom"/>
            <w:tcBorders>
              <w:bottom w:val="single" w:sz="8" w:color="DFF1FB"/>
            </w:tcBorders>
          </w:tcPr>
          <w:p>
            <w:pPr>
              <w:spacing w:after="0"/>
              <w:rPr>
                <w:sz w:val="3"/>
                <w:szCs w:val="3"/>
                <w:color w:val="auto"/>
              </w:rPr>
            </w:pPr>
          </w:p>
        </w:tc>
      </w:tr>
      <w:tr>
        <w:trPr>
          <w:trHeight w:val="195"/>
        </w:trPr>
        <w:tc>
          <w:tcPr>
            <w:tcW w:w="4720" w:type="dxa"/>
            <w:vAlign w:val="bottom"/>
          </w:tcPr>
          <w:p>
            <w:pPr>
              <w:ind w:left="80"/>
              <w:spacing w:after="0"/>
              <w:rPr>
                <w:sz w:val="20"/>
                <w:szCs w:val="20"/>
                <w:color w:val="auto"/>
              </w:rPr>
            </w:pPr>
            <w:r>
              <w:rPr>
                <w:rFonts w:ascii="Arial" w:cs="Arial" w:eastAsia="Arial" w:hAnsi="Arial"/>
                <w:sz w:val="13"/>
                <w:szCs w:val="13"/>
                <w:color w:val="auto"/>
              </w:rPr>
              <w:t>All directors and executive officers as a group (21 total)</w:t>
            </w:r>
          </w:p>
        </w:tc>
        <w:tc>
          <w:tcPr>
            <w:tcW w:w="2740" w:type="dxa"/>
            <w:vAlign w:val="bottom"/>
          </w:tcPr>
          <w:p>
            <w:pPr>
              <w:jc w:val="right"/>
              <w:ind w:right="53"/>
              <w:spacing w:after="0"/>
              <w:rPr>
                <w:sz w:val="20"/>
                <w:szCs w:val="20"/>
                <w:color w:val="auto"/>
              </w:rPr>
            </w:pPr>
            <w:r>
              <w:rPr>
                <w:rFonts w:ascii="Arial" w:cs="Arial" w:eastAsia="Arial" w:hAnsi="Arial"/>
                <w:sz w:val="13"/>
                <w:szCs w:val="13"/>
                <w:color w:val="auto"/>
              </w:rPr>
              <w:t>1,175,736</w:t>
            </w:r>
          </w:p>
        </w:tc>
        <w:tc>
          <w:tcPr>
            <w:tcW w:w="1480" w:type="dxa"/>
            <w:vAlign w:val="bottom"/>
          </w:tcPr>
          <w:p>
            <w:pPr>
              <w:jc w:val="right"/>
              <w:ind w:right="73"/>
              <w:spacing w:after="0"/>
              <w:rPr>
                <w:sz w:val="20"/>
                <w:szCs w:val="20"/>
                <w:color w:val="auto"/>
              </w:rPr>
            </w:pPr>
            <w:r>
              <w:rPr>
                <w:rFonts w:ascii="Arial" w:cs="Arial" w:eastAsia="Arial" w:hAnsi="Arial"/>
                <w:sz w:val="13"/>
                <w:szCs w:val="13"/>
                <w:color w:val="auto"/>
              </w:rPr>
              <w:t>3,892,056</w:t>
            </w:r>
          </w:p>
        </w:tc>
        <w:tc>
          <w:tcPr>
            <w:tcW w:w="1300" w:type="dxa"/>
            <w:vAlign w:val="bottom"/>
          </w:tcPr>
          <w:p>
            <w:pPr>
              <w:jc w:val="right"/>
              <w:ind w:right="73"/>
              <w:spacing w:after="0"/>
              <w:rPr>
                <w:sz w:val="20"/>
                <w:szCs w:val="20"/>
                <w:color w:val="auto"/>
              </w:rPr>
            </w:pPr>
            <w:r>
              <w:rPr>
                <w:rFonts w:ascii="Arial" w:cs="Arial" w:eastAsia="Arial" w:hAnsi="Arial"/>
                <w:sz w:val="13"/>
                <w:szCs w:val="13"/>
                <w:color w:val="auto"/>
              </w:rPr>
              <w:t>109,447</w:t>
            </w:r>
          </w:p>
        </w:tc>
        <w:tc>
          <w:tcPr>
            <w:tcW w:w="1180" w:type="dxa"/>
            <w:vAlign w:val="bottom"/>
          </w:tcPr>
          <w:p>
            <w:pPr>
              <w:jc w:val="right"/>
              <w:ind w:right="13"/>
              <w:spacing w:after="0"/>
              <w:rPr>
                <w:sz w:val="20"/>
                <w:szCs w:val="20"/>
                <w:color w:val="auto"/>
              </w:rPr>
            </w:pPr>
            <w:r>
              <w:rPr>
                <w:rFonts w:ascii="Arial" w:cs="Arial" w:eastAsia="Arial" w:hAnsi="Arial"/>
                <w:sz w:val="13"/>
                <w:szCs w:val="13"/>
                <w:color w:val="auto"/>
              </w:rPr>
              <w:t>5,177,239</w:t>
            </w:r>
          </w:p>
        </w:tc>
      </w:tr>
      <w:tr>
        <w:trPr>
          <w:trHeight w:val="48"/>
        </w:trPr>
        <w:tc>
          <w:tcPr>
            <w:tcW w:w="4720" w:type="dxa"/>
            <w:vAlign w:val="bottom"/>
            <w:tcBorders>
              <w:bottom w:val="single" w:sz="8" w:color="105EAB"/>
            </w:tcBorders>
          </w:tcPr>
          <w:p>
            <w:pPr>
              <w:spacing w:after="0"/>
              <w:rPr>
                <w:sz w:val="4"/>
                <w:szCs w:val="4"/>
                <w:color w:val="auto"/>
              </w:rPr>
            </w:pPr>
          </w:p>
        </w:tc>
        <w:tc>
          <w:tcPr>
            <w:tcW w:w="2740" w:type="dxa"/>
            <w:vAlign w:val="bottom"/>
            <w:tcBorders>
              <w:bottom w:val="single" w:sz="8" w:color="105EAB"/>
            </w:tcBorders>
          </w:tcPr>
          <w:p>
            <w:pPr>
              <w:spacing w:after="0"/>
              <w:rPr>
                <w:sz w:val="4"/>
                <w:szCs w:val="4"/>
                <w:color w:val="auto"/>
              </w:rPr>
            </w:pPr>
          </w:p>
        </w:tc>
        <w:tc>
          <w:tcPr>
            <w:tcW w:w="1480" w:type="dxa"/>
            <w:vAlign w:val="bottom"/>
            <w:tcBorders>
              <w:bottom w:val="single" w:sz="8" w:color="105EAB"/>
            </w:tcBorders>
          </w:tcPr>
          <w:p>
            <w:pPr>
              <w:spacing w:after="0"/>
              <w:rPr>
                <w:sz w:val="4"/>
                <w:szCs w:val="4"/>
                <w:color w:val="auto"/>
              </w:rPr>
            </w:pPr>
          </w:p>
        </w:tc>
        <w:tc>
          <w:tcPr>
            <w:tcW w:w="1300" w:type="dxa"/>
            <w:vAlign w:val="bottom"/>
            <w:tcBorders>
              <w:bottom w:val="single" w:sz="8" w:color="105EAB"/>
            </w:tcBorders>
          </w:tcPr>
          <w:p>
            <w:pPr>
              <w:spacing w:after="0"/>
              <w:rPr>
                <w:sz w:val="4"/>
                <w:szCs w:val="4"/>
                <w:color w:val="auto"/>
              </w:rPr>
            </w:pPr>
          </w:p>
        </w:tc>
        <w:tc>
          <w:tcPr>
            <w:tcW w:w="1180" w:type="dxa"/>
            <w:vAlign w:val="bottom"/>
            <w:tcBorders>
              <w:bottom w:val="single" w:sz="8" w:color="105EAB"/>
            </w:tcBorders>
          </w:tcPr>
          <w:p>
            <w:pPr>
              <w:spacing w:after="0"/>
              <w:rPr>
                <w:sz w:val="4"/>
                <w:szCs w:val="4"/>
                <w:color w:val="auto"/>
              </w:rPr>
            </w:pPr>
          </w:p>
        </w:tc>
      </w:tr>
    </w:tbl>
    <w:p>
      <w:pPr>
        <w:spacing w:after="0" w:line="107" w:lineRule="exact"/>
        <w:rPr>
          <w:sz w:val="20"/>
          <w:szCs w:val="20"/>
          <w:color w:val="auto"/>
        </w:rPr>
      </w:pPr>
    </w:p>
    <w:p>
      <w:pPr>
        <w:jc w:val="both"/>
        <w:ind w:left="300" w:right="40" w:hanging="292"/>
        <w:spacing w:after="0" w:line="238" w:lineRule="auto"/>
        <w:tabs>
          <w:tab w:leader="none" w:pos="300" w:val="left"/>
        </w:tabs>
        <w:numPr>
          <w:ilvl w:val="0"/>
          <w:numId w:val="245"/>
        </w:numPr>
        <w:rPr>
          <w:rFonts w:ascii="Arial" w:cs="Arial" w:eastAsia="Arial" w:hAnsi="Arial"/>
          <w:sz w:val="11"/>
          <w:szCs w:val="11"/>
          <w:color w:val="auto"/>
        </w:rPr>
      </w:pPr>
      <w:r>
        <w:rPr>
          <w:rFonts w:ascii="Arial" w:cs="Arial" w:eastAsia="Arial" w:hAnsi="Arial"/>
          <w:sz w:val="13"/>
          <w:szCs w:val="13"/>
          <w:color w:val="auto"/>
        </w:rPr>
        <w:t>As of March 1, 2019, no director or executive officer beneficially owned 1% or more of the outstanding common stock of Allstate. The directors and executive officers of Allstate as a group beneficially owned (including common stock subject to stock options exercisable and restricted stock units for which restrictions expire on or prior to April 29, 2019) approximately 1.6% of the common stock outstanding as of March 1, 2019.</w:t>
      </w:r>
    </w:p>
    <w:p>
      <w:pPr>
        <w:ind w:left="300" w:right="20" w:hanging="292"/>
        <w:spacing w:after="0"/>
        <w:tabs>
          <w:tab w:leader="none" w:pos="300" w:val="left"/>
        </w:tabs>
        <w:numPr>
          <w:ilvl w:val="0"/>
          <w:numId w:val="245"/>
        </w:numPr>
        <w:rPr>
          <w:rFonts w:ascii="Arial" w:cs="Arial" w:eastAsia="Arial" w:hAnsi="Arial"/>
          <w:sz w:val="11"/>
          <w:szCs w:val="11"/>
          <w:color w:val="auto"/>
        </w:rPr>
      </w:pPr>
      <w:r>
        <w:rPr>
          <w:rFonts w:ascii="Arial" w:cs="Arial" w:eastAsia="Arial" w:hAnsi="Arial"/>
          <w:sz w:val="13"/>
          <w:szCs w:val="13"/>
          <w:color w:val="auto"/>
        </w:rPr>
        <w:t>All non-employee directors hold restricted stock units granted under Allstate’s equity compensation plans for non-employee directors. This column lists those restricted stock units that would be distributed to directors in the form of shares of common stock within 60 days if any of them were to have retired as a director on March 1, 2019. In addition, some directors hold additional restricted stock units that are not reflected in the table above because common stock would not be distributed to directors until at least one year, and in some cases, as many as ten years, following his or her retirement as a director. For more information regarding the restricted stock units held by each director at the end of 2018, please see the details on page 33.</w:t>
      </w:r>
    </w:p>
    <w:p>
      <w:pPr>
        <w:spacing w:after="0" w:line="143" w:lineRule="exact"/>
        <w:rPr>
          <w:rFonts w:ascii="Arial" w:cs="Arial" w:eastAsia="Arial" w:hAnsi="Arial"/>
          <w:sz w:val="11"/>
          <w:szCs w:val="11"/>
          <w:color w:val="auto"/>
        </w:rPr>
      </w:pPr>
    </w:p>
    <w:p>
      <w:pPr>
        <w:ind w:left="300" w:hanging="292"/>
        <w:spacing w:after="0"/>
        <w:tabs>
          <w:tab w:leader="none" w:pos="300" w:val="left"/>
        </w:tabs>
        <w:numPr>
          <w:ilvl w:val="0"/>
          <w:numId w:val="245"/>
        </w:numPr>
        <w:rPr>
          <w:rFonts w:ascii="Arial" w:cs="Arial" w:eastAsia="Arial" w:hAnsi="Arial"/>
          <w:sz w:val="11"/>
          <w:szCs w:val="11"/>
          <w:color w:val="auto"/>
        </w:rPr>
      </w:pPr>
      <w:r>
        <w:rPr>
          <w:rFonts w:ascii="Arial" w:cs="Arial" w:eastAsia="Arial" w:hAnsi="Arial"/>
          <w:sz w:val="13"/>
          <w:szCs w:val="13"/>
          <w:color w:val="auto"/>
        </w:rPr>
        <w:t>These amounts are the sum of the number of shares shown in the prior columns.</w:t>
      </w:r>
    </w:p>
    <w:p>
      <w:pPr>
        <w:spacing w:after="0" w:line="12" w:lineRule="exact"/>
        <w:rPr>
          <w:rFonts w:ascii="Arial" w:cs="Arial" w:eastAsia="Arial" w:hAnsi="Arial"/>
          <w:sz w:val="11"/>
          <w:szCs w:val="11"/>
          <w:color w:val="auto"/>
        </w:rPr>
      </w:pPr>
    </w:p>
    <w:p>
      <w:pPr>
        <w:ind w:left="300" w:right="220" w:hanging="292"/>
        <w:spacing w:after="0" w:line="258" w:lineRule="auto"/>
        <w:tabs>
          <w:tab w:leader="none" w:pos="300" w:val="left"/>
        </w:tabs>
        <w:numPr>
          <w:ilvl w:val="0"/>
          <w:numId w:val="245"/>
        </w:numPr>
        <w:rPr>
          <w:rFonts w:ascii="Arial" w:cs="Arial" w:eastAsia="Arial" w:hAnsi="Arial"/>
          <w:sz w:val="11"/>
          <w:szCs w:val="11"/>
          <w:color w:val="auto"/>
        </w:rPr>
      </w:pPr>
      <w:r>
        <w:rPr>
          <w:rFonts w:ascii="Arial" w:cs="Arial" w:eastAsia="Arial" w:hAnsi="Arial"/>
          <w:sz w:val="13"/>
          <w:szCs w:val="13"/>
          <w:color w:val="auto"/>
        </w:rPr>
        <w:t>Mr. Perold’s common shares are held indirectly by trust. The shares held by Mr. Wilson include shares owned indirectly through a grantor retained annuity trust and a remainder grantor retained annuity trust.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1120" w:type="dxa"/>
            <w:vAlign w:val="bottom"/>
          </w:tcPr>
          <w:p>
            <w:pPr>
              <w:ind w:left="9640"/>
              <w:spacing w:after="0"/>
              <w:rPr>
                <w:sz w:val="20"/>
                <w:szCs w:val="20"/>
                <w:color w:val="auto"/>
              </w:rPr>
            </w:pPr>
            <w:r>
              <w:rPr>
                <w:rFonts w:ascii="Arial" w:cs="Arial" w:eastAsia="Arial" w:hAnsi="Arial"/>
                <w:sz w:val="13"/>
                <w:szCs w:val="13"/>
                <w:color w:val="105EAB"/>
              </w:rPr>
              <w:t>2019 Proxy Statement</w:t>
            </w:r>
          </w:p>
        </w:tc>
        <w:tc>
          <w:tcPr>
            <w:tcW w:w="320" w:type="dxa"/>
            <w:vAlign w:val="bottom"/>
          </w:tcPr>
          <w:p>
            <w:pPr>
              <w:jc w:val="right"/>
              <w:spacing w:after="0"/>
              <w:rPr>
                <w:sz w:val="20"/>
                <w:szCs w:val="20"/>
                <w:color w:val="auto"/>
              </w:rPr>
            </w:pPr>
            <w:r>
              <w:rPr>
                <w:rFonts w:ascii="Arial" w:cs="Arial" w:eastAsia="Arial" w:hAnsi="Arial"/>
                <w:sz w:val="13"/>
                <w:szCs w:val="13"/>
                <w:b w:val="1"/>
                <w:bCs w:val="1"/>
                <w:color w:val="105EAB"/>
              </w:rPr>
              <w:t>89</w:t>
            </w:r>
          </w:p>
        </w:tc>
      </w:tr>
      <w:tr>
        <w:trPr>
          <w:trHeight w:val="213"/>
        </w:trPr>
        <w:tc>
          <w:tcPr>
            <w:tcW w:w="1112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-13970</wp:posOffset>
            </wp:positionV>
            <wp:extent cx="1270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b w:val="1"/>
          <w:bCs w:val="1"/>
          <w:color w:val="105EAB"/>
        </w:rPr>
        <w:t xml:space="preserve">Stock Ownership Information | </w:t>
      </w:r>
      <w:r>
        <w:rPr>
          <w:rFonts w:ascii="Arial" w:cs="Arial" w:eastAsia="Arial" w:hAnsi="Arial"/>
          <w:sz w:val="13"/>
          <w:szCs w:val="13"/>
          <w:b w:val="1"/>
          <w:bCs w:val="1"/>
          <w:color w:val="000000"/>
        </w:rPr>
        <w:t>Security Ownership of Certain Beneficial Owners</w:t>
      </w:r>
    </w:p>
    <w:p>
      <w:pPr>
        <w:spacing w:after="0" w:line="200" w:lineRule="exact"/>
        <w:rPr>
          <w:sz w:val="20"/>
          <w:szCs w:val="20"/>
          <w:color w:val="auto"/>
        </w:rPr>
      </w:pPr>
    </w:p>
    <w:p>
      <w:pPr>
        <w:spacing w:after="0"/>
        <w:rPr>
          <w:sz w:val="20"/>
          <w:szCs w:val="20"/>
          <w:color w:val="auto"/>
        </w:rPr>
      </w:pPr>
      <w:r>
        <w:rPr>
          <w:rFonts w:ascii="Arial" w:cs="Arial" w:eastAsia="Arial" w:hAnsi="Arial"/>
          <w:sz w:val="31"/>
          <w:szCs w:val="31"/>
          <w:b w:val="1"/>
          <w:bCs w:val="1"/>
          <w:color w:val="959595"/>
        </w:rPr>
        <w:t>Security Ownership of Certain Beneficial Owners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8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1800" w:type="dxa"/>
            <w:vAlign w:val="bottom"/>
          </w:tcPr>
          <w:p>
            <w:pPr>
              <w:jc w:val="right"/>
              <w:ind w:right="213"/>
              <w:spacing w:after="0"/>
              <w:rPr>
                <w:sz w:val="20"/>
                <w:szCs w:val="20"/>
                <w:color w:val="auto"/>
              </w:rPr>
            </w:pPr>
            <w:r>
              <w:rPr>
                <w:rFonts w:ascii="Arial" w:cs="Arial" w:eastAsia="Arial" w:hAnsi="Arial"/>
                <w:sz w:val="13"/>
                <w:szCs w:val="13"/>
                <w:b w:val="1"/>
                <w:bCs w:val="1"/>
                <w:color w:val="105EAB"/>
              </w:rPr>
              <w:t>Amount</w:t>
            </w: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4380" w:type="dxa"/>
            <w:vAlign w:val="bottom"/>
          </w:tcPr>
          <w:p>
            <w:pPr>
              <w:ind w:left="2760"/>
              <w:spacing w:after="0" w:line="149" w:lineRule="exact"/>
              <w:rPr>
                <w:sz w:val="20"/>
                <w:szCs w:val="20"/>
                <w:color w:val="auto"/>
              </w:rPr>
            </w:pPr>
            <w:r>
              <w:rPr>
                <w:rFonts w:ascii="Arial" w:cs="Arial" w:eastAsia="Arial" w:hAnsi="Arial"/>
                <w:sz w:val="13"/>
                <w:szCs w:val="13"/>
                <w:b w:val="1"/>
                <w:bCs w:val="1"/>
                <w:color w:val="105EAB"/>
              </w:rPr>
              <w:t>Name and Address of</w:t>
            </w:r>
          </w:p>
        </w:tc>
        <w:tc>
          <w:tcPr>
            <w:tcW w:w="1800" w:type="dxa"/>
            <w:vAlign w:val="bottom"/>
          </w:tcPr>
          <w:p>
            <w:pPr>
              <w:jc w:val="right"/>
              <w:ind w:right="213"/>
              <w:spacing w:after="0" w:line="149" w:lineRule="exact"/>
              <w:rPr>
                <w:sz w:val="20"/>
                <w:szCs w:val="20"/>
                <w:color w:val="auto"/>
              </w:rPr>
            </w:pPr>
            <w:r>
              <w:rPr>
                <w:rFonts w:ascii="Arial" w:cs="Arial" w:eastAsia="Arial" w:hAnsi="Arial"/>
                <w:sz w:val="13"/>
                <w:szCs w:val="13"/>
                <w:b w:val="1"/>
                <w:bCs w:val="1"/>
                <w:color w:val="105EAB"/>
              </w:rPr>
              <w:t>and Nature of</w:t>
            </w:r>
          </w:p>
        </w:tc>
        <w:tc>
          <w:tcPr>
            <w:tcW w:w="1560" w:type="dxa"/>
            <w:vAlign w:val="bottom"/>
            <w:vMerge w:val="restart"/>
          </w:tcPr>
          <w:p>
            <w:pPr>
              <w:jc w:val="right"/>
              <w:ind w:right="133"/>
              <w:spacing w:after="0"/>
              <w:rPr>
                <w:sz w:val="20"/>
                <w:szCs w:val="20"/>
                <w:color w:val="auto"/>
              </w:rPr>
            </w:pPr>
            <w:r>
              <w:rPr>
                <w:rFonts w:ascii="Arial" w:cs="Arial" w:eastAsia="Arial" w:hAnsi="Arial"/>
                <w:sz w:val="13"/>
                <w:szCs w:val="13"/>
                <w:b w:val="1"/>
                <w:bCs w:val="1"/>
                <w:color w:val="105EAB"/>
              </w:rPr>
              <w:t>Percent of Class</w:t>
            </w:r>
            <w:r>
              <w:rPr>
                <w:rFonts w:ascii="Arial" w:cs="Arial" w:eastAsia="Arial" w:hAnsi="Arial"/>
                <w:sz w:val="22"/>
                <w:szCs w:val="22"/>
                <w:b w:val="1"/>
                <w:bCs w:val="1"/>
                <w:color w:val="105EAB"/>
                <w:vertAlign w:val="superscript"/>
              </w:rPr>
              <w:t>(1)</w:t>
            </w:r>
          </w:p>
        </w:tc>
        <w:tc>
          <w:tcPr>
            <w:tcW w:w="0" w:type="dxa"/>
            <w:vAlign w:val="bottom"/>
          </w:tcPr>
          <w:p>
            <w:pPr>
              <w:spacing w:after="0"/>
              <w:rPr>
                <w:sz w:val="1"/>
                <w:szCs w:val="1"/>
                <w:color w:val="auto"/>
              </w:rPr>
            </w:pPr>
          </w:p>
        </w:tc>
      </w:tr>
      <w:tr>
        <w:trPr>
          <w:trHeight w:val="199"/>
        </w:trPr>
        <w:tc>
          <w:tcPr>
            <w:tcW w:w="3680" w:type="dxa"/>
            <w:vAlign w:val="bottom"/>
            <w:tcBorders>
              <w:bottom w:val="single" w:sz="8" w:color="105EAB"/>
            </w:tcBorders>
          </w:tcPr>
          <w:p>
            <w:pPr>
              <w:ind w:left="80"/>
              <w:spacing w:after="0"/>
              <w:rPr>
                <w:sz w:val="20"/>
                <w:szCs w:val="20"/>
                <w:color w:val="auto"/>
              </w:rPr>
            </w:pPr>
            <w:r>
              <w:rPr>
                <w:rFonts w:ascii="Arial" w:cs="Arial" w:eastAsia="Arial" w:hAnsi="Arial"/>
                <w:sz w:val="13"/>
                <w:szCs w:val="13"/>
                <w:b w:val="1"/>
                <w:bCs w:val="1"/>
                <w:color w:val="105EAB"/>
              </w:rPr>
              <w:t>Title of Class</w:t>
            </w:r>
          </w:p>
        </w:tc>
        <w:tc>
          <w:tcPr>
            <w:tcW w:w="4380" w:type="dxa"/>
            <w:vAlign w:val="bottom"/>
            <w:tcBorders>
              <w:bottom w:val="single" w:sz="8" w:color="105EAB"/>
            </w:tcBorders>
          </w:tcPr>
          <w:p>
            <w:pPr>
              <w:ind w:left="2760"/>
              <w:spacing w:after="0"/>
              <w:rPr>
                <w:sz w:val="20"/>
                <w:szCs w:val="20"/>
                <w:color w:val="auto"/>
              </w:rPr>
            </w:pPr>
            <w:r>
              <w:rPr>
                <w:rFonts w:ascii="Arial" w:cs="Arial" w:eastAsia="Arial" w:hAnsi="Arial"/>
                <w:sz w:val="13"/>
                <w:szCs w:val="13"/>
                <w:b w:val="1"/>
                <w:bCs w:val="1"/>
                <w:color w:val="105EAB"/>
              </w:rPr>
              <w:t>Beneficial Owner</w:t>
            </w:r>
          </w:p>
        </w:tc>
        <w:tc>
          <w:tcPr>
            <w:tcW w:w="1800" w:type="dxa"/>
            <w:vAlign w:val="bottom"/>
            <w:tcBorders>
              <w:bottom w:val="single" w:sz="8" w:color="105EAB"/>
            </w:tcBorders>
          </w:tcPr>
          <w:p>
            <w:pPr>
              <w:jc w:val="right"/>
              <w:ind w:right="213"/>
              <w:spacing w:after="0"/>
              <w:rPr>
                <w:sz w:val="20"/>
                <w:szCs w:val="20"/>
                <w:color w:val="auto"/>
              </w:rPr>
            </w:pPr>
            <w:r>
              <w:rPr>
                <w:rFonts w:ascii="Arial" w:cs="Arial" w:eastAsia="Arial" w:hAnsi="Arial"/>
                <w:sz w:val="13"/>
                <w:szCs w:val="13"/>
                <w:b w:val="1"/>
                <w:bCs w:val="1"/>
                <w:color w:val="105EAB"/>
              </w:rPr>
              <w:t>Beneficial Ownership</w:t>
            </w:r>
          </w:p>
        </w:tc>
        <w:tc>
          <w:tcPr>
            <w:tcW w:w="1560" w:type="dxa"/>
            <w:vAlign w:val="bottom"/>
            <w:tcBorders>
              <w:bottom w:val="single" w:sz="8" w:color="105EAB"/>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37"/>
        </w:trPr>
        <w:tc>
          <w:tcPr>
            <w:tcW w:w="3680" w:type="dxa"/>
            <w:vAlign w:val="bottom"/>
          </w:tcPr>
          <w:p>
            <w:pPr>
              <w:ind w:left="80"/>
              <w:spacing w:after="0"/>
              <w:rPr>
                <w:sz w:val="20"/>
                <w:szCs w:val="20"/>
                <w:color w:val="auto"/>
              </w:rPr>
            </w:pPr>
            <w:r>
              <w:rPr>
                <w:rFonts w:ascii="Arial" w:cs="Arial" w:eastAsia="Arial" w:hAnsi="Arial"/>
                <w:sz w:val="13"/>
                <w:szCs w:val="13"/>
                <w:color w:val="auto"/>
              </w:rPr>
              <w:t>Common</w:t>
            </w:r>
          </w:p>
        </w:tc>
        <w:tc>
          <w:tcPr>
            <w:tcW w:w="4380" w:type="dxa"/>
            <w:vAlign w:val="bottom"/>
          </w:tcPr>
          <w:p>
            <w:pPr>
              <w:ind w:left="2760"/>
              <w:spacing w:after="0"/>
              <w:rPr>
                <w:sz w:val="20"/>
                <w:szCs w:val="20"/>
                <w:color w:val="auto"/>
              </w:rPr>
            </w:pPr>
            <w:r>
              <w:rPr>
                <w:rFonts w:ascii="Arial" w:cs="Arial" w:eastAsia="Arial" w:hAnsi="Arial"/>
                <w:sz w:val="13"/>
                <w:szCs w:val="13"/>
                <w:color w:val="auto"/>
              </w:rPr>
              <w:t>BlackRock Inc.</w:t>
            </w:r>
          </w:p>
        </w:tc>
        <w:tc>
          <w:tcPr>
            <w:tcW w:w="1800" w:type="dxa"/>
            <w:vAlign w:val="bottom"/>
          </w:tcPr>
          <w:p>
            <w:pPr>
              <w:jc w:val="right"/>
              <w:ind w:right="73"/>
              <w:spacing w:after="0"/>
              <w:rPr>
                <w:sz w:val="20"/>
                <w:szCs w:val="20"/>
                <w:color w:val="auto"/>
              </w:rPr>
            </w:pPr>
            <w:r>
              <w:rPr>
                <w:rFonts w:ascii="Arial" w:cs="Arial" w:eastAsia="Arial" w:hAnsi="Arial"/>
                <w:sz w:val="13"/>
                <w:szCs w:val="13"/>
                <w:color w:val="auto"/>
              </w:rPr>
              <w:t>27,142,234</w:t>
            </w:r>
            <w:r>
              <w:rPr>
                <w:rFonts w:ascii="Arial" w:cs="Arial" w:eastAsia="Arial" w:hAnsi="Arial"/>
                <w:sz w:val="22"/>
                <w:szCs w:val="22"/>
                <w:color w:val="auto"/>
                <w:vertAlign w:val="superscript"/>
              </w:rPr>
              <w:t>(2)</w:t>
            </w:r>
          </w:p>
        </w:tc>
        <w:tc>
          <w:tcPr>
            <w:tcW w:w="1560" w:type="dxa"/>
            <w:vAlign w:val="bottom"/>
          </w:tcPr>
          <w:p>
            <w:pPr>
              <w:jc w:val="right"/>
              <w:ind w:right="13"/>
              <w:spacing w:after="0"/>
              <w:rPr>
                <w:sz w:val="20"/>
                <w:szCs w:val="20"/>
                <w:color w:val="auto"/>
              </w:rPr>
            </w:pPr>
            <w:r>
              <w:rPr>
                <w:rFonts w:ascii="Arial" w:cs="Arial" w:eastAsia="Arial" w:hAnsi="Arial"/>
                <w:sz w:val="13"/>
                <w:szCs w:val="13"/>
                <w:color w:val="auto"/>
              </w:rPr>
              <w:t>8.15%</w:t>
            </w:r>
          </w:p>
        </w:tc>
        <w:tc>
          <w:tcPr>
            <w:tcW w:w="0" w:type="dxa"/>
            <w:vAlign w:val="bottom"/>
          </w:tcPr>
          <w:p>
            <w:pPr>
              <w:spacing w:after="0"/>
              <w:rPr>
                <w:sz w:val="1"/>
                <w:szCs w:val="1"/>
                <w:color w:val="auto"/>
              </w:rPr>
            </w:pPr>
          </w:p>
        </w:tc>
      </w:tr>
      <w:tr>
        <w:trPr>
          <w:trHeight w:val="162"/>
        </w:trPr>
        <w:tc>
          <w:tcPr>
            <w:tcW w:w="3680" w:type="dxa"/>
            <w:vAlign w:val="bottom"/>
          </w:tcPr>
          <w:p>
            <w:pPr>
              <w:spacing w:after="0"/>
              <w:rPr>
                <w:sz w:val="14"/>
                <w:szCs w:val="14"/>
                <w:color w:val="auto"/>
              </w:rPr>
            </w:pPr>
          </w:p>
        </w:tc>
        <w:tc>
          <w:tcPr>
            <w:tcW w:w="4380" w:type="dxa"/>
            <w:vAlign w:val="bottom"/>
          </w:tcPr>
          <w:p>
            <w:pPr>
              <w:ind w:left="2760"/>
              <w:spacing w:after="0"/>
              <w:rPr>
                <w:sz w:val="20"/>
                <w:szCs w:val="20"/>
                <w:color w:val="auto"/>
              </w:rPr>
            </w:pPr>
            <w:r>
              <w:rPr>
                <w:rFonts w:ascii="Arial" w:cs="Arial" w:eastAsia="Arial" w:hAnsi="Arial"/>
                <w:sz w:val="13"/>
                <w:szCs w:val="13"/>
                <w:color w:val="auto"/>
              </w:rPr>
              <w:t>55 East 52nd Street</w:t>
            </w:r>
          </w:p>
        </w:tc>
        <w:tc>
          <w:tcPr>
            <w:tcW w:w="18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680" w:type="dxa"/>
            <w:vAlign w:val="bottom"/>
          </w:tcPr>
          <w:p>
            <w:pPr>
              <w:spacing w:after="0"/>
              <w:rPr>
                <w:sz w:val="21"/>
                <w:szCs w:val="21"/>
                <w:color w:val="auto"/>
              </w:rPr>
            </w:pPr>
          </w:p>
        </w:tc>
        <w:tc>
          <w:tcPr>
            <w:tcW w:w="4380" w:type="dxa"/>
            <w:vAlign w:val="bottom"/>
          </w:tcPr>
          <w:p>
            <w:pPr>
              <w:ind w:left="2760"/>
              <w:spacing w:after="0"/>
              <w:rPr>
                <w:sz w:val="20"/>
                <w:szCs w:val="20"/>
                <w:color w:val="auto"/>
              </w:rPr>
            </w:pPr>
            <w:r>
              <w:rPr>
                <w:rFonts w:ascii="Arial" w:cs="Arial" w:eastAsia="Arial" w:hAnsi="Arial"/>
                <w:sz w:val="13"/>
                <w:szCs w:val="13"/>
                <w:color w:val="auto"/>
              </w:rPr>
              <w:t>New York, NY 10055</w:t>
            </w:r>
          </w:p>
        </w:tc>
        <w:tc>
          <w:tcPr>
            <w:tcW w:w="18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3680" w:type="dxa"/>
            <w:vAlign w:val="bottom"/>
            <w:tcBorders>
              <w:bottom w:val="single" w:sz="8" w:color="DFF1FB"/>
            </w:tcBorders>
          </w:tcPr>
          <w:p>
            <w:pPr>
              <w:spacing w:after="0"/>
              <w:rPr>
                <w:sz w:val="3"/>
                <w:szCs w:val="3"/>
                <w:color w:val="auto"/>
              </w:rPr>
            </w:pPr>
          </w:p>
        </w:tc>
        <w:tc>
          <w:tcPr>
            <w:tcW w:w="4380" w:type="dxa"/>
            <w:vAlign w:val="bottom"/>
            <w:tcBorders>
              <w:bottom w:val="single" w:sz="8" w:color="DFF1FB"/>
            </w:tcBorders>
          </w:tcPr>
          <w:p>
            <w:pPr>
              <w:spacing w:after="0"/>
              <w:rPr>
                <w:sz w:val="3"/>
                <w:szCs w:val="3"/>
                <w:color w:val="auto"/>
              </w:rPr>
            </w:pPr>
          </w:p>
        </w:tc>
        <w:tc>
          <w:tcPr>
            <w:tcW w:w="1800" w:type="dxa"/>
            <w:vAlign w:val="bottom"/>
            <w:tcBorders>
              <w:bottom w:val="single" w:sz="8" w:color="DFF1FB"/>
            </w:tcBorders>
          </w:tcPr>
          <w:p>
            <w:pPr>
              <w:spacing w:after="0"/>
              <w:rPr>
                <w:sz w:val="3"/>
                <w:szCs w:val="3"/>
                <w:color w:val="auto"/>
              </w:rPr>
            </w:pPr>
          </w:p>
        </w:tc>
        <w:tc>
          <w:tcPr>
            <w:tcW w:w="1560" w:type="dxa"/>
            <w:vAlign w:val="bottom"/>
            <w:tcBorders>
              <w:bottom w:val="single" w:sz="8" w:color="DFF1FB"/>
            </w:tcBorders>
          </w:tcPr>
          <w:p>
            <w:pPr>
              <w:spacing w:after="0"/>
              <w:rPr>
                <w:sz w:val="3"/>
                <w:szCs w:val="3"/>
                <w:color w:val="auto"/>
              </w:rPr>
            </w:pPr>
          </w:p>
        </w:tc>
        <w:tc>
          <w:tcPr>
            <w:tcW w:w="0" w:type="dxa"/>
            <w:vAlign w:val="bottom"/>
          </w:tcPr>
          <w:p>
            <w:pPr>
              <w:spacing w:after="0"/>
              <w:rPr>
                <w:sz w:val="1"/>
                <w:szCs w:val="1"/>
                <w:color w:val="auto"/>
              </w:rPr>
            </w:pPr>
          </w:p>
        </w:tc>
      </w:tr>
      <w:tr>
        <w:trPr>
          <w:trHeight w:val="330"/>
        </w:trPr>
        <w:tc>
          <w:tcPr>
            <w:tcW w:w="3680" w:type="dxa"/>
            <w:vAlign w:val="bottom"/>
          </w:tcPr>
          <w:p>
            <w:pPr>
              <w:ind w:left="80"/>
              <w:spacing w:after="0"/>
              <w:rPr>
                <w:sz w:val="20"/>
                <w:szCs w:val="20"/>
                <w:color w:val="auto"/>
              </w:rPr>
            </w:pPr>
            <w:r>
              <w:rPr>
                <w:rFonts w:ascii="Arial" w:cs="Arial" w:eastAsia="Arial" w:hAnsi="Arial"/>
                <w:sz w:val="13"/>
                <w:szCs w:val="13"/>
                <w:color w:val="auto"/>
              </w:rPr>
              <w:t>Common</w:t>
            </w:r>
          </w:p>
        </w:tc>
        <w:tc>
          <w:tcPr>
            <w:tcW w:w="4380" w:type="dxa"/>
            <w:vAlign w:val="bottom"/>
          </w:tcPr>
          <w:p>
            <w:pPr>
              <w:ind w:left="2760"/>
              <w:spacing w:after="0"/>
              <w:rPr>
                <w:sz w:val="20"/>
                <w:szCs w:val="20"/>
                <w:color w:val="auto"/>
              </w:rPr>
            </w:pPr>
            <w:r>
              <w:rPr>
                <w:rFonts w:ascii="Arial" w:cs="Arial" w:eastAsia="Arial" w:hAnsi="Arial"/>
                <w:sz w:val="13"/>
                <w:szCs w:val="13"/>
                <w:color w:val="auto"/>
              </w:rPr>
              <w:t>The Vanguard Group</w:t>
            </w:r>
          </w:p>
        </w:tc>
        <w:tc>
          <w:tcPr>
            <w:tcW w:w="1800" w:type="dxa"/>
            <w:vAlign w:val="bottom"/>
          </w:tcPr>
          <w:p>
            <w:pPr>
              <w:jc w:val="right"/>
              <w:ind w:right="93"/>
              <w:spacing w:after="0"/>
              <w:rPr>
                <w:sz w:val="20"/>
                <w:szCs w:val="20"/>
                <w:color w:val="auto"/>
              </w:rPr>
            </w:pPr>
            <w:r>
              <w:rPr>
                <w:rFonts w:ascii="Arial" w:cs="Arial" w:eastAsia="Arial" w:hAnsi="Arial"/>
                <w:sz w:val="13"/>
                <w:szCs w:val="13"/>
                <w:color w:val="auto"/>
              </w:rPr>
              <w:t>25,671,901</w:t>
            </w:r>
            <w:r>
              <w:rPr>
                <w:rFonts w:ascii="Arial" w:cs="Arial" w:eastAsia="Arial" w:hAnsi="Arial"/>
                <w:sz w:val="22"/>
                <w:szCs w:val="22"/>
                <w:color w:val="auto"/>
                <w:vertAlign w:val="superscript"/>
              </w:rPr>
              <w:t>(3)</w:t>
            </w:r>
          </w:p>
        </w:tc>
        <w:tc>
          <w:tcPr>
            <w:tcW w:w="1560" w:type="dxa"/>
            <w:vAlign w:val="bottom"/>
          </w:tcPr>
          <w:p>
            <w:pPr>
              <w:jc w:val="right"/>
              <w:ind w:right="13"/>
              <w:spacing w:after="0"/>
              <w:rPr>
                <w:sz w:val="20"/>
                <w:szCs w:val="20"/>
                <w:color w:val="auto"/>
              </w:rPr>
            </w:pPr>
            <w:r>
              <w:rPr>
                <w:rFonts w:ascii="Arial" w:cs="Arial" w:eastAsia="Arial" w:hAnsi="Arial"/>
                <w:sz w:val="13"/>
                <w:szCs w:val="13"/>
                <w:color w:val="auto"/>
              </w:rPr>
              <w:t>7.71%</w:t>
            </w:r>
          </w:p>
        </w:tc>
        <w:tc>
          <w:tcPr>
            <w:tcW w:w="0" w:type="dxa"/>
            <w:vAlign w:val="bottom"/>
          </w:tcPr>
          <w:p>
            <w:pPr>
              <w:spacing w:after="0"/>
              <w:rPr>
                <w:sz w:val="1"/>
                <w:szCs w:val="1"/>
                <w:color w:val="auto"/>
              </w:rPr>
            </w:pPr>
          </w:p>
        </w:tc>
      </w:tr>
      <w:tr>
        <w:trPr>
          <w:trHeight w:val="162"/>
        </w:trPr>
        <w:tc>
          <w:tcPr>
            <w:tcW w:w="3680" w:type="dxa"/>
            <w:vAlign w:val="bottom"/>
          </w:tcPr>
          <w:p>
            <w:pPr>
              <w:spacing w:after="0"/>
              <w:rPr>
                <w:sz w:val="14"/>
                <w:szCs w:val="14"/>
                <w:color w:val="auto"/>
              </w:rPr>
            </w:pPr>
          </w:p>
        </w:tc>
        <w:tc>
          <w:tcPr>
            <w:tcW w:w="4380" w:type="dxa"/>
            <w:vAlign w:val="bottom"/>
          </w:tcPr>
          <w:p>
            <w:pPr>
              <w:ind w:left="2760"/>
              <w:spacing w:after="0"/>
              <w:rPr>
                <w:sz w:val="20"/>
                <w:szCs w:val="20"/>
                <w:color w:val="auto"/>
              </w:rPr>
            </w:pPr>
            <w:r>
              <w:rPr>
                <w:rFonts w:ascii="Arial" w:cs="Arial" w:eastAsia="Arial" w:hAnsi="Arial"/>
                <w:sz w:val="13"/>
                <w:szCs w:val="13"/>
                <w:color w:val="auto"/>
              </w:rPr>
              <w:t>100 Vanguard Boulevard</w:t>
            </w:r>
          </w:p>
        </w:tc>
        <w:tc>
          <w:tcPr>
            <w:tcW w:w="18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680" w:type="dxa"/>
            <w:vAlign w:val="bottom"/>
          </w:tcPr>
          <w:p>
            <w:pPr>
              <w:spacing w:after="0"/>
              <w:rPr>
                <w:sz w:val="21"/>
                <w:szCs w:val="21"/>
                <w:color w:val="auto"/>
              </w:rPr>
            </w:pPr>
          </w:p>
        </w:tc>
        <w:tc>
          <w:tcPr>
            <w:tcW w:w="4380" w:type="dxa"/>
            <w:vAlign w:val="bottom"/>
          </w:tcPr>
          <w:p>
            <w:pPr>
              <w:ind w:left="2760"/>
              <w:spacing w:after="0"/>
              <w:rPr>
                <w:sz w:val="20"/>
                <w:szCs w:val="20"/>
                <w:color w:val="auto"/>
              </w:rPr>
            </w:pPr>
            <w:r>
              <w:rPr>
                <w:rFonts w:ascii="Arial" w:cs="Arial" w:eastAsia="Arial" w:hAnsi="Arial"/>
                <w:sz w:val="13"/>
                <w:szCs w:val="13"/>
                <w:color w:val="auto"/>
              </w:rPr>
              <w:t>Malvern, PA 19355</w:t>
            </w:r>
          </w:p>
        </w:tc>
        <w:tc>
          <w:tcPr>
            <w:tcW w:w="18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3680" w:type="dxa"/>
            <w:vAlign w:val="bottom"/>
            <w:tcBorders>
              <w:bottom w:val="single" w:sz="8" w:color="105EAB"/>
            </w:tcBorders>
          </w:tcPr>
          <w:p>
            <w:pPr>
              <w:spacing w:after="0"/>
              <w:rPr>
                <w:sz w:val="4"/>
                <w:szCs w:val="4"/>
                <w:color w:val="auto"/>
              </w:rPr>
            </w:pPr>
          </w:p>
        </w:tc>
        <w:tc>
          <w:tcPr>
            <w:tcW w:w="4380" w:type="dxa"/>
            <w:vAlign w:val="bottom"/>
            <w:tcBorders>
              <w:bottom w:val="single" w:sz="8" w:color="105EAB"/>
            </w:tcBorders>
          </w:tcPr>
          <w:p>
            <w:pPr>
              <w:spacing w:after="0"/>
              <w:rPr>
                <w:sz w:val="4"/>
                <w:szCs w:val="4"/>
                <w:color w:val="auto"/>
              </w:rPr>
            </w:pPr>
          </w:p>
        </w:tc>
        <w:tc>
          <w:tcPr>
            <w:tcW w:w="1800" w:type="dxa"/>
            <w:vAlign w:val="bottom"/>
            <w:tcBorders>
              <w:bottom w:val="single" w:sz="8" w:color="105EAB"/>
            </w:tcBorders>
          </w:tcPr>
          <w:p>
            <w:pPr>
              <w:spacing w:after="0"/>
              <w:rPr>
                <w:sz w:val="4"/>
                <w:szCs w:val="4"/>
                <w:color w:val="auto"/>
              </w:rPr>
            </w:pPr>
          </w:p>
        </w:tc>
        <w:tc>
          <w:tcPr>
            <w:tcW w:w="1560" w:type="dxa"/>
            <w:vAlign w:val="bottom"/>
            <w:tcBorders>
              <w:bottom w:val="single" w:sz="8" w:color="105EAB"/>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300" w:hanging="292"/>
        <w:spacing w:after="0"/>
        <w:tabs>
          <w:tab w:leader="none" w:pos="300" w:val="left"/>
        </w:tabs>
        <w:numPr>
          <w:ilvl w:val="0"/>
          <w:numId w:val="246"/>
        </w:numPr>
        <w:rPr>
          <w:rFonts w:ascii="Arial" w:cs="Arial" w:eastAsia="Arial" w:hAnsi="Arial"/>
          <w:sz w:val="11"/>
          <w:szCs w:val="11"/>
          <w:color w:val="auto"/>
        </w:rPr>
      </w:pPr>
      <w:r>
        <w:rPr>
          <w:rFonts w:ascii="Arial" w:cs="Arial" w:eastAsia="Arial" w:hAnsi="Arial"/>
          <w:sz w:val="13"/>
          <w:szCs w:val="13"/>
          <w:color w:val="auto"/>
        </w:rPr>
        <w:t>Based on 332,925,208 shares of common stock outstanding as of March 1, 2019.</w:t>
      </w:r>
    </w:p>
    <w:p>
      <w:pPr>
        <w:spacing w:after="0" w:line="12" w:lineRule="exact"/>
        <w:rPr>
          <w:rFonts w:ascii="Arial" w:cs="Arial" w:eastAsia="Arial" w:hAnsi="Arial"/>
          <w:sz w:val="11"/>
          <w:szCs w:val="11"/>
          <w:color w:val="auto"/>
        </w:rPr>
      </w:pPr>
    </w:p>
    <w:p>
      <w:pPr>
        <w:ind w:left="300" w:right="120" w:hanging="292"/>
        <w:spacing w:after="0" w:line="238" w:lineRule="auto"/>
        <w:tabs>
          <w:tab w:leader="none" w:pos="300" w:val="left"/>
        </w:tabs>
        <w:numPr>
          <w:ilvl w:val="0"/>
          <w:numId w:val="246"/>
        </w:numPr>
        <w:rPr>
          <w:rFonts w:ascii="Arial" w:cs="Arial" w:eastAsia="Arial" w:hAnsi="Arial"/>
          <w:sz w:val="11"/>
          <w:szCs w:val="11"/>
          <w:color w:val="auto"/>
        </w:rPr>
      </w:pPr>
      <w:r>
        <w:rPr>
          <w:rFonts w:ascii="Arial" w:cs="Arial" w:eastAsia="Arial" w:hAnsi="Arial"/>
          <w:sz w:val="13"/>
          <w:szCs w:val="13"/>
          <w:color w:val="auto"/>
        </w:rPr>
        <w:t>Reflects shares beneficially owned as of December 31, 2018, as set forth in a Schedule 13G/A filed on February 4, 2019. Of these shares, BlackRock reported it held 22,694,713 shares with sole voting power; 0 shares with shared voting power; 27,142,234 shares with sole dispositive power; and 0 shares with shared dispositive power.</w:t>
      </w:r>
    </w:p>
    <w:p>
      <w:pPr>
        <w:ind w:left="300" w:right="60" w:hanging="292"/>
        <w:spacing w:after="0" w:line="258" w:lineRule="auto"/>
        <w:tabs>
          <w:tab w:leader="none" w:pos="300" w:val="left"/>
        </w:tabs>
        <w:numPr>
          <w:ilvl w:val="0"/>
          <w:numId w:val="246"/>
        </w:numPr>
        <w:rPr>
          <w:rFonts w:ascii="Arial" w:cs="Arial" w:eastAsia="Arial" w:hAnsi="Arial"/>
          <w:sz w:val="11"/>
          <w:szCs w:val="11"/>
          <w:color w:val="auto"/>
        </w:rPr>
      </w:pPr>
      <w:r>
        <w:rPr>
          <w:rFonts w:ascii="Arial" w:cs="Arial" w:eastAsia="Arial" w:hAnsi="Arial"/>
          <w:sz w:val="13"/>
          <w:szCs w:val="13"/>
          <w:color w:val="auto"/>
        </w:rPr>
        <w:t>Reflects shares beneficially owned as of December 31, 2018, as set forth in a Schedule 13G/A filed on February 11, 2019. Of these shares, The Vanguard Group reported it held 399,426 shares with sole voting power; 116,886 shares with shared voting power; 25,161,742 shares with sole dispositive power; and 510,159 shares with shared dispositive power.</w:t>
      </w:r>
    </w:p>
    <w:p>
      <w:pPr>
        <w:spacing w:after="0" w:line="161" w:lineRule="exact"/>
        <w:rPr>
          <w:sz w:val="20"/>
          <w:szCs w:val="20"/>
          <w:color w:val="auto"/>
        </w:rPr>
      </w:pPr>
    </w:p>
    <w:p>
      <w:pPr>
        <w:spacing w:after="0"/>
        <w:rPr>
          <w:sz w:val="20"/>
          <w:szCs w:val="20"/>
          <w:color w:val="auto"/>
        </w:rPr>
      </w:pPr>
      <w:r>
        <w:rPr>
          <w:rFonts w:ascii="Arial" w:cs="Arial" w:eastAsia="Arial" w:hAnsi="Arial"/>
          <w:sz w:val="31"/>
          <w:szCs w:val="31"/>
          <w:b w:val="1"/>
          <w:bCs w:val="1"/>
          <w:color w:val="959595"/>
        </w:rPr>
        <w:t>Section 16(a) Beneficial Ownership Reporting Compliance</w:t>
      </w:r>
    </w:p>
    <w:p>
      <w:pPr>
        <w:spacing w:after="0" w:line="258"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Section 16(a) of the Securities Exchange Act of 1934 requires Allstate’s executive officers, directors, and persons who beneficially own more than 10% of Allstate’s common stock to file reports of securities ownership and changes in such ownership with the SEC.</w:t>
      </w:r>
    </w:p>
    <w:p>
      <w:pPr>
        <w:spacing w:after="0" w:line="208"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Based upon a review of copies of such reports, or written representations that all such reports were timely filed, Allstate believes that each of its executive officers and directors complied with all Section 16(a) filing requirements applicable to them during 2018 with the exception of one report for a stock option grant, which was inadvertently filed late for Elizabeth A. Brady due to an administrative error.</w:t>
      </w:r>
    </w:p>
    <w:p>
      <w:pPr>
        <w:spacing w:after="0" w:line="206" w:lineRule="exact"/>
        <w:rPr>
          <w:sz w:val="20"/>
          <w:szCs w:val="20"/>
          <w:color w:val="auto"/>
        </w:rPr>
      </w:pPr>
    </w:p>
    <w:p>
      <w:pPr>
        <w:ind w:left="460" w:hanging="452"/>
        <w:spacing w:after="0"/>
        <w:tabs>
          <w:tab w:leader="none" w:pos="460" w:val="left"/>
        </w:tabs>
        <w:numPr>
          <w:ilvl w:val="0"/>
          <w:numId w:val="247"/>
        </w:numPr>
        <w:rPr>
          <w:rFonts w:ascii="Arial" w:cs="Arial" w:eastAsia="Arial" w:hAnsi="Arial"/>
          <w:sz w:val="13"/>
          <w:szCs w:val="13"/>
          <w:b w:val="1"/>
          <w:bCs w:val="1"/>
          <w:color w:val="105EAB"/>
        </w:rPr>
      </w:pPr>
      <w:r>
        <w:rPr>
          <w:rFonts w:ascii="Arial" w:cs="Arial" w:eastAsia="Arial" w:hAnsi="Arial"/>
          <w:sz w:val="13"/>
          <w:szCs w:val="13"/>
          <w:color w:val="105EAB"/>
        </w:rPr>
        <w:t>www.allstateproxy.com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134620</wp:posOffset>
            </wp:positionV>
            <wp:extent cx="7268210" cy="209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169" w:lineRule="exact"/>
        <w:rPr>
          <w:sz w:val="20"/>
          <w:szCs w:val="20"/>
          <w:color w:val="auto"/>
        </w:rPr>
      </w:pPr>
    </w:p>
    <w:p>
      <w:pPr>
        <w:spacing w:after="0"/>
        <w:rPr>
          <w:sz w:val="20"/>
          <w:szCs w:val="20"/>
          <w:color w:val="auto"/>
        </w:rPr>
      </w:pPr>
      <w:r>
        <w:rPr>
          <w:rFonts w:ascii="Arial" w:cs="Arial" w:eastAsia="Arial" w:hAnsi="Arial"/>
          <w:sz w:val="50"/>
          <w:szCs w:val="50"/>
          <w:b w:val="1"/>
          <w:bCs w:val="1"/>
          <w:color w:val="105EAB"/>
        </w:rPr>
        <w:t>Other Information</w:t>
      </w:r>
    </w:p>
    <w:p>
      <w:pPr>
        <w:spacing w:after="0" w:line="251" w:lineRule="exact"/>
        <w:rPr>
          <w:sz w:val="20"/>
          <w:szCs w:val="20"/>
          <w:color w:val="auto"/>
        </w:rPr>
      </w:pPr>
    </w:p>
    <w:p>
      <w:pPr>
        <w:spacing w:after="0"/>
        <w:rPr>
          <w:sz w:val="20"/>
          <w:szCs w:val="20"/>
          <w:color w:val="auto"/>
        </w:rPr>
      </w:pPr>
      <w:r>
        <w:rPr>
          <w:rFonts w:ascii="Arial" w:cs="Arial" w:eastAsia="Arial" w:hAnsi="Arial"/>
          <w:sz w:val="31"/>
          <w:szCs w:val="31"/>
          <w:b w:val="1"/>
          <w:bCs w:val="1"/>
          <w:color w:val="959595"/>
        </w:rPr>
        <w:t>Proxy and Voting Information</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39B6E9"/>
        </w:rPr>
        <w:t>Who is asking for my vote and why?</w:t>
      </w:r>
    </w:p>
    <w:p>
      <w:pPr>
        <w:spacing w:after="0" w:line="233"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Allstate Board of Directors is soliciting proxies for use at the Annual Meeting of stockholders to be held on May 21, 2019, and any adjournments or postponements of the meeting. The Annual Meeting will be held only if there is a quorum, which means that a majority of the outstanding common stock entitled to vote is represented at the meeting by proxy or in person. To ensure there will be a quorum, the Allstate Board asks you to vote before the meeting, which allows your Allstate stock to be represented at the Annual Meeting.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39B6E9"/>
        </w:rPr>
        <w:t>Who can vote at the Annual Meeting?</w:t>
      </w:r>
    </w:p>
    <w:p>
      <w:pPr>
        <w:spacing w:after="0" w:line="233"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The Allstate Board has set the close of business on March 22, 2019, as the record date for the meeting. This means that you are entitled to vote if you were a stockholder of record at the close of business on March 22, 2019. On that date, there were 332,978,417 shares of Allstate common stock outstanding and entitled to vote at the Annual Meeting.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39B6E9"/>
        </w:rPr>
        <w:t>Why did I receive a notice of Internet availability of proxy materials instead of the proxy materials?</w:t>
      </w:r>
    </w:p>
    <w:p>
      <w:pPr>
        <w:spacing w:after="0" w:line="233"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We distribute our proxy materials to certain stockholders over the Internet using “Notice and Access” delivery, as permitted by the rules of the SEC. We elected to use this method for certain stockholders as it reduces our print and mail costs and the environmental impact of our annual stockholders’ meeting.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39B6E9"/>
        </w:rPr>
        <w:t>How do I vote?</w:t>
      </w:r>
    </w:p>
    <w:p>
      <w:pPr>
        <w:spacing w:after="0" w:line="233"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 xml:space="preserve">Instructions on how to vote your shares are included on the Notice on page 4. If you hold shares in your own name as a registered stockholder, you may vote in person by attending the Annual Meeting, or you may instruct the proxies how to vote your shares by following the instructions on the proxy card/voting instruction form. </w:t>
      </w:r>
      <w:r>
        <w:rPr>
          <w:rFonts w:ascii="Arial" w:cs="Arial" w:eastAsia="Arial" w:hAnsi="Arial"/>
          <w:sz w:val="18"/>
          <w:szCs w:val="18"/>
          <w:b w:val="1"/>
          <w:bCs w:val="1"/>
          <w:color w:val="auto"/>
        </w:rPr>
        <w:t>If you plan to attend the meeting in person, please see the details on page 93.</w:t>
      </w:r>
    </w:p>
    <w:p>
      <w:pPr>
        <w:spacing w:after="0" w:line="210" w:lineRule="exact"/>
        <w:rPr>
          <w:sz w:val="20"/>
          <w:szCs w:val="20"/>
          <w:color w:val="auto"/>
        </w:rPr>
      </w:pPr>
    </w:p>
    <w:p>
      <w:pPr>
        <w:ind w:right="600"/>
        <w:spacing w:after="0" w:line="239" w:lineRule="auto"/>
        <w:rPr>
          <w:sz w:val="20"/>
          <w:szCs w:val="20"/>
          <w:color w:val="auto"/>
        </w:rPr>
      </w:pPr>
      <w:r>
        <w:rPr>
          <w:rFonts w:ascii="Arial" w:cs="Arial" w:eastAsia="Arial" w:hAnsi="Arial"/>
          <w:sz w:val="18"/>
          <w:szCs w:val="18"/>
          <w:color w:val="auto"/>
        </w:rPr>
        <w:t>If you hold shares in street name (that is, through a broker, bank, or other record holder), you should follow the instructions provided by your broker, bank, or other record holder to vote your shares.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If you hold shares through the Allstate 401(k) Savings Plan, please see the instructions on pages 93-94.</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39B6E9"/>
        </w:rPr>
        <w:t>Can I change my vote?</w:t>
      </w:r>
    </w:p>
    <w:p>
      <w:pPr>
        <w:spacing w:after="0" w:line="233" w:lineRule="exact"/>
        <w:rPr>
          <w:sz w:val="20"/>
          <w:szCs w:val="20"/>
          <w:color w:val="auto"/>
        </w:rPr>
      </w:pPr>
    </w:p>
    <w:p>
      <w:pPr>
        <w:ind w:right="720"/>
        <w:spacing w:after="0" w:line="298" w:lineRule="auto"/>
        <w:rPr>
          <w:sz w:val="20"/>
          <w:szCs w:val="20"/>
          <w:color w:val="auto"/>
        </w:rPr>
      </w:pPr>
      <w:r>
        <w:rPr>
          <w:rFonts w:ascii="Arial" w:cs="Arial" w:eastAsia="Arial" w:hAnsi="Arial"/>
          <w:sz w:val="16"/>
          <w:szCs w:val="16"/>
          <w:color w:val="auto"/>
        </w:rPr>
        <w:t>Before your shares have been voted at the Annual Meeting by the proxies, you may change or revoke your voting instructions by providing instructions again by telephone, by Internet, in writing, or, if you are a registered stockholder, by voting in person at the Annual Meeting.</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39B6E9"/>
        </w:rPr>
        <w:t>Are the votes kept confidential?</w:t>
      </w:r>
    </w:p>
    <w:p>
      <w:pPr>
        <w:spacing w:after="0" w:line="233" w:lineRule="exact"/>
        <w:rPr>
          <w:sz w:val="20"/>
          <w:szCs w:val="20"/>
          <w:color w:val="auto"/>
        </w:rPr>
      </w:pPr>
    </w:p>
    <w:p>
      <w:pPr>
        <w:ind w:right="240"/>
        <w:spacing w:after="0" w:line="281" w:lineRule="auto"/>
        <w:rPr>
          <w:sz w:val="20"/>
          <w:szCs w:val="20"/>
          <w:color w:val="auto"/>
        </w:rPr>
      </w:pPr>
      <w:r>
        <w:rPr>
          <w:rFonts w:ascii="Arial" w:cs="Arial" w:eastAsia="Arial" w:hAnsi="Arial"/>
          <w:sz w:val="16"/>
          <w:szCs w:val="16"/>
          <w:color w:val="auto"/>
        </w:rPr>
        <w:t>All proxies, ballots, and tabulations that identify the vote of a particular stockholder are confidential, except as necessary to allow the inspector of election to certify the voting results or to meet certain legal requirements. A representative of American Election Services, LLC will act as the inspector of election and will count the votes. The representative is independent of Allstate and its directors, officers, and employees.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If you write a comment on your proxy card, voting instruction form, or ballot, it may be provided to our Secretary along with your name and address.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1120" w:type="dxa"/>
            <w:vAlign w:val="bottom"/>
          </w:tcPr>
          <w:p>
            <w:pPr>
              <w:ind w:left="9640"/>
              <w:spacing w:after="0"/>
              <w:rPr>
                <w:sz w:val="20"/>
                <w:szCs w:val="20"/>
                <w:color w:val="auto"/>
              </w:rPr>
            </w:pPr>
            <w:r>
              <w:rPr>
                <w:rFonts w:ascii="Arial" w:cs="Arial" w:eastAsia="Arial" w:hAnsi="Arial"/>
                <w:sz w:val="13"/>
                <w:szCs w:val="13"/>
                <w:color w:val="105EAB"/>
              </w:rPr>
              <w:t>2019 Proxy Statement</w:t>
            </w:r>
          </w:p>
        </w:tc>
        <w:tc>
          <w:tcPr>
            <w:tcW w:w="320" w:type="dxa"/>
            <w:vAlign w:val="bottom"/>
          </w:tcPr>
          <w:p>
            <w:pPr>
              <w:jc w:val="right"/>
              <w:spacing w:after="0"/>
              <w:rPr>
                <w:sz w:val="20"/>
                <w:szCs w:val="20"/>
                <w:color w:val="auto"/>
              </w:rPr>
            </w:pPr>
            <w:r>
              <w:rPr>
                <w:rFonts w:ascii="Arial" w:cs="Arial" w:eastAsia="Arial" w:hAnsi="Arial"/>
                <w:sz w:val="13"/>
                <w:szCs w:val="13"/>
                <w:b w:val="1"/>
                <w:bCs w:val="1"/>
                <w:color w:val="105EAB"/>
              </w:rPr>
              <w:t>91</w:t>
            </w:r>
          </w:p>
        </w:tc>
      </w:tr>
      <w:tr>
        <w:trPr>
          <w:trHeight w:val="213"/>
        </w:trPr>
        <w:tc>
          <w:tcPr>
            <w:tcW w:w="1112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-13970</wp:posOffset>
            </wp:positionV>
            <wp:extent cx="1270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b w:val="1"/>
          <w:bCs w:val="1"/>
          <w:color w:val="105EAB"/>
        </w:rPr>
        <w:t xml:space="preserve">Other Information | </w:t>
      </w:r>
      <w:r>
        <w:rPr>
          <w:rFonts w:ascii="Arial" w:cs="Arial" w:eastAsia="Arial" w:hAnsi="Arial"/>
          <w:sz w:val="13"/>
          <w:szCs w:val="13"/>
          <w:b w:val="1"/>
          <w:bCs w:val="1"/>
          <w:color w:val="000000"/>
        </w:rPr>
        <w:t>Proxy and Voting Information</w:t>
      </w:r>
    </w:p>
    <w:p>
      <w:pPr>
        <w:spacing w:after="0" w:line="235" w:lineRule="exact"/>
        <w:rPr>
          <w:sz w:val="20"/>
          <w:szCs w:val="20"/>
          <w:color w:val="auto"/>
        </w:rPr>
      </w:pPr>
    </w:p>
    <w:p>
      <w:pPr>
        <w:jc w:val="both"/>
        <w:ind w:right="40"/>
        <w:spacing w:after="0" w:line="237" w:lineRule="auto"/>
        <w:rPr>
          <w:sz w:val="20"/>
          <w:szCs w:val="20"/>
          <w:color w:val="auto"/>
        </w:rPr>
      </w:pPr>
      <w:r>
        <w:rPr>
          <w:rFonts w:ascii="Arial" w:cs="Arial" w:eastAsia="Arial" w:hAnsi="Arial"/>
          <w:sz w:val="18"/>
          <w:szCs w:val="18"/>
          <w:color w:val="auto"/>
        </w:rPr>
        <w:t>Your comments will be provided without reference to how you voted, unless the vote is mentioned in your comment or unless disclosure of the vote is necessary to understand your comment. At our request, the distribution agent or the solicitation agent will provide us with periodic status reports on the aggregate vote. These status reports may include a list of stockholders who have not voted and breakdowns of vote totals by different types of stockholders, as long as we are not able to determine how a particular stockholder voted.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39B6E9"/>
        </w:rPr>
        <w:t>What happens if I submit a signed proxy card but do not indicate how I want to vote?</w:t>
      </w:r>
    </w:p>
    <w:p>
      <w:pPr>
        <w:spacing w:after="0" w:line="233"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You may instruct the proxies to vote “FOR” or “AGAINST” on each proposal, or you may instruct the proxies to “ABSTAIN” from voting. If you submit a signed proxy card/voting instruction form to allow your shares to be represented at the Annual Meeting but do not indicate how your shares should be voted on one or more proposals, then the proxies will vote your shares as the Board of Directors recommends on those proposals. Other than the proposals listed on pages 5-8, we do not know of any other matters to be presented at the meeting. If any other matters are properly presented at the meeting, the proxies may vote your shares in accordance with their best judgment.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39B6E9"/>
        </w:rPr>
        <w:t>What vote is needed to approve each item?</w:t>
      </w:r>
    </w:p>
    <w:p>
      <w:pPr>
        <w:spacing w:after="0" w:line="233" w:lineRule="exact"/>
        <w:rPr>
          <w:sz w:val="20"/>
          <w:szCs w:val="20"/>
          <w:color w:val="auto"/>
        </w:rPr>
      </w:pPr>
    </w:p>
    <w:p>
      <w:pPr>
        <w:ind w:right="460"/>
        <w:spacing w:after="0" w:line="239" w:lineRule="auto"/>
        <w:rPr>
          <w:sz w:val="20"/>
          <w:szCs w:val="20"/>
          <w:color w:val="auto"/>
        </w:rPr>
      </w:pPr>
      <w:r>
        <w:rPr>
          <w:rFonts w:ascii="Arial" w:cs="Arial" w:eastAsia="Arial" w:hAnsi="Arial"/>
          <w:sz w:val="18"/>
          <w:szCs w:val="18"/>
          <w:color w:val="auto"/>
        </w:rPr>
        <w:t>Shares of common stock represented by a properly completed proxy card/voting instruction form will be counted as present at the meeting for purposes of determining a quorum, even if the stockholder is abstaining from voting.</w:t>
      </w:r>
    </w:p>
    <w:p>
      <w:pPr>
        <w:spacing w:after="0" w:line="186" w:lineRule="exact"/>
        <w:rPr>
          <w:sz w:val="20"/>
          <w:szCs w:val="20"/>
          <w:color w:val="auto"/>
        </w:rPr>
      </w:pPr>
    </w:p>
    <w:p>
      <w:pPr>
        <w:spacing w:after="0" w:line="249" w:lineRule="auto"/>
        <w:rPr>
          <w:sz w:val="20"/>
          <w:szCs w:val="20"/>
          <w:color w:val="auto"/>
        </w:rPr>
      </w:pPr>
      <w:r>
        <w:rPr>
          <w:rFonts w:ascii="Arial" w:cs="Arial" w:eastAsia="Arial" w:hAnsi="Arial"/>
          <w:sz w:val="18"/>
          <w:szCs w:val="18"/>
          <w:b w:val="1"/>
          <w:bCs w:val="1"/>
          <w:color w:val="auto"/>
        </w:rPr>
        <w:t xml:space="preserve">Proposal 1. </w:t>
      </w:r>
      <w:r>
        <w:rPr>
          <w:rFonts w:ascii="Arial" w:cs="Arial" w:eastAsia="Arial" w:hAnsi="Arial"/>
          <w:sz w:val="18"/>
          <w:szCs w:val="18"/>
          <w:color w:val="auto"/>
        </w:rPr>
        <w:t>To be elected under Allstate’s majority vote standard, each director must receive an affirmative vote of the majority of the votes cast. In</w:t>
      </w:r>
      <w:r>
        <w:rPr>
          <w:rFonts w:ascii="Arial" w:cs="Arial" w:eastAsia="Arial" w:hAnsi="Arial"/>
          <w:sz w:val="18"/>
          <w:szCs w:val="18"/>
          <w:b w:val="1"/>
          <w:bCs w:val="1"/>
          <w:color w:val="auto"/>
        </w:rPr>
        <w:t xml:space="preserve"> </w:t>
      </w:r>
      <w:r>
        <w:rPr>
          <w:rFonts w:ascii="Arial" w:cs="Arial" w:eastAsia="Arial" w:hAnsi="Arial"/>
          <w:sz w:val="18"/>
          <w:szCs w:val="18"/>
          <w:color w:val="auto"/>
        </w:rPr>
        <w:t>other words, the number of shares voted “FOR” a director must exceed 50% of the votes cast on that director. Abstentions will not be counted as votes cast and will have no impact on the vote’s outcome.</w:t>
      </w:r>
    </w:p>
    <w:p>
      <w:pPr>
        <w:spacing w:after="0" w:line="17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b w:val="1"/>
          <w:bCs w:val="1"/>
          <w:color w:val="auto"/>
        </w:rPr>
        <w:t xml:space="preserve">Proposals 2 – 5. </w:t>
      </w:r>
      <w:r>
        <w:rPr>
          <w:rFonts w:ascii="Arial" w:cs="Arial" w:eastAsia="Arial" w:hAnsi="Arial"/>
          <w:sz w:val="18"/>
          <w:szCs w:val="18"/>
          <w:color w:val="auto"/>
        </w:rPr>
        <w:t>A majority of the shares present in person or represented by proxy at the meeting and entitled to vote must be voted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proposal. </w:t>
      </w:r>
      <w:r>
        <w:rPr>
          <w:rFonts w:ascii="Arial" w:cs="Arial" w:eastAsia="Arial" w:hAnsi="Arial"/>
          <w:sz w:val="18"/>
          <w:szCs w:val="18"/>
          <w:b w:val="1"/>
          <w:bCs w:val="1"/>
          <w:color w:val="auto"/>
        </w:rPr>
        <w:t>Abstentions will have the effect of a vote against the proposal.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39B6E9"/>
        </w:rPr>
        <w:t>Are broker non-votes counted at the meeting?</w:t>
      </w:r>
    </w:p>
    <w:p>
      <w:pPr>
        <w:spacing w:after="0" w:line="233"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Brokers and banks have discretionary authority to vote shares in the absence of instructions on matters the New York Stock Exchange considers “routine,” such as the ratification of the appointment of the auditors. They do not have discretionary authority to vote shares in the absence of instructions on “non-routine” matters, such as the election of directors, say-on-pay, approval of the equity plan, or the stockholder proposal. Broker non-votes will not be counted as shares entitled to vote on any of the foregoing non-routine matters and will have no impact on the vote’s outcome.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39B6E9"/>
        </w:rPr>
        <w:t>What is “householding” and how does it affect me?</w:t>
      </w:r>
    </w:p>
    <w:p>
      <w:pPr>
        <w:spacing w:after="0" w:line="233" w:lineRule="exact"/>
        <w:rPr>
          <w:sz w:val="20"/>
          <w:szCs w:val="20"/>
          <w:color w:val="auto"/>
        </w:rPr>
      </w:pPr>
    </w:p>
    <w:p>
      <w:pPr>
        <w:ind w:right="340"/>
        <w:spacing w:after="0" w:line="272" w:lineRule="auto"/>
        <w:rPr>
          <w:sz w:val="20"/>
          <w:szCs w:val="20"/>
          <w:color w:val="auto"/>
        </w:rPr>
      </w:pPr>
      <w:r>
        <w:rPr>
          <w:rFonts w:ascii="Arial" w:cs="Arial" w:eastAsia="Arial" w:hAnsi="Arial"/>
          <w:sz w:val="16"/>
          <w:szCs w:val="16"/>
          <w:color w:val="auto"/>
        </w:rPr>
        <w:t>Allstate has adopted the “householding” procedure approved by the SEC, which allows us to deliver one set of documents to a household of stockholders instead of delivering a set to each stockholder in a household, unless we have been instructed otherwise. This procedure is more environmentally friendly and cost-effective because it reduces the number of copies to be printed and mailed. Stockholders who receive proxy materials in paper form will continue to receive separate proxy cards/voting instruction forms to vote their shares. Stockholders who receive the Notice of Internet Availability of Proxy Materials will receive instructions on submitting their proxy cards/voting instruction form via the Internet.</w:t>
      </w:r>
    </w:p>
    <w:p>
      <w:pPr>
        <w:spacing w:after="0" w:line="185"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If you would like to change your householding election, request that a single copy of the proxy materials be sent to your address, or request a separate copy of the proxy materials, please contact our distribution agent, Broadridge Financial Solutions, by calling (866) 540-7095 or by writing to Broadridge Householding Department, 51 Mercedes Way, Edgewood, NY 11717. We will promptly deliver the proxy materials to you upon receipt of your request. If you hold your shares in street name, please contact your bank, broker, or other record holder to request information about householding.</w:t>
      </w:r>
    </w:p>
    <w:p>
      <w:pPr>
        <w:spacing w:after="0" w:line="210"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If you receive more than one proxy card/voting instruction form, your shares probably are registered in more than one account or you may hold shares both as a registered stockholder and through the Allstate 401(k) Savings Plan. You should vote each proxy card/voting instruction form you receive.</w:t>
      </w:r>
    </w:p>
    <w:p>
      <w:pPr>
        <w:spacing w:after="0" w:line="206" w:lineRule="exact"/>
        <w:rPr>
          <w:sz w:val="20"/>
          <w:szCs w:val="20"/>
          <w:color w:val="auto"/>
        </w:rPr>
      </w:pPr>
    </w:p>
    <w:p>
      <w:pPr>
        <w:ind w:left="460" w:hanging="452"/>
        <w:spacing w:after="0"/>
        <w:tabs>
          <w:tab w:leader="none" w:pos="460" w:val="left"/>
        </w:tabs>
        <w:numPr>
          <w:ilvl w:val="0"/>
          <w:numId w:val="248"/>
        </w:numPr>
        <w:rPr>
          <w:rFonts w:ascii="Arial" w:cs="Arial" w:eastAsia="Arial" w:hAnsi="Arial"/>
          <w:sz w:val="13"/>
          <w:szCs w:val="13"/>
          <w:b w:val="1"/>
          <w:bCs w:val="1"/>
          <w:color w:val="105EAB"/>
        </w:rPr>
      </w:pPr>
      <w:r>
        <w:rPr>
          <w:rFonts w:ascii="Arial" w:cs="Arial" w:eastAsia="Arial" w:hAnsi="Arial"/>
          <w:sz w:val="13"/>
          <w:szCs w:val="13"/>
          <w:color w:val="105EAB"/>
        </w:rPr>
        <w:t>www.allstateproxy.com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134620</wp:posOffset>
            </wp:positionV>
            <wp:extent cx="7268210" cy="209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jc w:val="right"/>
        <w:ind w:right="20"/>
        <w:spacing w:after="0"/>
        <w:rPr>
          <w:sz w:val="20"/>
          <w:szCs w:val="20"/>
          <w:color w:val="auto"/>
        </w:rPr>
      </w:pPr>
      <w:r>
        <w:rPr>
          <w:rFonts w:ascii="Arial" w:cs="Arial" w:eastAsia="Arial" w:hAnsi="Arial"/>
          <w:sz w:val="13"/>
          <w:szCs w:val="13"/>
          <w:b w:val="1"/>
          <w:bCs w:val="1"/>
          <w:color w:val="auto"/>
        </w:rPr>
        <w:t xml:space="preserve">Proxy and Voting Information </w:t>
      </w:r>
      <w:r>
        <w:rPr>
          <w:rFonts w:ascii="Arial" w:cs="Arial" w:eastAsia="Arial" w:hAnsi="Arial"/>
          <w:sz w:val="13"/>
          <w:szCs w:val="13"/>
          <w:b w:val="1"/>
          <w:bCs w:val="1"/>
          <w:color w:val="105EAB"/>
        </w:rPr>
        <w:t>| Other Information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39B6E9"/>
        </w:rPr>
        <w:t>How do I attend the Annual Meeting?</w:t>
      </w:r>
    </w:p>
    <w:p>
      <w:pPr>
        <w:spacing w:after="0" w:line="233"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If you plan to attend the meeting, you must be a holder of Allstate shares as of the record date of March 22, 2019. We encourage you to request an admission ticket in advance. You may request admission tickets by visiting proxyvote.com and following the instructions provided or calling 1-888-247-6053. You will need your proxy card, voting instruction form, or notice of Internet availability when you request the ticket.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At the entrance to the meeting, we will request to see your admission ticket and valid photo identification, such as a driver’s license or passport.</w:t>
      </w:r>
    </w:p>
    <w:p>
      <w:pPr>
        <w:spacing w:after="0" w:line="211"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If you do not request an admission ticket in advance, we will request to see your photo identification at the entrance to the meeting. We will then confirm your common stock ownership on the record date by:</w:t>
      </w:r>
    </w:p>
    <w:p>
      <w:pPr>
        <w:spacing w:after="0" w:line="182" w:lineRule="exact"/>
        <w:rPr>
          <w:sz w:val="20"/>
          <w:szCs w:val="20"/>
          <w:color w:val="auto"/>
        </w:rPr>
      </w:pPr>
    </w:p>
    <w:p>
      <w:pPr>
        <w:ind w:left="340" w:hanging="332"/>
        <w:spacing w:after="0"/>
        <w:tabs>
          <w:tab w:leader="none" w:pos="340" w:val="left"/>
        </w:tabs>
        <w:numPr>
          <w:ilvl w:val="0"/>
          <w:numId w:val="249"/>
        </w:numPr>
        <w:rPr>
          <w:rFonts w:ascii="Arial" w:cs="Arial" w:eastAsia="Arial" w:hAnsi="Arial"/>
          <w:sz w:val="17"/>
          <w:szCs w:val="17"/>
          <w:color w:val="105EAB"/>
        </w:rPr>
      </w:pPr>
      <w:r>
        <w:rPr>
          <w:rFonts w:ascii="Arial" w:cs="Arial" w:eastAsia="Arial" w:hAnsi="Arial"/>
          <w:sz w:val="18"/>
          <w:szCs w:val="18"/>
          <w:b w:val="1"/>
          <w:bCs w:val="1"/>
          <w:color w:val="auto"/>
        </w:rPr>
        <w:t xml:space="preserve">For registered stockholders: </w:t>
      </w:r>
      <w:r>
        <w:rPr>
          <w:rFonts w:ascii="Arial" w:cs="Arial" w:eastAsia="Arial" w:hAnsi="Arial"/>
          <w:sz w:val="18"/>
          <w:szCs w:val="18"/>
          <w:color w:val="auto"/>
        </w:rPr>
        <w:t>verifying your name and stock ownership against our list of registered stockholders.</w:t>
      </w:r>
    </w:p>
    <w:p>
      <w:pPr>
        <w:spacing w:after="0" w:line="103" w:lineRule="exact"/>
        <w:rPr>
          <w:rFonts w:ascii="Arial" w:cs="Arial" w:eastAsia="Arial" w:hAnsi="Arial"/>
          <w:sz w:val="17"/>
          <w:szCs w:val="17"/>
          <w:color w:val="105EAB"/>
        </w:rPr>
      </w:pPr>
    </w:p>
    <w:p>
      <w:pPr>
        <w:ind w:left="340" w:right="200" w:hanging="332"/>
        <w:spacing w:after="0" w:line="253" w:lineRule="auto"/>
        <w:tabs>
          <w:tab w:leader="none" w:pos="340" w:val="left"/>
        </w:tabs>
        <w:numPr>
          <w:ilvl w:val="0"/>
          <w:numId w:val="249"/>
        </w:numPr>
        <w:rPr>
          <w:rFonts w:ascii="Arial" w:cs="Arial" w:eastAsia="Arial" w:hAnsi="Arial"/>
          <w:sz w:val="17"/>
          <w:szCs w:val="17"/>
          <w:color w:val="105EAB"/>
        </w:rPr>
      </w:pPr>
      <w:r>
        <w:rPr>
          <w:rFonts w:ascii="Arial" w:cs="Arial" w:eastAsia="Arial" w:hAnsi="Arial"/>
          <w:sz w:val="18"/>
          <w:szCs w:val="18"/>
          <w:b w:val="1"/>
          <w:bCs w:val="1"/>
          <w:color w:val="auto"/>
        </w:rPr>
        <w:t xml:space="preserve">For beneficial or street name stockholders </w:t>
      </w:r>
      <w:r>
        <w:rPr>
          <w:rFonts w:ascii="Arial" w:cs="Arial" w:eastAsia="Arial" w:hAnsi="Arial"/>
          <w:sz w:val="18"/>
          <w:szCs w:val="18"/>
          <w:color w:val="auto"/>
        </w:rPr>
        <w:t>(those holding shares through a broker, bank or other record holder): asking to review</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evidence of your stock ownership as of March 22, 2019, such as your brokerage statement. </w:t>
      </w:r>
      <w:r>
        <w:rPr>
          <w:rFonts w:ascii="Arial" w:cs="Arial" w:eastAsia="Arial" w:hAnsi="Arial"/>
          <w:sz w:val="18"/>
          <w:szCs w:val="18"/>
          <w:b w:val="1"/>
          <w:bCs w:val="1"/>
          <w:color w:val="auto"/>
        </w:rPr>
        <w:t>You must bring such evidence with you in</w:t>
      </w:r>
      <w:r>
        <w:rPr>
          <w:rFonts w:ascii="Arial" w:cs="Arial" w:eastAsia="Arial" w:hAnsi="Arial"/>
          <w:sz w:val="18"/>
          <w:szCs w:val="18"/>
          <w:color w:val="auto"/>
        </w:rPr>
        <w:t xml:space="preserve"> </w:t>
      </w:r>
      <w:r>
        <w:rPr>
          <w:rFonts w:ascii="Arial" w:cs="Arial" w:eastAsia="Arial" w:hAnsi="Arial"/>
          <w:sz w:val="18"/>
          <w:szCs w:val="18"/>
          <w:b w:val="1"/>
          <w:bCs w:val="1"/>
          <w:color w:val="auto"/>
        </w:rPr>
        <w:t>order to be admitted to the meeting.</w:t>
      </w:r>
    </w:p>
    <w:p>
      <w:pPr>
        <w:spacing w:after="0" w:line="194"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If you are acting as a proxy, we will need to review a valid written legal proxy signed by the owner of the common stock granting you the required authority to vote the owner’s shares.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39B6E9"/>
        </w:rPr>
        <w:t>Where can I find the results of the Annual Meeting?</w:t>
      </w:r>
    </w:p>
    <w:p>
      <w:pPr>
        <w:spacing w:after="0" w:line="233"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Preliminary results will be announced at the meeting, and final results will be reported in a current report on Form 8-K, which is expected to be filed with the SEC within four business days after the meeting.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39B6E9"/>
        </w:rPr>
        <w:t>Who will pay the cost of this proxy solicitation?</w:t>
      </w:r>
    </w:p>
    <w:p>
      <w:pPr>
        <w:spacing w:after="0" w:line="233"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Allstate pays the cost of this proxy solicitation. Officers and other employees of Allstate and its subsidiaries may solicit proxies by mail, personal interview, telephone, facsimile, electronic means, or via the Internet. None of these individuals will receive special compensation for soliciting votes, which will be performed in addition to their regular duties, and some of them may not necessarily solicit proxies. Allstate also has made arrangements with brokerage firms, banks, record holders, and other fiduciaries to forward proxy solicitation materials to the beneficial owners of shares they hold on your behalf. Allstate will reimburse these intermediaries for reasonable out-of-pocket expenses. Alliance Advisors, 200 Broadacres Drive, 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Floor, Bloomfield, NJ 07003 has been retained to assist in the solicitation of proxies for a fee of $20,000 plus expenses.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39B6E9"/>
        </w:rPr>
        <w:t>How do I vote if I hold shares through the 401(k) Savings Plan?</w:t>
      </w:r>
    </w:p>
    <w:p>
      <w:pPr>
        <w:spacing w:after="0" w:line="233"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If you hold Allstate common shares through the Allstate 401(k) Savings Plan, your proxy card/voting instruction form for those shares will instruct the plan trustee how to vote those shares. If you received your Annual Meeting materials electronically, and you hold Allstate common shares both through the plan and also directly as a registered stockholder, the voting instructions you provide electronically will be applied to both your plan shares and your registered shares. If you return a signed proxy card/voting instruction form or vote by telephone or the Internet on a timely basis, the trustee will follow your voting instructions for all Allstate common shares allocated to your plan account unless that would be inconsistent with the trustee’s duties.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1120" w:type="dxa"/>
            <w:vAlign w:val="bottom"/>
          </w:tcPr>
          <w:p>
            <w:pPr>
              <w:ind w:left="9640"/>
              <w:spacing w:after="0"/>
              <w:rPr>
                <w:sz w:val="20"/>
                <w:szCs w:val="20"/>
                <w:color w:val="auto"/>
              </w:rPr>
            </w:pPr>
            <w:r>
              <w:rPr>
                <w:rFonts w:ascii="Arial" w:cs="Arial" w:eastAsia="Arial" w:hAnsi="Arial"/>
                <w:sz w:val="13"/>
                <w:szCs w:val="13"/>
                <w:color w:val="105EAB"/>
              </w:rPr>
              <w:t>2019 Proxy Statement</w:t>
            </w:r>
          </w:p>
        </w:tc>
        <w:tc>
          <w:tcPr>
            <w:tcW w:w="320" w:type="dxa"/>
            <w:vAlign w:val="bottom"/>
          </w:tcPr>
          <w:p>
            <w:pPr>
              <w:jc w:val="right"/>
              <w:spacing w:after="0"/>
              <w:rPr>
                <w:sz w:val="20"/>
                <w:szCs w:val="20"/>
                <w:color w:val="auto"/>
              </w:rPr>
            </w:pPr>
            <w:r>
              <w:rPr>
                <w:rFonts w:ascii="Arial" w:cs="Arial" w:eastAsia="Arial" w:hAnsi="Arial"/>
                <w:sz w:val="13"/>
                <w:szCs w:val="13"/>
                <w:b w:val="1"/>
                <w:bCs w:val="1"/>
                <w:color w:val="105EAB"/>
              </w:rPr>
              <w:t>93</w:t>
            </w:r>
          </w:p>
        </w:tc>
      </w:tr>
      <w:tr>
        <w:trPr>
          <w:trHeight w:val="213"/>
        </w:trPr>
        <w:tc>
          <w:tcPr>
            <w:tcW w:w="1112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-13970</wp:posOffset>
            </wp:positionV>
            <wp:extent cx="1270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b w:val="1"/>
          <w:bCs w:val="1"/>
          <w:color w:val="105EAB"/>
        </w:rPr>
        <w:t xml:space="preserve">Other Information | </w:t>
      </w:r>
      <w:r>
        <w:rPr>
          <w:rFonts w:ascii="Arial" w:cs="Arial" w:eastAsia="Arial" w:hAnsi="Arial"/>
          <w:sz w:val="13"/>
          <w:szCs w:val="13"/>
          <w:b w:val="1"/>
          <w:bCs w:val="1"/>
          <w:color w:val="000000"/>
        </w:rPr>
        <w:t>Proxy and Voting Information</w:t>
      </w:r>
    </w:p>
    <w:p>
      <w:pPr>
        <w:spacing w:after="0" w:line="235"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 xml:space="preserve">If your voting instructions are not received on a timely basis, the shares allocated to your plan account will be considered “unvoted.” If you return a signed proxy card/voting instruction form but do not indicate how your shares should be voted on a given matter, the shares represented by your proxy card/voting instruction form will be voted as the Board of Directors recommends. </w:t>
      </w:r>
      <w:r>
        <w:rPr>
          <w:rFonts w:ascii="Arial" w:cs="Arial" w:eastAsia="Arial" w:hAnsi="Arial"/>
          <w:sz w:val="18"/>
          <w:szCs w:val="18"/>
          <w:b w:val="1"/>
          <w:bCs w:val="1"/>
          <w:color w:val="auto"/>
        </w:rPr>
        <w:t>The trustee will vote all unvoted shares and all</w:t>
      </w:r>
      <w:r>
        <w:rPr>
          <w:rFonts w:ascii="Arial" w:cs="Arial" w:eastAsia="Arial" w:hAnsi="Arial"/>
          <w:sz w:val="18"/>
          <w:szCs w:val="18"/>
          <w:color w:val="auto"/>
        </w:rPr>
        <w:t xml:space="preserve"> </w:t>
      </w:r>
      <w:r>
        <w:rPr>
          <w:rFonts w:ascii="Arial" w:cs="Arial" w:eastAsia="Arial" w:hAnsi="Arial"/>
          <w:sz w:val="18"/>
          <w:szCs w:val="18"/>
          <w:b w:val="1"/>
          <w:bCs w:val="1"/>
          <w:color w:val="auto"/>
        </w:rPr>
        <w:t>unallocated shares held by the plan as follows:</w:t>
      </w:r>
    </w:p>
    <w:p>
      <w:pPr>
        <w:spacing w:after="0" w:line="204" w:lineRule="exact"/>
        <w:rPr>
          <w:sz w:val="20"/>
          <w:szCs w:val="20"/>
          <w:color w:val="auto"/>
        </w:rPr>
      </w:pPr>
    </w:p>
    <w:p>
      <w:pPr>
        <w:ind w:left="340" w:hanging="332"/>
        <w:spacing w:after="0" w:line="238" w:lineRule="auto"/>
        <w:tabs>
          <w:tab w:leader="none" w:pos="340" w:val="left"/>
        </w:tabs>
        <w:numPr>
          <w:ilvl w:val="0"/>
          <w:numId w:val="250"/>
        </w:numPr>
        <w:rPr>
          <w:rFonts w:ascii="Arial" w:cs="Arial" w:eastAsia="Arial" w:hAnsi="Arial"/>
          <w:sz w:val="17"/>
          <w:szCs w:val="17"/>
          <w:color w:val="105EAB"/>
        </w:rPr>
      </w:pPr>
      <w:r>
        <w:rPr>
          <w:rFonts w:ascii="Arial" w:cs="Arial" w:eastAsia="Arial" w:hAnsi="Arial"/>
          <w:sz w:val="18"/>
          <w:szCs w:val="18"/>
          <w:color w:val="auto"/>
        </w:rPr>
        <w:t>If the trustee receives instructions (through voting instruction forms or through telephonic or Internet instruction) on a timely basis for at least 50% of the votable allocated shares in the plan, then it will vote all unvoted shares and unallocated shares in the same proportion and in the same manner as the shares for which timely instructions have been received, unless to do so would be inconsistent with the trustee’s duties.</w:t>
      </w:r>
    </w:p>
    <w:p>
      <w:pPr>
        <w:spacing w:after="0" w:line="96" w:lineRule="exact"/>
        <w:rPr>
          <w:rFonts w:ascii="Arial" w:cs="Arial" w:eastAsia="Arial" w:hAnsi="Arial"/>
          <w:sz w:val="17"/>
          <w:szCs w:val="17"/>
          <w:color w:val="105EAB"/>
        </w:rPr>
      </w:pPr>
    </w:p>
    <w:p>
      <w:pPr>
        <w:ind w:left="340" w:hanging="332"/>
        <w:spacing w:after="0"/>
        <w:tabs>
          <w:tab w:leader="none" w:pos="340" w:val="left"/>
        </w:tabs>
        <w:numPr>
          <w:ilvl w:val="0"/>
          <w:numId w:val="250"/>
        </w:numPr>
        <w:rPr>
          <w:rFonts w:ascii="Arial" w:cs="Arial" w:eastAsia="Arial" w:hAnsi="Arial"/>
          <w:sz w:val="17"/>
          <w:szCs w:val="17"/>
          <w:color w:val="105EAB"/>
        </w:rPr>
      </w:pPr>
      <w:r>
        <w:rPr>
          <w:rFonts w:ascii="Arial" w:cs="Arial" w:eastAsia="Arial" w:hAnsi="Arial"/>
          <w:sz w:val="18"/>
          <w:szCs w:val="18"/>
          <w:color w:val="auto"/>
        </w:rPr>
        <w:t>If the trustee receives instructions for less than 50% of the votable allocated shares, the trustee will vote all unvoted and unallocated shares at its sole discretion. However, the trustee will not use its discretionary authority to vote on adjournment of the meeting in order to solicit further proxies.</w:t>
      </w:r>
    </w:p>
    <w:p>
      <w:pPr>
        <w:spacing w:after="0" w:line="184" w:lineRule="exact"/>
        <w:rPr>
          <w:sz w:val="20"/>
          <w:szCs w:val="20"/>
          <w:color w:val="auto"/>
        </w:rPr>
      </w:pPr>
    </w:p>
    <w:p>
      <w:pPr>
        <w:ind w:right="340"/>
        <w:spacing w:after="0" w:line="327" w:lineRule="auto"/>
        <w:rPr>
          <w:sz w:val="20"/>
          <w:szCs w:val="20"/>
          <w:color w:val="auto"/>
        </w:rPr>
      </w:pPr>
      <w:r>
        <w:rPr>
          <w:rFonts w:ascii="Arial" w:cs="Arial" w:eastAsia="Arial" w:hAnsi="Arial"/>
          <w:sz w:val="16"/>
          <w:szCs w:val="16"/>
          <w:b w:val="1"/>
          <w:bCs w:val="1"/>
          <w:color w:val="auto"/>
        </w:rPr>
        <w:t xml:space="preserve">Plan votes receive the same high level of confidentiality as all other votes. </w:t>
      </w:r>
      <w:r>
        <w:rPr>
          <w:rFonts w:ascii="Arial" w:cs="Arial" w:eastAsia="Arial" w:hAnsi="Arial"/>
          <w:sz w:val="16"/>
          <w:szCs w:val="16"/>
          <w:color w:val="auto"/>
        </w:rPr>
        <w:t>You may not vote the shares allocated to your plan account by</w:t>
      </w:r>
      <w:r>
        <w:rPr>
          <w:rFonts w:ascii="Arial" w:cs="Arial" w:eastAsia="Arial" w:hAnsi="Arial"/>
          <w:sz w:val="16"/>
          <w:szCs w:val="16"/>
          <w:b w:val="1"/>
          <w:bCs w:val="1"/>
          <w:color w:val="auto"/>
        </w:rPr>
        <w:t xml:space="preserve"> </w:t>
      </w:r>
      <w:r>
        <w:rPr>
          <w:rFonts w:ascii="Arial" w:cs="Arial" w:eastAsia="Arial" w:hAnsi="Arial"/>
          <w:sz w:val="16"/>
          <w:szCs w:val="16"/>
          <w:color w:val="auto"/>
        </w:rPr>
        <w:t>voting in person at the meeting. You must instruct The Northern Trust Company, as trustee for the plan, how to vote your shares.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1567815" cy="51371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567815" cy="513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3"/>
          <w:szCs w:val="13"/>
          <w:b w:val="1"/>
          <w:bCs w:val="1"/>
          <w:color w:val="105EAB"/>
        </w:rPr>
        <w:t>SUSAN L. LEES</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b w:val="1"/>
          <w:bCs w:val="1"/>
          <w:color w:val="959595"/>
        </w:rPr>
        <w:t>SECRETARY</w:t>
      </w:r>
    </w:p>
    <w:p>
      <w:pPr>
        <w:spacing w:after="0"/>
        <w:rPr>
          <w:sz w:val="20"/>
          <w:szCs w:val="20"/>
          <w:color w:val="auto"/>
        </w:rPr>
      </w:pPr>
      <w:r>
        <w:rPr>
          <w:rFonts w:ascii="Arial" w:cs="Arial" w:eastAsia="Arial" w:hAnsi="Arial"/>
          <w:sz w:val="13"/>
          <w:szCs w:val="13"/>
          <w:b w:val="1"/>
          <w:bCs w:val="1"/>
          <w:color w:val="959595"/>
        </w:rPr>
        <w:t>APRIL 8, 2019</w:t>
      </w:r>
    </w:p>
    <w:p>
      <w:pPr>
        <w:spacing w:after="0" w:line="215" w:lineRule="exact"/>
        <w:rPr>
          <w:sz w:val="20"/>
          <w:szCs w:val="20"/>
          <w:color w:val="auto"/>
        </w:rPr>
      </w:pPr>
    </w:p>
    <w:p>
      <w:pPr>
        <w:ind w:left="460" w:hanging="452"/>
        <w:spacing w:after="0"/>
        <w:tabs>
          <w:tab w:leader="none" w:pos="460" w:val="left"/>
        </w:tabs>
        <w:numPr>
          <w:ilvl w:val="0"/>
          <w:numId w:val="251"/>
        </w:numPr>
        <w:rPr>
          <w:rFonts w:ascii="Arial" w:cs="Arial" w:eastAsia="Arial" w:hAnsi="Arial"/>
          <w:sz w:val="13"/>
          <w:szCs w:val="13"/>
          <w:b w:val="1"/>
          <w:bCs w:val="1"/>
          <w:color w:val="105EAB"/>
        </w:rPr>
      </w:pPr>
      <w:r>
        <w:rPr>
          <w:rFonts w:ascii="Arial" w:cs="Arial" w:eastAsia="Arial" w:hAnsi="Arial"/>
          <w:sz w:val="13"/>
          <w:szCs w:val="13"/>
          <w:color w:val="105EAB"/>
        </w:rPr>
        <w:t>www.allstateproxy.com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134620</wp:posOffset>
            </wp:positionV>
            <wp:extent cx="7268210" cy="209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jc w:val="right"/>
        <w:ind w:right="20"/>
        <w:spacing w:after="0"/>
        <w:rPr>
          <w:sz w:val="20"/>
          <w:szCs w:val="20"/>
          <w:color w:val="auto"/>
        </w:rPr>
      </w:pPr>
      <w:r>
        <w:rPr>
          <w:rFonts w:ascii="Arial" w:cs="Arial" w:eastAsia="Arial" w:hAnsi="Arial"/>
          <w:sz w:val="13"/>
          <w:szCs w:val="13"/>
          <w:b w:val="1"/>
          <w:bCs w:val="1"/>
          <w:color w:val="auto"/>
        </w:rPr>
        <w:t xml:space="preserve">Appendix A – Definitions of Non-GAAP Measures </w:t>
      </w:r>
      <w:r>
        <w:rPr>
          <w:rFonts w:ascii="Arial" w:cs="Arial" w:eastAsia="Arial" w:hAnsi="Arial"/>
          <w:sz w:val="13"/>
          <w:szCs w:val="13"/>
          <w:b w:val="1"/>
          <w:bCs w:val="1"/>
          <w:color w:val="105EAB"/>
        </w:rPr>
        <w:t>| Other Information</w:t>
      </w:r>
    </w:p>
    <w:p>
      <w:pPr>
        <w:spacing w:after="0" w:line="200" w:lineRule="exact"/>
        <w:rPr>
          <w:sz w:val="20"/>
          <w:szCs w:val="20"/>
          <w:color w:val="auto"/>
        </w:rPr>
      </w:pPr>
    </w:p>
    <w:p>
      <w:pPr>
        <w:spacing w:after="0"/>
        <w:rPr>
          <w:sz w:val="20"/>
          <w:szCs w:val="20"/>
          <w:color w:val="auto"/>
        </w:rPr>
      </w:pPr>
      <w:r>
        <w:rPr>
          <w:rFonts w:ascii="Arial" w:cs="Arial" w:eastAsia="Arial" w:hAnsi="Arial"/>
          <w:sz w:val="31"/>
          <w:szCs w:val="31"/>
          <w:b w:val="1"/>
          <w:bCs w:val="1"/>
          <w:color w:val="959595"/>
        </w:rPr>
        <w:t>Appendix A – Definitions of Non-GAAP Measures</w:t>
      </w:r>
    </w:p>
    <w:p>
      <w:pPr>
        <w:spacing w:after="0" w:line="258"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Measures that are not based on accounting principles generally accepted in the United States of America (“non-GAAP”) are defined and reconciled to the most directly comparable GAAP measure. We believe that investors’ understanding of Allstate’s performance is enhanced by our disclosure of the following non-GAAP measures. Our methods for calculating these measures may differ from those used by other companies and therefore comparability may be limited.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Adjusted Net Income </w:t>
      </w:r>
      <w:r>
        <w:rPr>
          <w:rFonts w:ascii="Arial" w:cs="Arial" w:eastAsia="Arial" w:hAnsi="Arial"/>
          <w:sz w:val="18"/>
          <w:szCs w:val="18"/>
          <w:color w:val="auto"/>
        </w:rPr>
        <w:t>is net income applicable to common shareholders, excluding:</w:t>
      </w:r>
    </w:p>
    <w:p>
      <w:pPr>
        <w:spacing w:after="0" w:line="229" w:lineRule="exact"/>
        <w:rPr>
          <w:sz w:val="20"/>
          <w:szCs w:val="20"/>
          <w:color w:val="auto"/>
        </w:rPr>
      </w:pPr>
    </w:p>
    <w:p>
      <w:pPr>
        <w:ind w:left="340" w:right="320" w:hanging="332"/>
        <w:spacing w:after="0" w:line="245" w:lineRule="auto"/>
        <w:tabs>
          <w:tab w:leader="none" w:pos="340" w:val="left"/>
        </w:tabs>
        <w:numPr>
          <w:ilvl w:val="0"/>
          <w:numId w:val="252"/>
        </w:numPr>
        <w:rPr>
          <w:rFonts w:ascii="Arial" w:cs="Arial" w:eastAsia="Arial" w:hAnsi="Arial"/>
          <w:sz w:val="17"/>
          <w:szCs w:val="17"/>
          <w:color w:val="105EAB"/>
        </w:rPr>
      </w:pPr>
      <w:r>
        <w:rPr>
          <w:rFonts w:ascii="Arial" w:cs="Arial" w:eastAsia="Arial" w:hAnsi="Arial"/>
          <w:sz w:val="18"/>
          <w:szCs w:val="18"/>
          <w:color w:val="auto"/>
        </w:rPr>
        <w:t>realized capital gains and losses, after-tax, except for periodic settlements and accruals on non-hedge derivative instruments, which are reported with realized capital gains and losses but included in Adjusted Net Income,</w:t>
      </w:r>
    </w:p>
    <w:p>
      <w:pPr>
        <w:spacing w:after="0" w:line="90" w:lineRule="exact"/>
        <w:rPr>
          <w:rFonts w:ascii="Arial" w:cs="Arial" w:eastAsia="Arial" w:hAnsi="Arial"/>
          <w:sz w:val="17"/>
          <w:szCs w:val="17"/>
          <w:color w:val="105EAB"/>
        </w:rPr>
      </w:pPr>
    </w:p>
    <w:p>
      <w:pPr>
        <w:ind w:left="340" w:hanging="332"/>
        <w:spacing w:after="0"/>
        <w:tabs>
          <w:tab w:leader="none" w:pos="340" w:val="left"/>
        </w:tabs>
        <w:numPr>
          <w:ilvl w:val="0"/>
          <w:numId w:val="252"/>
        </w:numPr>
        <w:rPr>
          <w:rFonts w:ascii="Arial" w:cs="Arial" w:eastAsia="Arial" w:hAnsi="Arial"/>
          <w:sz w:val="17"/>
          <w:szCs w:val="17"/>
          <w:color w:val="105EAB"/>
        </w:rPr>
      </w:pPr>
      <w:r>
        <w:rPr>
          <w:rFonts w:ascii="Arial" w:cs="Arial" w:eastAsia="Arial" w:hAnsi="Arial"/>
          <w:sz w:val="18"/>
          <w:szCs w:val="18"/>
          <w:color w:val="auto"/>
        </w:rPr>
        <w:t>valuation changes on embedded derivatives not hedged, after-tax,</w:t>
      </w:r>
    </w:p>
    <w:p>
      <w:pPr>
        <w:spacing w:after="0" w:line="103" w:lineRule="exact"/>
        <w:rPr>
          <w:rFonts w:ascii="Arial" w:cs="Arial" w:eastAsia="Arial" w:hAnsi="Arial"/>
          <w:sz w:val="17"/>
          <w:szCs w:val="17"/>
          <w:color w:val="105EAB"/>
        </w:rPr>
      </w:pPr>
    </w:p>
    <w:p>
      <w:pPr>
        <w:ind w:left="340" w:right="580" w:hanging="332"/>
        <w:spacing w:after="0" w:line="245" w:lineRule="auto"/>
        <w:tabs>
          <w:tab w:leader="none" w:pos="340" w:val="left"/>
        </w:tabs>
        <w:numPr>
          <w:ilvl w:val="0"/>
          <w:numId w:val="252"/>
        </w:numPr>
        <w:rPr>
          <w:rFonts w:ascii="Arial" w:cs="Arial" w:eastAsia="Arial" w:hAnsi="Arial"/>
          <w:sz w:val="17"/>
          <w:szCs w:val="17"/>
          <w:color w:val="105EAB"/>
        </w:rPr>
      </w:pPr>
      <w:r>
        <w:rPr>
          <w:rFonts w:ascii="Arial" w:cs="Arial" w:eastAsia="Arial" w:hAnsi="Arial"/>
          <w:sz w:val="18"/>
          <w:szCs w:val="18"/>
          <w:color w:val="auto"/>
        </w:rPr>
        <w:t>amortization of deferred policy acquisition costs (“DAC”) and deferred sales inducements (“DSI”), to the extent they resulted from the recognition of certain realized capital gains and losses or valuation changes on embedded derivatives not hedged, after-tax,</w:t>
      </w:r>
    </w:p>
    <w:p>
      <w:pPr>
        <w:spacing w:after="0" w:line="90" w:lineRule="exact"/>
        <w:rPr>
          <w:rFonts w:ascii="Arial" w:cs="Arial" w:eastAsia="Arial" w:hAnsi="Arial"/>
          <w:sz w:val="17"/>
          <w:szCs w:val="17"/>
          <w:color w:val="105EAB"/>
        </w:rPr>
      </w:pPr>
    </w:p>
    <w:p>
      <w:pPr>
        <w:ind w:left="340" w:hanging="332"/>
        <w:spacing w:after="0"/>
        <w:tabs>
          <w:tab w:leader="none" w:pos="340" w:val="left"/>
        </w:tabs>
        <w:numPr>
          <w:ilvl w:val="0"/>
          <w:numId w:val="252"/>
        </w:numPr>
        <w:rPr>
          <w:rFonts w:ascii="Arial" w:cs="Arial" w:eastAsia="Arial" w:hAnsi="Arial"/>
          <w:sz w:val="17"/>
          <w:szCs w:val="17"/>
          <w:color w:val="105EAB"/>
        </w:rPr>
      </w:pPr>
      <w:r>
        <w:rPr>
          <w:rFonts w:ascii="Arial" w:cs="Arial" w:eastAsia="Arial" w:hAnsi="Arial"/>
          <w:sz w:val="18"/>
          <w:szCs w:val="18"/>
          <w:color w:val="auto"/>
        </w:rPr>
        <w:t>business combination expenses and the amortization of purchased intangible assets, after-tax,</w:t>
      </w:r>
    </w:p>
    <w:p>
      <w:pPr>
        <w:spacing w:after="0" w:line="103" w:lineRule="exact"/>
        <w:rPr>
          <w:rFonts w:ascii="Arial" w:cs="Arial" w:eastAsia="Arial" w:hAnsi="Arial"/>
          <w:sz w:val="17"/>
          <w:szCs w:val="17"/>
          <w:color w:val="105EAB"/>
        </w:rPr>
      </w:pPr>
    </w:p>
    <w:p>
      <w:pPr>
        <w:ind w:left="340" w:hanging="332"/>
        <w:spacing w:after="0"/>
        <w:tabs>
          <w:tab w:leader="none" w:pos="340" w:val="left"/>
        </w:tabs>
        <w:numPr>
          <w:ilvl w:val="0"/>
          <w:numId w:val="252"/>
        </w:numPr>
        <w:rPr>
          <w:rFonts w:ascii="Arial" w:cs="Arial" w:eastAsia="Arial" w:hAnsi="Arial"/>
          <w:sz w:val="17"/>
          <w:szCs w:val="17"/>
          <w:color w:val="105EAB"/>
        </w:rPr>
      </w:pPr>
      <w:r>
        <w:rPr>
          <w:rFonts w:ascii="Arial" w:cs="Arial" w:eastAsia="Arial" w:hAnsi="Arial"/>
          <w:sz w:val="18"/>
          <w:szCs w:val="18"/>
          <w:color w:val="auto"/>
        </w:rPr>
        <w:t>gain (loss) on disposition of operations, after-tax, and</w:t>
      </w:r>
    </w:p>
    <w:p>
      <w:pPr>
        <w:spacing w:after="0" w:line="103" w:lineRule="exact"/>
        <w:rPr>
          <w:rFonts w:ascii="Arial" w:cs="Arial" w:eastAsia="Arial" w:hAnsi="Arial"/>
          <w:sz w:val="17"/>
          <w:szCs w:val="17"/>
          <w:color w:val="105EAB"/>
        </w:rPr>
      </w:pPr>
    </w:p>
    <w:p>
      <w:pPr>
        <w:ind w:left="340" w:right="540" w:hanging="332"/>
        <w:spacing w:after="0" w:line="245" w:lineRule="auto"/>
        <w:tabs>
          <w:tab w:leader="none" w:pos="340" w:val="left"/>
        </w:tabs>
        <w:numPr>
          <w:ilvl w:val="0"/>
          <w:numId w:val="252"/>
        </w:numPr>
        <w:rPr>
          <w:rFonts w:ascii="Arial" w:cs="Arial" w:eastAsia="Arial" w:hAnsi="Arial"/>
          <w:sz w:val="17"/>
          <w:szCs w:val="17"/>
          <w:color w:val="105EAB"/>
        </w:rPr>
      </w:pPr>
      <w:r>
        <w:rPr>
          <w:rFonts w:ascii="Arial" w:cs="Arial" w:eastAsia="Arial" w:hAnsi="Arial"/>
          <w:sz w:val="18"/>
          <w:szCs w:val="18"/>
          <w:color w:val="auto"/>
        </w:rPr>
        <w:t>adjustments for other significant non-recurring, infrequent or unusual items, when (a) the nature of the charge or gain is such that it is reasonably unlikely to recur within two years, or (b) there has been no similar charge or gain within the prior two years.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Net income applicable to common shareholders is the GAAP measure that is most directly comparable to Adjusted Net Income.</w:t>
      </w:r>
    </w:p>
    <w:p>
      <w:pPr>
        <w:spacing w:after="0" w:line="211" w:lineRule="exact"/>
        <w:rPr>
          <w:sz w:val="20"/>
          <w:szCs w:val="20"/>
          <w:color w:val="auto"/>
        </w:rPr>
      </w:pPr>
    </w:p>
    <w:p>
      <w:pPr>
        <w:ind w:right="40"/>
        <w:spacing w:after="0" w:line="267" w:lineRule="auto"/>
        <w:rPr>
          <w:sz w:val="20"/>
          <w:szCs w:val="20"/>
          <w:color w:val="auto"/>
        </w:rPr>
      </w:pPr>
      <w:r>
        <w:rPr>
          <w:rFonts w:ascii="Arial" w:cs="Arial" w:eastAsia="Arial" w:hAnsi="Arial"/>
          <w:sz w:val="16"/>
          <w:szCs w:val="16"/>
          <w:color w:val="auto"/>
        </w:rPr>
        <w:t>We use Adjusted Net Income as an important measure to evaluate our results of operations. We believe that the measure provides investors with a valuable measure of the company’s ongoing performance because it reveals trends in our insurance and financial services business that may be obscured by the net effect of realized capital gains and losses, valuation changes on embedded derivatives not hedged, business combination expenses and the amortization of purchased intangible assets, gain (loss) on disposition of operations and adjustments for other significant non-recurring, infrequent or unusual items. Realized capital gains and losses, valuation changes on embedded derivatives not hedged and gain (loss) on disposition of operations may vary significantly between periods and are generally driven by business decisions and external economic developments such as capital market conditions, the timing of which is unrelated to the insurance underwriting process. Consistent with our intent to protect results or earn additional income, Adjusted Net Income includes periodic settlements and accruals on certain derivative instruments that are reported in realized capital gains and losses because they do not qualify for hedge accounting or are not designated as hedges for accounting purposes. These instruments are used for economic hedges and to replicate fixed income securities, and by including them in Adjusted Net Income, we are appropriately reflecting their trends in our performance and in a manner consistent with the economically hedged investments, product attributes (e.g. net investment income and interest credited to contractholder funds) or replicated investments.</w:t>
      </w:r>
    </w:p>
    <w:p>
      <w:pPr>
        <w:spacing w:after="0" w:line="392" w:lineRule="exact"/>
        <w:rPr>
          <w:sz w:val="20"/>
          <w:szCs w:val="20"/>
          <w:color w:val="auto"/>
        </w:rPr>
      </w:pPr>
    </w:p>
    <w:p>
      <w:pPr>
        <w:ind w:right="420"/>
        <w:spacing w:after="0" w:line="298" w:lineRule="auto"/>
        <w:rPr>
          <w:sz w:val="20"/>
          <w:szCs w:val="20"/>
          <w:color w:val="auto"/>
        </w:rPr>
      </w:pPr>
      <w:r>
        <w:rPr>
          <w:rFonts w:ascii="Arial" w:cs="Arial" w:eastAsia="Arial" w:hAnsi="Arial"/>
          <w:sz w:val="16"/>
          <w:szCs w:val="16"/>
          <w:color w:val="auto"/>
        </w:rPr>
        <w:t>Business combination expenses are excluded because they are non-recurring in nature and the amortization of purchased intangible assets is excluded because it relates to the acquisition purchase price and is not indicative of our underlying insurance business results or trends.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Non-recurring items are excluded because, by their nature, they are not indicative of our business or economic trends.</w:t>
      </w:r>
    </w:p>
    <w:p>
      <w:pPr>
        <w:spacing w:after="0" w:line="211" w:lineRule="exact"/>
        <w:rPr>
          <w:sz w:val="20"/>
          <w:szCs w:val="20"/>
          <w:color w:val="auto"/>
        </w:rPr>
      </w:pPr>
    </w:p>
    <w:p>
      <w:pPr>
        <w:jc w:val="both"/>
        <w:ind w:right="140"/>
        <w:spacing w:after="0" w:line="237" w:lineRule="auto"/>
        <w:rPr>
          <w:sz w:val="20"/>
          <w:szCs w:val="20"/>
          <w:color w:val="auto"/>
        </w:rPr>
      </w:pPr>
      <w:r>
        <w:rPr>
          <w:rFonts w:ascii="Arial" w:cs="Arial" w:eastAsia="Arial" w:hAnsi="Arial"/>
          <w:sz w:val="18"/>
          <w:szCs w:val="18"/>
          <w:color w:val="auto"/>
        </w:rPr>
        <w:t>Accordingly, Adjusted Net Income excludes the effect of items that tend to be highly variable from period to period and highlights the results from ongoing operations and the underlying profitability of our business. A byproduct of excluding these items to determine Adjusted Net Income is the transparency and understanding of their significance to net income variability and profitability while recognizing these or similar items may recur in subsequent periods.</w:t>
      </w:r>
    </w:p>
    <w:p>
      <w:pPr>
        <w:spacing w:after="0" w:line="208" w:lineRule="exact"/>
        <w:rPr>
          <w:sz w:val="20"/>
          <w:szCs w:val="20"/>
          <w:color w:val="auto"/>
        </w:rPr>
      </w:pPr>
    </w:p>
    <w:p>
      <w:pPr>
        <w:ind w:right="300"/>
        <w:spacing w:after="0" w:line="237" w:lineRule="auto"/>
        <w:rPr>
          <w:sz w:val="20"/>
          <w:szCs w:val="20"/>
          <w:color w:val="auto"/>
        </w:rPr>
      </w:pPr>
      <w:r>
        <w:rPr>
          <w:rFonts w:ascii="Arial" w:cs="Arial" w:eastAsia="Arial" w:hAnsi="Arial"/>
          <w:sz w:val="18"/>
          <w:szCs w:val="18"/>
          <w:color w:val="auto"/>
        </w:rPr>
        <w:t>Adjusted Net Income is used by management along with the other components of net income applicable to common shareholders to assess our performance. We use adjusted measures of Adjusted Net Income in incentive compensation. Therefore, we believe it is useful for investors to evaluate net income applicable to common shareholders, Adjusted Net Income and their components separately and in the aggregate when reviewing and evaluating our performance.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1120" w:type="dxa"/>
            <w:vAlign w:val="bottom"/>
          </w:tcPr>
          <w:p>
            <w:pPr>
              <w:ind w:left="9640"/>
              <w:spacing w:after="0"/>
              <w:rPr>
                <w:sz w:val="20"/>
                <w:szCs w:val="20"/>
                <w:color w:val="auto"/>
              </w:rPr>
            </w:pPr>
            <w:r>
              <w:rPr>
                <w:rFonts w:ascii="Arial" w:cs="Arial" w:eastAsia="Arial" w:hAnsi="Arial"/>
                <w:sz w:val="13"/>
                <w:szCs w:val="13"/>
                <w:color w:val="105EAB"/>
              </w:rPr>
              <w:t>2019 Proxy Statement</w:t>
            </w:r>
          </w:p>
        </w:tc>
        <w:tc>
          <w:tcPr>
            <w:tcW w:w="320" w:type="dxa"/>
            <w:vAlign w:val="bottom"/>
          </w:tcPr>
          <w:p>
            <w:pPr>
              <w:jc w:val="right"/>
              <w:spacing w:after="0"/>
              <w:rPr>
                <w:sz w:val="20"/>
                <w:szCs w:val="20"/>
                <w:color w:val="auto"/>
              </w:rPr>
            </w:pPr>
            <w:r>
              <w:rPr>
                <w:rFonts w:ascii="Arial" w:cs="Arial" w:eastAsia="Arial" w:hAnsi="Arial"/>
                <w:sz w:val="13"/>
                <w:szCs w:val="13"/>
                <w:b w:val="1"/>
                <w:bCs w:val="1"/>
                <w:color w:val="105EAB"/>
              </w:rPr>
              <w:t>95</w:t>
            </w:r>
          </w:p>
        </w:tc>
      </w:tr>
      <w:tr>
        <w:trPr>
          <w:trHeight w:val="213"/>
        </w:trPr>
        <w:tc>
          <w:tcPr>
            <w:tcW w:w="1112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-13970</wp:posOffset>
            </wp:positionV>
            <wp:extent cx="1270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b w:val="1"/>
          <w:bCs w:val="1"/>
          <w:color w:val="105EAB"/>
        </w:rPr>
        <w:t xml:space="preserve">Other Information | </w:t>
      </w:r>
      <w:r>
        <w:rPr>
          <w:rFonts w:ascii="Arial" w:cs="Arial" w:eastAsia="Arial" w:hAnsi="Arial"/>
          <w:sz w:val="13"/>
          <w:szCs w:val="13"/>
          <w:b w:val="1"/>
          <w:bCs w:val="1"/>
          <w:color w:val="000000"/>
        </w:rPr>
        <w:t>Appendix A – Definitions of Non-GAAP Measures</w:t>
      </w:r>
    </w:p>
    <w:p>
      <w:pPr>
        <w:spacing w:after="0" w:line="235"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We note that investors, financial analysts, financial and business media organizations and rating agencies utilize Adjusted Net Income results in their evaluation of our and our industry’s financial performance and in their investment decisions, recommendations and communications as it represents a reliable, representative and consistent measurement of the industry and the company and management’s performance. We note that the price to earnings multiple commonly used by insurance investors as a forward-looking valuation technique uses Adjusted Net Income as the denominator. Adjusted Net Income should not be considered a substitute for net income applicable to common shareholders and does not reflect the overall profitability of our business.</w:t>
      </w:r>
    </w:p>
    <w:p>
      <w:pPr>
        <w:spacing w:after="0" w:line="20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following table reconciles net income applicable to common shareholders and Adjusted Net Income for the years ended December 31. Beginning January 1, 2018, the Tax Legislation reduced the U.S. corporate income tax rate from 35% to 21%. Taxes on adjustments to reconcile net income applicable to common shareholders and Adjusted Net Income generally use a 21% effective tax rate for 2018 and 35% for 2017 and prior periods and are reported net of income taxes as the reconciling adjustment, except for goodwill impairment that has no income tax benefit and the Tax Legislation benefit and change in accounting for investments in qualified affordable housing projects that are adjustments directly related to tax.</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400" w:type="dxa"/>
            <w:vAlign w:val="bottom"/>
          </w:tcPr>
          <w:p>
            <w:pPr>
              <w:spacing w:after="0"/>
              <w:rPr>
                <w:sz w:val="17"/>
                <w:szCs w:val="17"/>
                <w:color w:val="auto"/>
              </w:rPr>
            </w:pPr>
          </w:p>
        </w:tc>
        <w:tc>
          <w:tcPr>
            <w:tcW w:w="600" w:type="dxa"/>
            <w:vAlign w:val="bottom"/>
            <w:tcBorders>
              <w:bottom w:val="single" w:sz="8" w:color="105EAB"/>
            </w:tcBorders>
          </w:tcPr>
          <w:p>
            <w:pPr>
              <w:spacing w:after="0"/>
              <w:rPr>
                <w:sz w:val="17"/>
                <w:szCs w:val="17"/>
                <w:color w:val="auto"/>
              </w:rPr>
            </w:pPr>
          </w:p>
        </w:tc>
        <w:tc>
          <w:tcPr>
            <w:tcW w:w="720" w:type="dxa"/>
            <w:vAlign w:val="bottom"/>
            <w:tcBorders>
              <w:bottom w:val="single" w:sz="8" w:color="105EAB"/>
            </w:tcBorders>
          </w:tcPr>
          <w:p>
            <w:pPr>
              <w:spacing w:after="0"/>
              <w:rPr>
                <w:sz w:val="17"/>
                <w:szCs w:val="17"/>
                <w:color w:val="auto"/>
              </w:rPr>
            </w:pPr>
          </w:p>
        </w:tc>
        <w:tc>
          <w:tcPr>
            <w:tcW w:w="720" w:type="dxa"/>
            <w:vAlign w:val="bottom"/>
            <w:tcBorders>
              <w:bottom w:val="single" w:sz="8" w:color="105EAB"/>
            </w:tcBorders>
          </w:tcPr>
          <w:p>
            <w:pPr>
              <w:spacing w:after="0"/>
              <w:rPr>
                <w:sz w:val="17"/>
                <w:szCs w:val="17"/>
                <w:color w:val="auto"/>
              </w:rPr>
            </w:pPr>
          </w:p>
        </w:tc>
        <w:tc>
          <w:tcPr>
            <w:tcW w:w="740" w:type="dxa"/>
            <w:vAlign w:val="bottom"/>
            <w:tcBorders>
              <w:bottom w:val="single" w:sz="8" w:color="105EAB"/>
            </w:tcBorders>
          </w:tcPr>
          <w:p>
            <w:pPr>
              <w:spacing w:after="0"/>
              <w:rPr>
                <w:sz w:val="17"/>
                <w:szCs w:val="17"/>
                <w:color w:val="auto"/>
              </w:rPr>
            </w:pPr>
          </w:p>
        </w:tc>
        <w:tc>
          <w:tcPr>
            <w:tcW w:w="620" w:type="dxa"/>
            <w:vAlign w:val="bottom"/>
            <w:tcBorders>
              <w:bottom w:val="single" w:sz="8" w:color="105EAB"/>
            </w:tcBorders>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Borders>
              <w:bottom w:val="single" w:sz="8" w:color="105EAB"/>
            </w:tcBorders>
          </w:tcPr>
          <w:p>
            <w:pPr>
              <w:spacing w:after="0"/>
              <w:rPr>
                <w:sz w:val="17"/>
                <w:szCs w:val="17"/>
                <w:color w:val="auto"/>
              </w:rPr>
            </w:pPr>
          </w:p>
        </w:tc>
        <w:tc>
          <w:tcPr>
            <w:tcW w:w="2160" w:type="dxa"/>
            <w:vAlign w:val="bottom"/>
            <w:tcBorders>
              <w:bottom w:val="single" w:sz="8" w:color="105EAB"/>
            </w:tcBorders>
            <w:gridSpan w:val="3"/>
          </w:tcPr>
          <w:p>
            <w:pPr>
              <w:jc w:val="right"/>
              <w:ind w:right="113"/>
              <w:spacing w:after="0"/>
              <w:rPr>
                <w:sz w:val="20"/>
                <w:szCs w:val="20"/>
                <w:color w:val="auto"/>
              </w:rPr>
            </w:pPr>
            <w:r>
              <w:rPr>
                <w:rFonts w:ascii="Arial" w:cs="Arial" w:eastAsia="Arial" w:hAnsi="Arial"/>
                <w:sz w:val="13"/>
                <w:szCs w:val="13"/>
                <w:b w:val="1"/>
                <w:bCs w:val="1"/>
                <w:color w:val="105EAB"/>
              </w:rPr>
              <w:t>Per Diluted Common Share</w:t>
            </w:r>
          </w:p>
        </w:tc>
        <w:tc>
          <w:tcPr>
            <w:tcW w:w="640" w:type="dxa"/>
            <w:vAlign w:val="bottom"/>
            <w:tcBorders>
              <w:bottom w:val="single" w:sz="8" w:color="105EAB"/>
            </w:tcBorders>
          </w:tcPr>
          <w:p>
            <w:pPr>
              <w:spacing w:after="0"/>
              <w:rPr>
                <w:sz w:val="17"/>
                <w:szCs w:val="17"/>
                <w:color w:val="auto"/>
              </w:rPr>
            </w:pPr>
          </w:p>
        </w:tc>
      </w:tr>
      <w:tr>
        <w:trPr>
          <w:trHeight w:val="209"/>
        </w:trPr>
        <w:tc>
          <w:tcPr>
            <w:tcW w:w="4400" w:type="dxa"/>
            <w:vAlign w:val="bottom"/>
            <w:tcBorders>
              <w:bottom w:val="single" w:sz="8" w:color="105EAB"/>
            </w:tcBorders>
          </w:tcPr>
          <w:p>
            <w:pPr>
              <w:ind w:left="80"/>
              <w:spacing w:after="0"/>
              <w:rPr>
                <w:sz w:val="20"/>
                <w:szCs w:val="20"/>
                <w:color w:val="auto"/>
              </w:rPr>
            </w:pPr>
            <w:r>
              <w:rPr>
                <w:rFonts w:ascii="Arial" w:cs="Arial" w:eastAsia="Arial" w:hAnsi="Arial"/>
                <w:sz w:val="13"/>
                <w:szCs w:val="13"/>
                <w:i w:val="1"/>
                <w:iCs w:val="1"/>
                <w:color w:val="auto"/>
              </w:rPr>
              <w:t>($ in millions, except per share data)</w:t>
            </w:r>
          </w:p>
        </w:tc>
        <w:tc>
          <w:tcPr>
            <w:tcW w:w="600" w:type="dxa"/>
            <w:vAlign w:val="bottom"/>
            <w:tcBorders>
              <w:bottom w:val="single" w:sz="8" w:color="105EAB"/>
            </w:tcBorders>
          </w:tcPr>
          <w:p>
            <w:pPr>
              <w:jc w:val="right"/>
              <w:ind w:right="113"/>
              <w:spacing w:after="0"/>
              <w:rPr>
                <w:sz w:val="20"/>
                <w:szCs w:val="20"/>
                <w:color w:val="auto"/>
              </w:rPr>
            </w:pPr>
            <w:r>
              <w:rPr>
                <w:rFonts w:ascii="Arial" w:cs="Arial" w:eastAsia="Arial" w:hAnsi="Arial"/>
                <w:sz w:val="13"/>
                <w:szCs w:val="13"/>
                <w:b w:val="1"/>
                <w:bCs w:val="1"/>
                <w:color w:val="105EAB"/>
              </w:rPr>
              <w:t>2018</w:t>
            </w:r>
          </w:p>
        </w:tc>
        <w:tc>
          <w:tcPr>
            <w:tcW w:w="720" w:type="dxa"/>
            <w:vAlign w:val="bottom"/>
            <w:tcBorders>
              <w:bottom w:val="single" w:sz="8" w:color="105EAB"/>
            </w:tcBorders>
          </w:tcPr>
          <w:p>
            <w:pPr>
              <w:jc w:val="right"/>
              <w:ind w:right="113"/>
              <w:spacing w:after="0"/>
              <w:rPr>
                <w:sz w:val="20"/>
                <w:szCs w:val="20"/>
                <w:color w:val="auto"/>
              </w:rPr>
            </w:pPr>
            <w:r>
              <w:rPr>
                <w:rFonts w:ascii="Arial" w:cs="Arial" w:eastAsia="Arial" w:hAnsi="Arial"/>
                <w:sz w:val="13"/>
                <w:szCs w:val="13"/>
                <w:b w:val="1"/>
                <w:bCs w:val="1"/>
                <w:color w:val="105EAB"/>
              </w:rPr>
              <w:t>2017</w:t>
            </w:r>
          </w:p>
        </w:tc>
        <w:tc>
          <w:tcPr>
            <w:tcW w:w="720" w:type="dxa"/>
            <w:vAlign w:val="bottom"/>
            <w:tcBorders>
              <w:bottom w:val="single" w:sz="8" w:color="105EAB"/>
            </w:tcBorders>
          </w:tcPr>
          <w:p>
            <w:pPr>
              <w:jc w:val="right"/>
              <w:ind w:right="113"/>
              <w:spacing w:after="0"/>
              <w:rPr>
                <w:sz w:val="20"/>
                <w:szCs w:val="20"/>
                <w:color w:val="auto"/>
              </w:rPr>
            </w:pPr>
            <w:r>
              <w:rPr>
                <w:rFonts w:ascii="Arial" w:cs="Arial" w:eastAsia="Arial" w:hAnsi="Arial"/>
                <w:sz w:val="13"/>
                <w:szCs w:val="13"/>
                <w:b w:val="1"/>
                <w:bCs w:val="1"/>
                <w:color w:val="105EAB"/>
              </w:rPr>
              <w:t>2016</w:t>
            </w:r>
          </w:p>
        </w:tc>
        <w:tc>
          <w:tcPr>
            <w:tcW w:w="740" w:type="dxa"/>
            <w:vAlign w:val="bottom"/>
            <w:tcBorders>
              <w:bottom w:val="single" w:sz="8" w:color="105EAB"/>
            </w:tcBorders>
          </w:tcPr>
          <w:p>
            <w:pPr>
              <w:jc w:val="right"/>
              <w:ind w:right="113"/>
              <w:spacing w:after="0"/>
              <w:rPr>
                <w:sz w:val="20"/>
                <w:szCs w:val="20"/>
                <w:color w:val="auto"/>
              </w:rPr>
            </w:pPr>
            <w:r>
              <w:rPr>
                <w:rFonts w:ascii="Arial" w:cs="Arial" w:eastAsia="Arial" w:hAnsi="Arial"/>
                <w:sz w:val="13"/>
                <w:szCs w:val="13"/>
                <w:b w:val="1"/>
                <w:bCs w:val="1"/>
                <w:color w:val="105EAB"/>
              </w:rPr>
              <w:t>2015</w:t>
            </w:r>
          </w:p>
        </w:tc>
        <w:tc>
          <w:tcPr>
            <w:tcW w:w="620" w:type="dxa"/>
            <w:vAlign w:val="bottom"/>
            <w:tcBorders>
              <w:bottom w:val="single" w:sz="8" w:color="105EAB"/>
            </w:tcBorders>
          </w:tcPr>
          <w:p>
            <w:pPr>
              <w:jc w:val="right"/>
              <w:ind w:right="13"/>
              <w:spacing w:after="0"/>
              <w:rPr>
                <w:sz w:val="20"/>
                <w:szCs w:val="20"/>
                <w:color w:val="auto"/>
              </w:rPr>
            </w:pPr>
            <w:r>
              <w:rPr>
                <w:rFonts w:ascii="Arial" w:cs="Arial" w:eastAsia="Arial" w:hAnsi="Arial"/>
                <w:sz w:val="13"/>
                <w:szCs w:val="13"/>
                <w:b w:val="1"/>
                <w:bCs w:val="1"/>
                <w:color w:val="105EAB"/>
              </w:rPr>
              <w:t>2014</w:t>
            </w:r>
          </w:p>
        </w:tc>
        <w:tc>
          <w:tcPr>
            <w:tcW w:w="820" w:type="dxa"/>
            <w:vAlign w:val="bottom"/>
            <w:tcBorders>
              <w:bottom w:val="single" w:sz="8" w:color="105EAB"/>
            </w:tcBorders>
            <w:gridSpan w:val="2"/>
          </w:tcPr>
          <w:p>
            <w:pPr>
              <w:jc w:val="right"/>
              <w:ind w:right="113"/>
              <w:spacing w:after="0"/>
              <w:rPr>
                <w:sz w:val="20"/>
                <w:szCs w:val="20"/>
                <w:color w:val="auto"/>
              </w:rPr>
            </w:pPr>
            <w:r>
              <w:rPr>
                <w:rFonts w:ascii="Arial" w:cs="Arial" w:eastAsia="Arial" w:hAnsi="Arial"/>
                <w:sz w:val="13"/>
                <w:szCs w:val="13"/>
                <w:b w:val="1"/>
                <w:bCs w:val="1"/>
                <w:color w:val="105EAB"/>
              </w:rPr>
              <w:t>2018</w:t>
            </w:r>
          </w:p>
        </w:tc>
        <w:tc>
          <w:tcPr>
            <w:tcW w:w="720" w:type="dxa"/>
            <w:vAlign w:val="bottom"/>
            <w:tcBorders>
              <w:bottom w:val="single" w:sz="8" w:color="105EAB"/>
            </w:tcBorders>
          </w:tcPr>
          <w:p>
            <w:pPr>
              <w:jc w:val="right"/>
              <w:ind w:right="113"/>
              <w:spacing w:after="0"/>
              <w:rPr>
                <w:sz w:val="20"/>
                <w:szCs w:val="20"/>
                <w:color w:val="auto"/>
              </w:rPr>
            </w:pPr>
            <w:r>
              <w:rPr>
                <w:rFonts w:ascii="Arial" w:cs="Arial" w:eastAsia="Arial" w:hAnsi="Arial"/>
                <w:sz w:val="13"/>
                <w:szCs w:val="13"/>
                <w:b w:val="1"/>
                <w:bCs w:val="1"/>
                <w:color w:val="105EAB"/>
              </w:rPr>
              <w:t>2017</w:t>
            </w:r>
          </w:p>
        </w:tc>
        <w:tc>
          <w:tcPr>
            <w:tcW w:w="720" w:type="dxa"/>
            <w:vAlign w:val="bottom"/>
            <w:tcBorders>
              <w:bottom w:val="single" w:sz="8" w:color="105EAB"/>
            </w:tcBorders>
          </w:tcPr>
          <w:p>
            <w:pPr>
              <w:jc w:val="right"/>
              <w:ind w:right="133"/>
              <w:spacing w:after="0"/>
              <w:rPr>
                <w:sz w:val="20"/>
                <w:szCs w:val="20"/>
                <w:color w:val="auto"/>
              </w:rPr>
            </w:pPr>
            <w:r>
              <w:rPr>
                <w:rFonts w:ascii="Arial" w:cs="Arial" w:eastAsia="Arial" w:hAnsi="Arial"/>
                <w:sz w:val="13"/>
                <w:szCs w:val="13"/>
                <w:b w:val="1"/>
                <w:bCs w:val="1"/>
                <w:color w:val="105EAB"/>
              </w:rPr>
              <w:t>2016</w:t>
            </w:r>
          </w:p>
        </w:tc>
        <w:tc>
          <w:tcPr>
            <w:tcW w:w="720" w:type="dxa"/>
            <w:vAlign w:val="bottom"/>
            <w:tcBorders>
              <w:bottom w:val="single" w:sz="8" w:color="105EAB"/>
            </w:tcBorders>
          </w:tcPr>
          <w:p>
            <w:pPr>
              <w:jc w:val="right"/>
              <w:ind w:right="133"/>
              <w:spacing w:after="0"/>
              <w:rPr>
                <w:sz w:val="20"/>
                <w:szCs w:val="20"/>
                <w:color w:val="auto"/>
              </w:rPr>
            </w:pPr>
            <w:r>
              <w:rPr>
                <w:rFonts w:ascii="Arial" w:cs="Arial" w:eastAsia="Arial" w:hAnsi="Arial"/>
                <w:sz w:val="13"/>
                <w:szCs w:val="13"/>
                <w:b w:val="1"/>
                <w:bCs w:val="1"/>
                <w:color w:val="105EAB"/>
              </w:rPr>
              <w:t>2015</w:t>
            </w:r>
          </w:p>
        </w:tc>
        <w:tc>
          <w:tcPr>
            <w:tcW w:w="640" w:type="dxa"/>
            <w:vAlign w:val="bottom"/>
            <w:tcBorders>
              <w:bottom w:val="single" w:sz="8" w:color="105EAB"/>
            </w:tcBorders>
          </w:tcPr>
          <w:p>
            <w:pPr>
              <w:jc w:val="right"/>
              <w:ind w:right="53"/>
              <w:spacing w:after="0"/>
              <w:rPr>
                <w:sz w:val="20"/>
                <w:szCs w:val="20"/>
                <w:color w:val="auto"/>
              </w:rPr>
            </w:pPr>
            <w:r>
              <w:rPr>
                <w:rFonts w:ascii="Arial" w:cs="Arial" w:eastAsia="Arial" w:hAnsi="Arial"/>
                <w:sz w:val="13"/>
                <w:szCs w:val="13"/>
                <w:b w:val="1"/>
                <w:bCs w:val="1"/>
                <w:color w:val="105EAB"/>
              </w:rPr>
              <w:t>2014</w:t>
            </w:r>
          </w:p>
        </w:tc>
      </w:tr>
      <w:tr>
        <w:trPr>
          <w:trHeight w:val="196"/>
        </w:trPr>
        <w:tc>
          <w:tcPr>
            <w:tcW w:w="4400" w:type="dxa"/>
            <w:vAlign w:val="bottom"/>
            <w:tcBorders>
              <w:bottom w:val="single" w:sz="8" w:color="DFF1FB"/>
            </w:tcBorders>
          </w:tcPr>
          <w:p>
            <w:pPr>
              <w:ind w:left="80"/>
              <w:spacing w:after="0"/>
              <w:rPr>
                <w:sz w:val="20"/>
                <w:szCs w:val="20"/>
                <w:color w:val="auto"/>
              </w:rPr>
            </w:pPr>
            <w:r>
              <w:rPr>
                <w:rFonts w:ascii="Arial" w:cs="Arial" w:eastAsia="Arial" w:hAnsi="Arial"/>
                <w:sz w:val="13"/>
                <w:szCs w:val="13"/>
                <w:b w:val="1"/>
                <w:bCs w:val="1"/>
                <w:color w:val="auto"/>
              </w:rPr>
              <w:t>Net income applicable to common shareholders</w:t>
            </w:r>
          </w:p>
        </w:tc>
        <w:tc>
          <w:tcPr>
            <w:tcW w:w="600" w:type="dxa"/>
            <w:vAlign w:val="bottom"/>
            <w:tcBorders>
              <w:bottom w:val="single" w:sz="8" w:color="DFF1FB"/>
            </w:tcBorders>
          </w:tcPr>
          <w:p>
            <w:pPr>
              <w:jc w:val="right"/>
              <w:ind w:right="113"/>
              <w:spacing w:after="0"/>
              <w:rPr>
                <w:sz w:val="20"/>
                <w:szCs w:val="20"/>
                <w:color w:val="auto"/>
              </w:rPr>
            </w:pPr>
            <w:r>
              <w:rPr>
                <w:rFonts w:ascii="Arial" w:cs="Arial" w:eastAsia="Arial" w:hAnsi="Arial"/>
                <w:sz w:val="13"/>
                <w:szCs w:val="13"/>
                <w:color w:val="auto"/>
              </w:rPr>
              <w:t>$2,104</w:t>
            </w:r>
          </w:p>
        </w:tc>
        <w:tc>
          <w:tcPr>
            <w:tcW w:w="720" w:type="dxa"/>
            <w:vAlign w:val="bottom"/>
            <w:tcBorders>
              <w:bottom w:val="single" w:sz="8" w:color="DFF1FB"/>
            </w:tcBorders>
          </w:tcPr>
          <w:p>
            <w:pPr>
              <w:jc w:val="right"/>
              <w:ind w:right="113"/>
              <w:spacing w:after="0"/>
              <w:rPr>
                <w:sz w:val="20"/>
                <w:szCs w:val="20"/>
                <w:color w:val="auto"/>
              </w:rPr>
            </w:pPr>
            <w:r>
              <w:rPr>
                <w:rFonts w:ascii="Arial" w:cs="Arial" w:eastAsia="Arial" w:hAnsi="Arial"/>
                <w:sz w:val="13"/>
                <w:szCs w:val="13"/>
                <w:color w:val="auto"/>
              </w:rPr>
              <w:t>$3,073</w:t>
            </w:r>
          </w:p>
        </w:tc>
        <w:tc>
          <w:tcPr>
            <w:tcW w:w="720" w:type="dxa"/>
            <w:vAlign w:val="bottom"/>
            <w:tcBorders>
              <w:bottom w:val="single" w:sz="8" w:color="DFF1FB"/>
            </w:tcBorders>
          </w:tcPr>
          <w:p>
            <w:pPr>
              <w:jc w:val="right"/>
              <w:ind w:right="113"/>
              <w:spacing w:after="0"/>
              <w:rPr>
                <w:sz w:val="20"/>
                <w:szCs w:val="20"/>
                <w:color w:val="auto"/>
              </w:rPr>
            </w:pPr>
            <w:r>
              <w:rPr>
                <w:rFonts w:ascii="Arial" w:cs="Arial" w:eastAsia="Arial" w:hAnsi="Arial"/>
                <w:sz w:val="13"/>
                <w:szCs w:val="13"/>
                <w:color w:val="auto"/>
              </w:rPr>
              <w:t>$1,761</w:t>
            </w:r>
          </w:p>
        </w:tc>
        <w:tc>
          <w:tcPr>
            <w:tcW w:w="740" w:type="dxa"/>
            <w:vAlign w:val="bottom"/>
            <w:tcBorders>
              <w:bottom w:val="single" w:sz="8" w:color="DFF1FB"/>
            </w:tcBorders>
          </w:tcPr>
          <w:p>
            <w:pPr>
              <w:jc w:val="right"/>
              <w:ind w:right="113"/>
              <w:spacing w:after="0"/>
              <w:rPr>
                <w:sz w:val="20"/>
                <w:szCs w:val="20"/>
                <w:color w:val="auto"/>
              </w:rPr>
            </w:pPr>
            <w:r>
              <w:rPr>
                <w:rFonts w:ascii="Arial" w:cs="Arial" w:eastAsia="Arial" w:hAnsi="Arial"/>
                <w:sz w:val="13"/>
                <w:szCs w:val="13"/>
                <w:color w:val="auto"/>
              </w:rPr>
              <w:t>$2,055</w:t>
            </w:r>
          </w:p>
        </w:tc>
        <w:tc>
          <w:tcPr>
            <w:tcW w:w="620" w:type="dxa"/>
            <w:vAlign w:val="bottom"/>
            <w:tcBorders>
              <w:bottom w:val="single" w:sz="8" w:color="DFF1FB"/>
            </w:tcBorders>
          </w:tcPr>
          <w:p>
            <w:pPr>
              <w:jc w:val="right"/>
              <w:ind w:right="13"/>
              <w:spacing w:after="0"/>
              <w:rPr>
                <w:sz w:val="20"/>
                <w:szCs w:val="20"/>
                <w:color w:val="auto"/>
              </w:rPr>
            </w:pPr>
            <w:r>
              <w:rPr>
                <w:rFonts w:ascii="Arial" w:cs="Arial" w:eastAsia="Arial" w:hAnsi="Arial"/>
                <w:sz w:val="13"/>
                <w:szCs w:val="13"/>
                <w:color w:val="auto"/>
              </w:rPr>
              <w:t>$2,746</w:t>
            </w:r>
          </w:p>
        </w:tc>
        <w:tc>
          <w:tcPr>
            <w:tcW w:w="820" w:type="dxa"/>
            <w:vAlign w:val="bottom"/>
            <w:tcBorders>
              <w:bottom w:val="single" w:sz="8" w:color="DFF1FB"/>
            </w:tcBorders>
            <w:gridSpan w:val="2"/>
          </w:tcPr>
          <w:p>
            <w:pPr>
              <w:jc w:val="right"/>
              <w:ind w:right="113"/>
              <w:spacing w:after="0"/>
              <w:rPr>
                <w:sz w:val="20"/>
                <w:szCs w:val="20"/>
                <w:color w:val="auto"/>
              </w:rPr>
            </w:pPr>
            <w:r>
              <w:rPr>
                <w:rFonts w:ascii="Arial" w:cs="Arial" w:eastAsia="Arial" w:hAnsi="Arial"/>
                <w:sz w:val="13"/>
                <w:szCs w:val="13"/>
                <w:color w:val="auto"/>
              </w:rPr>
              <w:t>$ 5.96</w:t>
            </w:r>
          </w:p>
        </w:tc>
        <w:tc>
          <w:tcPr>
            <w:tcW w:w="720" w:type="dxa"/>
            <w:vAlign w:val="bottom"/>
            <w:tcBorders>
              <w:bottom w:val="single" w:sz="8" w:color="DFF1FB"/>
            </w:tcBorders>
          </w:tcPr>
          <w:p>
            <w:pPr>
              <w:jc w:val="right"/>
              <w:ind w:right="113"/>
              <w:spacing w:after="0"/>
              <w:rPr>
                <w:sz w:val="20"/>
                <w:szCs w:val="20"/>
                <w:color w:val="auto"/>
              </w:rPr>
            </w:pPr>
            <w:r>
              <w:rPr>
                <w:rFonts w:ascii="Arial" w:cs="Arial" w:eastAsia="Arial" w:hAnsi="Arial"/>
                <w:sz w:val="13"/>
                <w:szCs w:val="13"/>
                <w:color w:val="auto"/>
              </w:rPr>
              <w:t>$ 8.36</w:t>
            </w:r>
          </w:p>
        </w:tc>
        <w:tc>
          <w:tcPr>
            <w:tcW w:w="720" w:type="dxa"/>
            <w:vAlign w:val="bottom"/>
            <w:tcBorders>
              <w:bottom w:val="single" w:sz="8" w:color="DFF1FB"/>
            </w:tcBorders>
          </w:tcPr>
          <w:p>
            <w:pPr>
              <w:jc w:val="right"/>
              <w:ind w:right="133"/>
              <w:spacing w:after="0"/>
              <w:rPr>
                <w:sz w:val="20"/>
                <w:szCs w:val="20"/>
                <w:color w:val="auto"/>
              </w:rPr>
            </w:pPr>
            <w:r>
              <w:rPr>
                <w:rFonts w:ascii="Arial" w:cs="Arial" w:eastAsia="Arial" w:hAnsi="Arial"/>
                <w:sz w:val="13"/>
                <w:szCs w:val="13"/>
                <w:color w:val="auto"/>
              </w:rPr>
              <w:t>$ 4.67</w:t>
            </w:r>
          </w:p>
        </w:tc>
        <w:tc>
          <w:tcPr>
            <w:tcW w:w="720" w:type="dxa"/>
            <w:vAlign w:val="bottom"/>
            <w:tcBorders>
              <w:bottom w:val="single" w:sz="8" w:color="DFF1FB"/>
            </w:tcBorders>
          </w:tcPr>
          <w:p>
            <w:pPr>
              <w:jc w:val="right"/>
              <w:ind w:right="133"/>
              <w:spacing w:after="0"/>
              <w:rPr>
                <w:sz w:val="20"/>
                <w:szCs w:val="20"/>
                <w:color w:val="auto"/>
              </w:rPr>
            </w:pPr>
            <w:r>
              <w:rPr>
                <w:rFonts w:ascii="Arial" w:cs="Arial" w:eastAsia="Arial" w:hAnsi="Arial"/>
                <w:sz w:val="13"/>
                <w:szCs w:val="13"/>
                <w:color w:val="auto"/>
              </w:rPr>
              <w:t>$ 5.05</w:t>
            </w:r>
          </w:p>
        </w:tc>
        <w:tc>
          <w:tcPr>
            <w:tcW w:w="640" w:type="dxa"/>
            <w:vAlign w:val="bottom"/>
            <w:tcBorders>
              <w:bottom w:val="single" w:sz="8" w:color="DFF1FB"/>
            </w:tcBorders>
          </w:tcPr>
          <w:p>
            <w:pPr>
              <w:jc w:val="right"/>
              <w:ind w:right="53"/>
              <w:spacing w:after="0"/>
              <w:rPr>
                <w:sz w:val="20"/>
                <w:szCs w:val="20"/>
                <w:color w:val="auto"/>
              </w:rPr>
            </w:pPr>
            <w:r>
              <w:rPr>
                <w:rFonts w:ascii="Arial" w:cs="Arial" w:eastAsia="Arial" w:hAnsi="Arial"/>
                <w:sz w:val="13"/>
                <w:szCs w:val="13"/>
                <w:color w:val="auto"/>
              </w:rPr>
              <w:t>$ 6.27</w:t>
            </w:r>
          </w:p>
        </w:tc>
      </w:tr>
      <w:tr>
        <w:trPr>
          <w:trHeight w:val="196"/>
        </w:trPr>
        <w:tc>
          <w:tcPr>
            <w:tcW w:w="4400" w:type="dxa"/>
            <w:vAlign w:val="bottom"/>
            <w:tcBorders>
              <w:bottom w:val="single" w:sz="8" w:color="DFF1FB"/>
            </w:tcBorders>
          </w:tcPr>
          <w:p>
            <w:pPr>
              <w:ind w:left="80"/>
              <w:spacing w:after="0"/>
              <w:rPr>
                <w:sz w:val="20"/>
                <w:szCs w:val="20"/>
                <w:color w:val="auto"/>
              </w:rPr>
            </w:pPr>
            <w:r>
              <w:rPr>
                <w:rFonts w:ascii="Arial" w:cs="Arial" w:eastAsia="Arial" w:hAnsi="Arial"/>
                <w:sz w:val="13"/>
                <w:szCs w:val="13"/>
                <w:color w:val="auto"/>
              </w:rPr>
              <w:t>Realized capital gains and losses, after-tax</w:t>
            </w:r>
          </w:p>
        </w:tc>
        <w:tc>
          <w:tcPr>
            <w:tcW w:w="600" w:type="dxa"/>
            <w:vAlign w:val="bottom"/>
            <w:tcBorders>
              <w:bottom w:val="single" w:sz="8" w:color="DFF1FB"/>
            </w:tcBorders>
          </w:tcPr>
          <w:p>
            <w:pPr>
              <w:jc w:val="right"/>
              <w:ind w:right="113"/>
              <w:spacing w:after="0"/>
              <w:rPr>
                <w:sz w:val="20"/>
                <w:szCs w:val="20"/>
                <w:color w:val="auto"/>
              </w:rPr>
            </w:pPr>
            <w:r>
              <w:rPr>
                <w:rFonts w:ascii="Arial" w:cs="Arial" w:eastAsia="Arial" w:hAnsi="Arial"/>
                <w:sz w:val="13"/>
                <w:szCs w:val="13"/>
                <w:color w:val="auto"/>
              </w:rPr>
              <w:t>688</w:t>
            </w:r>
          </w:p>
        </w:tc>
        <w:tc>
          <w:tcPr>
            <w:tcW w:w="720" w:type="dxa"/>
            <w:vAlign w:val="bottom"/>
            <w:tcBorders>
              <w:bottom w:val="single" w:sz="8" w:color="DFF1FB"/>
            </w:tcBorders>
          </w:tcPr>
          <w:p>
            <w:pPr>
              <w:jc w:val="right"/>
              <w:ind w:right="73"/>
              <w:spacing w:after="0"/>
              <w:rPr>
                <w:sz w:val="20"/>
                <w:szCs w:val="20"/>
                <w:color w:val="auto"/>
              </w:rPr>
            </w:pPr>
            <w:r>
              <w:rPr>
                <w:rFonts w:ascii="Arial" w:cs="Arial" w:eastAsia="Arial" w:hAnsi="Arial"/>
                <w:sz w:val="13"/>
                <w:szCs w:val="13"/>
                <w:color w:val="auto"/>
              </w:rPr>
              <w:t>(298)</w:t>
            </w:r>
          </w:p>
        </w:tc>
        <w:tc>
          <w:tcPr>
            <w:tcW w:w="720" w:type="dxa"/>
            <w:vAlign w:val="bottom"/>
            <w:tcBorders>
              <w:bottom w:val="single" w:sz="8" w:color="DFF1FB"/>
            </w:tcBorders>
          </w:tcPr>
          <w:p>
            <w:pPr>
              <w:jc w:val="right"/>
              <w:ind w:right="113"/>
              <w:spacing w:after="0"/>
              <w:rPr>
                <w:sz w:val="20"/>
                <w:szCs w:val="20"/>
                <w:color w:val="auto"/>
              </w:rPr>
            </w:pPr>
            <w:r>
              <w:rPr>
                <w:rFonts w:ascii="Arial" w:cs="Arial" w:eastAsia="Arial" w:hAnsi="Arial"/>
                <w:sz w:val="13"/>
                <w:szCs w:val="13"/>
                <w:color w:val="auto"/>
              </w:rPr>
              <w:t>56</w:t>
            </w:r>
          </w:p>
        </w:tc>
        <w:tc>
          <w:tcPr>
            <w:tcW w:w="740" w:type="dxa"/>
            <w:vAlign w:val="bottom"/>
            <w:tcBorders>
              <w:bottom w:val="single" w:sz="8" w:color="DFF1FB"/>
            </w:tcBorders>
          </w:tcPr>
          <w:p>
            <w:pPr>
              <w:jc w:val="right"/>
              <w:ind w:right="73"/>
              <w:spacing w:after="0"/>
              <w:rPr>
                <w:sz w:val="20"/>
                <w:szCs w:val="20"/>
                <w:color w:val="auto"/>
              </w:rPr>
            </w:pPr>
            <w:r>
              <w:rPr>
                <w:rFonts w:ascii="Arial" w:cs="Arial" w:eastAsia="Arial" w:hAnsi="Arial"/>
                <w:sz w:val="13"/>
                <w:szCs w:val="13"/>
                <w:color w:val="auto"/>
              </w:rPr>
              <w:t>(19)</w:t>
            </w:r>
          </w:p>
        </w:tc>
        <w:tc>
          <w:tcPr>
            <w:tcW w:w="620" w:type="dxa"/>
            <w:vAlign w:val="bottom"/>
            <w:tcBorders>
              <w:bottom w:val="single" w:sz="8" w:color="DFF1FB"/>
            </w:tcBorders>
          </w:tcPr>
          <w:p>
            <w:pPr>
              <w:jc w:val="right"/>
              <w:spacing w:after="0"/>
              <w:rPr>
                <w:sz w:val="20"/>
                <w:szCs w:val="20"/>
                <w:color w:val="auto"/>
              </w:rPr>
            </w:pPr>
            <w:r>
              <w:rPr>
                <w:rFonts w:ascii="Arial" w:cs="Arial" w:eastAsia="Arial" w:hAnsi="Arial"/>
                <w:sz w:val="13"/>
                <w:szCs w:val="13"/>
                <w:color w:val="auto"/>
              </w:rPr>
              <w:t>(451)</w:t>
            </w:r>
          </w:p>
        </w:tc>
        <w:tc>
          <w:tcPr>
            <w:tcW w:w="820" w:type="dxa"/>
            <w:vAlign w:val="bottom"/>
            <w:tcBorders>
              <w:bottom w:val="single" w:sz="8" w:color="DFF1FB"/>
            </w:tcBorders>
            <w:gridSpan w:val="2"/>
          </w:tcPr>
          <w:p>
            <w:pPr>
              <w:jc w:val="right"/>
              <w:ind w:right="113"/>
              <w:spacing w:after="0"/>
              <w:rPr>
                <w:sz w:val="20"/>
                <w:szCs w:val="20"/>
                <w:color w:val="auto"/>
              </w:rPr>
            </w:pPr>
            <w:r>
              <w:rPr>
                <w:rFonts w:ascii="Arial" w:cs="Arial" w:eastAsia="Arial" w:hAnsi="Arial"/>
                <w:sz w:val="13"/>
                <w:szCs w:val="13"/>
                <w:color w:val="auto"/>
              </w:rPr>
              <w:t>1.95</w:t>
            </w:r>
          </w:p>
        </w:tc>
        <w:tc>
          <w:tcPr>
            <w:tcW w:w="720" w:type="dxa"/>
            <w:vAlign w:val="bottom"/>
            <w:tcBorders>
              <w:bottom w:val="single" w:sz="8" w:color="DFF1FB"/>
            </w:tcBorders>
          </w:tcPr>
          <w:p>
            <w:pPr>
              <w:jc w:val="right"/>
              <w:ind w:right="73"/>
              <w:spacing w:after="0"/>
              <w:rPr>
                <w:sz w:val="20"/>
                <w:szCs w:val="20"/>
                <w:color w:val="auto"/>
              </w:rPr>
            </w:pPr>
            <w:r>
              <w:rPr>
                <w:rFonts w:ascii="Arial" w:cs="Arial" w:eastAsia="Arial" w:hAnsi="Arial"/>
                <w:sz w:val="13"/>
                <w:szCs w:val="13"/>
                <w:color w:val="auto"/>
              </w:rPr>
              <w:t>(0.81)</w:t>
            </w:r>
          </w:p>
        </w:tc>
        <w:tc>
          <w:tcPr>
            <w:tcW w:w="720" w:type="dxa"/>
            <w:vAlign w:val="bottom"/>
            <w:tcBorders>
              <w:bottom w:val="single" w:sz="8" w:color="DFF1FB"/>
            </w:tcBorders>
          </w:tcPr>
          <w:p>
            <w:pPr>
              <w:jc w:val="right"/>
              <w:ind w:right="133"/>
              <w:spacing w:after="0"/>
              <w:rPr>
                <w:sz w:val="20"/>
                <w:szCs w:val="20"/>
                <w:color w:val="auto"/>
              </w:rPr>
            </w:pPr>
            <w:r>
              <w:rPr>
                <w:rFonts w:ascii="Arial" w:cs="Arial" w:eastAsia="Arial" w:hAnsi="Arial"/>
                <w:sz w:val="13"/>
                <w:szCs w:val="13"/>
                <w:color w:val="auto"/>
              </w:rPr>
              <w:t>0.15</w:t>
            </w:r>
          </w:p>
        </w:tc>
        <w:tc>
          <w:tcPr>
            <w:tcW w:w="720" w:type="dxa"/>
            <w:vAlign w:val="bottom"/>
            <w:tcBorders>
              <w:bottom w:val="single" w:sz="8" w:color="DFF1FB"/>
            </w:tcBorders>
          </w:tcPr>
          <w:p>
            <w:pPr>
              <w:jc w:val="right"/>
              <w:ind w:right="93"/>
              <w:spacing w:after="0"/>
              <w:rPr>
                <w:sz w:val="20"/>
                <w:szCs w:val="20"/>
                <w:color w:val="auto"/>
              </w:rPr>
            </w:pPr>
            <w:r>
              <w:rPr>
                <w:rFonts w:ascii="Arial" w:cs="Arial" w:eastAsia="Arial" w:hAnsi="Arial"/>
                <w:sz w:val="13"/>
                <w:szCs w:val="13"/>
                <w:color w:val="auto"/>
              </w:rPr>
              <w:t>(0.05)</w:t>
            </w:r>
          </w:p>
        </w:tc>
        <w:tc>
          <w:tcPr>
            <w:tcW w:w="640" w:type="dxa"/>
            <w:vAlign w:val="bottom"/>
            <w:tcBorders>
              <w:bottom w:val="single" w:sz="8" w:color="DFF1FB"/>
            </w:tcBorders>
          </w:tcPr>
          <w:p>
            <w:pPr>
              <w:jc w:val="right"/>
              <w:ind w:right="13"/>
              <w:spacing w:after="0"/>
              <w:rPr>
                <w:sz w:val="20"/>
                <w:szCs w:val="20"/>
                <w:color w:val="auto"/>
              </w:rPr>
            </w:pPr>
            <w:r>
              <w:rPr>
                <w:rFonts w:ascii="Arial" w:cs="Arial" w:eastAsia="Arial" w:hAnsi="Arial"/>
                <w:sz w:val="13"/>
                <w:szCs w:val="13"/>
                <w:color w:val="auto"/>
              </w:rPr>
              <w:t>(1.03)</w:t>
            </w:r>
          </w:p>
        </w:tc>
      </w:tr>
      <w:tr>
        <w:trPr>
          <w:trHeight w:val="196"/>
        </w:trPr>
        <w:tc>
          <w:tcPr>
            <w:tcW w:w="4400" w:type="dxa"/>
            <w:vAlign w:val="bottom"/>
            <w:tcBorders>
              <w:bottom w:val="single" w:sz="8" w:color="DFF1FB"/>
            </w:tcBorders>
          </w:tcPr>
          <w:p>
            <w:pPr>
              <w:ind w:left="80"/>
              <w:spacing w:after="0"/>
              <w:rPr>
                <w:sz w:val="20"/>
                <w:szCs w:val="20"/>
                <w:color w:val="auto"/>
              </w:rPr>
            </w:pPr>
            <w:r>
              <w:rPr>
                <w:rFonts w:ascii="Arial" w:cs="Arial" w:eastAsia="Arial" w:hAnsi="Arial"/>
                <w:sz w:val="13"/>
                <w:szCs w:val="13"/>
                <w:color w:val="auto"/>
              </w:rPr>
              <w:t>Valuation changes on embedded derivatives not hedged, after-tax</w:t>
            </w:r>
          </w:p>
        </w:tc>
        <w:tc>
          <w:tcPr>
            <w:tcW w:w="600" w:type="dxa"/>
            <w:vAlign w:val="bottom"/>
            <w:tcBorders>
              <w:bottom w:val="single" w:sz="8" w:color="DFF1FB"/>
            </w:tcBorders>
          </w:tcPr>
          <w:p>
            <w:pPr>
              <w:jc w:val="right"/>
              <w:ind w:right="73"/>
              <w:spacing w:after="0"/>
              <w:rPr>
                <w:sz w:val="20"/>
                <w:szCs w:val="20"/>
                <w:color w:val="auto"/>
              </w:rPr>
            </w:pPr>
            <w:r>
              <w:rPr>
                <w:rFonts w:ascii="Arial" w:cs="Arial" w:eastAsia="Arial" w:hAnsi="Arial"/>
                <w:sz w:val="13"/>
                <w:szCs w:val="13"/>
                <w:color w:val="auto"/>
              </w:rPr>
              <w:t>(3)</w:t>
            </w:r>
          </w:p>
        </w:tc>
        <w:tc>
          <w:tcPr>
            <w:tcW w:w="720" w:type="dxa"/>
            <w:vAlign w:val="bottom"/>
            <w:tcBorders>
              <w:bottom w:val="single" w:sz="8" w:color="DFF1FB"/>
            </w:tcBorders>
          </w:tcPr>
          <w:p>
            <w:pPr>
              <w:jc w:val="right"/>
              <w:ind w:right="113"/>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DFF1FB"/>
            </w:tcBorders>
          </w:tcPr>
          <w:p>
            <w:pPr>
              <w:jc w:val="right"/>
              <w:ind w:right="113"/>
              <w:spacing w:after="0"/>
              <w:rPr>
                <w:sz w:val="20"/>
                <w:szCs w:val="20"/>
                <w:color w:val="auto"/>
              </w:rPr>
            </w:pPr>
            <w:r>
              <w:rPr>
                <w:rFonts w:ascii="Arial" w:cs="Arial" w:eastAsia="Arial" w:hAnsi="Arial"/>
                <w:sz w:val="13"/>
                <w:szCs w:val="13"/>
                <w:color w:val="auto"/>
              </w:rPr>
              <w:t>2</w:t>
            </w:r>
          </w:p>
        </w:tc>
        <w:tc>
          <w:tcPr>
            <w:tcW w:w="740" w:type="dxa"/>
            <w:vAlign w:val="bottom"/>
            <w:tcBorders>
              <w:bottom w:val="single" w:sz="8" w:color="DFF1FB"/>
            </w:tcBorders>
          </w:tcPr>
          <w:p>
            <w:pPr>
              <w:jc w:val="right"/>
              <w:ind w:right="113"/>
              <w:spacing w:after="0"/>
              <w:rPr>
                <w:sz w:val="20"/>
                <w:szCs w:val="20"/>
                <w:color w:val="auto"/>
              </w:rPr>
            </w:pPr>
            <w:r>
              <w:rPr>
                <w:rFonts w:ascii="Arial" w:cs="Arial" w:eastAsia="Arial" w:hAnsi="Arial"/>
                <w:sz w:val="13"/>
                <w:szCs w:val="13"/>
                <w:color w:val="auto"/>
              </w:rPr>
              <w:t>1</w:t>
            </w:r>
          </w:p>
        </w:tc>
        <w:tc>
          <w:tcPr>
            <w:tcW w:w="620" w:type="dxa"/>
            <w:vAlign w:val="bottom"/>
            <w:tcBorders>
              <w:bottom w:val="single" w:sz="8" w:color="DFF1FB"/>
            </w:tcBorders>
          </w:tcPr>
          <w:p>
            <w:pPr>
              <w:jc w:val="right"/>
              <w:ind w:right="13"/>
              <w:spacing w:after="0"/>
              <w:rPr>
                <w:sz w:val="20"/>
                <w:szCs w:val="20"/>
                <w:color w:val="auto"/>
              </w:rPr>
            </w:pPr>
            <w:r>
              <w:rPr>
                <w:rFonts w:ascii="Arial" w:cs="Arial" w:eastAsia="Arial" w:hAnsi="Arial"/>
                <w:sz w:val="13"/>
                <w:szCs w:val="13"/>
                <w:color w:val="auto"/>
              </w:rPr>
              <w:t>15</w:t>
            </w:r>
          </w:p>
        </w:tc>
        <w:tc>
          <w:tcPr>
            <w:tcW w:w="820" w:type="dxa"/>
            <w:vAlign w:val="bottom"/>
            <w:tcBorders>
              <w:bottom w:val="single" w:sz="8" w:color="DFF1FB"/>
            </w:tcBorders>
            <w:gridSpan w:val="2"/>
          </w:tcPr>
          <w:p>
            <w:pPr>
              <w:jc w:val="right"/>
              <w:ind w:right="73"/>
              <w:spacing w:after="0"/>
              <w:rPr>
                <w:sz w:val="20"/>
                <w:szCs w:val="20"/>
                <w:color w:val="auto"/>
              </w:rPr>
            </w:pPr>
            <w:r>
              <w:rPr>
                <w:rFonts w:ascii="Arial" w:cs="Arial" w:eastAsia="Arial" w:hAnsi="Arial"/>
                <w:sz w:val="13"/>
                <w:szCs w:val="13"/>
                <w:color w:val="auto"/>
              </w:rPr>
              <w:t>(0.01)</w:t>
            </w:r>
          </w:p>
        </w:tc>
        <w:tc>
          <w:tcPr>
            <w:tcW w:w="720" w:type="dxa"/>
            <w:vAlign w:val="bottom"/>
            <w:tcBorders>
              <w:bottom w:val="single" w:sz="8" w:color="DFF1FB"/>
            </w:tcBorders>
          </w:tcPr>
          <w:p>
            <w:pPr>
              <w:jc w:val="right"/>
              <w:ind w:right="113"/>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DFF1FB"/>
            </w:tcBorders>
          </w:tcPr>
          <w:p>
            <w:pPr>
              <w:jc w:val="right"/>
              <w:ind w:right="133"/>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DFF1FB"/>
            </w:tcBorders>
          </w:tcPr>
          <w:p>
            <w:pPr>
              <w:jc w:val="right"/>
              <w:ind w:right="133"/>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DFF1FB"/>
            </w:tcBorders>
          </w:tcPr>
          <w:p>
            <w:pPr>
              <w:jc w:val="right"/>
              <w:ind w:right="53"/>
              <w:spacing w:after="0"/>
              <w:rPr>
                <w:sz w:val="20"/>
                <w:szCs w:val="20"/>
                <w:color w:val="auto"/>
              </w:rPr>
            </w:pPr>
            <w:r>
              <w:rPr>
                <w:rFonts w:ascii="Arial" w:cs="Arial" w:eastAsia="Arial" w:hAnsi="Arial"/>
                <w:sz w:val="13"/>
                <w:szCs w:val="13"/>
                <w:color w:val="auto"/>
              </w:rPr>
              <w:t>0.03</w:t>
            </w:r>
          </w:p>
        </w:tc>
      </w:tr>
      <w:tr>
        <w:trPr>
          <w:trHeight w:val="175"/>
        </w:trPr>
        <w:tc>
          <w:tcPr>
            <w:tcW w:w="4400" w:type="dxa"/>
            <w:vAlign w:val="bottom"/>
          </w:tcPr>
          <w:p>
            <w:pPr>
              <w:ind w:left="80"/>
              <w:spacing w:after="0"/>
              <w:rPr>
                <w:sz w:val="20"/>
                <w:szCs w:val="20"/>
                <w:color w:val="auto"/>
              </w:rPr>
            </w:pPr>
            <w:r>
              <w:rPr>
                <w:rFonts w:ascii="Arial" w:cs="Arial" w:eastAsia="Arial" w:hAnsi="Arial"/>
                <w:sz w:val="13"/>
                <w:szCs w:val="13"/>
                <w:color w:val="auto"/>
              </w:rPr>
              <w:t>DAC and DSI amortization relating to realized</w:t>
            </w:r>
          </w:p>
        </w:tc>
        <w:tc>
          <w:tcPr>
            <w:tcW w:w="600" w:type="dxa"/>
            <w:vAlign w:val="bottom"/>
          </w:tcPr>
          <w:p>
            <w:pPr>
              <w:jc w:val="right"/>
              <w:ind w:right="113"/>
              <w:spacing w:after="0"/>
              <w:rPr>
                <w:sz w:val="20"/>
                <w:szCs w:val="20"/>
                <w:color w:val="auto"/>
              </w:rPr>
            </w:pPr>
            <w:r>
              <w:rPr>
                <w:rFonts w:ascii="Arial" w:cs="Arial" w:eastAsia="Arial" w:hAnsi="Arial"/>
                <w:sz w:val="13"/>
                <w:szCs w:val="13"/>
                <w:color w:val="auto"/>
              </w:rPr>
              <w:t>7</w:t>
            </w:r>
          </w:p>
        </w:tc>
        <w:tc>
          <w:tcPr>
            <w:tcW w:w="720" w:type="dxa"/>
            <w:vAlign w:val="bottom"/>
          </w:tcPr>
          <w:p>
            <w:pPr>
              <w:jc w:val="right"/>
              <w:ind w:right="113"/>
              <w:spacing w:after="0"/>
              <w:rPr>
                <w:sz w:val="20"/>
                <w:szCs w:val="20"/>
                <w:color w:val="auto"/>
              </w:rPr>
            </w:pPr>
            <w:r>
              <w:rPr>
                <w:rFonts w:ascii="Arial" w:cs="Arial" w:eastAsia="Arial" w:hAnsi="Arial"/>
                <w:sz w:val="13"/>
                <w:szCs w:val="13"/>
                <w:color w:val="auto"/>
              </w:rPr>
              <w:t>10</w:t>
            </w:r>
          </w:p>
        </w:tc>
        <w:tc>
          <w:tcPr>
            <w:tcW w:w="720" w:type="dxa"/>
            <w:vAlign w:val="bottom"/>
          </w:tcPr>
          <w:p>
            <w:pPr>
              <w:jc w:val="right"/>
              <w:ind w:right="113"/>
              <w:spacing w:after="0"/>
              <w:rPr>
                <w:sz w:val="20"/>
                <w:szCs w:val="20"/>
                <w:color w:val="auto"/>
              </w:rPr>
            </w:pPr>
            <w:r>
              <w:rPr>
                <w:rFonts w:ascii="Arial" w:cs="Arial" w:eastAsia="Arial" w:hAnsi="Arial"/>
                <w:sz w:val="13"/>
                <w:szCs w:val="13"/>
                <w:color w:val="auto"/>
              </w:rPr>
              <w:t>4</w:t>
            </w:r>
          </w:p>
        </w:tc>
        <w:tc>
          <w:tcPr>
            <w:tcW w:w="740" w:type="dxa"/>
            <w:vAlign w:val="bottom"/>
          </w:tcPr>
          <w:p>
            <w:pPr>
              <w:jc w:val="right"/>
              <w:ind w:right="113"/>
              <w:spacing w:after="0"/>
              <w:rPr>
                <w:sz w:val="20"/>
                <w:szCs w:val="20"/>
                <w:color w:val="auto"/>
              </w:rPr>
            </w:pPr>
            <w:r>
              <w:rPr>
                <w:rFonts w:ascii="Arial" w:cs="Arial" w:eastAsia="Arial" w:hAnsi="Arial"/>
                <w:sz w:val="13"/>
                <w:szCs w:val="13"/>
                <w:color w:val="auto"/>
              </w:rPr>
              <w:t>3</w:t>
            </w:r>
          </w:p>
        </w:tc>
        <w:tc>
          <w:tcPr>
            <w:tcW w:w="620" w:type="dxa"/>
            <w:vAlign w:val="bottom"/>
          </w:tcPr>
          <w:p>
            <w:pPr>
              <w:jc w:val="right"/>
              <w:ind w:right="13"/>
              <w:spacing w:after="0"/>
              <w:rPr>
                <w:sz w:val="20"/>
                <w:szCs w:val="20"/>
                <w:color w:val="auto"/>
              </w:rPr>
            </w:pPr>
            <w:r>
              <w:rPr>
                <w:rFonts w:ascii="Arial" w:cs="Arial" w:eastAsia="Arial" w:hAnsi="Arial"/>
                <w:sz w:val="13"/>
                <w:szCs w:val="13"/>
                <w:color w:val="auto"/>
              </w:rPr>
              <w:t>3</w:t>
            </w:r>
          </w:p>
        </w:tc>
        <w:tc>
          <w:tcPr>
            <w:tcW w:w="820" w:type="dxa"/>
            <w:vAlign w:val="bottom"/>
            <w:gridSpan w:val="2"/>
          </w:tcPr>
          <w:p>
            <w:pPr>
              <w:jc w:val="right"/>
              <w:ind w:right="113"/>
              <w:spacing w:after="0"/>
              <w:rPr>
                <w:sz w:val="20"/>
                <w:szCs w:val="20"/>
                <w:color w:val="auto"/>
              </w:rPr>
            </w:pPr>
            <w:r>
              <w:rPr>
                <w:rFonts w:ascii="Arial" w:cs="Arial" w:eastAsia="Arial" w:hAnsi="Arial"/>
                <w:sz w:val="13"/>
                <w:szCs w:val="13"/>
                <w:color w:val="auto"/>
              </w:rPr>
              <w:t>0.02</w:t>
            </w:r>
          </w:p>
        </w:tc>
        <w:tc>
          <w:tcPr>
            <w:tcW w:w="720" w:type="dxa"/>
            <w:vAlign w:val="bottom"/>
          </w:tcPr>
          <w:p>
            <w:pPr>
              <w:jc w:val="right"/>
              <w:ind w:right="113"/>
              <w:spacing w:after="0"/>
              <w:rPr>
                <w:sz w:val="20"/>
                <w:szCs w:val="20"/>
                <w:color w:val="auto"/>
              </w:rPr>
            </w:pPr>
            <w:r>
              <w:rPr>
                <w:rFonts w:ascii="Arial" w:cs="Arial" w:eastAsia="Arial" w:hAnsi="Arial"/>
                <w:sz w:val="13"/>
                <w:szCs w:val="13"/>
                <w:color w:val="auto"/>
              </w:rPr>
              <w:t>0.03</w:t>
            </w:r>
          </w:p>
        </w:tc>
        <w:tc>
          <w:tcPr>
            <w:tcW w:w="720" w:type="dxa"/>
            <w:vAlign w:val="bottom"/>
          </w:tcPr>
          <w:p>
            <w:pPr>
              <w:jc w:val="right"/>
              <w:ind w:right="133"/>
              <w:spacing w:after="0"/>
              <w:rPr>
                <w:sz w:val="20"/>
                <w:szCs w:val="20"/>
                <w:color w:val="auto"/>
              </w:rPr>
            </w:pPr>
            <w:r>
              <w:rPr>
                <w:rFonts w:ascii="Arial" w:cs="Arial" w:eastAsia="Arial" w:hAnsi="Arial"/>
                <w:sz w:val="13"/>
                <w:szCs w:val="13"/>
                <w:color w:val="auto"/>
              </w:rPr>
              <w:t>0.01</w:t>
            </w:r>
          </w:p>
        </w:tc>
        <w:tc>
          <w:tcPr>
            <w:tcW w:w="72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53"/>
              <w:spacing w:after="0"/>
              <w:rPr>
                <w:sz w:val="20"/>
                <w:szCs w:val="20"/>
                <w:color w:val="auto"/>
              </w:rPr>
            </w:pPr>
            <w:r>
              <w:rPr>
                <w:rFonts w:ascii="Arial" w:cs="Arial" w:eastAsia="Arial" w:hAnsi="Arial"/>
                <w:sz w:val="13"/>
                <w:szCs w:val="13"/>
                <w:color w:val="auto"/>
              </w:rPr>
              <w:t>0.01</w:t>
            </w:r>
          </w:p>
        </w:tc>
      </w:tr>
      <w:tr>
        <w:trPr>
          <w:trHeight w:val="148"/>
        </w:trPr>
        <w:tc>
          <w:tcPr>
            <w:tcW w:w="4400" w:type="dxa"/>
            <w:vAlign w:val="bottom"/>
          </w:tcPr>
          <w:p>
            <w:pPr>
              <w:ind w:left="80"/>
              <w:spacing w:after="0" w:line="149" w:lineRule="exact"/>
              <w:rPr>
                <w:sz w:val="20"/>
                <w:szCs w:val="20"/>
                <w:color w:val="auto"/>
              </w:rPr>
            </w:pPr>
            <w:r>
              <w:rPr>
                <w:rFonts w:ascii="Arial" w:cs="Arial" w:eastAsia="Arial" w:hAnsi="Arial"/>
                <w:sz w:val="13"/>
                <w:szCs w:val="13"/>
                <w:color w:val="auto"/>
              </w:rPr>
              <w:t>capital gains and losses and valuation changes on embedded</w:t>
            </w: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70"/>
        </w:trPr>
        <w:tc>
          <w:tcPr>
            <w:tcW w:w="4400" w:type="dxa"/>
            <w:vAlign w:val="bottom"/>
            <w:tcBorders>
              <w:bottom w:val="single" w:sz="8" w:color="DFF1FB"/>
            </w:tcBorders>
          </w:tcPr>
          <w:p>
            <w:pPr>
              <w:ind w:left="80"/>
              <w:spacing w:after="0"/>
              <w:rPr>
                <w:sz w:val="20"/>
                <w:szCs w:val="20"/>
                <w:color w:val="auto"/>
              </w:rPr>
            </w:pPr>
            <w:r>
              <w:rPr>
                <w:rFonts w:ascii="Arial" w:cs="Arial" w:eastAsia="Arial" w:hAnsi="Arial"/>
                <w:sz w:val="13"/>
                <w:szCs w:val="13"/>
                <w:color w:val="auto"/>
              </w:rPr>
              <w:t>derivatives not hedged, after-tax</w:t>
            </w:r>
          </w:p>
        </w:tc>
        <w:tc>
          <w:tcPr>
            <w:tcW w:w="600" w:type="dxa"/>
            <w:vAlign w:val="bottom"/>
            <w:tcBorders>
              <w:bottom w:val="single" w:sz="8" w:color="DFF1FB"/>
            </w:tcBorders>
          </w:tcPr>
          <w:p>
            <w:pPr>
              <w:spacing w:after="0"/>
              <w:rPr>
                <w:sz w:val="14"/>
                <w:szCs w:val="14"/>
                <w:color w:val="auto"/>
              </w:rPr>
            </w:pPr>
          </w:p>
        </w:tc>
        <w:tc>
          <w:tcPr>
            <w:tcW w:w="720" w:type="dxa"/>
            <w:vAlign w:val="bottom"/>
            <w:tcBorders>
              <w:bottom w:val="single" w:sz="8" w:color="DFF1FB"/>
            </w:tcBorders>
          </w:tcPr>
          <w:p>
            <w:pPr>
              <w:spacing w:after="0"/>
              <w:rPr>
                <w:sz w:val="14"/>
                <w:szCs w:val="14"/>
                <w:color w:val="auto"/>
              </w:rPr>
            </w:pPr>
          </w:p>
        </w:tc>
        <w:tc>
          <w:tcPr>
            <w:tcW w:w="720" w:type="dxa"/>
            <w:vAlign w:val="bottom"/>
            <w:tcBorders>
              <w:bottom w:val="single" w:sz="8" w:color="DFF1FB"/>
            </w:tcBorders>
          </w:tcPr>
          <w:p>
            <w:pPr>
              <w:spacing w:after="0"/>
              <w:rPr>
                <w:sz w:val="14"/>
                <w:szCs w:val="14"/>
                <w:color w:val="auto"/>
              </w:rPr>
            </w:pPr>
          </w:p>
        </w:tc>
        <w:tc>
          <w:tcPr>
            <w:tcW w:w="740" w:type="dxa"/>
            <w:vAlign w:val="bottom"/>
            <w:tcBorders>
              <w:bottom w:val="single" w:sz="8" w:color="DFF1FB"/>
            </w:tcBorders>
          </w:tcPr>
          <w:p>
            <w:pPr>
              <w:spacing w:after="0"/>
              <w:rPr>
                <w:sz w:val="14"/>
                <w:szCs w:val="14"/>
                <w:color w:val="auto"/>
              </w:rPr>
            </w:pPr>
          </w:p>
        </w:tc>
        <w:tc>
          <w:tcPr>
            <w:tcW w:w="620" w:type="dxa"/>
            <w:vAlign w:val="bottom"/>
            <w:tcBorders>
              <w:bottom w:val="single" w:sz="8" w:color="DFF1FB"/>
            </w:tcBorders>
          </w:tcPr>
          <w:p>
            <w:pPr>
              <w:spacing w:after="0"/>
              <w:rPr>
                <w:sz w:val="14"/>
                <w:szCs w:val="14"/>
                <w:color w:val="auto"/>
              </w:rPr>
            </w:pPr>
          </w:p>
        </w:tc>
        <w:tc>
          <w:tcPr>
            <w:tcW w:w="240" w:type="dxa"/>
            <w:vAlign w:val="bottom"/>
            <w:tcBorders>
              <w:bottom w:val="single" w:sz="8" w:color="DFF1FB"/>
            </w:tcBorders>
          </w:tcPr>
          <w:p>
            <w:pPr>
              <w:spacing w:after="0"/>
              <w:rPr>
                <w:sz w:val="14"/>
                <w:szCs w:val="14"/>
                <w:color w:val="auto"/>
              </w:rPr>
            </w:pPr>
          </w:p>
        </w:tc>
        <w:tc>
          <w:tcPr>
            <w:tcW w:w="580" w:type="dxa"/>
            <w:vAlign w:val="bottom"/>
            <w:tcBorders>
              <w:bottom w:val="single" w:sz="8" w:color="DFF1FB"/>
            </w:tcBorders>
          </w:tcPr>
          <w:p>
            <w:pPr>
              <w:spacing w:after="0"/>
              <w:rPr>
                <w:sz w:val="14"/>
                <w:szCs w:val="14"/>
                <w:color w:val="auto"/>
              </w:rPr>
            </w:pPr>
          </w:p>
        </w:tc>
        <w:tc>
          <w:tcPr>
            <w:tcW w:w="720" w:type="dxa"/>
            <w:vAlign w:val="bottom"/>
            <w:tcBorders>
              <w:bottom w:val="single" w:sz="8" w:color="DFF1FB"/>
            </w:tcBorders>
          </w:tcPr>
          <w:p>
            <w:pPr>
              <w:spacing w:after="0"/>
              <w:rPr>
                <w:sz w:val="14"/>
                <w:szCs w:val="14"/>
                <w:color w:val="auto"/>
              </w:rPr>
            </w:pPr>
          </w:p>
        </w:tc>
        <w:tc>
          <w:tcPr>
            <w:tcW w:w="720" w:type="dxa"/>
            <w:vAlign w:val="bottom"/>
            <w:tcBorders>
              <w:bottom w:val="single" w:sz="8" w:color="DFF1FB"/>
            </w:tcBorders>
          </w:tcPr>
          <w:p>
            <w:pPr>
              <w:spacing w:after="0"/>
              <w:rPr>
                <w:sz w:val="14"/>
                <w:szCs w:val="14"/>
                <w:color w:val="auto"/>
              </w:rPr>
            </w:pPr>
          </w:p>
        </w:tc>
        <w:tc>
          <w:tcPr>
            <w:tcW w:w="720" w:type="dxa"/>
            <w:vAlign w:val="bottom"/>
            <w:tcBorders>
              <w:bottom w:val="single" w:sz="8" w:color="DFF1FB"/>
            </w:tcBorders>
          </w:tcPr>
          <w:p>
            <w:pPr>
              <w:spacing w:after="0"/>
              <w:rPr>
                <w:sz w:val="14"/>
                <w:szCs w:val="14"/>
                <w:color w:val="auto"/>
              </w:rPr>
            </w:pPr>
          </w:p>
        </w:tc>
        <w:tc>
          <w:tcPr>
            <w:tcW w:w="640" w:type="dxa"/>
            <w:vAlign w:val="bottom"/>
            <w:tcBorders>
              <w:bottom w:val="single" w:sz="8" w:color="DFF1FB"/>
            </w:tcBorders>
          </w:tcPr>
          <w:p>
            <w:pPr>
              <w:spacing w:after="0"/>
              <w:rPr>
                <w:sz w:val="14"/>
                <w:szCs w:val="14"/>
                <w:color w:val="auto"/>
              </w:rPr>
            </w:pPr>
          </w:p>
        </w:tc>
      </w:tr>
      <w:tr>
        <w:trPr>
          <w:trHeight w:val="175"/>
        </w:trPr>
        <w:tc>
          <w:tcPr>
            <w:tcW w:w="4400" w:type="dxa"/>
            <w:vAlign w:val="bottom"/>
          </w:tcPr>
          <w:p>
            <w:pPr>
              <w:ind w:left="80"/>
              <w:spacing w:after="0"/>
              <w:rPr>
                <w:sz w:val="20"/>
                <w:szCs w:val="20"/>
                <w:color w:val="auto"/>
              </w:rPr>
            </w:pPr>
            <w:r>
              <w:rPr>
                <w:rFonts w:ascii="Arial" w:cs="Arial" w:eastAsia="Arial" w:hAnsi="Arial"/>
                <w:sz w:val="13"/>
                <w:szCs w:val="13"/>
                <w:color w:val="auto"/>
              </w:rPr>
              <w:t>Reclassification of periodic settlements and accruals on non-hedge</w:t>
            </w:r>
          </w:p>
        </w:tc>
        <w:tc>
          <w:tcPr>
            <w:tcW w:w="600" w:type="dxa"/>
            <w:vAlign w:val="bottom"/>
          </w:tcPr>
          <w:p>
            <w:pPr>
              <w:jc w:val="right"/>
              <w:ind w:right="73"/>
              <w:spacing w:after="0"/>
              <w:rPr>
                <w:sz w:val="20"/>
                <w:szCs w:val="20"/>
                <w:color w:val="auto"/>
              </w:rPr>
            </w:pPr>
            <w:r>
              <w:rPr>
                <w:rFonts w:ascii="Arial" w:cs="Arial" w:eastAsia="Arial" w:hAnsi="Arial"/>
                <w:sz w:val="13"/>
                <w:szCs w:val="13"/>
                <w:color w:val="auto"/>
              </w:rPr>
              <w:t>(2)</w:t>
            </w:r>
          </w:p>
        </w:tc>
        <w:tc>
          <w:tcPr>
            <w:tcW w:w="720" w:type="dxa"/>
            <w:vAlign w:val="bottom"/>
          </w:tcPr>
          <w:p>
            <w:pPr>
              <w:jc w:val="right"/>
              <w:ind w:right="73"/>
              <w:spacing w:after="0"/>
              <w:rPr>
                <w:sz w:val="20"/>
                <w:szCs w:val="20"/>
                <w:color w:val="auto"/>
              </w:rPr>
            </w:pPr>
            <w:r>
              <w:rPr>
                <w:rFonts w:ascii="Arial" w:cs="Arial" w:eastAsia="Arial" w:hAnsi="Arial"/>
                <w:sz w:val="13"/>
                <w:szCs w:val="13"/>
                <w:color w:val="auto"/>
              </w:rPr>
              <w:t>(3)</w:t>
            </w:r>
          </w:p>
        </w:tc>
        <w:tc>
          <w:tcPr>
            <w:tcW w:w="720" w:type="dxa"/>
            <w:vAlign w:val="bottom"/>
          </w:tcPr>
          <w:p>
            <w:pPr>
              <w:jc w:val="right"/>
              <w:ind w:right="53"/>
              <w:spacing w:after="0"/>
              <w:rPr>
                <w:sz w:val="20"/>
                <w:szCs w:val="20"/>
                <w:color w:val="auto"/>
              </w:rPr>
            </w:pPr>
            <w:r>
              <w:rPr>
                <w:rFonts w:ascii="Arial" w:cs="Arial" w:eastAsia="Arial" w:hAnsi="Arial"/>
                <w:sz w:val="13"/>
                <w:szCs w:val="13"/>
                <w:color w:val="auto"/>
              </w:rPr>
              <w:t>(3)</w:t>
            </w:r>
          </w:p>
        </w:tc>
        <w:tc>
          <w:tcPr>
            <w:tcW w:w="740" w:type="dxa"/>
            <w:vAlign w:val="bottom"/>
          </w:tcPr>
          <w:p>
            <w:pPr>
              <w:jc w:val="right"/>
              <w:ind w:right="73"/>
              <w:spacing w:after="0"/>
              <w:rPr>
                <w:sz w:val="20"/>
                <w:szCs w:val="20"/>
                <w:color w:val="auto"/>
              </w:rPr>
            </w:pPr>
            <w:r>
              <w:rPr>
                <w:rFonts w:ascii="Arial" w:cs="Arial" w:eastAsia="Arial" w:hAnsi="Arial"/>
                <w:sz w:val="13"/>
                <w:szCs w:val="13"/>
                <w:color w:val="auto"/>
              </w:rPr>
              <w:t>(2)</w:t>
            </w:r>
          </w:p>
        </w:tc>
        <w:tc>
          <w:tcPr>
            <w:tcW w:w="620" w:type="dxa"/>
            <w:vAlign w:val="bottom"/>
          </w:tcPr>
          <w:p>
            <w:pPr>
              <w:jc w:val="right"/>
              <w:spacing w:after="0"/>
              <w:rPr>
                <w:sz w:val="20"/>
                <w:szCs w:val="20"/>
                <w:color w:val="auto"/>
              </w:rPr>
            </w:pPr>
            <w:r>
              <w:rPr>
                <w:rFonts w:ascii="Arial" w:cs="Arial" w:eastAsia="Arial" w:hAnsi="Arial"/>
                <w:sz w:val="13"/>
                <w:szCs w:val="13"/>
                <w:color w:val="auto"/>
              </w:rPr>
              <w:t>(7)</w:t>
            </w:r>
          </w:p>
        </w:tc>
        <w:tc>
          <w:tcPr>
            <w:tcW w:w="820" w:type="dxa"/>
            <w:vAlign w:val="bottom"/>
            <w:gridSpan w:val="2"/>
          </w:tcPr>
          <w:p>
            <w:pPr>
              <w:jc w:val="right"/>
              <w:ind w:right="73"/>
              <w:spacing w:after="0"/>
              <w:rPr>
                <w:sz w:val="20"/>
                <w:szCs w:val="20"/>
                <w:color w:val="auto"/>
              </w:rPr>
            </w:pPr>
            <w:r>
              <w:rPr>
                <w:rFonts w:ascii="Arial" w:cs="Arial" w:eastAsia="Arial" w:hAnsi="Arial"/>
                <w:sz w:val="13"/>
                <w:szCs w:val="13"/>
                <w:color w:val="auto"/>
              </w:rPr>
              <w:t>(0.01)</w:t>
            </w:r>
          </w:p>
        </w:tc>
        <w:tc>
          <w:tcPr>
            <w:tcW w:w="720" w:type="dxa"/>
            <w:vAlign w:val="bottom"/>
          </w:tcPr>
          <w:p>
            <w:pPr>
              <w:jc w:val="right"/>
              <w:ind w:right="73"/>
              <w:spacing w:after="0"/>
              <w:rPr>
                <w:sz w:val="20"/>
                <w:szCs w:val="20"/>
                <w:color w:val="auto"/>
              </w:rPr>
            </w:pPr>
            <w:r>
              <w:rPr>
                <w:rFonts w:ascii="Arial" w:cs="Arial" w:eastAsia="Arial" w:hAnsi="Arial"/>
                <w:sz w:val="13"/>
                <w:szCs w:val="13"/>
                <w:color w:val="auto"/>
              </w:rPr>
              <w:t>(0.01)</w:t>
            </w:r>
          </w:p>
        </w:tc>
        <w:tc>
          <w:tcPr>
            <w:tcW w:w="720" w:type="dxa"/>
            <w:vAlign w:val="bottom"/>
          </w:tcPr>
          <w:p>
            <w:pPr>
              <w:jc w:val="right"/>
              <w:ind w:right="73"/>
              <w:spacing w:after="0"/>
              <w:rPr>
                <w:sz w:val="20"/>
                <w:szCs w:val="20"/>
                <w:color w:val="auto"/>
              </w:rPr>
            </w:pPr>
            <w:r>
              <w:rPr>
                <w:rFonts w:ascii="Arial" w:cs="Arial" w:eastAsia="Arial" w:hAnsi="Arial"/>
                <w:sz w:val="13"/>
                <w:szCs w:val="13"/>
                <w:color w:val="auto"/>
              </w:rPr>
              <w:t>(0.01)</w:t>
            </w:r>
          </w:p>
        </w:tc>
        <w:tc>
          <w:tcPr>
            <w:tcW w:w="72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13"/>
              <w:spacing w:after="0"/>
              <w:rPr>
                <w:sz w:val="20"/>
                <w:szCs w:val="20"/>
                <w:color w:val="auto"/>
              </w:rPr>
            </w:pPr>
            <w:r>
              <w:rPr>
                <w:rFonts w:ascii="Arial" w:cs="Arial" w:eastAsia="Arial" w:hAnsi="Arial"/>
                <w:sz w:val="13"/>
                <w:szCs w:val="13"/>
                <w:color w:val="auto"/>
              </w:rPr>
              <w:t>(0.02)</w:t>
            </w:r>
          </w:p>
        </w:tc>
      </w:tr>
      <w:tr>
        <w:trPr>
          <w:trHeight w:val="170"/>
        </w:trPr>
        <w:tc>
          <w:tcPr>
            <w:tcW w:w="4400" w:type="dxa"/>
            <w:vAlign w:val="bottom"/>
            <w:tcBorders>
              <w:bottom w:val="single" w:sz="8" w:color="DFF1FB"/>
            </w:tcBorders>
          </w:tcPr>
          <w:p>
            <w:pPr>
              <w:ind w:left="80"/>
              <w:spacing w:after="0"/>
              <w:rPr>
                <w:sz w:val="20"/>
                <w:szCs w:val="20"/>
                <w:color w:val="auto"/>
              </w:rPr>
            </w:pPr>
            <w:r>
              <w:rPr>
                <w:rFonts w:ascii="Arial" w:cs="Arial" w:eastAsia="Arial" w:hAnsi="Arial"/>
                <w:sz w:val="13"/>
                <w:szCs w:val="13"/>
                <w:color w:val="auto"/>
              </w:rPr>
              <w:t>derivative instruments, after-tax</w:t>
            </w:r>
          </w:p>
        </w:tc>
        <w:tc>
          <w:tcPr>
            <w:tcW w:w="600" w:type="dxa"/>
            <w:vAlign w:val="bottom"/>
            <w:tcBorders>
              <w:bottom w:val="single" w:sz="8" w:color="DFF1FB"/>
            </w:tcBorders>
          </w:tcPr>
          <w:p>
            <w:pPr>
              <w:spacing w:after="0"/>
              <w:rPr>
                <w:sz w:val="14"/>
                <w:szCs w:val="14"/>
                <w:color w:val="auto"/>
              </w:rPr>
            </w:pPr>
          </w:p>
        </w:tc>
        <w:tc>
          <w:tcPr>
            <w:tcW w:w="720" w:type="dxa"/>
            <w:vAlign w:val="bottom"/>
            <w:tcBorders>
              <w:bottom w:val="single" w:sz="8" w:color="DFF1FB"/>
            </w:tcBorders>
          </w:tcPr>
          <w:p>
            <w:pPr>
              <w:spacing w:after="0"/>
              <w:rPr>
                <w:sz w:val="14"/>
                <w:szCs w:val="14"/>
                <w:color w:val="auto"/>
              </w:rPr>
            </w:pPr>
          </w:p>
        </w:tc>
        <w:tc>
          <w:tcPr>
            <w:tcW w:w="720" w:type="dxa"/>
            <w:vAlign w:val="bottom"/>
            <w:tcBorders>
              <w:bottom w:val="single" w:sz="8" w:color="DFF1FB"/>
            </w:tcBorders>
          </w:tcPr>
          <w:p>
            <w:pPr>
              <w:spacing w:after="0"/>
              <w:rPr>
                <w:sz w:val="14"/>
                <w:szCs w:val="14"/>
                <w:color w:val="auto"/>
              </w:rPr>
            </w:pPr>
          </w:p>
        </w:tc>
        <w:tc>
          <w:tcPr>
            <w:tcW w:w="740" w:type="dxa"/>
            <w:vAlign w:val="bottom"/>
            <w:tcBorders>
              <w:bottom w:val="single" w:sz="8" w:color="DFF1FB"/>
            </w:tcBorders>
          </w:tcPr>
          <w:p>
            <w:pPr>
              <w:spacing w:after="0"/>
              <w:rPr>
                <w:sz w:val="14"/>
                <w:szCs w:val="14"/>
                <w:color w:val="auto"/>
              </w:rPr>
            </w:pPr>
          </w:p>
        </w:tc>
        <w:tc>
          <w:tcPr>
            <w:tcW w:w="620" w:type="dxa"/>
            <w:vAlign w:val="bottom"/>
            <w:tcBorders>
              <w:bottom w:val="single" w:sz="8" w:color="DFF1FB"/>
            </w:tcBorders>
          </w:tcPr>
          <w:p>
            <w:pPr>
              <w:spacing w:after="0"/>
              <w:rPr>
                <w:sz w:val="14"/>
                <w:szCs w:val="14"/>
                <w:color w:val="auto"/>
              </w:rPr>
            </w:pPr>
          </w:p>
        </w:tc>
        <w:tc>
          <w:tcPr>
            <w:tcW w:w="240" w:type="dxa"/>
            <w:vAlign w:val="bottom"/>
            <w:tcBorders>
              <w:bottom w:val="single" w:sz="8" w:color="DFF1FB"/>
            </w:tcBorders>
          </w:tcPr>
          <w:p>
            <w:pPr>
              <w:spacing w:after="0"/>
              <w:rPr>
                <w:sz w:val="14"/>
                <w:szCs w:val="14"/>
                <w:color w:val="auto"/>
              </w:rPr>
            </w:pPr>
          </w:p>
        </w:tc>
        <w:tc>
          <w:tcPr>
            <w:tcW w:w="580" w:type="dxa"/>
            <w:vAlign w:val="bottom"/>
            <w:tcBorders>
              <w:bottom w:val="single" w:sz="8" w:color="DFF1FB"/>
            </w:tcBorders>
          </w:tcPr>
          <w:p>
            <w:pPr>
              <w:spacing w:after="0"/>
              <w:rPr>
                <w:sz w:val="14"/>
                <w:szCs w:val="14"/>
                <w:color w:val="auto"/>
              </w:rPr>
            </w:pPr>
          </w:p>
        </w:tc>
        <w:tc>
          <w:tcPr>
            <w:tcW w:w="720" w:type="dxa"/>
            <w:vAlign w:val="bottom"/>
            <w:tcBorders>
              <w:bottom w:val="single" w:sz="8" w:color="DFF1FB"/>
            </w:tcBorders>
          </w:tcPr>
          <w:p>
            <w:pPr>
              <w:spacing w:after="0"/>
              <w:rPr>
                <w:sz w:val="14"/>
                <w:szCs w:val="14"/>
                <w:color w:val="auto"/>
              </w:rPr>
            </w:pPr>
          </w:p>
        </w:tc>
        <w:tc>
          <w:tcPr>
            <w:tcW w:w="720" w:type="dxa"/>
            <w:vAlign w:val="bottom"/>
            <w:tcBorders>
              <w:bottom w:val="single" w:sz="8" w:color="DFF1FB"/>
            </w:tcBorders>
          </w:tcPr>
          <w:p>
            <w:pPr>
              <w:spacing w:after="0"/>
              <w:rPr>
                <w:sz w:val="14"/>
                <w:szCs w:val="14"/>
                <w:color w:val="auto"/>
              </w:rPr>
            </w:pPr>
          </w:p>
        </w:tc>
        <w:tc>
          <w:tcPr>
            <w:tcW w:w="720" w:type="dxa"/>
            <w:vAlign w:val="bottom"/>
            <w:tcBorders>
              <w:bottom w:val="single" w:sz="8" w:color="DFF1FB"/>
            </w:tcBorders>
          </w:tcPr>
          <w:p>
            <w:pPr>
              <w:spacing w:after="0"/>
              <w:rPr>
                <w:sz w:val="14"/>
                <w:szCs w:val="14"/>
                <w:color w:val="auto"/>
              </w:rPr>
            </w:pPr>
          </w:p>
        </w:tc>
        <w:tc>
          <w:tcPr>
            <w:tcW w:w="640" w:type="dxa"/>
            <w:vAlign w:val="bottom"/>
            <w:tcBorders>
              <w:bottom w:val="single" w:sz="8" w:color="DFF1FB"/>
            </w:tcBorders>
          </w:tcPr>
          <w:p>
            <w:pPr>
              <w:spacing w:after="0"/>
              <w:rPr>
                <w:sz w:val="14"/>
                <w:szCs w:val="14"/>
                <w:color w:val="auto"/>
              </w:rPr>
            </w:pPr>
          </w:p>
        </w:tc>
      </w:tr>
      <w:tr>
        <w:trPr>
          <w:trHeight w:val="175"/>
        </w:trPr>
        <w:tc>
          <w:tcPr>
            <w:tcW w:w="4400" w:type="dxa"/>
            <w:vAlign w:val="bottom"/>
          </w:tcPr>
          <w:p>
            <w:pPr>
              <w:ind w:left="80"/>
              <w:spacing w:after="0"/>
              <w:rPr>
                <w:sz w:val="20"/>
                <w:szCs w:val="20"/>
                <w:color w:val="auto"/>
              </w:rPr>
            </w:pPr>
            <w:r>
              <w:rPr>
                <w:rFonts w:ascii="Arial" w:cs="Arial" w:eastAsia="Arial" w:hAnsi="Arial"/>
                <w:sz w:val="13"/>
                <w:szCs w:val="13"/>
                <w:color w:val="auto"/>
              </w:rPr>
              <w:t>Business combination expenses and the</w:t>
            </w:r>
          </w:p>
        </w:tc>
        <w:tc>
          <w:tcPr>
            <w:tcW w:w="600" w:type="dxa"/>
            <w:vAlign w:val="bottom"/>
          </w:tcPr>
          <w:p>
            <w:pPr>
              <w:jc w:val="right"/>
              <w:ind w:right="113"/>
              <w:spacing w:after="0"/>
              <w:rPr>
                <w:sz w:val="20"/>
                <w:szCs w:val="20"/>
                <w:color w:val="auto"/>
              </w:rPr>
            </w:pPr>
            <w:r>
              <w:rPr>
                <w:rFonts w:ascii="Arial" w:cs="Arial" w:eastAsia="Arial" w:hAnsi="Arial"/>
                <w:sz w:val="13"/>
                <w:szCs w:val="13"/>
                <w:color w:val="auto"/>
              </w:rPr>
              <w:t>90</w:t>
            </w:r>
          </w:p>
        </w:tc>
        <w:tc>
          <w:tcPr>
            <w:tcW w:w="720" w:type="dxa"/>
            <w:vAlign w:val="bottom"/>
          </w:tcPr>
          <w:p>
            <w:pPr>
              <w:jc w:val="right"/>
              <w:ind w:right="113"/>
              <w:spacing w:after="0"/>
              <w:rPr>
                <w:sz w:val="20"/>
                <w:szCs w:val="20"/>
                <w:color w:val="auto"/>
              </w:rPr>
            </w:pPr>
            <w:r>
              <w:rPr>
                <w:rFonts w:ascii="Arial" w:cs="Arial" w:eastAsia="Arial" w:hAnsi="Arial"/>
                <w:sz w:val="13"/>
                <w:szCs w:val="13"/>
                <w:color w:val="auto"/>
              </w:rPr>
              <w:t>79</w:t>
            </w:r>
          </w:p>
        </w:tc>
        <w:tc>
          <w:tcPr>
            <w:tcW w:w="720" w:type="dxa"/>
            <w:vAlign w:val="bottom"/>
          </w:tcPr>
          <w:p>
            <w:pPr>
              <w:jc w:val="right"/>
              <w:ind w:right="113"/>
              <w:spacing w:after="0"/>
              <w:rPr>
                <w:sz w:val="20"/>
                <w:szCs w:val="20"/>
                <w:color w:val="auto"/>
              </w:rPr>
            </w:pPr>
            <w:r>
              <w:rPr>
                <w:rFonts w:ascii="Arial" w:cs="Arial" w:eastAsia="Arial" w:hAnsi="Arial"/>
                <w:sz w:val="13"/>
                <w:szCs w:val="13"/>
                <w:color w:val="auto"/>
              </w:rPr>
              <w:t>21</w:t>
            </w:r>
          </w:p>
        </w:tc>
        <w:tc>
          <w:tcPr>
            <w:tcW w:w="740" w:type="dxa"/>
            <w:vAlign w:val="bottom"/>
          </w:tcPr>
          <w:p>
            <w:pPr>
              <w:jc w:val="right"/>
              <w:ind w:right="113"/>
              <w:spacing w:after="0"/>
              <w:rPr>
                <w:sz w:val="20"/>
                <w:szCs w:val="20"/>
                <w:color w:val="auto"/>
              </w:rPr>
            </w:pPr>
            <w:r>
              <w:rPr>
                <w:rFonts w:ascii="Arial" w:cs="Arial" w:eastAsia="Arial" w:hAnsi="Arial"/>
                <w:sz w:val="13"/>
                <w:szCs w:val="13"/>
                <w:color w:val="auto"/>
              </w:rPr>
              <w:t>32</w:t>
            </w:r>
          </w:p>
        </w:tc>
        <w:tc>
          <w:tcPr>
            <w:tcW w:w="620" w:type="dxa"/>
            <w:vAlign w:val="bottom"/>
          </w:tcPr>
          <w:p>
            <w:pPr>
              <w:jc w:val="right"/>
              <w:ind w:right="13"/>
              <w:spacing w:after="0"/>
              <w:rPr>
                <w:sz w:val="20"/>
                <w:szCs w:val="20"/>
                <w:color w:val="auto"/>
              </w:rPr>
            </w:pPr>
            <w:r>
              <w:rPr>
                <w:rFonts w:ascii="Arial" w:cs="Arial" w:eastAsia="Arial" w:hAnsi="Arial"/>
                <w:sz w:val="13"/>
                <w:szCs w:val="13"/>
                <w:color w:val="auto"/>
              </w:rPr>
              <w:t>45</w:t>
            </w:r>
          </w:p>
        </w:tc>
        <w:tc>
          <w:tcPr>
            <w:tcW w:w="820" w:type="dxa"/>
            <w:vAlign w:val="bottom"/>
            <w:gridSpan w:val="2"/>
          </w:tcPr>
          <w:p>
            <w:pPr>
              <w:jc w:val="right"/>
              <w:ind w:right="113"/>
              <w:spacing w:after="0"/>
              <w:rPr>
                <w:sz w:val="20"/>
                <w:szCs w:val="20"/>
                <w:color w:val="auto"/>
              </w:rPr>
            </w:pPr>
            <w:r>
              <w:rPr>
                <w:rFonts w:ascii="Arial" w:cs="Arial" w:eastAsia="Arial" w:hAnsi="Arial"/>
                <w:sz w:val="13"/>
                <w:szCs w:val="13"/>
                <w:color w:val="auto"/>
              </w:rPr>
              <w:t>0.25</w:t>
            </w:r>
          </w:p>
        </w:tc>
        <w:tc>
          <w:tcPr>
            <w:tcW w:w="720" w:type="dxa"/>
            <w:vAlign w:val="bottom"/>
          </w:tcPr>
          <w:p>
            <w:pPr>
              <w:jc w:val="right"/>
              <w:ind w:right="113"/>
              <w:spacing w:after="0"/>
              <w:rPr>
                <w:sz w:val="20"/>
                <w:szCs w:val="20"/>
                <w:color w:val="auto"/>
              </w:rPr>
            </w:pPr>
            <w:r>
              <w:rPr>
                <w:rFonts w:ascii="Arial" w:cs="Arial" w:eastAsia="Arial" w:hAnsi="Arial"/>
                <w:sz w:val="13"/>
                <w:szCs w:val="13"/>
                <w:color w:val="auto"/>
              </w:rPr>
              <w:t>0.22</w:t>
            </w:r>
          </w:p>
        </w:tc>
        <w:tc>
          <w:tcPr>
            <w:tcW w:w="720" w:type="dxa"/>
            <w:vAlign w:val="bottom"/>
          </w:tcPr>
          <w:p>
            <w:pPr>
              <w:jc w:val="right"/>
              <w:ind w:right="133"/>
              <w:spacing w:after="0"/>
              <w:rPr>
                <w:sz w:val="20"/>
                <w:szCs w:val="20"/>
                <w:color w:val="auto"/>
              </w:rPr>
            </w:pPr>
            <w:r>
              <w:rPr>
                <w:rFonts w:ascii="Arial" w:cs="Arial" w:eastAsia="Arial" w:hAnsi="Arial"/>
                <w:sz w:val="13"/>
                <w:szCs w:val="13"/>
                <w:color w:val="auto"/>
              </w:rPr>
              <w:t>0.06</w:t>
            </w:r>
          </w:p>
        </w:tc>
        <w:tc>
          <w:tcPr>
            <w:tcW w:w="720" w:type="dxa"/>
            <w:vAlign w:val="bottom"/>
          </w:tcPr>
          <w:p>
            <w:pPr>
              <w:jc w:val="right"/>
              <w:ind w:right="133"/>
              <w:spacing w:after="0"/>
              <w:rPr>
                <w:sz w:val="20"/>
                <w:szCs w:val="20"/>
                <w:color w:val="auto"/>
              </w:rPr>
            </w:pPr>
            <w:r>
              <w:rPr>
                <w:rFonts w:ascii="Arial" w:cs="Arial" w:eastAsia="Arial" w:hAnsi="Arial"/>
                <w:sz w:val="13"/>
                <w:szCs w:val="13"/>
                <w:color w:val="auto"/>
              </w:rPr>
              <w:t>0.08</w:t>
            </w:r>
          </w:p>
        </w:tc>
        <w:tc>
          <w:tcPr>
            <w:tcW w:w="640" w:type="dxa"/>
            <w:vAlign w:val="bottom"/>
          </w:tcPr>
          <w:p>
            <w:pPr>
              <w:jc w:val="right"/>
              <w:ind w:right="53"/>
              <w:spacing w:after="0"/>
              <w:rPr>
                <w:sz w:val="20"/>
                <w:szCs w:val="20"/>
                <w:color w:val="auto"/>
              </w:rPr>
            </w:pPr>
            <w:r>
              <w:rPr>
                <w:rFonts w:ascii="Arial" w:cs="Arial" w:eastAsia="Arial" w:hAnsi="Arial"/>
                <w:sz w:val="13"/>
                <w:szCs w:val="13"/>
                <w:color w:val="auto"/>
              </w:rPr>
              <w:t>0.10</w:t>
            </w:r>
          </w:p>
        </w:tc>
      </w:tr>
      <w:tr>
        <w:trPr>
          <w:trHeight w:val="170"/>
        </w:trPr>
        <w:tc>
          <w:tcPr>
            <w:tcW w:w="4400" w:type="dxa"/>
            <w:vAlign w:val="bottom"/>
            <w:tcBorders>
              <w:bottom w:val="single" w:sz="8" w:color="DFF1FB"/>
            </w:tcBorders>
          </w:tcPr>
          <w:p>
            <w:pPr>
              <w:ind w:left="80"/>
              <w:spacing w:after="0"/>
              <w:rPr>
                <w:sz w:val="20"/>
                <w:szCs w:val="20"/>
                <w:color w:val="auto"/>
              </w:rPr>
            </w:pPr>
            <w:r>
              <w:rPr>
                <w:rFonts w:ascii="Arial" w:cs="Arial" w:eastAsia="Arial" w:hAnsi="Arial"/>
                <w:sz w:val="13"/>
                <w:szCs w:val="13"/>
                <w:color w:val="auto"/>
              </w:rPr>
              <w:t>amortization of purchased intangible assets, after-tax</w:t>
            </w:r>
          </w:p>
        </w:tc>
        <w:tc>
          <w:tcPr>
            <w:tcW w:w="600" w:type="dxa"/>
            <w:vAlign w:val="bottom"/>
            <w:tcBorders>
              <w:bottom w:val="single" w:sz="8" w:color="DFF1FB"/>
            </w:tcBorders>
          </w:tcPr>
          <w:p>
            <w:pPr>
              <w:spacing w:after="0"/>
              <w:rPr>
                <w:sz w:val="14"/>
                <w:szCs w:val="14"/>
                <w:color w:val="auto"/>
              </w:rPr>
            </w:pPr>
          </w:p>
        </w:tc>
        <w:tc>
          <w:tcPr>
            <w:tcW w:w="720" w:type="dxa"/>
            <w:vAlign w:val="bottom"/>
            <w:tcBorders>
              <w:bottom w:val="single" w:sz="8" w:color="DFF1FB"/>
            </w:tcBorders>
          </w:tcPr>
          <w:p>
            <w:pPr>
              <w:spacing w:after="0"/>
              <w:rPr>
                <w:sz w:val="14"/>
                <w:szCs w:val="14"/>
                <w:color w:val="auto"/>
              </w:rPr>
            </w:pPr>
          </w:p>
        </w:tc>
        <w:tc>
          <w:tcPr>
            <w:tcW w:w="720" w:type="dxa"/>
            <w:vAlign w:val="bottom"/>
            <w:tcBorders>
              <w:bottom w:val="single" w:sz="8" w:color="DFF1FB"/>
            </w:tcBorders>
          </w:tcPr>
          <w:p>
            <w:pPr>
              <w:spacing w:after="0"/>
              <w:rPr>
                <w:sz w:val="14"/>
                <w:szCs w:val="14"/>
                <w:color w:val="auto"/>
              </w:rPr>
            </w:pPr>
          </w:p>
        </w:tc>
        <w:tc>
          <w:tcPr>
            <w:tcW w:w="740" w:type="dxa"/>
            <w:vAlign w:val="bottom"/>
            <w:tcBorders>
              <w:bottom w:val="single" w:sz="8" w:color="DFF1FB"/>
            </w:tcBorders>
          </w:tcPr>
          <w:p>
            <w:pPr>
              <w:spacing w:after="0"/>
              <w:rPr>
                <w:sz w:val="14"/>
                <w:szCs w:val="14"/>
                <w:color w:val="auto"/>
              </w:rPr>
            </w:pPr>
          </w:p>
        </w:tc>
        <w:tc>
          <w:tcPr>
            <w:tcW w:w="620" w:type="dxa"/>
            <w:vAlign w:val="bottom"/>
            <w:tcBorders>
              <w:bottom w:val="single" w:sz="8" w:color="DFF1FB"/>
            </w:tcBorders>
          </w:tcPr>
          <w:p>
            <w:pPr>
              <w:spacing w:after="0"/>
              <w:rPr>
                <w:sz w:val="14"/>
                <w:szCs w:val="14"/>
                <w:color w:val="auto"/>
              </w:rPr>
            </w:pPr>
          </w:p>
        </w:tc>
        <w:tc>
          <w:tcPr>
            <w:tcW w:w="240" w:type="dxa"/>
            <w:vAlign w:val="bottom"/>
            <w:tcBorders>
              <w:bottom w:val="single" w:sz="8" w:color="DFF1FB"/>
            </w:tcBorders>
          </w:tcPr>
          <w:p>
            <w:pPr>
              <w:spacing w:after="0"/>
              <w:rPr>
                <w:sz w:val="14"/>
                <w:szCs w:val="14"/>
                <w:color w:val="auto"/>
              </w:rPr>
            </w:pPr>
          </w:p>
        </w:tc>
        <w:tc>
          <w:tcPr>
            <w:tcW w:w="580" w:type="dxa"/>
            <w:vAlign w:val="bottom"/>
            <w:tcBorders>
              <w:bottom w:val="single" w:sz="8" w:color="DFF1FB"/>
            </w:tcBorders>
          </w:tcPr>
          <w:p>
            <w:pPr>
              <w:spacing w:after="0"/>
              <w:rPr>
                <w:sz w:val="14"/>
                <w:szCs w:val="14"/>
                <w:color w:val="auto"/>
              </w:rPr>
            </w:pPr>
          </w:p>
        </w:tc>
        <w:tc>
          <w:tcPr>
            <w:tcW w:w="720" w:type="dxa"/>
            <w:vAlign w:val="bottom"/>
            <w:tcBorders>
              <w:bottom w:val="single" w:sz="8" w:color="DFF1FB"/>
            </w:tcBorders>
          </w:tcPr>
          <w:p>
            <w:pPr>
              <w:spacing w:after="0"/>
              <w:rPr>
                <w:sz w:val="14"/>
                <w:szCs w:val="14"/>
                <w:color w:val="auto"/>
              </w:rPr>
            </w:pPr>
          </w:p>
        </w:tc>
        <w:tc>
          <w:tcPr>
            <w:tcW w:w="720" w:type="dxa"/>
            <w:vAlign w:val="bottom"/>
            <w:tcBorders>
              <w:bottom w:val="single" w:sz="8" w:color="DFF1FB"/>
            </w:tcBorders>
          </w:tcPr>
          <w:p>
            <w:pPr>
              <w:spacing w:after="0"/>
              <w:rPr>
                <w:sz w:val="14"/>
                <w:szCs w:val="14"/>
                <w:color w:val="auto"/>
              </w:rPr>
            </w:pPr>
          </w:p>
        </w:tc>
        <w:tc>
          <w:tcPr>
            <w:tcW w:w="720" w:type="dxa"/>
            <w:vAlign w:val="bottom"/>
            <w:tcBorders>
              <w:bottom w:val="single" w:sz="8" w:color="DFF1FB"/>
            </w:tcBorders>
          </w:tcPr>
          <w:p>
            <w:pPr>
              <w:spacing w:after="0"/>
              <w:rPr>
                <w:sz w:val="14"/>
                <w:szCs w:val="14"/>
                <w:color w:val="auto"/>
              </w:rPr>
            </w:pPr>
          </w:p>
        </w:tc>
        <w:tc>
          <w:tcPr>
            <w:tcW w:w="640" w:type="dxa"/>
            <w:vAlign w:val="bottom"/>
            <w:tcBorders>
              <w:bottom w:val="single" w:sz="8" w:color="DFF1FB"/>
            </w:tcBorders>
          </w:tcPr>
          <w:p>
            <w:pPr>
              <w:spacing w:after="0"/>
              <w:rPr>
                <w:sz w:val="14"/>
                <w:szCs w:val="14"/>
                <w:color w:val="auto"/>
              </w:rPr>
            </w:pPr>
          </w:p>
        </w:tc>
      </w:tr>
      <w:tr>
        <w:trPr>
          <w:trHeight w:val="196"/>
        </w:trPr>
        <w:tc>
          <w:tcPr>
            <w:tcW w:w="4400" w:type="dxa"/>
            <w:vAlign w:val="bottom"/>
            <w:tcBorders>
              <w:bottom w:val="single" w:sz="8" w:color="DFF1FB"/>
            </w:tcBorders>
          </w:tcPr>
          <w:p>
            <w:pPr>
              <w:ind w:left="80"/>
              <w:spacing w:after="0"/>
              <w:rPr>
                <w:sz w:val="20"/>
                <w:szCs w:val="20"/>
                <w:color w:val="auto"/>
              </w:rPr>
            </w:pPr>
            <w:r>
              <w:rPr>
                <w:rFonts w:ascii="Arial" w:cs="Arial" w:eastAsia="Arial" w:hAnsi="Arial"/>
                <w:sz w:val="13"/>
                <w:szCs w:val="13"/>
                <w:color w:val="auto"/>
              </w:rPr>
              <w:t>(Gain) loss on disposition of operations, after-tax</w:t>
            </w:r>
          </w:p>
        </w:tc>
        <w:tc>
          <w:tcPr>
            <w:tcW w:w="600" w:type="dxa"/>
            <w:vAlign w:val="bottom"/>
            <w:tcBorders>
              <w:bottom w:val="single" w:sz="8" w:color="DFF1FB"/>
            </w:tcBorders>
          </w:tcPr>
          <w:p>
            <w:pPr>
              <w:jc w:val="right"/>
              <w:ind w:right="73"/>
              <w:spacing w:after="0"/>
              <w:rPr>
                <w:sz w:val="20"/>
                <w:szCs w:val="20"/>
                <w:color w:val="auto"/>
              </w:rPr>
            </w:pPr>
            <w:r>
              <w:rPr>
                <w:rFonts w:ascii="Arial" w:cs="Arial" w:eastAsia="Arial" w:hAnsi="Arial"/>
                <w:sz w:val="13"/>
                <w:szCs w:val="13"/>
                <w:color w:val="auto"/>
              </w:rPr>
              <w:t>(4)</w:t>
            </w:r>
          </w:p>
        </w:tc>
        <w:tc>
          <w:tcPr>
            <w:tcW w:w="720" w:type="dxa"/>
            <w:vAlign w:val="bottom"/>
            <w:tcBorders>
              <w:bottom w:val="single" w:sz="8" w:color="DFF1FB"/>
            </w:tcBorders>
          </w:tcPr>
          <w:p>
            <w:pPr>
              <w:jc w:val="right"/>
              <w:ind w:right="73"/>
              <w:spacing w:after="0"/>
              <w:rPr>
                <w:sz w:val="20"/>
                <w:szCs w:val="20"/>
                <w:color w:val="auto"/>
              </w:rPr>
            </w:pPr>
            <w:r>
              <w:rPr>
                <w:rFonts w:ascii="Arial" w:cs="Arial" w:eastAsia="Arial" w:hAnsi="Arial"/>
                <w:sz w:val="13"/>
                <w:szCs w:val="13"/>
                <w:color w:val="auto"/>
              </w:rPr>
              <w:t>(13)</w:t>
            </w:r>
          </w:p>
        </w:tc>
        <w:tc>
          <w:tcPr>
            <w:tcW w:w="720" w:type="dxa"/>
            <w:vAlign w:val="bottom"/>
            <w:tcBorders>
              <w:bottom w:val="single" w:sz="8" w:color="DFF1FB"/>
            </w:tcBorders>
          </w:tcPr>
          <w:p>
            <w:pPr>
              <w:jc w:val="right"/>
              <w:ind w:right="53"/>
              <w:spacing w:after="0"/>
              <w:rPr>
                <w:sz w:val="20"/>
                <w:szCs w:val="20"/>
                <w:color w:val="auto"/>
              </w:rPr>
            </w:pPr>
            <w:r>
              <w:rPr>
                <w:rFonts w:ascii="Arial" w:cs="Arial" w:eastAsia="Arial" w:hAnsi="Arial"/>
                <w:sz w:val="13"/>
                <w:szCs w:val="13"/>
                <w:color w:val="auto"/>
              </w:rPr>
              <w:t>(3)</w:t>
            </w:r>
          </w:p>
        </w:tc>
        <w:tc>
          <w:tcPr>
            <w:tcW w:w="740" w:type="dxa"/>
            <w:vAlign w:val="bottom"/>
            <w:tcBorders>
              <w:bottom w:val="single" w:sz="8" w:color="DFF1FB"/>
            </w:tcBorders>
          </w:tcPr>
          <w:p>
            <w:pPr>
              <w:jc w:val="right"/>
              <w:ind w:right="73"/>
              <w:spacing w:after="0"/>
              <w:rPr>
                <w:sz w:val="20"/>
                <w:szCs w:val="20"/>
                <w:color w:val="auto"/>
              </w:rPr>
            </w:pPr>
            <w:r>
              <w:rPr>
                <w:rFonts w:ascii="Arial" w:cs="Arial" w:eastAsia="Arial" w:hAnsi="Arial"/>
                <w:sz w:val="13"/>
                <w:szCs w:val="13"/>
                <w:color w:val="auto"/>
              </w:rPr>
              <w:t>(2)</w:t>
            </w:r>
          </w:p>
        </w:tc>
        <w:tc>
          <w:tcPr>
            <w:tcW w:w="620" w:type="dxa"/>
            <w:vAlign w:val="bottom"/>
            <w:tcBorders>
              <w:bottom w:val="single" w:sz="8" w:color="DFF1FB"/>
            </w:tcBorders>
          </w:tcPr>
          <w:p>
            <w:pPr>
              <w:jc w:val="right"/>
              <w:ind w:right="13"/>
              <w:spacing w:after="0"/>
              <w:rPr>
                <w:sz w:val="20"/>
                <w:szCs w:val="20"/>
                <w:color w:val="auto"/>
              </w:rPr>
            </w:pPr>
            <w:r>
              <w:rPr>
                <w:rFonts w:ascii="Arial" w:cs="Arial" w:eastAsia="Arial" w:hAnsi="Arial"/>
                <w:sz w:val="13"/>
                <w:szCs w:val="13"/>
                <w:color w:val="auto"/>
              </w:rPr>
              <w:t>16</w:t>
            </w:r>
          </w:p>
        </w:tc>
        <w:tc>
          <w:tcPr>
            <w:tcW w:w="820" w:type="dxa"/>
            <w:vAlign w:val="bottom"/>
            <w:tcBorders>
              <w:bottom w:val="single" w:sz="8" w:color="DFF1FB"/>
            </w:tcBorders>
            <w:gridSpan w:val="2"/>
          </w:tcPr>
          <w:p>
            <w:pPr>
              <w:jc w:val="right"/>
              <w:ind w:right="73"/>
              <w:spacing w:after="0"/>
              <w:rPr>
                <w:sz w:val="20"/>
                <w:szCs w:val="20"/>
                <w:color w:val="auto"/>
              </w:rPr>
            </w:pPr>
            <w:r>
              <w:rPr>
                <w:rFonts w:ascii="Arial" w:cs="Arial" w:eastAsia="Arial" w:hAnsi="Arial"/>
                <w:sz w:val="13"/>
                <w:szCs w:val="13"/>
                <w:color w:val="auto"/>
              </w:rPr>
              <w:t>(0.01)</w:t>
            </w:r>
          </w:p>
        </w:tc>
        <w:tc>
          <w:tcPr>
            <w:tcW w:w="720" w:type="dxa"/>
            <w:vAlign w:val="bottom"/>
            <w:tcBorders>
              <w:bottom w:val="single" w:sz="8" w:color="DFF1FB"/>
            </w:tcBorders>
          </w:tcPr>
          <w:p>
            <w:pPr>
              <w:jc w:val="right"/>
              <w:ind w:right="73"/>
              <w:spacing w:after="0"/>
              <w:rPr>
                <w:sz w:val="20"/>
                <w:szCs w:val="20"/>
                <w:color w:val="auto"/>
              </w:rPr>
            </w:pPr>
            <w:r>
              <w:rPr>
                <w:rFonts w:ascii="Arial" w:cs="Arial" w:eastAsia="Arial" w:hAnsi="Arial"/>
                <w:sz w:val="13"/>
                <w:szCs w:val="13"/>
                <w:color w:val="auto"/>
              </w:rPr>
              <w:t>(0.04)</w:t>
            </w:r>
          </w:p>
        </w:tc>
        <w:tc>
          <w:tcPr>
            <w:tcW w:w="720" w:type="dxa"/>
            <w:vAlign w:val="bottom"/>
            <w:tcBorders>
              <w:bottom w:val="single" w:sz="8" w:color="DFF1FB"/>
            </w:tcBorders>
          </w:tcPr>
          <w:p>
            <w:pPr>
              <w:jc w:val="right"/>
              <w:ind w:right="73"/>
              <w:spacing w:after="0"/>
              <w:rPr>
                <w:sz w:val="20"/>
                <w:szCs w:val="20"/>
                <w:color w:val="auto"/>
              </w:rPr>
            </w:pPr>
            <w:r>
              <w:rPr>
                <w:rFonts w:ascii="Arial" w:cs="Arial" w:eastAsia="Arial" w:hAnsi="Arial"/>
                <w:sz w:val="13"/>
                <w:szCs w:val="13"/>
                <w:color w:val="auto"/>
              </w:rPr>
              <w:t>(0.01)</w:t>
            </w:r>
          </w:p>
        </w:tc>
        <w:tc>
          <w:tcPr>
            <w:tcW w:w="720" w:type="dxa"/>
            <w:vAlign w:val="bottom"/>
            <w:tcBorders>
              <w:bottom w:val="single" w:sz="8" w:color="DFF1FB"/>
            </w:tcBorders>
          </w:tcPr>
          <w:p>
            <w:pPr>
              <w:jc w:val="right"/>
              <w:ind w:right="133"/>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DFF1FB"/>
            </w:tcBorders>
          </w:tcPr>
          <w:p>
            <w:pPr>
              <w:jc w:val="right"/>
              <w:ind w:right="53"/>
              <w:spacing w:after="0"/>
              <w:rPr>
                <w:sz w:val="20"/>
                <w:szCs w:val="20"/>
                <w:color w:val="auto"/>
              </w:rPr>
            </w:pPr>
            <w:r>
              <w:rPr>
                <w:rFonts w:ascii="Arial" w:cs="Arial" w:eastAsia="Arial" w:hAnsi="Arial"/>
                <w:sz w:val="13"/>
                <w:szCs w:val="13"/>
                <w:color w:val="auto"/>
              </w:rPr>
              <w:t>0.04</w:t>
            </w:r>
          </w:p>
        </w:tc>
      </w:tr>
      <w:tr>
        <w:trPr>
          <w:trHeight w:val="175"/>
        </w:trPr>
        <w:tc>
          <w:tcPr>
            <w:tcW w:w="4400" w:type="dxa"/>
            <w:vAlign w:val="bottom"/>
          </w:tcPr>
          <w:p>
            <w:pPr>
              <w:ind w:left="80"/>
              <w:spacing w:after="0"/>
              <w:rPr>
                <w:sz w:val="20"/>
                <w:szCs w:val="20"/>
                <w:color w:val="auto"/>
              </w:rPr>
            </w:pPr>
            <w:r>
              <w:rPr>
                <w:rFonts w:ascii="Arial" w:cs="Arial" w:eastAsia="Arial" w:hAnsi="Arial"/>
                <w:sz w:val="13"/>
                <w:szCs w:val="13"/>
                <w:color w:val="auto"/>
              </w:rPr>
              <w:t>Change in accounting for investments in</w:t>
            </w:r>
          </w:p>
        </w:tc>
        <w:tc>
          <w:tcPr>
            <w:tcW w:w="60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13"/>
              <w:spacing w:after="0"/>
              <w:rPr>
                <w:sz w:val="20"/>
                <w:szCs w:val="20"/>
                <w:color w:val="auto"/>
              </w:rPr>
            </w:pPr>
            <w:r>
              <w:rPr>
                <w:rFonts w:ascii="Arial" w:cs="Arial" w:eastAsia="Arial" w:hAnsi="Arial"/>
                <w:sz w:val="13"/>
                <w:szCs w:val="13"/>
                <w:color w:val="auto"/>
              </w:rPr>
              <w:t>45</w:t>
            </w:r>
          </w:p>
        </w:tc>
        <w:tc>
          <w:tcPr>
            <w:tcW w:w="62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58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33"/>
              <w:spacing w:after="0"/>
              <w:rPr>
                <w:sz w:val="20"/>
                <w:szCs w:val="20"/>
                <w:color w:val="auto"/>
              </w:rPr>
            </w:pPr>
            <w:r>
              <w:rPr>
                <w:rFonts w:ascii="Arial" w:cs="Arial" w:eastAsia="Arial" w:hAnsi="Arial"/>
                <w:sz w:val="13"/>
                <w:szCs w:val="13"/>
                <w:color w:val="auto"/>
              </w:rPr>
              <w:t>0.11</w:t>
            </w:r>
          </w:p>
        </w:tc>
        <w:tc>
          <w:tcPr>
            <w:tcW w:w="640" w:type="dxa"/>
            <w:vAlign w:val="bottom"/>
          </w:tcPr>
          <w:p>
            <w:pPr>
              <w:jc w:val="right"/>
              <w:ind w:right="53"/>
              <w:spacing w:after="0"/>
              <w:rPr>
                <w:sz w:val="20"/>
                <w:szCs w:val="20"/>
                <w:color w:val="auto"/>
              </w:rPr>
            </w:pPr>
            <w:r>
              <w:rPr>
                <w:rFonts w:ascii="Arial" w:cs="Arial" w:eastAsia="Arial" w:hAnsi="Arial"/>
                <w:sz w:val="13"/>
                <w:szCs w:val="13"/>
                <w:color w:val="auto"/>
              </w:rPr>
              <w:t>—</w:t>
            </w:r>
          </w:p>
        </w:tc>
      </w:tr>
      <w:tr>
        <w:trPr>
          <w:trHeight w:val="170"/>
        </w:trPr>
        <w:tc>
          <w:tcPr>
            <w:tcW w:w="4400" w:type="dxa"/>
            <w:vAlign w:val="bottom"/>
            <w:tcBorders>
              <w:bottom w:val="single" w:sz="8" w:color="DFF1FB"/>
            </w:tcBorders>
          </w:tcPr>
          <w:p>
            <w:pPr>
              <w:ind w:left="80"/>
              <w:spacing w:after="0"/>
              <w:rPr>
                <w:sz w:val="20"/>
                <w:szCs w:val="20"/>
                <w:color w:val="auto"/>
              </w:rPr>
            </w:pPr>
            <w:r>
              <w:rPr>
                <w:rFonts w:ascii="Arial" w:cs="Arial" w:eastAsia="Arial" w:hAnsi="Arial"/>
                <w:sz w:val="13"/>
                <w:szCs w:val="13"/>
                <w:color w:val="auto"/>
              </w:rPr>
              <w:t>qualified affordable housing projects</w:t>
            </w:r>
          </w:p>
        </w:tc>
        <w:tc>
          <w:tcPr>
            <w:tcW w:w="600" w:type="dxa"/>
            <w:vAlign w:val="bottom"/>
            <w:tcBorders>
              <w:bottom w:val="single" w:sz="8" w:color="DFF1FB"/>
            </w:tcBorders>
          </w:tcPr>
          <w:p>
            <w:pPr>
              <w:spacing w:after="0"/>
              <w:rPr>
                <w:sz w:val="14"/>
                <w:szCs w:val="14"/>
                <w:color w:val="auto"/>
              </w:rPr>
            </w:pPr>
          </w:p>
        </w:tc>
        <w:tc>
          <w:tcPr>
            <w:tcW w:w="720" w:type="dxa"/>
            <w:vAlign w:val="bottom"/>
            <w:tcBorders>
              <w:bottom w:val="single" w:sz="8" w:color="DFF1FB"/>
            </w:tcBorders>
          </w:tcPr>
          <w:p>
            <w:pPr>
              <w:spacing w:after="0"/>
              <w:rPr>
                <w:sz w:val="14"/>
                <w:szCs w:val="14"/>
                <w:color w:val="auto"/>
              </w:rPr>
            </w:pPr>
          </w:p>
        </w:tc>
        <w:tc>
          <w:tcPr>
            <w:tcW w:w="720" w:type="dxa"/>
            <w:vAlign w:val="bottom"/>
            <w:tcBorders>
              <w:bottom w:val="single" w:sz="8" w:color="DFF1FB"/>
            </w:tcBorders>
          </w:tcPr>
          <w:p>
            <w:pPr>
              <w:spacing w:after="0"/>
              <w:rPr>
                <w:sz w:val="14"/>
                <w:szCs w:val="14"/>
                <w:color w:val="auto"/>
              </w:rPr>
            </w:pPr>
          </w:p>
        </w:tc>
        <w:tc>
          <w:tcPr>
            <w:tcW w:w="740" w:type="dxa"/>
            <w:vAlign w:val="bottom"/>
            <w:tcBorders>
              <w:bottom w:val="single" w:sz="8" w:color="DFF1FB"/>
            </w:tcBorders>
          </w:tcPr>
          <w:p>
            <w:pPr>
              <w:spacing w:after="0"/>
              <w:rPr>
                <w:sz w:val="14"/>
                <w:szCs w:val="14"/>
                <w:color w:val="auto"/>
              </w:rPr>
            </w:pPr>
          </w:p>
        </w:tc>
        <w:tc>
          <w:tcPr>
            <w:tcW w:w="620" w:type="dxa"/>
            <w:vAlign w:val="bottom"/>
            <w:tcBorders>
              <w:bottom w:val="single" w:sz="8" w:color="DFF1FB"/>
            </w:tcBorders>
          </w:tcPr>
          <w:p>
            <w:pPr>
              <w:spacing w:after="0"/>
              <w:rPr>
                <w:sz w:val="14"/>
                <w:szCs w:val="14"/>
                <w:color w:val="auto"/>
              </w:rPr>
            </w:pPr>
          </w:p>
        </w:tc>
        <w:tc>
          <w:tcPr>
            <w:tcW w:w="240" w:type="dxa"/>
            <w:vAlign w:val="bottom"/>
            <w:tcBorders>
              <w:bottom w:val="single" w:sz="8" w:color="DFF1FB"/>
            </w:tcBorders>
          </w:tcPr>
          <w:p>
            <w:pPr>
              <w:spacing w:after="0"/>
              <w:rPr>
                <w:sz w:val="14"/>
                <w:szCs w:val="14"/>
                <w:color w:val="auto"/>
              </w:rPr>
            </w:pPr>
          </w:p>
        </w:tc>
        <w:tc>
          <w:tcPr>
            <w:tcW w:w="580" w:type="dxa"/>
            <w:vAlign w:val="bottom"/>
            <w:tcBorders>
              <w:bottom w:val="single" w:sz="8" w:color="DFF1FB"/>
            </w:tcBorders>
          </w:tcPr>
          <w:p>
            <w:pPr>
              <w:spacing w:after="0"/>
              <w:rPr>
                <w:sz w:val="14"/>
                <w:szCs w:val="14"/>
                <w:color w:val="auto"/>
              </w:rPr>
            </w:pPr>
          </w:p>
        </w:tc>
        <w:tc>
          <w:tcPr>
            <w:tcW w:w="720" w:type="dxa"/>
            <w:vAlign w:val="bottom"/>
            <w:tcBorders>
              <w:bottom w:val="single" w:sz="8" w:color="DFF1FB"/>
            </w:tcBorders>
          </w:tcPr>
          <w:p>
            <w:pPr>
              <w:spacing w:after="0"/>
              <w:rPr>
                <w:sz w:val="14"/>
                <w:szCs w:val="14"/>
                <w:color w:val="auto"/>
              </w:rPr>
            </w:pPr>
          </w:p>
        </w:tc>
        <w:tc>
          <w:tcPr>
            <w:tcW w:w="720" w:type="dxa"/>
            <w:vAlign w:val="bottom"/>
            <w:tcBorders>
              <w:bottom w:val="single" w:sz="8" w:color="DFF1FB"/>
            </w:tcBorders>
          </w:tcPr>
          <w:p>
            <w:pPr>
              <w:spacing w:after="0"/>
              <w:rPr>
                <w:sz w:val="14"/>
                <w:szCs w:val="14"/>
                <w:color w:val="auto"/>
              </w:rPr>
            </w:pPr>
          </w:p>
        </w:tc>
        <w:tc>
          <w:tcPr>
            <w:tcW w:w="720" w:type="dxa"/>
            <w:vAlign w:val="bottom"/>
            <w:tcBorders>
              <w:bottom w:val="single" w:sz="8" w:color="DFF1FB"/>
            </w:tcBorders>
          </w:tcPr>
          <w:p>
            <w:pPr>
              <w:spacing w:after="0"/>
              <w:rPr>
                <w:sz w:val="14"/>
                <w:szCs w:val="14"/>
                <w:color w:val="auto"/>
              </w:rPr>
            </w:pPr>
          </w:p>
        </w:tc>
        <w:tc>
          <w:tcPr>
            <w:tcW w:w="640" w:type="dxa"/>
            <w:vAlign w:val="bottom"/>
            <w:tcBorders>
              <w:bottom w:val="single" w:sz="8" w:color="DFF1FB"/>
            </w:tcBorders>
          </w:tcPr>
          <w:p>
            <w:pPr>
              <w:spacing w:after="0"/>
              <w:rPr>
                <w:sz w:val="14"/>
                <w:szCs w:val="14"/>
                <w:color w:val="auto"/>
              </w:rPr>
            </w:pPr>
          </w:p>
        </w:tc>
      </w:tr>
      <w:tr>
        <w:trPr>
          <w:trHeight w:val="196"/>
        </w:trPr>
        <w:tc>
          <w:tcPr>
            <w:tcW w:w="4400" w:type="dxa"/>
            <w:vAlign w:val="bottom"/>
            <w:tcBorders>
              <w:bottom w:val="single" w:sz="8" w:color="DFF1FB"/>
            </w:tcBorders>
          </w:tcPr>
          <w:p>
            <w:pPr>
              <w:ind w:left="80"/>
              <w:spacing w:after="0"/>
              <w:rPr>
                <w:sz w:val="20"/>
                <w:szCs w:val="20"/>
                <w:color w:val="auto"/>
              </w:rPr>
            </w:pPr>
            <w:r>
              <w:rPr>
                <w:rFonts w:ascii="Arial" w:cs="Arial" w:eastAsia="Arial" w:hAnsi="Arial"/>
                <w:sz w:val="13"/>
                <w:szCs w:val="13"/>
                <w:color w:val="auto"/>
              </w:rPr>
              <w:t>Goodwill impairment</w:t>
            </w:r>
          </w:p>
        </w:tc>
        <w:tc>
          <w:tcPr>
            <w:tcW w:w="600" w:type="dxa"/>
            <w:vAlign w:val="bottom"/>
            <w:tcBorders>
              <w:bottom w:val="single" w:sz="8" w:color="DFF1FB"/>
            </w:tcBorders>
          </w:tcPr>
          <w:p>
            <w:pPr>
              <w:jc w:val="right"/>
              <w:ind w:right="113"/>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DFF1FB"/>
            </w:tcBorders>
          </w:tcPr>
          <w:p>
            <w:pPr>
              <w:jc w:val="right"/>
              <w:ind w:right="113"/>
              <w:spacing w:after="0"/>
              <w:rPr>
                <w:sz w:val="20"/>
                <w:szCs w:val="20"/>
                <w:color w:val="auto"/>
              </w:rPr>
            </w:pPr>
            <w:r>
              <w:rPr>
                <w:rFonts w:ascii="Arial" w:cs="Arial" w:eastAsia="Arial" w:hAnsi="Arial"/>
                <w:sz w:val="13"/>
                <w:szCs w:val="13"/>
                <w:color w:val="auto"/>
              </w:rPr>
              <w:t>125</w:t>
            </w:r>
          </w:p>
        </w:tc>
        <w:tc>
          <w:tcPr>
            <w:tcW w:w="720" w:type="dxa"/>
            <w:vAlign w:val="bottom"/>
            <w:tcBorders>
              <w:bottom w:val="single" w:sz="8" w:color="DFF1FB"/>
            </w:tcBorders>
          </w:tcPr>
          <w:p>
            <w:pPr>
              <w:jc w:val="right"/>
              <w:ind w:right="113"/>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DFF1FB"/>
            </w:tcBorders>
          </w:tcPr>
          <w:p>
            <w:pPr>
              <w:jc w:val="right"/>
              <w:ind w:right="113"/>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DFF1FB"/>
            </w:tcBorders>
          </w:tcPr>
          <w:p>
            <w:pPr>
              <w:jc w:val="right"/>
              <w:ind w:right="13"/>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DFF1FB"/>
            </w:tcBorders>
          </w:tcPr>
          <w:p>
            <w:pPr>
              <w:spacing w:after="0"/>
              <w:rPr>
                <w:sz w:val="17"/>
                <w:szCs w:val="17"/>
                <w:color w:val="auto"/>
              </w:rPr>
            </w:pPr>
          </w:p>
        </w:tc>
        <w:tc>
          <w:tcPr>
            <w:tcW w:w="580" w:type="dxa"/>
            <w:vAlign w:val="bottom"/>
            <w:tcBorders>
              <w:bottom w:val="single" w:sz="8" w:color="DFF1FB"/>
            </w:tcBorders>
          </w:tcPr>
          <w:p>
            <w:pPr>
              <w:jc w:val="right"/>
              <w:ind w:right="113"/>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DFF1FB"/>
            </w:tcBorders>
          </w:tcPr>
          <w:p>
            <w:pPr>
              <w:jc w:val="right"/>
              <w:ind w:right="113"/>
              <w:spacing w:after="0"/>
              <w:rPr>
                <w:sz w:val="20"/>
                <w:szCs w:val="20"/>
                <w:color w:val="auto"/>
              </w:rPr>
            </w:pPr>
            <w:r>
              <w:rPr>
                <w:rFonts w:ascii="Arial" w:cs="Arial" w:eastAsia="Arial" w:hAnsi="Arial"/>
                <w:sz w:val="13"/>
                <w:szCs w:val="13"/>
                <w:color w:val="auto"/>
              </w:rPr>
              <w:t>0.34</w:t>
            </w:r>
          </w:p>
        </w:tc>
        <w:tc>
          <w:tcPr>
            <w:tcW w:w="720" w:type="dxa"/>
            <w:vAlign w:val="bottom"/>
            <w:tcBorders>
              <w:bottom w:val="single" w:sz="8" w:color="DFF1FB"/>
            </w:tcBorders>
          </w:tcPr>
          <w:p>
            <w:pPr>
              <w:jc w:val="right"/>
              <w:ind w:right="133"/>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DFF1FB"/>
            </w:tcBorders>
          </w:tcPr>
          <w:p>
            <w:pPr>
              <w:jc w:val="right"/>
              <w:ind w:right="133"/>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DFF1FB"/>
            </w:tcBorders>
          </w:tcPr>
          <w:p>
            <w:pPr>
              <w:jc w:val="right"/>
              <w:ind w:right="53"/>
              <w:spacing w:after="0"/>
              <w:rPr>
                <w:sz w:val="20"/>
                <w:szCs w:val="20"/>
                <w:color w:val="auto"/>
              </w:rPr>
            </w:pPr>
            <w:r>
              <w:rPr>
                <w:rFonts w:ascii="Arial" w:cs="Arial" w:eastAsia="Arial" w:hAnsi="Arial"/>
                <w:sz w:val="13"/>
                <w:szCs w:val="13"/>
                <w:color w:val="auto"/>
              </w:rPr>
              <w:t>—</w:t>
            </w:r>
          </w:p>
        </w:tc>
      </w:tr>
      <w:tr>
        <w:trPr>
          <w:trHeight w:val="196"/>
        </w:trPr>
        <w:tc>
          <w:tcPr>
            <w:tcW w:w="4400" w:type="dxa"/>
            <w:vAlign w:val="bottom"/>
            <w:tcBorders>
              <w:bottom w:val="single" w:sz="8" w:color="DFF1FB"/>
            </w:tcBorders>
          </w:tcPr>
          <w:p>
            <w:pPr>
              <w:ind w:left="80"/>
              <w:spacing w:after="0"/>
              <w:rPr>
                <w:sz w:val="20"/>
                <w:szCs w:val="20"/>
                <w:color w:val="auto"/>
              </w:rPr>
            </w:pPr>
            <w:r>
              <w:rPr>
                <w:rFonts w:ascii="Arial" w:cs="Arial" w:eastAsia="Arial" w:hAnsi="Arial"/>
                <w:sz w:val="13"/>
                <w:szCs w:val="13"/>
                <w:color w:val="auto"/>
              </w:rPr>
              <w:t>Tax Legislation benefit</w:t>
            </w:r>
          </w:p>
        </w:tc>
        <w:tc>
          <w:tcPr>
            <w:tcW w:w="600" w:type="dxa"/>
            <w:vAlign w:val="bottom"/>
            <w:tcBorders>
              <w:bottom w:val="single" w:sz="8" w:color="DFF1FB"/>
            </w:tcBorders>
          </w:tcPr>
          <w:p>
            <w:pPr>
              <w:jc w:val="right"/>
              <w:ind w:right="73"/>
              <w:spacing w:after="0"/>
              <w:rPr>
                <w:sz w:val="20"/>
                <w:szCs w:val="20"/>
                <w:color w:val="auto"/>
              </w:rPr>
            </w:pPr>
            <w:r>
              <w:rPr>
                <w:rFonts w:ascii="Arial" w:cs="Arial" w:eastAsia="Arial" w:hAnsi="Arial"/>
                <w:sz w:val="13"/>
                <w:szCs w:val="13"/>
                <w:color w:val="auto"/>
              </w:rPr>
              <w:t>(29)</w:t>
            </w:r>
          </w:p>
        </w:tc>
        <w:tc>
          <w:tcPr>
            <w:tcW w:w="720" w:type="dxa"/>
            <w:vAlign w:val="bottom"/>
            <w:tcBorders>
              <w:bottom w:val="single" w:sz="8" w:color="DFF1FB"/>
            </w:tcBorders>
          </w:tcPr>
          <w:p>
            <w:pPr>
              <w:jc w:val="right"/>
              <w:ind w:right="73"/>
              <w:spacing w:after="0"/>
              <w:rPr>
                <w:sz w:val="20"/>
                <w:szCs w:val="20"/>
                <w:color w:val="auto"/>
              </w:rPr>
            </w:pPr>
            <w:r>
              <w:rPr>
                <w:rFonts w:ascii="Arial" w:cs="Arial" w:eastAsia="Arial" w:hAnsi="Arial"/>
                <w:sz w:val="13"/>
                <w:szCs w:val="13"/>
                <w:color w:val="auto"/>
              </w:rPr>
              <w:t>(506)</w:t>
            </w:r>
          </w:p>
        </w:tc>
        <w:tc>
          <w:tcPr>
            <w:tcW w:w="720" w:type="dxa"/>
            <w:vAlign w:val="bottom"/>
            <w:tcBorders>
              <w:bottom w:val="single" w:sz="8" w:color="DFF1FB"/>
            </w:tcBorders>
          </w:tcPr>
          <w:p>
            <w:pPr>
              <w:jc w:val="right"/>
              <w:ind w:right="113"/>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DFF1FB"/>
            </w:tcBorders>
          </w:tcPr>
          <w:p>
            <w:pPr>
              <w:jc w:val="right"/>
              <w:ind w:right="113"/>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DFF1FB"/>
            </w:tcBorders>
          </w:tcPr>
          <w:p>
            <w:pPr>
              <w:jc w:val="right"/>
              <w:ind w:right="13"/>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DFF1FB"/>
            </w:tcBorders>
            <w:gridSpan w:val="2"/>
          </w:tcPr>
          <w:p>
            <w:pPr>
              <w:jc w:val="right"/>
              <w:ind w:right="73"/>
              <w:spacing w:after="0"/>
              <w:rPr>
                <w:sz w:val="20"/>
                <w:szCs w:val="20"/>
                <w:color w:val="auto"/>
              </w:rPr>
            </w:pPr>
            <w:r>
              <w:rPr>
                <w:rFonts w:ascii="Arial" w:cs="Arial" w:eastAsia="Arial" w:hAnsi="Arial"/>
                <w:sz w:val="13"/>
                <w:szCs w:val="13"/>
                <w:color w:val="auto"/>
              </w:rPr>
              <w:t>(0.08)</w:t>
            </w:r>
          </w:p>
        </w:tc>
        <w:tc>
          <w:tcPr>
            <w:tcW w:w="720" w:type="dxa"/>
            <w:vAlign w:val="bottom"/>
            <w:tcBorders>
              <w:bottom w:val="single" w:sz="8" w:color="DFF1FB"/>
            </w:tcBorders>
          </w:tcPr>
          <w:p>
            <w:pPr>
              <w:jc w:val="right"/>
              <w:ind w:right="73"/>
              <w:spacing w:after="0"/>
              <w:rPr>
                <w:sz w:val="20"/>
                <w:szCs w:val="20"/>
                <w:color w:val="auto"/>
              </w:rPr>
            </w:pPr>
            <w:r>
              <w:rPr>
                <w:rFonts w:ascii="Arial" w:cs="Arial" w:eastAsia="Arial" w:hAnsi="Arial"/>
                <w:sz w:val="13"/>
                <w:szCs w:val="13"/>
                <w:color w:val="auto"/>
              </w:rPr>
              <w:t>(1.38)</w:t>
            </w:r>
          </w:p>
        </w:tc>
        <w:tc>
          <w:tcPr>
            <w:tcW w:w="720" w:type="dxa"/>
            <w:vAlign w:val="bottom"/>
            <w:tcBorders>
              <w:bottom w:val="single" w:sz="8" w:color="DFF1FB"/>
            </w:tcBorders>
          </w:tcPr>
          <w:p>
            <w:pPr>
              <w:jc w:val="right"/>
              <w:ind w:right="133"/>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DFF1FB"/>
            </w:tcBorders>
          </w:tcPr>
          <w:p>
            <w:pPr>
              <w:jc w:val="right"/>
              <w:ind w:right="133"/>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DFF1FB"/>
            </w:tcBorders>
          </w:tcPr>
          <w:p>
            <w:pPr>
              <w:jc w:val="right"/>
              <w:ind w:right="53"/>
              <w:spacing w:after="0"/>
              <w:rPr>
                <w:sz w:val="20"/>
                <w:szCs w:val="20"/>
                <w:color w:val="auto"/>
              </w:rPr>
            </w:pPr>
            <w:r>
              <w:rPr>
                <w:rFonts w:ascii="Arial" w:cs="Arial" w:eastAsia="Arial" w:hAnsi="Arial"/>
                <w:sz w:val="13"/>
                <w:szCs w:val="13"/>
                <w:color w:val="auto"/>
              </w:rPr>
              <w:t>—</w:t>
            </w:r>
          </w:p>
        </w:tc>
      </w:tr>
      <w:tr>
        <w:trPr>
          <w:trHeight w:val="209"/>
        </w:trPr>
        <w:tc>
          <w:tcPr>
            <w:tcW w:w="4400" w:type="dxa"/>
            <w:vAlign w:val="bottom"/>
            <w:tcBorders>
              <w:bottom w:val="single" w:sz="8" w:color="105EAB"/>
            </w:tcBorders>
          </w:tcPr>
          <w:p>
            <w:pPr>
              <w:ind w:left="80"/>
              <w:spacing w:after="0"/>
              <w:rPr>
                <w:sz w:val="20"/>
                <w:szCs w:val="20"/>
                <w:color w:val="auto"/>
              </w:rPr>
            </w:pPr>
            <w:r>
              <w:rPr>
                <w:rFonts w:ascii="Arial" w:cs="Arial" w:eastAsia="Arial" w:hAnsi="Arial"/>
                <w:sz w:val="13"/>
                <w:szCs w:val="13"/>
                <w:b w:val="1"/>
                <w:bCs w:val="1"/>
                <w:color w:val="auto"/>
              </w:rPr>
              <w:t>Adjusted Net Income</w:t>
            </w:r>
          </w:p>
        </w:tc>
        <w:tc>
          <w:tcPr>
            <w:tcW w:w="600" w:type="dxa"/>
            <w:vAlign w:val="bottom"/>
            <w:tcBorders>
              <w:bottom w:val="single" w:sz="8" w:color="105EAB"/>
            </w:tcBorders>
          </w:tcPr>
          <w:p>
            <w:pPr>
              <w:jc w:val="right"/>
              <w:ind w:right="113"/>
              <w:spacing w:after="0"/>
              <w:rPr>
                <w:sz w:val="20"/>
                <w:szCs w:val="20"/>
                <w:color w:val="auto"/>
              </w:rPr>
            </w:pPr>
            <w:r>
              <w:rPr>
                <w:rFonts w:ascii="Arial" w:cs="Arial" w:eastAsia="Arial" w:hAnsi="Arial"/>
                <w:sz w:val="13"/>
                <w:szCs w:val="13"/>
                <w:color w:val="auto"/>
              </w:rPr>
              <w:t>$2,851</w:t>
            </w:r>
          </w:p>
        </w:tc>
        <w:tc>
          <w:tcPr>
            <w:tcW w:w="720" w:type="dxa"/>
            <w:vAlign w:val="bottom"/>
            <w:tcBorders>
              <w:bottom w:val="single" w:sz="8" w:color="105EAB"/>
            </w:tcBorders>
          </w:tcPr>
          <w:p>
            <w:pPr>
              <w:jc w:val="right"/>
              <w:ind w:right="113"/>
              <w:spacing w:after="0"/>
              <w:rPr>
                <w:sz w:val="20"/>
                <w:szCs w:val="20"/>
                <w:color w:val="auto"/>
              </w:rPr>
            </w:pPr>
            <w:r>
              <w:rPr>
                <w:rFonts w:ascii="Arial" w:cs="Arial" w:eastAsia="Arial" w:hAnsi="Arial"/>
                <w:sz w:val="13"/>
                <w:szCs w:val="13"/>
                <w:color w:val="auto"/>
              </w:rPr>
              <w:t>$2,467</w:t>
            </w:r>
          </w:p>
        </w:tc>
        <w:tc>
          <w:tcPr>
            <w:tcW w:w="720" w:type="dxa"/>
            <w:vAlign w:val="bottom"/>
            <w:tcBorders>
              <w:bottom w:val="single" w:sz="8" w:color="105EAB"/>
            </w:tcBorders>
          </w:tcPr>
          <w:p>
            <w:pPr>
              <w:jc w:val="right"/>
              <w:ind w:right="113"/>
              <w:spacing w:after="0"/>
              <w:rPr>
                <w:sz w:val="20"/>
                <w:szCs w:val="20"/>
                <w:color w:val="auto"/>
              </w:rPr>
            </w:pPr>
            <w:r>
              <w:rPr>
                <w:rFonts w:ascii="Arial" w:cs="Arial" w:eastAsia="Arial" w:hAnsi="Arial"/>
                <w:sz w:val="13"/>
                <w:szCs w:val="13"/>
                <w:color w:val="auto"/>
              </w:rPr>
              <w:t>$1,838</w:t>
            </w:r>
          </w:p>
        </w:tc>
        <w:tc>
          <w:tcPr>
            <w:tcW w:w="740" w:type="dxa"/>
            <w:vAlign w:val="bottom"/>
            <w:tcBorders>
              <w:bottom w:val="single" w:sz="8" w:color="105EAB"/>
            </w:tcBorders>
          </w:tcPr>
          <w:p>
            <w:pPr>
              <w:jc w:val="right"/>
              <w:ind w:right="113"/>
              <w:spacing w:after="0"/>
              <w:rPr>
                <w:sz w:val="20"/>
                <w:szCs w:val="20"/>
                <w:color w:val="auto"/>
              </w:rPr>
            </w:pPr>
            <w:r>
              <w:rPr>
                <w:rFonts w:ascii="Arial" w:cs="Arial" w:eastAsia="Arial" w:hAnsi="Arial"/>
                <w:sz w:val="13"/>
                <w:szCs w:val="13"/>
                <w:color w:val="auto"/>
              </w:rPr>
              <w:t>$2,113</w:t>
            </w:r>
          </w:p>
        </w:tc>
        <w:tc>
          <w:tcPr>
            <w:tcW w:w="620" w:type="dxa"/>
            <w:vAlign w:val="bottom"/>
            <w:tcBorders>
              <w:bottom w:val="single" w:sz="8" w:color="105EAB"/>
            </w:tcBorders>
          </w:tcPr>
          <w:p>
            <w:pPr>
              <w:jc w:val="right"/>
              <w:ind w:right="13"/>
              <w:spacing w:after="0"/>
              <w:rPr>
                <w:sz w:val="20"/>
                <w:szCs w:val="20"/>
                <w:color w:val="auto"/>
              </w:rPr>
            </w:pPr>
            <w:r>
              <w:rPr>
                <w:rFonts w:ascii="Arial" w:cs="Arial" w:eastAsia="Arial" w:hAnsi="Arial"/>
                <w:sz w:val="13"/>
                <w:szCs w:val="13"/>
                <w:color w:val="auto"/>
              </w:rPr>
              <w:t>$2,367</w:t>
            </w:r>
          </w:p>
        </w:tc>
        <w:tc>
          <w:tcPr>
            <w:tcW w:w="820" w:type="dxa"/>
            <w:vAlign w:val="bottom"/>
            <w:tcBorders>
              <w:bottom w:val="single" w:sz="8" w:color="105EAB"/>
            </w:tcBorders>
            <w:gridSpan w:val="2"/>
          </w:tcPr>
          <w:p>
            <w:pPr>
              <w:jc w:val="right"/>
              <w:ind w:right="113"/>
              <w:spacing w:after="0"/>
              <w:rPr>
                <w:sz w:val="20"/>
                <w:szCs w:val="20"/>
                <w:color w:val="auto"/>
              </w:rPr>
            </w:pPr>
            <w:r>
              <w:rPr>
                <w:rFonts w:ascii="Arial" w:cs="Arial" w:eastAsia="Arial" w:hAnsi="Arial"/>
                <w:sz w:val="13"/>
                <w:szCs w:val="13"/>
                <w:color w:val="auto"/>
              </w:rPr>
              <w:t>$ 8.07</w:t>
            </w:r>
          </w:p>
        </w:tc>
        <w:tc>
          <w:tcPr>
            <w:tcW w:w="720" w:type="dxa"/>
            <w:vAlign w:val="bottom"/>
            <w:tcBorders>
              <w:bottom w:val="single" w:sz="8" w:color="105EAB"/>
            </w:tcBorders>
          </w:tcPr>
          <w:p>
            <w:pPr>
              <w:jc w:val="right"/>
              <w:ind w:right="113"/>
              <w:spacing w:after="0"/>
              <w:rPr>
                <w:sz w:val="20"/>
                <w:szCs w:val="20"/>
                <w:color w:val="auto"/>
              </w:rPr>
            </w:pPr>
            <w:r>
              <w:rPr>
                <w:rFonts w:ascii="Arial" w:cs="Arial" w:eastAsia="Arial" w:hAnsi="Arial"/>
                <w:sz w:val="13"/>
                <w:szCs w:val="13"/>
                <w:color w:val="auto"/>
              </w:rPr>
              <w:t>$ 6.71</w:t>
            </w:r>
          </w:p>
        </w:tc>
        <w:tc>
          <w:tcPr>
            <w:tcW w:w="720" w:type="dxa"/>
            <w:vAlign w:val="bottom"/>
            <w:tcBorders>
              <w:bottom w:val="single" w:sz="8" w:color="105EAB"/>
            </w:tcBorders>
          </w:tcPr>
          <w:p>
            <w:pPr>
              <w:jc w:val="right"/>
              <w:ind w:right="133"/>
              <w:spacing w:after="0"/>
              <w:rPr>
                <w:sz w:val="20"/>
                <w:szCs w:val="20"/>
                <w:color w:val="auto"/>
              </w:rPr>
            </w:pPr>
            <w:r>
              <w:rPr>
                <w:rFonts w:ascii="Arial" w:cs="Arial" w:eastAsia="Arial" w:hAnsi="Arial"/>
                <w:sz w:val="13"/>
                <w:szCs w:val="13"/>
                <w:color w:val="auto"/>
              </w:rPr>
              <w:t>$ 4.87</w:t>
            </w:r>
          </w:p>
        </w:tc>
        <w:tc>
          <w:tcPr>
            <w:tcW w:w="720" w:type="dxa"/>
            <w:vAlign w:val="bottom"/>
            <w:tcBorders>
              <w:bottom w:val="single" w:sz="8" w:color="105EAB"/>
            </w:tcBorders>
          </w:tcPr>
          <w:p>
            <w:pPr>
              <w:jc w:val="right"/>
              <w:ind w:right="133"/>
              <w:spacing w:after="0"/>
              <w:rPr>
                <w:sz w:val="20"/>
                <w:szCs w:val="20"/>
                <w:color w:val="auto"/>
              </w:rPr>
            </w:pPr>
            <w:r>
              <w:rPr>
                <w:rFonts w:ascii="Arial" w:cs="Arial" w:eastAsia="Arial" w:hAnsi="Arial"/>
                <w:sz w:val="13"/>
                <w:szCs w:val="13"/>
                <w:color w:val="auto"/>
              </w:rPr>
              <w:t>$ 5.19</w:t>
            </w:r>
          </w:p>
        </w:tc>
        <w:tc>
          <w:tcPr>
            <w:tcW w:w="640" w:type="dxa"/>
            <w:vAlign w:val="bottom"/>
            <w:tcBorders>
              <w:bottom w:val="single" w:sz="8" w:color="105EAB"/>
            </w:tcBorders>
          </w:tcPr>
          <w:p>
            <w:pPr>
              <w:jc w:val="right"/>
              <w:ind w:right="53"/>
              <w:spacing w:after="0"/>
              <w:rPr>
                <w:sz w:val="20"/>
                <w:szCs w:val="20"/>
                <w:color w:val="auto"/>
              </w:rPr>
            </w:pPr>
            <w:r>
              <w:rPr>
                <w:rFonts w:ascii="Arial" w:cs="Arial" w:eastAsia="Arial" w:hAnsi="Arial"/>
                <w:sz w:val="13"/>
                <w:szCs w:val="13"/>
                <w:color w:val="auto"/>
              </w:rPr>
              <w:t>$ 5.40</w:t>
            </w:r>
          </w:p>
        </w:tc>
      </w:tr>
    </w:tbl>
    <w:p>
      <w:pPr>
        <w:spacing w:after="0" w:line="197" w:lineRule="exact"/>
        <w:rPr>
          <w:sz w:val="20"/>
          <w:szCs w:val="20"/>
          <w:color w:val="auto"/>
        </w:rPr>
      </w:pPr>
    </w:p>
    <w:p>
      <w:pPr>
        <w:spacing w:after="0" w:line="237" w:lineRule="auto"/>
        <w:rPr>
          <w:sz w:val="20"/>
          <w:szCs w:val="20"/>
          <w:color w:val="auto"/>
        </w:rPr>
      </w:pPr>
      <w:r>
        <w:rPr>
          <w:rFonts w:ascii="Arial" w:cs="Arial" w:eastAsia="Arial" w:hAnsi="Arial"/>
          <w:sz w:val="18"/>
          <w:szCs w:val="18"/>
          <w:b w:val="1"/>
          <w:bCs w:val="1"/>
          <w:color w:val="auto"/>
        </w:rPr>
        <w:t xml:space="preserve">Combined ratio excluding the effect of catastrophes, prior year reserve reestimates and amortization of purchased intangible assets (“underlying combined ratio”) </w:t>
      </w:r>
      <w:r>
        <w:rPr>
          <w:rFonts w:ascii="Arial" w:cs="Arial" w:eastAsia="Arial" w:hAnsi="Arial"/>
          <w:sz w:val="18"/>
          <w:szCs w:val="18"/>
          <w:color w:val="auto"/>
        </w:rPr>
        <w:t>is a non-GAAP ratio, which is computed as the difference between four GAAP operating ratios: the combined</w:t>
      </w:r>
      <w:r>
        <w:rPr>
          <w:rFonts w:ascii="Arial" w:cs="Arial" w:eastAsia="Arial" w:hAnsi="Arial"/>
          <w:sz w:val="18"/>
          <w:szCs w:val="18"/>
          <w:b w:val="1"/>
          <w:bCs w:val="1"/>
          <w:color w:val="auto"/>
        </w:rPr>
        <w:t xml:space="preserve"> </w:t>
      </w:r>
      <w:r>
        <w:rPr>
          <w:rFonts w:ascii="Arial" w:cs="Arial" w:eastAsia="Arial" w:hAnsi="Arial"/>
          <w:sz w:val="18"/>
          <w:szCs w:val="18"/>
          <w:color w:val="auto"/>
        </w:rPr>
        <w:t>ratio, the effect of catastrophes on the combined ratio, the effect of prior year non-catastrophe reserve reestimates on the combined ratio, and the effect of amortization of purchased intangible assets on the combined ratio. We believe that this ratio is useful to investors and it is used by management to reveal the trends in our Property-Liability business that may be obscured by catastrophe losses, prior year reserve reestimates and amortization of purchased intangible assets. Catastrophe losses cause our loss trends to vary significantly between periods as a result of their incidence of occurrence and magnitude, and can have a significant impact on the combined ratio. Prior year reserve reestimates are caused by unexpected loss development on historical reserves, which could increase or decrease current year Net Income. Amortization of purchased intangible assets relates to the acquisition purchase price and is not indicative of our underlying insurance business results or trends. We believe it is useful for investors to evaluate these components separately and in the aggregate when reviewing our underwriting performance. We also provide it to facilitate a comparison to our outlook on the underlying combined ratio. The most directly comparable GAAP</w:t>
      </w:r>
    </w:p>
    <w:p>
      <w:pPr>
        <w:spacing w:after="0" w:line="211" w:lineRule="exact"/>
        <w:rPr>
          <w:sz w:val="20"/>
          <w:szCs w:val="20"/>
          <w:color w:val="auto"/>
        </w:rPr>
      </w:pPr>
    </w:p>
    <w:p>
      <w:pPr>
        <w:ind w:left="600" w:hanging="592"/>
        <w:spacing w:after="0"/>
        <w:tabs>
          <w:tab w:leader="none" w:pos="600" w:val="left"/>
        </w:tabs>
        <w:numPr>
          <w:ilvl w:val="0"/>
          <w:numId w:val="253"/>
        </w:numPr>
        <w:rPr>
          <w:rFonts w:ascii="Arial" w:cs="Arial" w:eastAsia="Arial" w:hAnsi="Arial"/>
          <w:sz w:val="13"/>
          <w:szCs w:val="13"/>
          <w:b w:val="1"/>
          <w:bCs w:val="1"/>
          <w:color w:val="105EAB"/>
        </w:rPr>
      </w:pPr>
      <w:r>
        <w:rPr>
          <w:rFonts w:ascii="Arial" w:cs="Arial" w:eastAsia="Arial" w:hAnsi="Arial"/>
          <w:sz w:val="13"/>
          <w:szCs w:val="13"/>
          <w:color w:val="105EAB"/>
        </w:rPr>
        <w:t>www.allstateproxy.com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134620</wp:posOffset>
            </wp:positionV>
            <wp:extent cx="7268210" cy="209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jc w:val="right"/>
        <w:ind w:right="20"/>
        <w:spacing w:after="0"/>
        <w:rPr>
          <w:sz w:val="20"/>
          <w:szCs w:val="20"/>
          <w:color w:val="auto"/>
        </w:rPr>
      </w:pPr>
      <w:r>
        <w:rPr>
          <w:rFonts w:ascii="Arial" w:cs="Arial" w:eastAsia="Arial" w:hAnsi="Arial"/>
          <w:sz w:val="13"/>
          <w:szCs w:val="13"/>
          <w:b w:val="1"/>
          <w:bCs w:val="1"/>
          <w:color w:val="auto"/>
        </w:rPr>
        <w:t xml:space="preserve">Appendix A – Definitions of Non-GAAP Measures </w:t>
      </w:r>
      <w:r>
        <w:rPr>
          <w:rFonts w:ascii="Arial" w:cs="Arial" w:eastAsia="Arial" w:hAnsi="Arial"/>
          <w:sz w:val="13"/>
          <w:szCs w:val="13"/>
          <w:b w:val="1"/>
          <w:bCs w:val="1"/>
          <w:color w:val="105EAB"/>
        </w:rPr>
        <w:t>| Other Information</w:t>
      </w:r>
    </w:p>
    <w:p>
      <w:pPr>
        <w:spacing w:after="0" w:line="235"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measure is the combined ratio. The underlying combined ratio should not be considered a substitute for the combined ratio and does not reflect the overall underwriting profitability of our business.</w:t>
      </w:r>
    </w:p>
    <w:p>
      <w:pPr>
        <w:spacing w:after="0" w:line="208" w:lineRule="exact"/>
        <w:rPr>
          <w:sz w:val="20"/>
          <w:szCs w:val="20"/>
          <w:color w:val="auto"/>
        </w:rPr>
      </w:pPr>
    </w:p>
    <w:p>
      <w:pPr>
        <w:ind w:right="820"/>
        <w:spacing w:after="0" w:line="239" w:lineRule="auto"/>
        <w:rPr>
          <w:sz w:val="20"/>
          <w:szCs w:val="20"/>
          <w:color w:val="auto"/>
        </w:rPr>
      </w:pPr>
      <w:r>
        <w:rPr>
          <w:rFonts w:ascii="Arial" w:cs="Arial" w:eastAsia="Arial" w:hAnsi="Arial"/>
          <w:sz w:val="18"/>
          <w:szCs w:val="18"/>
          <w:color w:val="auto"/>
        </w:rPr>
        <w:t>The following table reconciles the Property-Liability combined ratio to the Property-Liability underlying combined ratio for the years ended December 31.</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5780" w:type="dxa"/>
            <w:vAlign w:val="bottom"/>
            <w:tcBorders>
              <w:bottom w:val="single" w:sz="8" w:color="105EAB"/>
            </w:tcBorders>
          </w:tcPr>
          <w:p>
            <w:pPr>
              <w:spacing w:after="0"/>
              <w:rPr>
                <w:sz w:val="22"/>
                <w:szCs w:val="22"/>
                <w:color w:val="auto"/>
              </w:rPr>
            </w:pPr>
          </w:p>
        </w:tc>
        <w:tc>
          <w:tcPr>
            <w:tcW w:w="2840" w:type="dxa"/>
            <w:vAlign w:val="bottom"/>
            <w:tcBorders>
              <w:bottom w:val="single" w:sz="8" w:color="105EAB"/>
            </w:tcBorders>
          </w:tcPr>
          <w:p>
            <w:pPr>
              <w:jc w:val="right"/>
              <w:ind w:right="133"/>
              <w:spacing w:after="0"/>
              <w:rPr>
                <w:sz w:val="20"/>
                <w:szCs w:val="20"/>
                <w:color w:val="auto"/>
              </w:rPr>
            </w:pPr>
            <w:r>
              <w:rPr>
                <w:rFonts w:ascii="Arial" w:cs="Arial" w:eastAsia="Arial" w:hAnsi="Arial"/>
                <w:sz w:val="13"/>
                <w:szCs w:val="13"/>
                <w:b w:val="1"/>
                <w:bCs w:val="1"/>
                <w:color w:val="105EAB"/>
              </w:rPr>
              <w:t>2018</w:t>
            </w:r>
          </w:p>
        </w:tc>
        <w:tc>
          <w:tcPr>
            <w:tcW w:w="700" w:type="dxa"/>
            <w:vAlign w:val="bottom"/>
            <w:tcBorders>
              <w:bottom w:val="single" w:sz="8" w:color="105EAB"/>
            </w:tcBorders>
          </w:tcPr>
          <w:p>
            <w:pPr>
              <w:jc w:val="right"/>
              <w:ind w:right="153"/>
              <w:spacing w:after="0"/>
              <w:rPr>
                <w:sz w:val="20"/>
                <w:szCs w:val="20"/>
                <w:color w:val="auto"/>
              </w:rPr>
            </w:pPr>
            <w:r>
              <w:rPr>
                <w:rFonts w:ascii="Arial" w:cs="Arial" w:eastAsia="Arial" w:hAnsi="Arial"/>
                <w:sz w:val="13"/>
                <w:szCs w:val="13"/>
                <w:b w:val="1"/>
                <w:bCs w:val="1"/>
                <w:color w:val="105EAB"/>
              </w:rPr>
              <w:t>2017</w:t>
            </w:r>
          </w:p>
        </w:tc>
        <w:tc>
          <w:tcPr>
            <w:tcW w:w="680" w:type="dxa"/>
            <w:vAlign w:val="bottom"/>
            <w:tcBorders>
              <w:bottom w:val="single" w:sz="8" w:color="105EAB"/>
            </w:tcBorders>
          </w:tcPr>
          <w:p>
            <w:pPr>
              <w:jc w:val="right"/>
              <w:ind w:right="153"/>
              <w:spacing w:after="0"/>
              <w:rPr>
                <w:sz w:val="20"/>
                <w:szCs w:val="20"/>
                <w:color w:val="auto"/>
              </w:rPr>
            </w:pPr>
            <w:r>
              <w:rPr>
                <w:rFonts w:ascii="Arial" w:cs="Arial" w:eastAsia="Arial" w:hAnsi="Arial"/>
                <w:sz w:val="13"/>
                <w:szCs w:val="13"/>
                <w:b w:val="1"/>
                <w:bCs w:val="1"/>
                <w:color w:val="105EAB"/>
              </w:rPr>
              <w:t>2016</w:t>
            </w:r>
          </w:p>
        </w:tc>
        <w:tc>
          <w:tcPr>
            <w:tcW w:w="700" w:type="dxa"/>
            <w:vAlign w:val="bottom"/>
            <w:tcBorders>
              <w:bottom w:val="single" w:sz="8" w:color="105EAB"/>
            </w:tcBorders>
          </w:tcPr>
          <w:p>
            <w:pPr>
              <w:jc w:val="right"/>
              <w:ind w:right="153"/>
              <w:spacing w:after="0"/>
              <w:rPr>
                <w:sz w:val="20"/>
                <w:szCs w:val="20"/>
                <w:color w:val="auto"/>
              </w:rPr>
            </w:pPr>
            <w:r>
              <w:rPr>
                <w:rFonts w:ascii="Arial" w:cs="Arial" w:eastAsia="Arial" w:hAnsi="Arial"/>
                <w:sz w:val="13"/>
                <w:szCs w:val="13"/>
                <w:b w:val="1"/>
                <w:bCs w:val="1"/>
                <w:color w:val="105EAB"/>
              </w:rPr>
              <w:t>2015</w:t>
            </w:r>
          </w:p>
        </w:tc>
        <w:tc>
          <w:tcPr>
            <w:tcW w:w="720" w:type="dxa"/>
            <w:vAlign w:val="bottom"/>
            <w:tcBorders>
              <w:bottom w:val="single" w:sz="8" w:color="105EAB"/>
            </w:tcBorders>
          </w:tcPr>
          <w:p>
            <w:pPr>
              <w:jc w:val="right"/>
              <w:ind w:right="53"/>
              <w:spacing w:after="0"/>
              <w:rPr>
                <w:sz w:val="20"/>
                <w:szCs w:val="20"/>
                <w:color w:val="auto"/>
              </w:rPr>
            </w:pPr>
            <w:r>
              <w:rPr>
                <w:rFonts w:ascii="Arial" w:cs="Arial" w:eastAsia="Arial" w:hAnsi="Arial"/>
                <w:sz w:val="13"/>
                <w:szCs w:val="13"/>
                <w:b w:val="1"/>
                <w:bCs w:val="1"/>
                <w:color w:val="105EAB"/>
              </w:rPr>
              <w:t>2014</w:t>
            </w:r>
            <w:r>
              <w:rPr>
                <w:rFonts w:ascii="Arial" w:cs="Arial" w:eastAsia="Arial" w:hAnsi="Arial"/>
                <w:sz w:val="22"/>
                <w:szCs w:val="22"/>
                <w:b w:val="1"/>
                <w:bCs w:val="1"/>
                <w:color w:val="105EAB"/>
                <w:vertAlign w:val="superscript"/>
              </w:rPr>
              <w:t>(1)</w:t>
            </w:r>
          </w:p>
        </w:tc>
      </w:tr>
      <w:tr>
        <w:trPr>
          <w:trHeight w:val="202"/>
        </w:trPr>
        <w:tc>
          <w:tcPr>
            <w:tcW w:w="5780" w:type="dxa"/>
            <w:vAlign w:val="bottom"/>
          </w:tcPr>
          <w:p>
            <w:pPr>
              <w:ind w:left="80"/>
              <w:spacing w:after="0"/>
              <w:rPr>
                <w:sz w:val="20"/>
                <w:szCs w:val="20"/>
                <w:color w:val="auto"/>
              </w:rPr>
            </w:pPr>
            <w:r>
              <w:rPr>
                <w:rFonts w:ascii="Arial" w:cs="Arial" w:eastAsia="Arial" w:hAnsi="Arial"/>
                <w:sz w:val="13"/>
                <w:szCs w:val="13"/>
                <w:b w:val="1"/>
                <w:bCs w:val="1"/>
                <w:color w:val="auto"/>
              </w:rPr>
              <w:t>Combined ratio</w:t>
            </w:r>
          </w:p>
        </w:tc>
        <w:tc>
          <w:tcPr>
            <w:tcW w:w="2840" w:type="dxa"/>
            <w:vAlign w:val="bottom"/>
          </w:tcPr>
          <w:p>
            <w:pPr>
              <w:jc w:val="right"/>
              <w:ind w:right="133"/>
              <w:spacing w:after="0"/>
              <w:rPr>
                <w:sz w:val="20"/>
                <w:szCs w:val="20"/>
                <w:color w:val="auto"/>
              </w:rPr>
            </w:pPr>
            <w:r>
              <w:rPr>
                <w:rFonts w:ascii="Arial" w:cs="Arial" w:eastAsia="Arial" w:hAnsi="Arial"/>
                <w:sz w:val="13"/>
                <w:szCs w:val="13"/>
                <w:color w:val="auto"/>
              </w:rPr>
              <w:t>93.6</w:t>
            </w:r>
          </w:p>
        </w:tc>
        <w:tc>
          <w:tcPr>
            <w:tcW w:w="700" w:type="dxa"/>
            <w:vAlign w:val="bottom"/>
          </w:tcPr>
          <w:p>
            <w:pPr>
              <w:jc w:val="right"/>
              <w:ind w:right="153"/>
              <w:spacing w:after="0"/>
              <w:rPr>
                <w:sz w:val="20"/>
                <w:szCs w:val="20"/>
                <w:color w:val="auto"/>
              </w:rPr>
            </w:pPr>
            <w:r>
              <w:rPr>
                <w:rFonts w:ascii="Arial" w:cs="Arial" w:eastAsia="Arial" w:hAnsi="Arial"/>
                <w:sz w:val="13"/>
                <w:szCs w:val="13"/>
                <w:color w:val="auto"/>
              </w:rPr>
              <w:t>93.6</w:t>
            </w:r>
          </w:p>
        </w:tc>
        <w:tc>
          <w:tcPr>
            <w:tcW w:w="680" w:type="dxa"/>
            <w:vAlign w:val="bottom"/>
          </w:tcPr>
          <w:p>
            <w:pPr>
              <w:jc w:val="right"/>
              <w:ind w:right="153"/>
              <w:spacing w:after="0"/>
              <w:rPr>
                <w:sz w:val="20"/>
                <w:szCs w:val="20"/>
                <w:color w:val="auto"/>
              </w:rPr>
            </w:pPr>
            <w:r>
              <w:rPr>
                <w:rFonts w:ascii="Arial" w:cs="Arial" w:eastAsia="Arial" w:hAnsi="Arial"/>
                <w:sz w:val="13"/>
                <w:szCs w:val="13"/>
                <w:color w:val="auto"/>
              </w:rPr>
              <w:t>96.0</w:t>
            </w:r>
          </w:p>
        </w:tc>
        <w:tc>
          <w:tcPr>
            <w:tcW w:w="700" w:type="dxa"/>
            <w:vAlign w:val="bottom"/>
          </w:tcPr>
          <w:p>
            <w:pPr>
              <w:jc w:val="right"/>
              <w:ind w:right="153"/>
              <w:spacing w:after="0"/>
              <w:rPr>
                <w:sz w:val="20"/>
                <w:szCs w:val="20"/>
                <w:color w:val="auto"/>
              </w:rPr>
            </w:pPr>
            <w:r>
              <w:rPr>
                <w:rFonts w:ascii="Arial" w:cs="Arial" w:eastAsia="Arial" w:hAnsi="Arial"/>
                <w:sz w:val="13"/>
                <w:szCs w:val="13"/>
                <w:color w:val="auto"/>
              </w:rPr>
              <w:t>94.7</w:t>
            </w:r>
          </w:p>
        </w:tc>
        <w:tc>
          <w:tcPr>
            <w:tcW w:w="720" w:type="dxa"/>
            <w:vAlign w:val="bottom"/>
          </w:tcPr>
          <w:p>
            <w:pPr>
              <w:jc w:val="right"/>
              <w:ind w:right="53"/>
              <w:spacing w:after="0"/>
              <w:rPr>
                <w:sz w:val="20"/>
                <w:szCs w:val="20"/>
                <w:color w:val="auto"/>
              </w:rPr>
            </w:pPr>
            <w:r>
              <w:rPr>
                <w:rFonts w:ascii="Arial" w:cs="Arial" w:eastAsia="Arial" w:hAnsi="Arial"/>
                <w:sz w:val="13"/>
                <w:szCs w:val="13"/>
                <w:color w:val="auto"/>
              </w:rPr>
              <w:t>93.9</w:t>
            </w:r>
          </w:p>
        </w:tc>
      </w:tr>
      <w:tr>
        <w:trPr>
          <w:trHeight w:val="41"/>
        </w:trPr>
        <w:tc>
          <w:tcPr>
            <w:tcW w:w="5780" w:type="dxa"/>
            <w:vAlign w:val="bottom"/>
            <w:tcBorders>
              <w:bottom w:val="single" w:sz="8" w:color="DFF1FB"/>
            </w:tcBorders>
          </w:tcPr>
          <w:p>
            <w:pPr>
              <w:spacing w:after="0"/>
              <w:rPr>
                <w:sz w:val="3"/>
                <w:szCs w:val="3"/>
                <w:color w:val="auto"/>
              </w:rPr>
            </w:pPr>
          </w:p>
        </w:tc>
        <w:tc>
          <w:tcPr>
            <w:tcW w:w="2840" w:type="dxa"/>
            <w:vAlign w:val="bottom"/>
            <w:tcBorders>
              <w:bottom w:val="single" w:sz="8" w:color="DFF1FB"/>
            </w:tcBorders>
          </w:tcPr>
          <w:p>
            <w:pPr>
              <w:spacing w:after="0"/>
              <w:rPr>
                <w:sz w:val="3"/>
                <w:szCs w:val="3"/>
                <w:color w:val="auto"/>
              </w:rPr>
            </w:pPr>
          </w:p>
        </w:tc>
        <w:tc>
          <w:tcPr>
            <w:tcW w:w="700" w:type="dxa"/>
            <w:vAlign w:val="bottom"/>
            <w:tcBorders>
              <w:bottom w:val="single" w:sz="8" w:color="DFF1FB"/>
            </w:tcBorders>
          </w:tcPr>
          <w:p>
            <w:pPr>
              <w:spacing w:after="0"/>
              <w:rPr>
                <w:sz w:val="3"/>
                <w:szCs w:val="3"/>
                <w:color w:val="auto"/>
              </w:rPr>
            </w:pPr>
          </w:p>
        </w:tc>
        <w:tc>
          <w:tcPr>
            <w:tcW w:w="680" w:type="dxa"/>
            <w:vAlign w:val="bottom"/>
            <w:tcBorders>
              <w:bottom w:val="single" w:sz="8" w:color="DFF1FB"/>
            </w:tcBorders>
          </w:tcPr>
          <w:p>
            <w:pPr>
              <w:spacing w:after="0"/>
              <w:rPr>
                <w:sz w:val="3"/>
                <w:szCs w:val="3"/>
                <w:color w:val="auto"/>
              </w:rPr>
            </w:pPr>
          </w:p>
        </w:tc>
        <w:tc>
          <w:tcPr>
            <w:tcW w:w="700" w:type="dxa"/>
            <w:vAlign w:val="bottom"/>
            <w:tcBorders>
              <w:bottom w:val="single" w:sz="8" w:color="DFF1FB"/>
            </w:tcBorders>
          </w:tcPr>
          <w:p>
            <w:pPr>
              <w:spacing w:after="0"/>
              <w:rPr>
                <w:sz w:val="3"/>
                <w:szCs w:val="3"/>
                <w:color w:val="auto"/>
              </w:rPr>
            </w:pPr>
          </w:p>
        </w:tc>
        <w:tc>
          <w:tcPr>
            <w:tcW w:w="720" w:type="dxa"/>
            <w:vAlign w:val="bottom"/>
            <w:tcBorders>
              <w:bottom w:val="single" w:sz="8" w:color="DFF1FB"/>
            </w:tcBorders>
          </w:tcPr>
          <w:p>
            <w:pPr>
              <w:spacing w:after="0"/>
              <w:rPr>
                <w:sz w:val="3"/>
                <w:szCs w:val="3"/>
                <w:color w:val="auto"/>
              </w:rPr>
            </w:pPr>
          </w:p>
        </w:tc>
      </w:tr>
      <w:tr>
        <w:trPr>
          <w:trHeight w:val="195"/>
        </w:trPr>
        <w:tc>
          <w:tcPr>
            <w:tcW w:w="5780" w:type="dxa"/>
            <w:vAlign w:val="bottom"/>
          </w:tcPr>
          <w:p>
            <w:pPr>
              <w:ind w:left="80"/>
              <w:spacing w:after="0"/>
              <w:rPr>
                <w:sz w:val="20"/>
                <w:szCs w:val="20"/>
                <w:color w:val="auto"/>
              </w:rPr>
            </w:pPr>
            <w:r>
              <w:rPr>
                <w:rFonts w:ascii="Arial" w:cs="Arial" w:eastAsia="Arial" w:hAnsi="Arial"/>
                <w:sz w:val="13"/>
                <w:szCs w:val="13"/>
                <w:color w:val="auto"/>
              </w:rPr>
              <w:t>Effect of catastrophe losses</w:t>
            </w:r>
          </w:p>
        </w:tc>
        <w:tc>
          <w:tcPr>
            <w:tcW w:w="2840" w:type="dxa"/>
            <w:vAlign w:val="bottom"/>
          </w:tcPr>
          <w:p>
            <w:pPr>
              <w:jc w:val="right"/>
              <w:ind w:right="93"/>
              <w:spacing w:after="0"/>
              <w:rPr>
                <w:sz w:val="20"/>
                <w:szCs w:val="20"/>
                <w:color w:val="auto"/>
              </w:rPr>
            </w:pPr>
            <w:r>
              <w:rPr>
                <w:rFonts w:ascii="Arial" w:cs="Arial" w:eastAsia="Arial" w:hAnsi="Arial"/>
                <w:sz w:val="13"/>
                <w:szCs w:val="13"/>
                <w:color w:val="auto"/>
              </w:rPr>
              <w:t>(8.7)</w:t>
            </w:r>
          </w:p>
        </w:tc>
        <w:tc>
          <w:tcPr>
            <w:tcW w:w="700" w:type="dxa"/>
            <w:vAlign w:val="bottom"/>
          </w:tcPr>
          <w:p>
            <w:pPr>
              <w:jc w:val="right"/>
              <w:ind w:right="113"/>
              <w:spacing w:after="0"/>
              <w:rPr>
                <w:sz w:val="20"/>
                <w:szCs w:val="20"/>
                <w:color w:val="auto"/>
              </w:rPr>
            </w:pPr>
            <w:r>
              <w:rPr>
                <w:rFonts w:ascii="Arial" w:cs="Arial" w:eastAsia="Arial" w:hAnsi="Arial"/>
                <w:sz w:val="13"/>
                <w:szCs w:val="13"/>
                <w:color w:val="auto"/>
              </w:rPr>
              <w:t>(10.3)</w:t>
            </w:r>
          </w:p>
        </w:tc>
        <w:tc>
          <w:tcPr>
            <w:tcW w:w="680" w:type="dxa"/>
            <w:vAlign w:val="bottom"/>
          </w:tcPr>
          <w:p>
            <w:pPr>
              <w:jc w:val="right"/>
              <w:ind w:right="93"/>
              <w:spacing w:after="0"/>
              <w:rPr>
                <w:sz w:val="20"/>
                <w:szCs w:val="20"/>
                <w:color w:val="auto"/>
              </w:rPr>
            </w:pPr>
            <w:r>
              <w:rPr>
                <w:rFonts w:ascii="Arial" w:cs="Arial" w:eastAsia="Arial" w:hAnsi="Arial"/>
                <w:sz w:val="13"/>
                <w:szCs w:val="13"/>
                <w:color w:val="auto"/>
              </w:rPr>
              <w:t>(8.4)</w:t>
            </w:r>
          </w:p>
        </w:tc>
        <w:tc>
          <w:tcPr>
            <w:tcW w:w="700" w:type="dxa"/>
            <w:vAlign w:val="bottom"/>
          </w:tcPr>
          <w:p>
            <w:pPr>
              <w:jc w:val="right"/>
              <w:ind w:right="113"/>
              <w:spacing w:after="0"/>
              <w:rPr>
                <w:sz w:val="20"/>
                <w:szCs w:val="20"/>
                <w:color w:val="auto"/>
              </w:rPr>
            </w:pPr>
            <w:r>
              <w:rPr>
                <w:rFonts w:ascii="Arial" w:cs="Arial" w:eastAsia="Arial" w:hAnsi="Arial"/>
                <w:sz w:val="13"/>
                <w:szCs w:val="13"/>
                <w:color w:val="auto"/>
              </w:rPr>
              <w:t>(5.8)</w:t>
            </w:r>
          </w:p>
        </w:tc>
        <w:tc>
          <w:tcPr>
            <w:tcW w:w="720" w:type="dxa"/>
            <w:vAlign w:val="bottom"/>
          </w:tcPr>
          <w:p>
            <w:pPr>
              <w:jc w:val="right"/>
              <w:ind w:right="13"/>
              <w:spacing w:after="0"/>
              <w:rPr>
                <w:sz w:val="20"/>
                <w:szCs w:val="20"/>
                <w:color w:val="auto"/>
              </w:rPr>
            </w:pPr>
            <w:r>
              <w:rPr>
                <w:rFonts w:ascii="Arial" w:cs="Arial" w:eastAsia="Arial" w:hAnsi="Arial"/>
                <w:sz w:val="13"/>
                <w:szCs w:val="13"/>
                <w:color w:val="auto"/>
              </w:rPr>
              <w:t>(6.9)</w:t>
            </w:r>
          </w:p>
        </w:tc>
      </w:tr>
      <w:tr>
        <w:trPr>
          <w:trHeight w:val="41"/>
        </w:trPr>
        <w:tc>
          <w:tcPr>
            <w:tcW w:w="5780" w:type="dxa"/>
            <w:vAlign w:val="bottom"/>
            <w:tcBorders>
              <w:bottom w:val="single" w:sz="8" w:color="DFF1FB"/>
            </w:tcBorders>
          </w:tcPr>
          <w:p>
            <w:pPr>
              <w:spacing w:after="0"/>
              <w:rPr>
                <w:sz w:val="3"/>
                <w:szCs w:val="3"/>
                <w:color w:val="auto"/>
              </w:rPr>
            </w:pPr>
          </w:p>
        </w:tc>
        <w:tc>
          <w:tcPr>
            <w:tcW w:w="2840" w:type="dxa"/>
            <w:vAlign w:val="bottom"/>
            <w:tcBorders>
              <w:bottom w:val="single" w:sz="8" w:color="DFF1FB"/>
            </w:tcBorders>
          </w:tcPr>
          <w:p>
            <w:pPr>
              <w:spacing w:after="0"/>
              <w:rPr>
                <w:sz w:val="3"/>
                <w:szCs w:val="3"/>
                <w:color w:val="auto"/>
              </w:rPr>
            </w:pPr>
          </w:p>
        </w:tc>
        <w:tc>
          <w:tcPr>
            <w:tcW w:w="700" w:type="dxa"/>
            <w:vAlign w:val="bottom"/>
            <w:tcBorders>
              <w:bottom w:val="single" w:sz="8" w:color="DFF1FB"/>
            </w:tcBorders>
          </w:tcPr>
          <w:p>
            <w:pPr>
              <w:spacing w:after="0"/>
              <w:rPr>
                <w:sz w:val="3"/>
                <w:szCs w:val="3"/>
                <w:color w:val="auto"/>
              </w:rPr>
            </w:pPr>
          </w:p>
        </w:tc>
        <w:tc>
          <w:tcPr>
            <w:tcW w:w="680" w:type="dxa"/>
            <w:vAlign w:val="bottom"/>
            <w:tcBorders>
              <w:bottom w:val="single" w:sz="8" w:color="DFF1FB"/>
            </w:tcBorders>
          </w:tcPr>
          <w:p>
            <w:pPr>
              <w:spacing w:after="0"/>
              <w:rPr>
                <w:sz w:val="3"/>
                <w:szCs w:val="3"/>
                <w:color w:val="auto"/>
              </w:rPr>
            </w:pPr>
          </w:p>
        </w:tc>
        <w:tc>
          <w:tcPr>
            <w:tcW w:w="700" w:type="dxa"/>
            <w:vAlign w:val="bottom"/>
            <w:tcBorders>
              <w:bottom w:val="single" w:sz="8" w:color="DFF1FB"/>
            </w:tcBorders>
          </w:tcPr>
          <w:p>
            <w:pPr>
              <w:spacing w:after="0"/>
              <w:rPr>
                <w:sz w:val="3"/>
                <w:szCs w:val="3"/>
                <w:color w:val="auto"/>
              </w:rPr>
            </w:pPr>
          </w:p>
        </w:tc>
        <w:tc>
          <w:tcPr>
            <w:tcW w:w="720" w:type="dxa"/>
            <w:vAlign w:val="bottom"/>
            <w:tcBorders>
              <w:bottom w:val="single" w:sz="8" w:color="DFF1FB"/>
            </w:tcBorders>
          </w:tcPr>
          <w:p>
            <w:pPr>
              <w:spacing w:after="0"/>
              <w:rPr>
                <w:sz w:val="3"/>
                <w:szCs w:val="3"/>
                <w:color w:val="auto"/>
              </w:rPr>
            </w:pPr>
          </w:p>
        </w:tc>
      </w:tr>
      <w:tr>
        <w:trPr>
          <w:trHeight w:val="195"/>
        </w:trPr>
        <w:tc>
          <w:tcPr>
            <w:tcW w:w="5780" w:type="dxa"/>
            <w:vAlign w:val="bottom"/>
          </w:tcPr>
          <w:p>
            <w:pPr>
              <w:ind w:left="80"/>
              <w:spacing w:after="0"/>
              <w:rPr>
                <w:sz w:val="20"/>
                <w:szCs w:val="20"/>
                <w:color w:val="auto"/>
              </w:rPr>
            </w:pPr>
            <w:r>
              <w:rPr>
                <w:rFonts w:ascii="Arial" w:cs="Arial" w:eastAsia="Arial" w:hAnsi="Arial"/>
                <w:sz w:val="13"/>
                <w:szCs w:val="13"/>
                <w:color w:val="auto"/>
              </w:rPr>
              <w:t>Effect of prior year non-catastrophe reserve reestimates</w:t>
            </w:r>
          </w:p>
        </w:tc>
        <w:tc>
          <w:tcPr>
            <w:tcW w:w="2840" w:type="dxa"/>
            <w:vAlign w:val="bottom"/>
          </w:tcPr>
          <w:p>
            <w:pPr>
              <w:jc w:val="right"/>
              <w:ind w:right="133"/>
              <w:spacing w:after="0"/>
              <w:rPr>
                <w:sz w:val="20"/>
                <w:szCs w:val="20"/>
                <w:color w:val="auto"/>
              </w:rPr>
            </w:pPr>
            <w:r>
              <w:rPr>
                <w:rFonts w:ascii="Arial" w:cs="Arial" w:eastAsia="Arial" w:hAnsi="Arial"/>
                <w:sz w:val="13"/>
                <w:szCs w:val="13"/>
                <w:color w:val="auto"/>
              </w:rPr>
              <w:t>0.9</w:t>
            </w:r>
          </w:p>
        </w:tc>
        <w:tc>
          <w:tcPr>
            <w:tcW w:w="700" w:type="dxa"/>
            <w:vAlign w:val="bottom"/>
          </w:tcPr>
          <w:p>
            <w:pPr>
              <w:jc w:val="right"/>
              <w:ind w:right="153"/>
              <w:spacing w:after="0"/>
              <w:rPr>
                <w:sz w:val="20"/>
                <w:szCs w:val="20"/>
                <w:color w:val="auto"/>
              </w:rPr>
            </w:pPr>
            <w:r>
              <w:rPr>
                <w:rFonts w:ascii="Arial" w:cs="Arial" w:eastAsia="Arial" w:hAnsi="Arial"/>
                <w:sz w:val="13"/>
                <w:szCs w:val="13"/>
                <w:color w:val="auto"/>
              </w:rPr>
              <w:t>1.6</w:t>
            </w:r>
          </w:p>
        </w:tc>
        <w:tc>
          <w:tcPr>
            <w:tcW w:w="680" w:type="dxa"/>
            <w:vAlign w:val="bottom"/>
          </w:tcPr>
          <w:p>
            <w:pPr>
              <w:jc w:val="right"/>
              <w:ind w:right="153"/>
              <w:spacing w:after="0"/>
              <w:rPr>
                <w:sz w:val="20"/>
                <w:szCs w:val="20"/>
                <w:color w:val="auto"/>
              </w:rPr>
            </w:pPr>
            <w:r>
              <w:rPr>
                <w:rFonts w:ascii="Arial" w:cs="Arial" w:eastAsia="Arial" w:hAnsi="Arial"/>
                <w:sz w:val="13"/>
                <w:szCs w:val="13"/>
                <w:color w:val="auto"/>
              </w:rPr>
              <w:t>0.1</w:t>
            </w:r>
          </w:p>
        </w:tc>
        <w:tc>
          <w:tcPr>
            <w:tcW w:w="700" w:type="dxa"/>
            <w:vAlign w:val="bottom"/>
          </w:tcPr>
          <w:p>
            <w:pPr>
              <w:jc w:val="right"/>
              <w:ind w:right="113"/>
              <w:spacing w:after="0"/>
              <w:rPr>
                <w:sz w:val="20"/>
                <w:szCs w:val="20"/>
                <w:color w:val="auto"/>
              </w:rPr>
            </w:pPr>
            <w:r>
              <w:rPr>
                <w:rFonts w:ascii="Arial" w:cs="Arial" w:eastAsia="Arial" w:hAnsi="Arial"/>
                <w:sz w:val="13"/>
                <w:szCs w:val="13"/>
                <w:color w:val="auto"/>
              </w:rPr>
              <w:t>(0.3)</w:t>
            </w:r>
          </w:p>
        </w:tc>
        <w:tc>
          <w:tcPr>
            <w:tcW w:w="720" w:type="dxa"/>
            <w:vAlign w:val="bottom"/>
          </w:tcPr>
          <w:p>
            <w:pPr>
              <w:jc w:val="right"/>
              <w:ind w:right="53"/>
              <w:spacing w:after="0"/>
              <w:rPr>
                <w:sz w:val="20"/>
                <w:szCs w:val="20"/>
                <w:color w:val="auto"/>
              </w:rPr>
            </w:pPr>
            <w:r>
              <w:rPr>
                <w:rFonts w:ascii="Arial" w:cs="Arial" w:eastAsia="Arial" w:hAnsi="Arial"/>
                <w:sz w:val="13"/>
                <w:szCs w:val="13"/>
                <w:color w:val="auto"/>
              </w:rPr>
              <w:t>0.4</w:t>
            </w:r>
          </w:p>
        </w:tc>
      </w:tr>
      <w:tr>
        <w:trPr>
          <w:trHeight w:val="41"/>
        </w:trPr>
        <w:tc>
          <w:tcPr>
            <w:tcW w:w="5780" w:type="dxa"/>
            <w:vAlign w:val="bottom"/>
            <w:tcBorders>
              <w:bottom w:val="single" w:sz="8" w:color="DFF1FB"/>
            </w:tcBorders>
          </w:tcPr>
          <w:p>
            <w:pPr>
              <w:spacing w:after="0"/>
              <w:rPr>
                <w:sz w:val="3"/>
                <w:szCs w:val="3"/>
                <w:color w:val="auto"/>
              </w:rPr>
            </w:pPr>
          </w:p>
        </w:tc>
        <w:tc>
          <w:tcPr>
            <w:tcW w:w="2840" w:type="dxa"/>
            <w:vAlign w:val="bottom"/>
            <w:tcBorders>
              <w:bottom w:val="single" w:sz="8" w:color="DFF1FB"/>
            </w:tcBorders>
          </w:tcPr>
          <w:p>
            <w:pPr>
              <w:spacing w:after="0"/>
              <w:rPr>
                <w:sz w:val="3"/>
                <w:szCs w:val="3"/>
                <w:color w:val="auto"/>
              </w:rPr>
            </w:pPr>
          </w:p>
        </w:tc>
        <w:tc>
          <w:tcPr>
            <w:tcW w:w="700" w:type="dxa"/>
            <w:vAlign w:val="bottom"/>
            <w:tcBorders>
              <w:bottom w:val="single" w:sz="8" w:color="DFF1FB"/>
            </w:tcBorders>
          </w:tcPr>
          <w:p>
            <w:pPr>
              <w:spacing w:after="0"/>
              <w:rPr>
                <w:sz w:val="3"/>
                <w:szCs w:val="3"/>
                <w:color w:val="auto"/>
              </w:rPr>
            </w:pPr>
          </w:p>
        </w:tc>
        <w:tc>
          <w:tcPr>
            <w:tcW w:w="680" w:type="dxa"/>
            <w:vAlign w:val="bottom"/>
            <w:tcBorders>
              <w:bottom w:val="single" w:sz="8" w:color="DFF1FB"/>
            </w:tcBorders>
          </w:tcPr>
          <w:p>
            <w:pPr>
              <w:spacing w:after="0"/>
              <w:rPr>
                <w:sz w:val="3"/>
                <w:szCs w:val="3"/>
                <w:color w:val="auto"/>
              </w:rPr>
            </w:pPr>
          </w:p>
        </w:tc>
        <w:tc>
          <w:tcPr>
            <w:tcW w:w="700" w:type="dxa"/>
            <w:vAlign w:val="bottom"/>
            <w:tcBorders>
              <w:bottom w:val="single" w:sz="8" w:color="DFF1FB"/>
            </w:tcBorders>
          </w:tcPr>
          <w:p>
            <w:pPr>
              <w:spacing w:after="0"/>
              <w:rPr>
                <w:sz w:val="3"/>
                <w:szCs w:val="3"/>
                <w:color w:val="auto"/>
              </w:rPr>
            </w:pPr>
          </w:p>
        </w:tc>
        <w:tc>
          <w:tcPr>
            <w:tcW w:w="720" w:type="dxa"/>
            <w:vAlign w:val="bottom"/>
            <w:tcBorders>
              <w:bottom w:val="single" w:sz="8" w:color="DFF1FB"/>
            </w:tcBorders>
          </w:tcPr>
          <w:p>
            <w:pPr>
              <w:spacing w:after="0"/>
              <w:rPr>
                <w:sz w:val="3"/>
                <w:szCs w:val="3"/>
                <w:color w:val="auto"/>
              </w:rPr>
            </w:pPr>
          </w:p>
        </w:tc>
      </w:tr>
      <w:tr>
        <w:trPr>
          <w:trHeight w:val="195"/>
        </w:trPr>
        <w:tc>
          <w:tcPr>
            <w:tcW w:w="5780" w:type="dxa"/>
            <w:vAlign w:val="bottom"/>
          </w:tcPr>
          <w:p>
            <w:pPr>
              <w:ind w:left="80"/>
              <w:spacing w:after="0"/>
              <w:rPr>
                <w:sz w:val="20"/>
                <w:szCs w:val="20"/>
                <w:color w:val="auto"/>
              </w:rPr>
            </w:pPr>
            <w:r>
              <w:rPr>
                <w:rFonts w:ascii="Arial" w:cs="Arial" w:eastAsia="Arial" w:hAnsi="Arial"/>
                <w:sz w:val="13"/>
                <w:szCs w:val="13"/>
                <w:color w:val="auto"/>
              </w:rPr>
              <w:t>Effect of amortization of purchased intangible assets</w:t>
            </w:r>
          </w:p>
        </w:tc>
        <w:tc>
          <w:tcPr>
            <w:tcW w:w="284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93"/>
              <w:spacing w:after="0"/>
              <w:rPr>
                <w:sz w:val="20"/>
                <w:szCs w:val="20"/>
                <w:color w:val="auto"/>
              </w:rPr>
            </w:pPr>
            <w:r>
              <w:rPr>
                <w:rFonts w:ascii="Arial" w:cs="Arial" w:eastAsia="Arial" w:hAnsi="Arial"/>
                <w:sz w:val="13"/>
                <w:szCs w:val="13"/>
                <w:color w:val="auto"/>
              </w:rPr>
              <w:t>(0.1)</w:t>
            </w:r>
          </w:p>
        </w:tc>
        <w:tc>
          <w:tcPr>
            <w:tcW w:w="700" w:type="dxa"/>
            <w:vAlign w:val="bottom"/>
          </w:tcPr>
          <w:p>
            <w:pPr>
              <w:jc w:val="right"/>
              <w:ind w:right="113"/>
              <w:spacing w:after="0"/>
              <w:rPr>
                <w:sz w:val="20"/>
                <w:szCs w:val="20"/>
                <w:color w:val="auto"/>
              </w:rPr>
            </w:pPr>
            <w:r>
              <w:rPr>
                <w:rFonts w:ascii="Arial" w:cs="Arial" w:eastAsia="Arial" w:hAnsi="Arial"/>
                <w:sz w:val="13"/>
                <w:szCs w:val="13"/>
                <w:color w:val="auto"/>
              </w:rPr>
              <w:t>(0.1)</w:t>
            </w:r>
          </w:p>
        </w:tc>
        <w:tc>
          <w:tcPr>
            <w:tcW w:w="720" w:type="dxa"/>
            <w:vAlign w:val="bottom"/>
          </w:tcPr>
          <w:p>
            <w:pPr>
              <w:jc w:val="right"/>
              <w:ind w:right="13"/>
              <w:spacing w:after="0"/>
              <w:rPr>
                <w:sz w:val="20"/>
                <w:szCs w:val="20"/>
                <w:color w:val="auto"/>
              </w:rPr>
            </w:pPr>
            <w:r>
              <w:rPr>
                <w:rFonts w:ascii="Arial" w:cs="Arial" w:eastAsia="Arial" w:hAnsi="Arial"/>
                <w:sz w:val="13"/>
                <w:szCs w:val="13"/>
                <w:color w:val="auto"/>
              </w:rPr>
              <w:t>(0.2)</w:t>
            </w:r>
          </w:p>
        </w:tc>
      </w:tr>
      <w:tr>
        <w:trPr>
          <w:trHeight w:val="41"/>
        </w:trPr>
        <w:tc>
          <w:tcPr>
            <w:tcW w:w="5780" w:type="dxa"/>
            <w:vAlign w:val="bottom"/>
            <w:tcBorders>
              <w:bottom w:val="single" w:sz="8" w:color="DFF1FB"/>
            </w:tcBorders>
          </w:tcPr>
          <w:p>
            <w:pPr>
              <w:spacing w:after="0"/>
              <w:rPr>
                <w:sz w:val="3"/>
                <w:szCs w:val="3"/>
                <w:color w:val="auto"/>
              </w:rPr>
            </w:pPr>
          </w:p>
        </w:tc>
        <w:tc>
          <w:tcPr>
            <w:tcW w:w="2840" w:type="dxa"/>
            <w:vAlign w:val="bottom"/>
            <w:tcBorders>
              <w:bottom w:val="single" w:sz="8" w:color="DFF1FB"/>
            </w:tcBorders>
          </w:tcPr>
          <w:p>
            <w:pPr>
              <w:spacing w:after="0"/>
              <w:rPr>
                <w:sz w:val="3"/>
                <w:szCs w:val="3"/>
                <w:color w:val="auto"/>
              </w:rPr>
            </w:pPr>
          </w:p>
        </w:tc>
        <w:tc>
          <w:tcPr>
            <w:tcW w:w="700" w:type="dxa"/>
            <w:vAlign w:val="bottom"/>
            <w:tcBorders>
              <w:bottom w:val="single" w:sz="8" w:color="DFF1FB"/>
            </w:tcBorders>
          </w:tcPr>
          <w:p>
            <w:pPr>
              <w:spacing w:after="0"/>
              <w:rPr>
                <w:sz w:val="3"/>
                <w:szCs w:val="3"/>
                <w:color w:val="auto"/>
              </w:rPr>
            </w:pPr>
          </w:p>
        </w:tc>
        <w:tc>
          <w:tcPr>
            <w:tcW w:w="680" w:type="dxa"/>
            <w:vAlign w:val="bottom"/>
            <w:tcBorders>
              <w:bottom w:val="single" w:sz="8" w:color="DFF1FB"/>
            </w:tcBorders>
          </w:tcPr>
          <w:p>
            <w:pPr>
              <w:spacing w:after="0"/>
              <w:rPr>
                <w:sz w:val="3"/>
                <w:szCs w:val="3"/>
                <w:color w:val="auto"/>
              </w:rPr>
            </w:pPr>
          </w:p>
        </w:tc>
        <w:tc>
          <w:tcPr>
            <w:tcW w:w="700" w:type="dxa"/>
            <w:vAlign w:val="bottom"/>
            <w:tcBorders>
              <w:bottom w:val="single" w:sz="8" w:color="DFF1FB"/>
            </w:tcBorders>
          </w:tcPr>
          <w:p>
            <w:pPr>
              <w:spacing w:after="0"/>
              <w:rPr>
                <w:sz w:val="3"/>
                <w:szCs w:val="3"/>
                <w:color w:val="auto"/>
              </w:rPr>
            </w:pPr>
          </w:p>
        </w:tc>
        <w:tc>
          <w:tcPr>
            <w:tcW w:w="720" w:type="dxa"/>
            <w:vAlign w:val="bottom"/>
            <w:tcBorders>
              <w:bottom w:val="single" w:sz="8" w:color="DFF1FB"/>
            </w:tcBorders>
          </w:tcPr>
          <w:p>
            <w:pPr>
              <w:spacing w:after="0"/>
              <w:rPr>
                <w:sz w:val="3"/>
                <w:szCs w:val="3"/>
                <w:color w:val="auto"/>
              </w:rPr>
            </w:pPr>
          </w:p>
        </w:tc>
      </w:tr>
      <w:tr>
        <w:trPr>
          <w:trHeight w:val="195"/>
        </w:trPr>
        <w:tc>
          <w:tcPr>
            <w:tcW w:w="5780" w:type="dxa"/>
            <w:vAlign w:val="bottom"/>
          </w:tcPr>
          <w:p>
            <w:pPr>
              <w:ind w:left="80"/>
              <w:spacing w:after="0"/>
              <w:rPr>
                <w:sz w:val="20"/>
                <w:szCs w:val="20"/>
                <w:color w:val="auto"/>
              </w:rPr>
            </w:pPr>
            <w:r>
              <w:rPr>
                <w:rFonts w:ascii="Arial" w:cs="Arial" w:eastAsia="Arial" w:hAnsi="Arial"/>
                <w:sz w:val="13"/>
                <w:szCs w:val="13"/>
                <w:b w:val="1"/>
                <w:bCs w:val="1"/>
                <w:color w:val="auto"/>
              </w:rPr>
              <w:t>Combined ratio excluding the effect of catastrophes,</w:t>
            </w:r>
          </w:p>
        </w:tc>
        <w:tc>
          <w:tcPr>
            <w:tcW w:w="2840" w:type="dxa"/>
            <w:vAlign w:val="bottom"/>
          </w:tcPr>
          <w:p>
            <w:pPr>
              <w:jc w:val="right"/>
              <w:ind w:right="133"/>
              <w:spacing w:after="0"/>
              <w:rPr>
                <w:sz w:val="20"/>
                <w:szCs w:val="20"/>
                <w:color w:val="auto"/>
              </w:rPr>
            </w:pPr>
            <w:r>
              <w:rPr>
                <w:rFonts w:ascii="Arial" w:cs="Arial" w:eastAsia="Arial" w:hAnsi="Arial"/>
                <w:sz w:val="13"/>
                <w:szCs w:val="13"/>
                <w:color w:val="auto"/>
              </w:rPr>
              <w:t>85.8</w:t>
            </w:r>
          </w:p>
        </w:tc>
        <w:tc>
          <w:tcPr>
            <w:tcW w:w="700" w:type="dxa"/>
            <w:vAlign w:val="bottom"/>
          </w:tcPr>
          <w:p>
            <w:pPr>
              <w:jc w:val="right"/>
              <w:ind w:right="153"/>
              <w:spacing w:after="0"/>
              <w:rPr>
                <w:sz w:val="20"/>
                <w:szCs w:val="20"/>
                <w:color w:val="auto"/>
              </w:rPr>
            </w:pPr>
            <w:r>
              <w:rPr>
                <w:rFonts w:ascii="Arial" w:cs="Arial" w:eastAsia="Arial" w:hAnsi="Arial"/>
                <w:sz w:val="13"/>
                <w:szCs w:val="13"/>
                <w:color w:val="auto"/>
              </w:rPr>
              <w:t>84.9</w:t>
            </w:r>
          </w:p>
        </w:tc>
        <w:tc>
          <w:tcPr>
            <w:tcW w:w="680" w:type="dxa"/>
            <w:vAlign w:val="bottom"/>
          </w:tcPr>
          <w:p>
            <w:pPr>
              <w:jc w:val="right"/>
              <w:ind w:right="153"/>
              <w:spacing w:after="0"/>
              <w:rPr>
                <w:sz w:val="20"/>
                <w:szCs w:val="20"/>
                <w:color w:val="auto"/>
              </w:rPr>
            </w:pPr>
            <w:r>
              <w:rPr>
                <w:rFonts w:ascii="Arial" w:cs="Arial" w:eastAsia="Arial" w:hAnsi="Arial"/>
                <w:sz w:val="13"/>
                <w:szCs w:val="13"/>
                <w:color w:val="auto"/>
              </w:rPr>
              <w:t>87.6</w:t>
            </w:r>
          </w:p>
        </w:tc>
        <w:tc>
          <w:tcPr>
            <w:tcW w:w="700" w:type="dxa"/>
            <w:vAlign w:val="bottom"/>
          </w:tcPr>
          <w:p>
            <w:pPr>
              <w:jc w:val="right"/>
              <w:ind w:right="153"/>
              <w:spacing w:after="0"/>
              <w:rPr>
                <w:sz w:val="20"/>
                <w:szCs w:val="20"/>
                <w:color w:val="auto"/>
              </w:rPr>
            </w:pPr>
            <w:r>
              <w:rPr>
                <w:rFonts w:ascii="Arial" w:cs="Arial" w:eastAsia="Arial" w:hAnsi="Arial"/>
                <w:sz w:val="13"/>
                <w:szCs w:val="13"/>
                <w:color w:val="auto"/>
              </w:rPr>
              <w:t>88.5</w:t>
            </w:r>
          </w:p>
        </w:tc>
        <w:tc>
          <w:tcPr>
            <w:tcW w:w="720" w:type="dxa"/>
            <w:vAlign w:val="bottom"/>
          </w:tcPr>
          <w:p>
            <w:pPr>
              <w:jc w:val="right"/>
              <w:ind w:right="53"/>
              <w:spacing w:after="0"/>
              <w:rPr>
                <w:sz w:val="20"/>
                <w:szCs w:val="20"/>
                <w:color w:val="auto"/>
              </w:rPr>
            </w:pPr>
            <w:r>
              <w:rPr>
                <w:rFonts w:ascii="Arial" w:cs="Arial" w:eastAsia="Arial" w:hAnsi="Arial"/>
                <w:sz w:val="13"/>
                <w:szCs w:val="13"/>
                <w:color w:val="auto"/>
              </w:rPr>
              <w:t>87.2</w:t>
            </w:r>
          </w:p>
        </w:tc>
      </w:tr>
      <w:tr>
        <w:trPr>
          <w:trHeight w:val="243"/>
        </w:trPr>
        <w:tc>
          <w:tcPr>
            <w:tcW w:w="5780" w:type="dxa"/>
            <w:vAlign w:val="bottom"/>
          </w:tcPr>
          <w:p>
            <w:pPr>
              <w:ind w:left="80"/>
              <w:spacing w:after="0"/>
              <w:rPr>
                <w:sz w:val="20"/>
                <w:szCs w:val="20"/>
                <w:color w:val="auto"/>
              </w:rPr>
            </w:pPr>
            <w:r>
              <w:rPr>
                <w:rFonts w:ascii="Arial" w:cs="Arial" w:eastAsia="Arial" w:hAnsi="Arial"/>
                <w:sz w:val="13"/>
                <w:szCs w:val="13"/>
                <w:b w:val="1"/>
                <w:bCs w:val="1"/>
                <w:color w:val="auto"/>
              </w:rPr>
              <w:t>prior year reserve reestimates and amortization</w:t>
            </w:r>
          </w:p>
        </w:tc>
        <w:tc>
          <w:tcPr>
            <w:tcW w:w="28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43"/>
        </w:trPr>
        <w:tc>
          <w:tcPr>
            <w:tcW w:w="5780" w:type="dxa"/>
            <w:vAlign w:val="bottom"/>
          </w:tcPr>
          <w:p>
            <w:pPr>
              <w:ind w:left="80"/>
              <w:spacing w:after="0"/>
              <w:rPr>
                <w:sz w:val="20"/>
                <w:szCs w:val="20"/>
                <w:color w:val="auto"/>
              </w:rPr>
            </w:pPr>
            <w:r>
              <w:rPr>
                <w:rFonts w:ascii="Arial" w:cs="Arial" w:eastAsia="Arial" w:hAnsi="Arial"/>
                <w:sz w:val="13"/>
                <w:szCs w:val="13"/>
                <w:b w:val="1"/>
                <w:bCs w:val="1"/>
                <w:color w:val="auto"/>
              </w:rPr>
              <w:t>of purchased intangible assets (“underlying</w:t>
            </w:r>
          </w:p>
        </w:tc>
        <w:tc>
          <w:tcPr>
            <w:tcW w:w="28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43"/>
        </w:trPr>
        <w:tc>
          <w:tcPr>
            <w:tcW w:w="5780" w:type="dxa"/>
            <w:vAlign w:val="bottom"/>
          </w:tcPr>
          <w:p>
            <w:pPr>
              <w:ind w:left="80"/>
              <w:spacing w:after="0"/>
              <w:rPr>
                <w:sz w:val="20"/>
                <w:szCs w:val="20"/>
                <w:color w:val="auto"/>
              </w:rPr>
            </w:pPr>
            <w:r>
              <w:rPr>
                <w:rFonts w:ascii="Arial" w:cs="Arial" w:eastAsia="Arial" w:hAnsi="Arial"/>
                <w:sz w:val="13"/>
                <w:szCs w:val="13"/>
                <w:b w:val="1"/>
                <w:bCs w:val="1"/>
                <w:color w:val="auto"/>
              </w:rPr>
              <w:t>combined ratio”)</w:t>
            </w:r>
          </w:p>
        </w:tc>
        <w:tc>
          <w:tcPr>
            <w:tcW w:w="28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41"/>
        </w:trPr>
        <w:tc>
          <w:tcPr>
            <w:tcW w:w="5780" w:type="dxa"/>
            <w:vAlign w:val="bottom"/>
            <w:tcBorders>
              <w:bottom w:val="single" w:sz="8" w:color="DFF1FB"/>
            </w:tcBorders>
          </w:tcPr>
          <w:p>
            <w:pPr>
              <w:spacing w:after="0"/>
              <w:rPr>
                <w:sz w:val="3"/>
                <w:szCs w:val="3"/>
                <w:color w:val="auto"/>
              </w:rPr>
            </w:pPr>
          </w:p>
        </w:tc>
        <w:tc>
          <w:tcPr>
            <w:tcW w:w="2840" w:type="dxa"/>
            <w:vAlign w:val="bottom"/>
            <w:tcBorders>
              <w:bottom w:val="single" w:sz="8" w:color="DFF1FB"/>
            </w:tcBorders>
          </w:tcPr>
          <w:p>
            <w:pPr>
              <w:spacing w:after="0"/>
              <w:rPr>
                <w:sz w:val="3"/>
                <w:szCs w:val="3"/>
                <w:color w:val="auto"/>
              </w:rPr>
            </w:pPr>
          </w:p>
        </w:tc>
        <w:tc>
          <w:tcPr>
            <w:tcW w:w="700" w:type="dxa"/>
            <w:vAlign w:val="bottom"/>
            <w:tcBorders>
              <w:bottom w:val="single" w:sz="8" w:color="DFF1FB"/>
            </w:tcBorders>
          </w:tcPr>
          <w:p>
            <w:pPr>
              <w:spacing w:after="0"/>
              <w:rPr>
                <w:sz w:val="3"/>
                <w:szCs w:val="3"/>
                <w:color w:val="auto"/>
              </w:rPr>
            </w:pPr>
          </w:p>
        </w:tc>
        <w:tc>
          <w:tcPr>
            <w:tcW w:w="680" w:type="dxa"/>
            <w:vAlign w:val="bottom"/>
            <w:tcBorders>
              <w:bottom w:val="single" w:sz="8" w:color="DFF1FB"/>
            </w:tcBorders>
          </w:tcPr>
          <w:p>
            <w:pPr>
              <w:spacing w:after="0"/>
              <w:rPr>
                <w:sz w:val="3"/>
                <w:szCs w:val="3"/>
                <w:color w:val="auto"/>
              </w:rPr>
            </w:pPr>
          </w:p>
        </w:tc>
        <w:tc>
          <w:tcPr>
            <w:tcW w:w="700" w:type="dxa"/>
            <w:vAlign w:val="bottom"/>
            <w:tcBorders>
              <w:bottom w:val="single" w:sz="8" w:color="DFF1FB"/>
            </w:tcBorders>
          </w:tcPr>
          <w:p>
            <w:pPr>
              <w:spacing w:after="0"/>
              <w:rPr>
                <w:sz w:val="3"/>
                <w:szCs w:val="3"/>
                <w:color w:val="auto"/>
              </w:rPr>
            </w:pPr>
          </w:p>
        </w:tc>
        <w:tc>
          <w:tcPr>
            <w:tcW w:w="720" w:type="dxa"/>
            <w:vAlign w:val="bottom"/>
            <w:tcBorders>
              <w:bottom w:val="single" w:sz="8" w:color="DFF1FB"/>
            </w:tcBorders>
          </w:tcPr>
          <w:p>
            <w:pPr>
              <w:spacing w:after="0"/>
              <w:rPr>
                <w:sz w:val="3"/>
                <w:szCs w:val="3"/>
                <w:color w:val="auto"/>
              </w:rPr>
            </w:pPr>
          </w:p>
        </w:tc>
      </w:tr>
      <w:tr>
        <w:trPr>
          <w:trHeight w:val="195"/>
        </w:trPr>
        <w:tc>
          <w:tcPr>
            <w:tcW w:w="5780" w:type="dxa"/>
            <w:vAlign w:val="bottom"/>
          </w:tcPr>
          <w:p>
            <w:pPr>
              <w:ind w:left="80"/>
              <w:spacing w:after="0"/>
              <w:rPr>
                <w:sz w:val="20"/>
                <w:szCs w:val="20"/>
                <w:color w:val="auto"/>
              </w:rPr>
            </w:pPr>
            <w:r>
              <w:rPr>
                <w:rFonts w:ascii="Arial" w:cs="Arial" w:eastAsia="Arial" w:hAnsi="Arial"/>
                <w:sz w:val="13"/>
                <w:szCs w:val="13"/>
                <w:color w:val="auto"/>
              </w:rPr>
              <w:t>Effect of prior year catastrophe reserve reestimates</w:t>
            </w:r>
          </w:p>
        </w:tc>
        <w:tc>
          <w:tcPr>
            <w:tcW w:w="2840" w:type="dxa"/>
            <w:vAlign w:val="bottom"/>
          </w:tcPr>
          <w:p>
            <w:pPr>
              <w:jc w:val="right"/>
              <w:ind w:right="133"/>
              <w:spacing w:after="0"/>
              <w:rPr>
                <w:sz w:val="20"/>
                <w:szCs w:val="20"/>
                <w:color w:val="auto"/>
              </w:rPr>
            </w:pPr>
            <w:r>
              <w:rPr>
                <w:rFonts w:ascii="Arial" w:cs="Arial" w:eastAsia="Arial" w:hAnsi="Arial"/>
                <w:sz w:val="13"/>
                <w:szCs w:val="13"/>
                <w:color w:val="auto"/>
              </w:rPr>
              <w:t>0.1</w:t>
            </w:r>
          </w:p>
        </w:tc>
        <w:tc>
          <w:tcPr>
            <w:tcW w:w="70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53"/>
              <w:spacing w:after="0"/>
              <w:rPr>
                <w:sz w:val="20"/>
                <w:szCs w:val="20"/>
                <w:color w:val="auto"/>
              </w:rPr>
            </w:pPr>
            <w:r>
              <w:rPr>
                <w:rFonts w:ascii="Arial" w:cs="Arial" w:eastAsia="Arial" w:hAnsi="Arial"/>
                <w:sz w:val="13"/>
                <w:szCs w:val="13"/>
                <w:color w:val="auto"/>
              </w:rPr>
              <w:t>0.1</w:t>
            </w:r>
          </w:p>
        </w:tc>
      </w:tr>
      <w:tr>
        <w:trPr>
          <w:trHeight w:val="48"/>
        </w:trPr>
        <w:tc>
          <w:tcPr>
            <w:tcW w:w="5780" w:type="dxa"/>
            <w:vAlign w:val="bottom"/>
            <w:tcBorders>
              <w:bottom w:val="single" w:sz="8" w:color="105EAB"/>
            </w:tcBorders>
          </w:tcPr>
          <w:p>
            <w:pPr>
              <w:spacing w:after="0"/>
              <w:rPr>
                <w:sz w:val="4"/>
                <w:szCs w:val="4"/>
                <w:color w:val="auto"/>
              </w:rPr>
            </w:pPr>
          </w:p>
        </w:tc>
        <w:tc>
          <w:tcPr>
            <w:tcW w:w="2840" w:type="dxa"/>
            <w:vAlign w:val="bottom"/>
            <w:tcBorders>
              <w:bottom w:val="single" w:sz="8" w:color="105EAB"/>
            </w:tcBorders>
          </w:tcPr>
          <w:p>
            <w:pPr>
              <w:spacing w:after="0"/>
              <w:rPr>
                <w:sz w:val="4"/>
                <w:szCs w:val="4"/>
                <w:color w:val="auto"/>
              </w:rPr>
            </w:pPr>
          </w:p>
        </w:tc>
        <w:tc>
          <w:tcPr>
            <w:tcW w:w="700" w:type="dxa"/>
            <w:vAlign w:val="bottom"/>
            <w:tcBorders>
              <w:bottom w:val="single" w:sz="8" w:color="105EAB"/>
            </w:tcBorders>
          </w:tcPr>
          <w:p>
            <w:pPr>
              <w:spacing w:after="0"/>
              <w:rPr>
                <w:sz w:val="4"/>
                <w:szCs w:val="4"/>
                <w:color w:val="auto"/>
              </w:rPr>
            </w:pPr>
          </w:p>
        </w:tc>
        <w:tc>
          <w:tcPr>
            <w:tcW w:w="680" w:type="dxa"/>
            <w:vAlign w:val="bottom"/>
            <w:tcBorders>
              <w:bottom w:val="single" w:sz="8" w:color="105EAB"/>
            </w:tcBorders>
          </w:tcPr>
          <w:p>
            <w:pPr>
              <w:spacing w:after="0"/>
              <w:rPr>
                <w:sz w:val="4"/>
                <w:szCs w:val="4"/>
                <w:color w:val="auto"/>
              </w:rPr>
            </w:pPr>
          </w:p>
        </w:tc>
        <w:tc>
          <w:tcPr>
            <w:tcW w:w="700" w:type="dxa"/>
            <w:vAlign w:val="bottom"/>
            <w:tcBorders>
              <w:bottom w:val="single" w:sz="8" w:color="105EAB"/>
            </w:tcBorders>
          </w:tcPr>
          <w:p>
            <w:pPr>
              <w:spacing w:after="0"/>
              <w:rPr>
                <w:sz w:val="4"/>
                <w:szCs w:val="4"/>
                <w:color w:val="auto"/>
              </w:rPr>
            </w:pPr>
          </w:p>
        </w:tc>
        <w:tc>
          <w:tcPr>
            <w:tcW w:w="720" w:type="dxa"/>
            <w:vAlign w:val="bottom"/>
            <w:tcBorders>
              <w:bottom w:val="single" w:sz="8" w:color="105EAB"/>
            </w:tcBorders>
          </w:tcPr>
          <w:p>
            <w:pPr>
              <w:spacing w:after="0"/>
              <w:rPr>
                <w:sz w:val="4"/>
                <w:szCs w:val="4"/>
                <w:color w:val="auto"/>
              </w:rPr>
            </w:pPr>
          </w:p>
        </w:tc>
      </w:tr>
    </w:tbl>
    <w:p>
      <w:pPr>
        <w:spacing w:after="0" w:line="107" w:lineRule="exact"/>
        <w:rPr>
          <w:sz w:val="20"/>
          <w:szCs w:val="20"/>
          <w:color w:val="auto"/>
        </w:rPr>
      </w:pPr>
    </w:p>
    <w:p>
      <w:pPr>
        <w:ind w:left="300" w:right="180" w:hanging="292"/>
        <w:spacing w:after="0" w:line="258" w:lineRule="auto"/>
        <w:tabs>
          <w:tab w:leader="none" w:pos="300" w:val="left"/>
        </w:tabs>
        <w:numPr>
          <w:ilvl w:val="0"/>
          <w:numId w:val="254"/>
        </w:numPr>
        <w:rPr>
          <w:rFonts w:ascii="Arial" w:cs="Arial" w:eastAsia="Arial" w:hAnsi="Arial"/>
          <w:sz w:val="11"/>
          <w:szCs w:val="11"/>
          <w:color w:val="auto"/>
        </w:rPr>
      </w:pPr>
      <w:r>
        <w:rPr>
          <w:rFonts w:ascii="Arial" w:cs="Arial" w:eastAsia="Arial" w:hAnsi="Arial"/>
          <w:sz w:val="13"/>
          <w:szCs w:val="13"/>
          <w:color w:val="auto"/>
        </w:rPr>
        <w:t>Property-Liability results include the Allstate Protection and Discontinued Lines and Coverages segments. Property-Liability results also include the Service Businesses segment results for 2014.</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Underwriting margin is calculated as 100% minus the combined ratio.</w:t>
      </w:r>
    </w:p>
    <w:p>
      <w:pPr>
        <w:spacing w:after="0" w:line="189"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b w:val="1"/>
          <w:bCs w:val="1"/>
          <w:color w:val="auto"/>
        </w:rPr>
        <w:t xml:space="preserve">Adjusted Net Income return on common shareholders’ equity </w:t>
      </w:r>
      <w:r>
        <w:rPr>
          <w:rFonts w:ascii="Arial" w:cs="Arial" w:eastAsia="Arial" w:hAnsi="Arial"/>
          <w:sz w:val="16"/>
          <w:szCs w:val="16"/>
          <w:color w:val="auto"/>
        </w:rPr>
        <w:t>is a ratio that uses a non-GAAP measure. It is calculated by dividing the rolling</w:t>
      </w:r>
      <w:r>
        <w:rPr>
          <w:rFonts w:ascii="Arial" w:cs="Arial" w:eastAsia="Arial" w:hAnsi="Arial"/>
          <w:sz w:val="16"/>
          <w:szCs w:val="16"/>
          <w:b w:val="1"/>
          <w:bCs w:val="1"/>
          <w:color w:val="auto"/>
        </w:rPr>
        <w:t xml:space="preserve"> </w:t>
      </w:r>
      <w:r>
        <w:rPr>
          <w:rFonts w:ascii="Arial" w:cs="Arial" w:eastAsia="Arial" w:hAnsi="Arial"/>
          <w:sz w:val="16"/>
          <w:szCs w:val="16"/>
          <w:color w:val="auto"/>
        </w:rPr>
        <w:t>12-month Adjusted Net Income by the average of common shareholders’ equity at the beginning and at the end of the 12-months, after excluding the effect of unrealized net capital gains and losses. Return on common shareholders’ equity is the most directly comparable GAAP measure. We use Adjusted Net Income as the numerator for the same reasons we use Adjusted Net Income, as discussed above. We use average common shareholders’ equity excluding the effect of unrealized net capital gains and losses for the denominator as a representation of common shareholders’ equity primarily attributable to the company’s earned and realized business operations because it eliminates the effect of items that are unrealized and vary significantly between periods due to external economic developments such as capital market conditions like changes in equity prices and interest rates, the amount and timing of which are unrelated to the insurance underwriting process. We use it to supplement our evaluation of net income applicable to common shareholders and return on common shareholders’ equity because it excludes the effect of items that tend to be highly variable from period to period. We believe that this measure is useful to investors and that it provides a valuable tool for investors when considered along with return on common shareholders’ equity because it eliminates the after-tax effects of realized and unrealized net capital gains and losses that can fluctuate significantly from period to period and that are driven by economic developments, the magnitude and timing of which are generally not influenced by management. In addition, it eliminates non-recurring items that are not indicative of our ongoing business or economic trends. A byproduct of excluding the items noted above to determine Adjusted Net Income return on common shareholders’ equity from return on common shareholders’ equity is the transparency and understanding of their significance to return on common shareholders’ equity variability and profitability while recognizing these or similar items may recur in subsequent periods. We use adjusted measures of Adjusted Net Income return on common shareholders’ equity in incentive compensation. Therefore, we believe it is useful for investors to have Adjusted Net Income return on common shareholders’ equity and return on common shareholders’ equity when evaluating our performance. We note that investors, financial analysts, financial and business media organizations and rating agencies utilize Adjusted Net Income return on common shareholders’ equity results in their evaluation of our and our industry’s financial performance and in their investment decisions, recommendations and communications as it represents a reliable, representative and consistent measurement of the industry and the company and management’s utilization of capital. Adjusted Net Income return on common shareholders’ equity should not be considered a substitute for return on common shareholders’ equity and does not reflect the overall profitability of our business.</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1120" w:type="dxa"/>
            <w:vAlign w:val="bottom"/>
          </w:tcPr>
          <w:p>
            <w:pPr>
              <w:ind w:left="9640"/>
              <w:spacing w:after="0"/>
              <w:rPr>
                <w:sz w:val="20"/>
                <w:szCs w:val="20"/>
                <w:color w:val="auto"/>
              </w:rPr>
            </w:pPr>
            <w:r>
              <w:rPr>
                <w:rFonts w:ascii="Arial" w:cs="Arial" w:eastAsia="Arial" w:hAnsi="Arial"/>
                <w:sz w:val="13"/>
                <w:szCs w:val="13"/>
                <w:color w:val="105EAB"/>
              </w:rPr>
              <w:t>2019 Proxy Statement</w:t>
            </w:r>
          </w:p>
        </w:tc>
        <w:tc>
          <w:tcPr>
            <w:tcW w:w="320" w:type="dxa"/>
            <w:vAlign w:val="bottom"/>
          </w:tcPr>
          <w:p>
            <w:pPr>
              <w:jc w:val="right"/>
              <w:spacing w:after="0"/>
              <w:rPr>
                <w:sz w:val="20"/>
                <w:szCs w:val="20"/>
                <w:color w:val="auto"/>
              </w:rPr>
            </w:pPr>
            <w:r>
              <w:rPr>
                <w:rFonts w:ascii="Arial" w:cs="Arial" w:eastAsia="Arial" w:hAnsi="Arial"/>
                <w:sz w:val="13"/>
                <w:szCs w:val="13"/>
                <w:b w:val="1"/>
                <w:bCs w:val="1"/>
                <w:color w:val="105EAB"/>
              </w:rPr>
              <w:t>97</w:t>
            </w:r>
          </w:p>
        </w:tc>
      </w:tr>
      <w:tr>
        <w:trPr>
          <w:trHeight w:val="213"/>
        </w:trPr>
        <w:tc>
          <w:tcPr>
            <w:tcW w:w="1112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-13970</wp:posOffset>
            </wp:positionV>
            <wp:extent cx="1270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b w:val="1"/>
          <w:bCs w:val="1"/>
          <w:color w:val="105EAB"/>
        </w:rPr>
        <w:t xml:space="preserve">Other Information | </w:t>
      </w:r>
      <w:r>
        <w:rPr>
          <w:rFonts w:ascii="Arial" w:cs="Arial" w:eastAsia="Arial" w:hAnsi="Arial"/>
          <w:sz w:val="13"/>
          <w:szCs w:val="13"/>
          <w:b w:val="1"/>
          <w:bCs w:val="1"/>
          <w:color w:val="000000"/>
        </w:rPr>
        <w:t>Appendix A – Definitions of Non-GAAP Measures</w:t>
      </w:r>
    </w:p>
    <w:p>
      <w:pPr>
        <w:spacing w:after="0" w:line="235" w:lineRule="exact"/>
        <w:rPr>
          <w:sz w:val="20"/>
          <w:szCs w:val="20"/>
          <w:color w:val="auto"/>
        </w:rPr>
      </w:pPr>
    </w:p>
    <w:p>
      <w:pPr>
        <w:ind w:right="360"/>
        <w:spacing w:after="0" w:line="239" w:lineRule="auto"/>
        <w:rPr>
          <w:sz w:val="20"/>
          <w:szCs w:val="20"/>
          <w:color w:val="auto"/>
        </w:rPr>
      </w:pPr>
      <w:r>
        <w:rPr>
          <w:rFonts w:ascii="Arial" w:cs="Arial" w:eastAsia="Arial" w:hAnsi="Arial"/>
          <w:sz w:val="18"/>
          <w:szCs w:val="18"/>
          <w:color w:val="auto"/>
        </w:rPr>
        <w:t>The following tables reconcile return on common shareholders’ equity and Adjusted Net Income return on common shareholders’ equity for the years ended December 31.</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020" w:type="dxa"/>
            <w:vAlign w:val="bottom"/>
          </w:tcPr>
          <w:p>
            <w:pPr>
              <w:ind w:left="80"/>
              <w:spacing w:after="0"/>
              <w:rPr>
                <w:sz w:val="20"/>
                <w:szCs w:val="20"/>
                <w:color w:val="auto"/>
              </w:rPr>
            </w:pPr>
            <w:r>
              <w:rPr>
                <w:rFonts w:ascii="Arial" w:cs="Arial" w:eastAsia="Arial" w:hAnsi="Arial"/>
                <w:sz w:val="13"/>
                <w:szCs w:val="13"/>
                <w:i w:val="1"/>
                <w:iCs w:val="1"/>
                <w:color w:val="auto"/>
              </w:rPr>
              <w:t>($ in millions)</w:t>
            </w:r>
          </w:p>
        </w:tc>
        <w:tc>
          <w:tcPr>
            <w:tcW w:w="1980" w:type="dxa"/>
            <w:vAlign w:val="bottom"/>
          </w:tcPr>
          <w:p>
            <w:pPr>
              <w:spacing w:after="0"/>
              <w:rPr>
                <w:sz w:val="15"/>
                <w:szCs w:val="15"/>
                <w:color w:val="auto"/>
              </w:rPr>
            </w:pPr>
          </w:p>
        </w:tc>
        <w:tc>
          <w:tcPr>
            <w:tcW w:w="660" w:type="dxa"/>
            <w:vAlign w:val="bottom"/>
          </w:tcPr>
          <w:p>
            <w:pPr>
              <w:jc w:val="right"/>
              <w:ind w:right="73"/>
              <w:spacing w:after="0"/>
              <w:rPr>
                <w:sz w:val="20"/>
                <w:szCs w:val="20"/>
                <w:color w:val="auto"/>
              </w:rPr>
            </w:pPr>
            <w:r>
              <w:rPr>
                <w:rFonts w:ascii="Arial" w:cs="Arial" w:eastAsia="Arial" w:hAnsi="Arial"/>
                <w:sz w:val="13"/>
                <w:szCs w:val="13"/>
                <w:b w:val="1"/>
                <w:bCs w:val="1"/>
                <w:color w:val="105EAB"/>
              </w:rPr>
              <w:t>2018</w:t>
            </w:r>
          </w:p>
        </w:tc>
        <w:tc>
          <w:tcPr>
            <w:tcW w:w="300" w:type="dxa"/>
            <w:vAlign w:val="bottom"/>
          </w:tcPr>
          <w:p>
            <w:pPr>
              <w:spacing w:after="0"/>
              <w:rPr>
                <w:sz w:val="15"/>
                <w:szCs w:val="15"/>
                <w:color w:val="auto"/>
              </w:rPr>
            </w:pPr>
          </w:p>
        </w:tc>
        <w:tc>
          <w:tcPr>
            <w:tcW w:w="660" w:type="dxa"/>
            <w:vAlign w:val="bottom"/>
          </w:tcPr>
          <w:p>
            <w:pPr>
              <w:jc w:val="right"/>
              <w:ind w:right="73"/>
              <w:spacing w:after="0"/>
              <w:rPr>
                <w:sz w:val="20"/>
                <w:szCs w:val="20"/>
                <w:color w:val="auto"/>
              </w:rPr>
            </w:pPr>
            <w:r>
              <w:rPr>
                <w:rFonts w:ascii="Arial" w:cs="Arial" w:eastAsia="Arial" w:hAnsi="Arial"/>
                <w:sz w:val="13"/>
                <w:szCs w:val="13"/>
                <w:b w:val="1"/>
                <w:bCs w:val="1"/>
                <w:color w:val="105EAB"/>
              </w:rPr>
              <w:t>2017</w:t>
            </w:r>
          </w:p>
        </w:tc>
        <w:tc>
          <w:tcPr>
            <w:tcW w:w="300" w:type="dxa"/>
            <w:vAlign w:val="bottom"/>
          </w:tcPr>
          <w:p>
            <w:pPr>
              <w:spacing w:after="0"/>
              <w:rPr>
                <w:sz w:val="15"/>
                <w:szCs w:val="15"/>
                <w:color w:val="auto"/>
              </w:rPr>
            </w:pPr>
          </w:p>
        </w:tc>
        <w:tc>
          <w:tcPr>
            <w:tcW w:w="660" w:type="dxa"/>
            <w:vAlign w:val="bottom"/>
          </w:tcPr>
          <w:p>
            <w:pPr>
              <w:jc w:val="right"/>
              <w:ind w:right="73"/>
              <w:spacing w:after="0"/>
              <w:rPr>
                <w:sz w:val="20"/>
                <w:szCs w:val="20"/>
                <w:color w:val="auto"/>
              </w:rPr>
            </w:pPr>
            <w:r>
              <w:rPr>
                <w:rFonts w:ascii="Arial" w:cs="Arial" w:eastAsia="Arial" w:hAnsi="Arial"/>
                <w:sz w:val="13"/>
                <w:szCs w:val="13"/>
                <w:b w:val="1"/>
                <w:bCs w:val="1"/>
                <w:color w:val="105EAB"/>
              </w:rPr>
              <w:t>2016</w:t>
            </w:r>
          </w:p>
        </w:tc>
        <w:tc>
          <w:tcPr>
            <w:tcW w:w="300" w:type="dxa"/>
            <w:vAlign w:val="bottom"/>
          </w:tcPr>
          <w:p>
            <w:pPr>
              <w:spacing w:after="0"/>
              <w:rPr>
                <w:sz w:val="15"/>
                <w:szCs w:val="15"/>
                <w:color w:val="auto"/>
              </w:rPr>
            </w:pPr>
          </w:p>
        </w:tc>
        <w:tc>
          <w:tcPr>
            <w:tcW w:w="640" w:type="dxa"/>
            <w:vAlign w:val="bottom"/>
          </w:tcPr>
          <w:p>
            <w:pPr>
              <w:jc w:val="right"/>
              <w:ind w:right="53"/>
              <w:spacing w:after="0"/>
              <w:rPr>
                <w:sz w:val="20"/>
                <w:szCs w:val="20"/>
                <w:color w:val="auto"/>
              </w:rPr>
            </w:pPr>
            <w:r>
              <w:rPr>
                <w:rFonts w:ascii="Arial" w:cs="Arial" w:eastAsia="Arial" w:hAnsi="Arial"/>
                <w:sz w:val="13"/>
                <w:szCs w:val="13"/>
                <w:b w:val="1"/>
                <w:bCs w:val="1"/>
                <w:color w:val="105EAB"/>
              </w:rPr>
              <w:t>2015</w:t>
            </w:r>
          </w:p>
        </w:tc>
        <w:tc>
          <w:tcPr>
            <w:tcW w:w="320" w:type="dxa"/>
            <w:vAlign w:val="bottom"/>
          </w:tcPr>
          <w:p>
            <w:pPr>
              <w:spacing w:after="0"/>
              <w:rPr>
                <w:sz w:val="15"/>
                <w:szCs w:val="15"/>
                <w:color w:val="auto"/>
              </w:rPr>
            </w:pPr>
          </w:p>
        </w:tc>
        <w:tc>
          <w:tcPr>
            <w:tcW w:w="580" w:type="dxa"/>
            <w:vAlign w:val="bottom"/>
          </w:tcPr>
          <w:p>
            <w:pPr>
              <w:jc w:val="right"/>
              <w:ind w:right="13"/>
              <w:spacing w:after="0"/>
              <w:rPr>
                <w:sz w:val="20"/>
                <w:szCs w:val="20"/>
                <w:color w:val="auto"/>
              </w:rPr>
            </w:pPr>
            <w:r>
              <w:rPr>
                <w:rFonts w:ascii="Arial" w:cs="Arial" w:eastAsia="Arial" w:hAnsi="Arial"/>
                <w:sz w:val="13"/>
                <w:szCs w:val="13"/>
                <w:b w:val="1"/>
                <w:bCs w:val="1"/>
                <w:color w:val="105EAB"/>
              </w:rPr>
              <w:t>2014</w:t>
            </w:r>
          </w:p>
        </w:tc>
      </w:tr>
      <w:tr>
        <w:trPr>
          <w:trHeight w:val="48"/>
        </w:trPr>
        <w:tc>
          <w:tcPr>
            <w:tcW w:w="5020" w:type="dxa"/>
            <w:vAlign w:val="bottom"/>
            <w:tcBorders>
              <w:bottom w:val="single" w:sz="8" w:color="105EAB"/>
            </w:tcBorders>
          </w:tcPr>
          <w:p>
            <w:pPr>
              <w:spacing w:after="0"/>
              <w:rPr>
                <w:sz w:val="4"/>
                <w:szCs w:val="4"/>
                <w:color w:val="auto"/>
              </w:rPr>
            </w:pPr>
          </w:p>
        </w:tc>
        <w:tc>
          <w:tcPr>
            <w:tcW w:w="1980" w:type="dxa"/>
            <w:vAlign w:val="bottom"/>
            <w:tcBorders>
              <w:bottom w:val="single" w:sz="8" w:color="105EAB"/>
            </w:tcBorders>
          </w:tcPr>
          <w:p>
            <w:pPr>
              <w:spacing w:after="0"/>
              <w:rPr>
                <w:sz w:val="4"/>
                <w:szCs w:val="4"/>
                <w:color w:val="auto"/>
              </w:rPr>
            </w:pPr>
          </w:p>
        </w:tc>
        <w:tc>
          <w:tcPr>
            <w:tcW w:w="660" w:type="dxa"/>
            <w:vAlign w:val="bottom"/>
            <w:tcBorders>
              <w:bottom w:val="single" w:sz="8" w:color="105EAB"/>
            </w:tcBorders>
          </w:tcPr>
          <w:p>
            <w:pPr>
              <w:spacing w:after="0"/>
              <w:rPr>
                <w:sz w:val="4"/>
                <w:szCs w:val="4"/>
                <w:color w:val="auto"/>
              </w:rPr>
            </w:pPr>
          </w:p>
        </w:tc>
        <w:tc>
          <w:tcPr>
            <w:tcW w:w="300" w:type="dxa"/>
            <w:vAlign w:val="bottom"/>
            <w:tcBorders>
              <w:bottom w:val="single" w:sz="8" w:color="105EAB"/>
            </w:tcBorders>
          </w:tcPr>
          <w:p>
            <w:pPr>
              <w:spacing w:after="0"/>
              <w:rPr>
                <w:sz w:val="4"/>
                <w:szCs w:val="4"/>
                <w:color w:val="auto"/>
              </w:rPr>
            </w:pPr>
          </w:p>
        </w:tc>
        <w:tc>
          <w:tcPr>
            <w:tcW w:w="660" w:type="dxa"/>
            <w:vAlign w:val="bottom"/>
            <w:tcBorders>
              <w:bottom w:val="single" w:sz="8" w:color="105EAB"/>
            </w:tcBorders>
          </w:tcPr>
          <w:p>
            <w:pPr>
              <w:spacing w:after="0"/>
              <w:rPr>
                <w:sz w:val="4"/>
                <w:szCs w:val="4"/>
                <w:color w:val="auto"/>
              </w:rPr>
            </w:pPr>
          </w:p>
        </w:tc>
        <w:tc>
          <w:tcPr>
            <w:tcW w:w="300" w:type="dxa"/>
            <w:vAlign w:val="bottom"/>
            <w:tcBorders>
              <w:bottom w:val="single" w:sz="8" w:color="105EAB"/>
            </w:tcBorders>
          </w:tcPr>
          <w:p>
            <w:pPr>
              <w:spacing w:after="0"/>
              <w:rPr>
                <w:sz w:val="4"/>
                <w:szCs w:val="4"/>
                <w:color w:val="auto"/>
              </w:rPr>
            </w:pPr>
          </w:p>
        </w:tc>
        <w:tc>
          <w:tcPr>
            <w:tcW w:w="660" w:type="dxa"/>
            <w:vAlign w:val="bottom"/>
            <w:tcBorders>
              <w:bottom w:val="single" w:sz="8" w:color="105EAB"/>
            </w:tcBorders>
          </w:tcPr>
          <w:p>
            <w:pPr>
              <w:spacing w:after="0"/>
              <w:rPr>
                <w:sz w:val="4"/>
                <w:szCs w:val="4"/>
                <w:color w:val="auto"/>
              </w:rPr>
            </w:pPr>
          </w:p>
        </w:tc>
        <w:tc>
          <w:tcPr>
            <w:tcW w:w="300" w:type="dxa"/>
            <w:vAlign w:val="bottom"/>
            <w:tcBorders>
              <w:bottom w:val="single" w:sz="8" w:color="105EAB"/>
            </w:tcBorders>
          </w:tcPr>
          <w:p>
            <w:pPr>
              <w:spacing w:after="0"/>
              <w:rPr>
                <w:sz w:val="4"/>
                <w:szCs w:val="4"/>
                <w:color w:val="auto"/>
              </w:rPr>
            </w:pPr>
          </w:p>
        </w:tc>
        <w:tc>
          <w:tcPr>
            <w:tcW w:w="640" w:type="dxa"/>
            <w:vAlign w:val="bottom"/>
            <w:tcBorders>
              <w:bottom w:val="single" w:sz="8" w:color="105EAB"/>
            </w:tcBorders>
          </w:tcPr>
          <w:p>
            <w:pPr>
              <w:spacing w:after="0"/>
              <w:rPr>
                <w:sz w:val="4"/>
                <w:szCs w:val="4"/>
                <w:color w:val="auto"/>
              </w:rPr>
            </w:pPr>
          </w:p>
        </w:tc>
        <w:tc>
          <w:tcPr>
            <w:tcW w:w="320" w:type="dxa"/>
            <w:vAlign w:val="bottom"/>
            <w:tcBorders>
              <w:bottom w:val="single" w:sz="8" w:color="105EAB"/>
            </w:tcBorders>
          </w:tcPr>
          <w:p>
            <w:pPr>
              <w:spacing w:after="0"/>
              <w:rPr>
                <w:sz w:val="4"/>
                <w:szCs w:val="4"/>
                <w:color w:val="auto"/>
              </w:rPr>
            </w:pPr>
          </w:p>
        </w:tc>
        <w:tc>
          <w:tcPr>
            <w:tcW w:w="580" w:type="dxa"/>
            <w:vAlign w:val="bottom"/>
            <w:tcBorders>
              <w:bottom w:val="single" w:sz="8" w:color="105EAB"/>
            </w:tcBorders>
          </w:tcPr>
          <w:p>
            <w:pPr>
              <w:spacing w:after="0"/>
              <w:rPr>
                <w:sz w:val="4"/>
                <w:szCs w:val="4"/>
                <w:color w:val="auto"/>
              </w:rPr>
            </w:pPr>
          </w:p>
        </w:tc>
      </w:tr>
      <w:tr>
        <w:trPr>
          <w:trHeight w:val="202"/>
        </w:trPr>
        <w:tc>
          <w:tcPr>
            <w:tcW w:w="5020" w:type="dxa"/>
            <w:vAlign w:val="bottom"/>
          </w:tcPr>
          <w:p>
            <w:pPr>
              <w:ind w:left="80"/>
              <w:spacing w:after="0"/>
              <w:rPr>
                <w:sz w:val="20"/>
                <w:szCs w:val="20"/>
                <w:color w:val="auto"/>
              </w:rPr>
            </w:pPr>
            <w:r>
              <w:rPr>
                <w:rFonts w:ascii="Arial" w:cs="Arial" w:eastAsia="Arial" w:hAnsi="Arial"/>
                <w:sz w:val="13"/>
                <w:szCs w:val="13"/>
                <w:b w:val="1"/>
                <w:bCs w:val="1"/>
                <w:color w:val="auto"/>
              </w:rPr>
              <w:t>Return on common shareholders’ equity</w:t>
            </w:r>
          </w:p>
        </w:tc>
        <w:tc>
          <w:tcPr>
            <w:tcW w:w="1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41"/>
        </w:trPr>
        <w:tc>
          <w:tcPr>
            <w:tcW w:w="5020" w:type="dxa"/>
            <w:vAlign w:val="bottom"/>
            <w:tcBorders>
              <w:bottom w:val="single" w:sz="8" w:color="DFF1FB"/>
            </w:tcBorders>
          </w:tcPr>
          <w:p>
            <w:pPr>
              <w:spacing w:after="0"/>
              <w:rPr>
                <w:sz w:val="3"/>
                <w:szCs w:val="3"/>
                <w:color w:val="auto"/>
              </w:rPr>
            </w:pPr>
          </w:p>
        </w:tc>
        <w:tc>
          <w:tcPr>
            <w:tcW w:w="1980" w:type="dxa"/>
            <w:vAlign w:val="bottom"/>
            <w:tcBorders>
              <w:bottom w:val="single" w:sz="8" w:color="DFF1FB"/>
            </w:tcBorders>
          </w:tcPr>
          <w:p>
            <w:pPr>
              <w:spacing w:after="0"/>
              <w:rPr>
                <w:sz w:val="3"/>
                <w:szCs w:val="3"/>
                <w:color w:val="auto"/>
              </w:rPr>
            </w:pPr>
          </w:p>
        </w:tc>
        <w:tc>
          <w:tcPr>
            <w:tcW w:w="660" w:type="dxa"/>
            <w:vAlign w:val="bottom"/>
            <w:tcBorders>
              <w:bottom w:val="single" w:sz="8" w:color="DFF1FB"/>
            </w:tcBorders>
          </w:tcPr>
          <w:p>
            <w:pPr>
              <w:spacing w:after="0"/>
              <w:rPr>
                <w:sz w:val="3"/>
                <w:szCs w:val="3"/>
                <w:color w:val="auto"/>
              </w:rPr>
            </w:pPr>
          </w:p>
        </w:tc>
        <w:tc>
          <w:tcPr>
            <w:tcW w:w="300" w:type="dxa"/>
            <w:vAlign w:val="bottom"/>
            <w:tcBorders>
              <w:bottom w:val="single" w:sz="8" w:color="DFF1FB"/>
            </w:tcBorders>
          </w:tcPr>
          <w:p>
            <w:pPr>
              <w:spacing w:after="0"/>
              <w:rPr>
                <w:sz w:val="3"/>
                <w:szCs w:val="3"/>
                <w:color w:val="auto"/>
              </w:rPr>
            </w:pPr>
          </w:p>
        </w:tc>
        <w:tc>
          <w:tcPr>
            <w:tcW w:w="660" w:type="dxa"/>
            <w:vAlign w:val="bottom"/>
            <w:tcBorders>
              <w:bottom w:val="single" w:sz="8" w:color="DFF1FB"/>
            </w:tcBorders>
          </w:tcPr>
          <w:p>
            <w:pPr>
              <w:spacing w:after="0"/>
              <w:rPr>
                <w:sz w:val="3"/>
                <w:szCs w:val="3"/>
                <w:color w:val="auto"/>
              </w:rPr>
            </w:pPr>
          </w:p>
        </w:tc>
        <w:tc>
          <w:tcPr>
            <w:tcW w:w="300" w:type="dxa"/>
            <w:vAlign w:val="bottom"/>
            <w:tcBorders>
              <w:bottom w:val="single" w:sz="8" w:color="DFF1FB"/>
            </w:tcBorders>
          </w:tcPr>
          <w:p>
            <w:pPr>
              <w:spacing w:after="0"/>
              <w:rPr>
                <w:sz w:val="3"/>
                <w:szCs w:val="3"/>
                <w:color w:val="auto"/>
              </w:rPr>
            </w:pPr>
          </w:p>
        </w:tc>
        <w:tc>
          <w:tcPr>
            <w:tcW w:w="660" w:type="dxa"/>
            <w:vAlign w:val="bottom"/>
            <w:tcBorders>
              <w:bottom w:val="single" w:sz="8" w:color="DFF1FB"/>
            </w:tcBorders>
          </w:tcPr>
          <w:p>
            <w:pPr>
              <w:spacing w:after="0"/>
              <w:rPr>
                <w:sz w:val="3"/>
                <w:szCs w:val="3"/>
                <w:color w:val="auto"/>
              </w:rPr>
            </w:pPr>
          </w:p>
        </w:tc>
        <w:tc>
          <w:tcPr>
            <w:tcW w:w="300" w:type="dxa"/>
            <w:vAlign w:val="bottom"/>
            <w:tcBorders>
              <w:bottom w:val="single" w:sz="8" w:color="DFF1FB"/>
            </w:tcBorders>
          </w:tcPr>
          <w:p>
            <w:pPr>
              <w:spacing w:after="0"/>
              <w:rPr>
                <w:sz w:val="3"/>
                <w:szCs w:val="3"/>
                <w:color w:val="auto"/>
              </w:rPr>
            </w:pPr>
          </w:p>
        </w:tc>
        <w:tc>
          <w:tcPr>
            <w:tcW w:w="640" w:type="dxa"/>
            <w:vAlign w:val="bottom"/>
            <w:tcBorders>
              <w:bottom w:val="single" w:sz="8" w:color="DFF1FB"/>
            </w:tcBorders>
          </w:tcPr>
          <w:p>
            <w:pPr>
              <w:spacing w:after="0"/>
              <w:rPr>
                <w:sz w:val="3"/>
                <w:szCs w:val="3"/>
                <w:color w:val="auto"/>
              </w:rPr>
            </w:pPr>
          </w:p>
        </w:tc>
        <w:tc>
          <w:tcPr>
            <w:tcW w:w="320" w:type="dxa"/>
            <w:vAlign w:val="bottom"/>
            <w:tcBorders>
              <w:bottom w:val="single" w:sz="8" w:color="DFF1FB"/>
            </w:tcBorders>
          </w:tcPr>
          <w:p>
            <w:pPr>
              <w:spacing w:after="0"/>
              <w:rPr>
                <w:sz w:val="3"/>
                <w:szCs w:val="3"/>
                <w:color w:val="auto"/>
              </w:rPr>
            </w:pPr>
          </w:p>
        </w:tc>
        <w:tc>
          <w:tcPr>
            <w:tcW w:w="580" w:type="dxa"/>
            <w:vAlign w:val="bottom"/>
            <w:tcBorders>
              <w:bottom w:val="single" w:sz="8" w:color="DFF1FB"/>
            </w:tcBorders>
          </w:tcPr>
          <w:p>
            <w:pPr>
              <w:spacing w:after="0"/>
              <w:rPr>
                <w:sz w:val="3"/>
                <w:szCs w:val="3"/>
                <w:color w:val="auto"/>
              </w:rPr>
            </w:pPr>
          </w:p>
        </w:tc>
      </w:tr>
      <w:tr>
        <w:trPr>
          <w:trHeight w:val="195"/>
        </w:trPr>
        <w:tc>
          <w:tcPr>
            <w:tcW w:w="5020" w:type="dxa"/>
            <w:vAlign w:val="bottom"/>
          </w:tcPr>
          <w:p>
            <w:pPr>
              <w:ind w:left="80"/>
              <w:spacing w:after="0"/>
              <w:rPr>
                <w:sz w:val="20"/>
                <w:szCs w:val="20"/>
                <w:color w:val="auto"/>
              </w:rPr>
            </w:pPr>
            <w:r>
              <w:rPr>
                <w:rFonts w:ascii="Arial" w:cs="Arial" w:eastAsia="Arial" w:hAnsi="Arial"/>
                <w:sz w:val="13"/>
                <w:szCs w:val="13"/>
                <w:color w:val="auto"/>
              </w:rPr>
              <w:t>Numerator:</w:t>
            </w:r>
          </w:p>
        </w:tc>
        <w:tc>
          <w:tcPr>
            <w:tcW w:w="19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41"/>
        </w:trPr>
        <w:tc>
          <w:tcPr>
            <w:tcW w:w="5020" w:type="dxa"/>
            <w:vAlign w:val="bottom"/>
            <w:tcBorders>
              <w:bottom w:val="single" w:sz="8" w:color="DFF1FB"/>
            </w:tcBorders>
          </w:tcPr>
          <w:p>
            <w:pPr>
              <w:spacing w:after="0"/>
              <w:rPr>
                <w:sz w:val="3"/>
                <w:szCs w:val="3"/>
                <w:color w:val="auto"/>
              </w:rPr>
            </w:pPr>
          </w:p>
        </w:tc>
        <w:tc>
          <w:tcPr>
            <w:tcW w:w="1980" w:type="dxa"/>
            <w:vAlign w:val="bottom"/>
            <w:tcBorders>
              <w:bottom w:val="single" w:sz="8" w:color="DFF1FB"/>
            </w:tcBorders>
          </w:tcPr>
          <w:p>
            <w:pPr>
              <w:spacing w:after="0"/>
              <w:rPr>
                <w:sz w:val="3"/>
                <w:szCs w:val="3"/>
                <w:color w:val="auto"/>
              </w:rPr>
            </w:pPr>
          </w:p>
        </w:tc>
        <w:tc>
          <w:tcPr>
            <w:tcW w:w="660" w:type="dxa"/>
            <w:vAlign w:val="bottom"/>
            <w:tcBorders>
              <w:bottom w:val="single" w:sz="8" w:color="DFF1FB"/>
            </w:tcBorders>
          </w:tcPr>
          <w:p>
            <w:pPr>
              <w:spacing w:after="0"/>
              <w:rPr>
                <w:sz w:val="3"/>
                <w:szCs w:val="3"/>
                <w:color w:val="auto"/>
              </w:rPr>
            </w:pPr>
          </w:p>
        </w:tc>
        <w:tc>
          <w:tcPr>
            <w:tcW w:w="300" w:type="dxa"/>
            <w:vAlign w:val="bottom"/>
            <w:tcBorders>
              <w:bottom w:val="single" w:sz="8" w:color="DFF1FB"/>
            </w:tcBorders>
          </w:tcPr>
          <w:p>
            <w:pPr>
              <w:spacing w:after="0"/>
              <w:rPr>
                <w:sz w:val="3"/>
                <w:szCs w:val="3"/>
                <w:color w:val="auto"/>
              </w:rPr>
            </w:pPr>
          </w:p>
        </w:tc>
        <w:tc>
          <w:tcPr>
            <w:tcW w:w="660" w:type="dxa"/>
            <w:vAlign w:val="bottom"/>
            <w:tcBorders>
              <w:bottom w:val="single" w:sz="8" w:color="DFF1FB"/>
            </w:tcBorders>
          </w:tcPr>
          <w:p>
            <w:pPr>
              <w:spacing w:after="0"/>
              <w:rPr>
                <w:sz w:val="3"/>
                <w:szCs w:val="3"/>
                <w:color w:val="auto"/>
              </w:rPr>
            </w:pPr>
          </w:p>
        </w:tc>
        <w:tc>
          <w:tcPr>
            <w:tcW w:w="300" w:type="dxa"/>
            <w:vAlign w:val="bottom"/>
            <w:tcBorders>
              <w:bottom w:val="single" w:sz="8" w:color="DFF1FB"/>
            </w:tcBorders>
          </w:tcPr>
          <w:p>
            <w:pPr>
              <w:spacing w:after="0"/>
              <w:rPr>
                <w:sz w:val="3"/>
                <w:szCs w:val="3"/>
                <w:color w:val="auto"/>
              </w:rPr>
            </w:pPr>
          </w:p>
        </w:tc>
        <w:tc>
          <w:tcPr>
            <w:tcW w:w="660" w:type="dxa"/>
            <w:vAlign w:val="bottom"/>
            <w:tcBorders>
              <w:bottom w:val="single" w:sz="8" w:color="DFF1FB"/>
            </w:tcBorders>
          </w:tcPr>
          <w:p>
            <w:pPr>
              <w:spacing w:after="0"/>
              <w:rPr>
                <w:sz w:val="3"/>
                <w:szCs w:val="3"/>
                <w:color w:val="auto"/>
              </w:rPr>
            </w:pPr>
          </w:p>
        </w:tc>
        <w:tc>
          <w:tcPr>
            <w:tcW w:w="300" w:type="dxa"/>
            <w:vAlign w:val="bottom"/>
            <w:tcBorders>
              <w:bottom w:val="single" w:sz="8" w:color="DFF1FB"/>
            </w:tcBorders>
          </w:tcPr>
          <w:p>
            <w:pPr>
              <w:spacing w:after="0"/>
              <w:rPr>
                <w:sz w:val="3"/>
                <w:szCs w:val="3"/>
                <w:color w:val="auto"/>
              </w:rPr>
            </w:pPr>
          </w:p>
        </w:tc>
        <w:tc>
          <w:tcPr>
            <w:tcW w:w="640" w:type="dxa"/>
            <w:vAlign w:val="bottom"/>
            <w:tcBorders>
              <w:bottom w:val="single" w:sz="8" w:color="DFF1FB"/>
            </w:tcBorders>
          </w:tcPr>
          <w:p>
            <w:pPr>
              <w:spacing w:after="0"/>
              <w:rPr>
                <w:sz w:val="3"/>
                <w:szCs w:val="3"/>
                <w:color w:val="auto"/>
              </w:rPr>
            </w:pPr>
          </w:p>
        </w:tc>
        <w:tc>
          <w:tcPr>
            <w:tcW w:w="320" w:type="dxa"/>
            <w:vAlign w:val="bottom"/>
            <w:tcBorders>
              <w:bottom w:val="single" w:sz="8" w:color="DFF1FB"/>
            </w:tcBorders>
          </w:tcPr>
          <w:p>
            <w:pPr>
              <w:spacing w:after="0"/>
              <w:rPr>
                <w:sz w:val="3"/>
                <w:szCs w:val="3"/>
                <w:color w:val="auto"/>
              </w:rPr>
            </w:pPr>
          </w:p>
        </w:tc>
        <w:tc>
          <w:tcPr>
            <w:tcW w:w="580" w:type="dxa"/>
            <w:vAlign w:val="bottom"/>
            <w:tcBorders>
              <w:bottom w:val="single" w:sz="8" w:color="DFF1FB"/>
            </w:tcBorders>
          </w:tcPr>
          <w:p>
            <w:pPr>
              <w:spacing w:after="0"/>
              <w:rPr>
                <w:sz w:val="3"/>
                <w:szCs w:val="3"/>
                <w:color w:val="auto"/>
              </w:rPr>
            </w:pPr>
          </w:p>
        </w:tc>
      </w:tr>
      <w:tr>
        <w:trPr>
          <w:trHeight w:val="195"/>
        </w:trPr>
        <w:tc>
          <w:tcPr>
            <w:tcW w:w="5020" w:type="dxa"/>
            <w:vAlign w:val="bottom"/>
          </w:tcPr>
          <w:p>
            <w:pPr>
              <w:ind w:left="340"/>
              <w:spacing w:after="0"/>
              <w:rPr>
                <w:sz w:val="20"/>
                <w:szCs w:val="20"/>
                <w:color w:val="auto"/>
              </w:rPr>
            </w:pPr>
            <w:r>
              <w:rPr>
                <w:rFonts w:ascii="Arial" w:cs="Arial" w:eastAsia="Arial" w:hAnsi="Arial"/>
                <w:sz w:val="13"/>
                <w:szCs w:val="13"/>
                <w:color w:val="auto"/>
              </w:rPr>
              <w:t>Net income applicable to common shareholders</w:t>
            </w:r>
          </w:p>
        </w:tc>
        <w:tc>
          <w:tcPr>
            <w:tcW w:w="19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73"/>
              <w:spacing w:after="0"/>
              <w:rPr>
                <w:sz w:val="20"/>
                <w:szCs w:val="20"/>
                <w:color w:val="auto"/>
              </w:rPr>
            </w:pPr>
            <w:r>
              <w:rPr>
                <w:rFonts w:ascii="Arial" w:cs="Arial" w:eastAsia="Arial" w:hAnsi="Arial"/>
                <w:sz w:val="13"/>
                <w:szCs w:val="13"/>
                <w:color w:val="auto"/>
              </w:rPr>
              <w:t>2,104</w:t>
            </w:r>
          </w:p>
        </w:tc>
        <w:tc>
          <w:tcPr>
            <w:tcW w:w="3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73"/>
              <w:spacing w:after="0"/>
              <w:rPr>
                <w:sz w:val="20"/>
                <w:szCs w:val="20"/>
                <w:color w:val="auto"/>
              </w:rPr>
            </w:pPr>
            <w:r>
              <w:rPr>
                <w:rFonts w:ascii="Arial" w:cs="Arial" w:eastAsia="Arial" w:hAnsi="Arial"/>
                <w:sz w:val="13"/>
                <w:szCs w:val="13"/>
                <w:color w:val="auto"/>
              </w:rPr>
              <w:t>3,073</w:t>
            </w:r>
          </w:p>
        </w:tc>
        <w:tc>
          <w:tcPr>
            <w:tcW w:w="3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73"/>
              <w:spacing w:after="0"/>
              <w:rPr>
                <w:sz w:val="20"/>
                <w:szCs w:val="20"/>
                <w:color w:val="auto"/>
              </w:rPr>
            </w:pPr>
            <w:r>
              <w:rPr>
                <w:rFonts w:ascii="Arial" w:cs="Arial" w:eastAsia="Arial" w:hAnsi="Arial"/>
                <w:sz w:val="13"/>
                <w:szCs w:val="13"/>
                <w:color w:val="auto"/>
              </w:rPr>
              <w:t>1,761</w:t>
            </w:r>
          </w:p>
        </w:tc>
        <w:tc>
          <w:tcPr>
            <w:tcW w:w="3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53"/>
              <w:spacing w:after="0"/>
              <w:rPr>
                <w:sz w:val="20"/>
                <w:szCs w:val="20"/>
                <w:color w:val="auto"/>
              </w:rPr>
            </w:pPr>
            <w:r>
              <w:rPr>
                <w:rFonts w:ascii="Arial" w:cs="Arial" w:eastAsia="Arial" w:hAnsi="Arial"/>
                <w:sz w:val="13"/>
                <w:szCs w:val="13"/>
                <w:color w:val="auto"/>
              </w:rPr>
              <w:t>2,055</w:t>
            </w:r>
          </w:p>
        </w:tc>
        <w:tc>
          <w:tcPr>
            <w:tcW w:w="32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13"/>
              <w:spacing w:after="0"/>
              <w:rPr>
                <w:sz w:val="20"/>
                <w:szCs w:val="20"/>
                <w:color w:val="auto"/>
              </w:rPr>
            </w:pPr>
            <w:r>
              <w:rPr>
                <w:rFonts w:ascii="Arial" w:cs="Arial" w:eastAsia="Arial" w:hAnsi="Arial"/>
                <w:sz w:val="13"/>
                <w:szCs w:val="13"/>
                <w:color w:val="auto"/>
              </w:rPr>
              <w:t>2,746</w:t>
            </w:r>
          </w:p>
        </w:tc>
      </w:tr>
      <w:tr>
        <w:trPr>
          <w:trHeight w:val="41"/>
        </w:trPr>
        <w:tc>
          <w:tcPr>
            <w:tcW w:w="5020" w:type="dxa"/>
            <w:vAlign w:val="bottom"/>
            <w:tcBorders>
              <w:bottom w:val="single" w:sz="8" w:color="DFF1FB"/>
            </w:tcBorders>
          </w:tcPr>
          <w:p>
            <w:pPr>
              <w:spacing w:after="0"/>
              <w:rPr>
                <w:sz w:val="3"/>
                <w:szCs w:val="3"/>
                <w:color w:val="auto"/>
              </w:rPr>
            </w:pPr>
          </w:p>
        </w:tc>
        <w:tc>
          <w:tcPr>
            <w:tcW w:w="1980" w:type="dxa"/>
            <w:vAlign w:val="bottom"/>
            <w:tcBorders>
              <w:bottom w:val="single" w:sz="8" w:color="DFF1FB"/>
            </w:tcBorders>
          </w:tcPr>
          <w:p>
            <w:pPr>
              <w:spacing w:after="0"/>
              <w:rPr>
                <w:sz w:val="3"/>
                <w:szCs w:val="3"/>
                <w:color w:val="auto"/>
              </w:rPr>
            </w:pPr>
          </w:p>
        </w:tc>
        <w:tc>
          <w:tcPr>
            <w:tcW w:w="660" w:type="dxa"/>
            <w:vAlign w:val="bottom"/>
            <w:tcBorders>
              <w:bottom w:val="single" w:sz="8" w:color="DFF1FB"/>
            </w:tcBorders>
          </w:tcPr>
          <w:p>
            <w:pPr>
              <w:spacing w:after="0"/>
              <w:rPr>
                <w:sz w:val="3"/>
                <w:szCs w:val="3"/>
                <w:color w:val="auto"/>
              </w:rPr>
            </w:pPr>
          </w:p>
        </w:tc>
        <w:tc>
          <w:tcPr>
            <w:tcW w:w="300" w:type="dxa"/>
            <w:vAlign w:val="bottom"/>
            <w:tcBorders>
              <w:bottom w:val="single" w:sz="8" w:color="DFF1FB"/>
            </w:tcBorders>
          </w:tcPr>
          <w:p>
            <w:pPr>
              <w:spacing w:after="0"/>
              <w:rPr>
                <w:sz w:val="3"/>
                <w:szCs w:val="3"/>
                <w:color w:val="auto"/>
              </w:rPr>
            </w:pPr>
          </w:p>
        </w:tc>
        <w:tc>
          <w:tcPr>
            <w:tcW w:w="660" w:type="dxa"/>
            <w:vAlign w:val="bottom"/>
            <w:tcBorders>
              <w:bottom w:val="single" w:sz="8" w:color="DFF1FB"/>
            </w:tcBorders>
          </w:tcPr>
          <w:p>
            <w:pPr>
              <w:spacing w:after="0"/>
              <w:rPr>
                <w:sz w:val="3"/>
                <w:szCs w:val="3"/>
                <w:color w:val="auto"/>
              </w:rPr>
            </w:pPr>
          </w:p>
        </w:tc>
        <w:tc>
          <w:tcPr>
            <w:tcW w:w="300" w:type="dxa"/>
            <w:vAlign w:val="bottom"/>
            <w:tcBorders>
              <w:bottom w:val="single" w:sz="8" w:color="DFF1FB"/>
            </w:tcBorders>
          </w:tcPr>
          <w:p>
            <w:pPr>
              <w:spacing w:after="0"/>
              <w:rPr>
                <w:sz w:val="3"/>
                <w:szCs w:val="3"/>
                <w:color w:val="auto"/>
              </w:rPr>
            </w:pPr>
          </w:p>
        </w:tc>
        <w:tc>
          <w:tcPr>
            <w:tcW w:w="660" w:type="dxa"/>
            <w:vAlign w:val="bottom"/>
            <w:tcBorders>
              <w:bottom w:val="single" w:sz="8" w:color="DFF1FB"/>
            </w:tcBorders>
          </w:tcPr>
          <w:p>
            <w:pPr>
              <w:spacing w:after="0"/>
              <w:rPr>
                <w:sz w:val="3"/>
                <w:szCs w:val="3"/>
                <w:color w:val="auto"/>
              </w:rPr>
            </w:pPr>
          </w:p>
        </w:tc>
        <w:tc>
          <w:tcPr>
            <w:tcW w:w="300" w:type="dxa"/>
            <w:vAlign w:val="bottom"/>
            <w:tcBorders>
              <w:bottom w:val="single" w:sz="8" w:color="DFF1FB"/>
            </w:tcBorders>
          </w:tcPr>
          <w:p>
            <w:pPr>
              <w:spacing w:after="0"/>
              <w:rPr>
                <w:sz w:val="3"/>
                <w:szCs w:val="3"/>
                <w:color w:val="auto"/>
              </w:rPr>
            </w:pPr>
          </w:p>
        </w:tc>
        <w:tc>
          <w:tcPr>
            <w:tcW w:w="640" w:type="dxa"/>
            <w:vAlign w:val="bottom"/>
            <w:tcBorders>
              <w:bottom w:val="single" w:sz="8" w:color="DFF1FB"/>
            </w:tcBorders>
          </w:tcPr>
          <w:p>
            <w:pPr>
              <w:spacing w:after="0"/>
              <w:rPr>
                <w:sz w:val="3"/>
                <w:szCs w:val="3"/>
                <w:color w:val="auto"/>
              </w:rPr>
            </w:pPr>
          </w:p>
        </w:tc>
        <w:tc>
          <w:tcPr>
            <w:tcW w:w="320" w:type="dxa"/>
            <w:vAlign w:val="bottom"/>
            <w:tcBorders>
              <w:bottom w:val="single" w:sz="8" w:color="DFF1FB"/>
            </w:tcBorders>
          </w:tcPr>
          <w:p>
            <w:pPr>
              <w:spacing w:after="0"/>
              <w:rPr>
                <w:sz w:val="3"/>
                <w:szCs w:val="3"/>
                <w:color w:val="auto"/>
              </w:rPr>
            </w:pPr>
          </w:p>
        </w:tc>
        <w:tc>
          <w:tcPr>
            <w:tcW w:w="580" w:type="dxa"/>
            <w:vAlign w:val="bottom"/>
            <w:tcBorders>
              <w:bottom w:val="single" w:sz="8" w:color="DFF1FB"/>
            </w:tcBorders>
          </w:tcPr>
          <w:p>
            <w:pPr>
              <w:spacing w:after="0"/>
              <w:rPr>
                <w:sz w:val="3"/>
                <w:szCs w:val="3"/>
                <w:color w:val="auto"/>
              </w:rPr>
            </w:pPr>
          </w:p>
        </w:tc>
      </w:tr>
      <w:tr>
        <w:trPr>
          <w:trHeight w:val="195"/>
        </w:trPr>
        <w:tc>
          <w:tcPr>
            <w:tcW w:w="5020" w:type="dxa"/>
            <w:vAlign w:val="bottom"/>
          </w:tcPr>
          <w:p>
            <w:pPr>
              <w:ind w:left="80"/>
              <w:spacing w:after="0"/>
              <w:rPr>
                <w:sz w:val="20"/>
                <w:szCs w:val="20"/>
                <w:color w:val="auto"/>
              </w:rPr>
            </w:pPr>
            <w:r>
              <w:rPr>
                <w:rFonts w:ascii="Arial" w:cs="Arial" w:eastAsia="Arial" w:hAnsi="Arial"/>
                <w:sz w:val="13"/>
                <w:szCs w:val="13"/>
                <w:color w:val="auto"/>
              </w:rPr>
              <w:t>Denominator:</w:t>
            </w:r>
          </w:p>
        </w:tc>
        <w:tc>
          <w:tcPr>
            <w:tcW w:w="19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41"/>
        </w:trPr>
        <w:tc>
          <w:tcPr>
            <w:tcW w:w="5020" w:type="dxa"/>
            <w:vAlign w:val="bottom"/>
            <w:tcBorders>
              <w:bottom w:val="single" w:sz="8" w:color="DFF1FB"/>
            </w:tcBorders>
          </w:tcPr>
          <w:p>
            <w:pPr>
              <w:spacing w:after="0"/>
              <w:rPr>
                <w:sz w:val="3"/>
                <w:szCs w:val="3"/>
                <w:color w:val="auto"/>
              </w:rPr>
            </w:pPr>
          </w:p>
        </w:tc>
        <w:tc>
          <w:tcPr>
            <w:tcW w:w="1980" w:type="dxa"/>
            <w:vAlign w:val="bottom"/>
            <w:tcBorders>
              <w:bottom w:val="single" w:sz="8" w:color="DFF1FB"/>
            </w:tcBorders>
          </w:tcPr>
          <w:p>
            <w:pPr>
              <w:spacing w:after="0"/>
              <w:rPr>
                <w:sz w:val="3"/>
                <w:szCs w:val="3"/>
                <w:color w:val="auto"/>
              </w:rPr>
            </w:pPr>
          </w:p>
        </w:tc>
        <w:tc>
          <w:tcPr>
            <w:tcW w:w="660" w:type="dxa"/>
            <w:vAlign w:val="bottom"/>
            <w:tcBorders>
              <w:bottom w:val="single" w:sz="8" w:color="DFF1FB"/>
            </w:tcBorders>
          </w:tcPr>
          <w:p>
            <w:pPr>
              <w:spacing w:after="0"/>
              <w:rPr>
                <w:sz w:val="3"/>
                <w:szCs w:val="3"/>
                <w:color w:val="auto"/>
              </w:rPr>
            </w:pPr>
          </w:p>
        </w:tc>
        <w:tc>
          <w:tcPr>
            <w:tcW w:w="300" w:type="dxa"/>
            <w:vAlign w:val="bottom"/>
            <w:tcBorders>
              <w:bottom w:val="single" w:sz="8" w:color="DFF1FB"/>
            </w:tcBorders>
          </w:tcPr>
          <w:p>
            <w:pPr>
              <w:spacing w:after="0"/>
              <w:rPr>
                <w:sz w:val="3"/>
                <w:szCs w:val="3"/>
                <w:color w:val="auto"/>
              </w:rPr>
            </w:pPr>
          </w:p>
        </w:tc>
        <w:tc>
          <w:tcPr>
            <w:tcW w:w="660" w:type="dxa"/>
            <w:vAlign w:val="bottom"/>
            <w:tcBorders>
              <w:bottom w:val="single" w:sz="8" w:color="DFF1FB"/>
            </w:tcBorders>
          </w:tcPr>
          <w:p>
            <w:pPr>
              <w:spacing w:after="0"/>
              <w:rPr>
                <w:sz w:val="3"/>
                <w:szCs w:val="3"/>
                <w:color w:val="auto"/>
              </w:rPr>
            </w:pPr>
          </w:p>
        </w:tc>
        <w:tc>
          <w:tcPr>
            <w:tcW w:w="300" w:type="dxa"/>
            <w:vAlign w:val="bottom"/>
            <w:tcBorders>
              <w:bottom w:val="single" w:sz="8" w:color="DFF1FB"/>
            </w:tcBorders>
          </w:tcPr>
          <w:p>
            <w:pPr>
              <w:spacing w:after="0"/>
              <w:rPr>
                <w:sz w:val="3"/>
                <w:szCs w:val="3"/>
                <w:color w:val="auto"/>
              </w:rPr>
            </w:pPr>
          </w:p>
        </w:tc>
        <w:tc>
          <w:tcPr>
            <w:tcW w:w="660" w:type="dxa"/>
            <w:vAlign w:val="bottom"/>
            <w:tcBorders>
              <w:bottom w:val="single" w:sz="8" w:color="DFF1FB"/>
            </w:tcBorders>
          </w:tcPr>
          <w:p>
            <w:pPr>
              <w:spacing w:after="0"/>
              <w:rPr>
                <w:sz w:val="3"/>
                <w:szCs w:val="3"/>
                <w:color w:val="auto"/>
              </w:rPr>
            </w:pPr>
          </w:p>
        </w:tc>
        <w:tc>
          <w:tcPr>
            <w:tcW w:w="300" w:type="dxa"/>
            <w:vAlign w:val="bottom"/>
            <w:tcBorders>
              <w:bottom w:val="single" w:sz="8" w:color="DFF1FB"/>
            </w:tcBorders>
          </w:tcPr>
          <w:p>
            <w:pPr>
              <w:spacing w:after="0"/>
              <w:rPr>
                <w:sz w:val="3"/>
                <w:szCs w:val="3"/>
                <w:color w:val="auto"/>
              </w:rPr>
            </w:pPr>
          </w:p>
        </w:tc>
        <w:tc>
          <w:tcPr>
            <w:tcW w:w="640" w:type="dxa"/>
            <w:vAlign w:val="bottom"/>
            <w:tcBorders>
              <w:bottom w:val="single" w:sz="8" w:color="DFF1FB"/>
            </w:tcBorders>
          </w:tcPr>
          <w:p>
            <w:pPr>
              <w:spacing w:after="0"/>
              <w:rPr>
                <w:sz w:val="3"/>
                <w:szCs w:val="3"/>
                <w:color w:val="auto"/>
              </w:rPr>
            </w:pPr>
          </w:p>
        </w:tc>
        <w:tc>
          <w:tcPr>
            <w:tcW w:w="320" w:type="dxa"/>
            <w:vAlign w:val="bottom"/>
            <w:tcBorders>
              <w:bottom w:val="single" w:sz="8" w:color="DFF1FB"/>
            </w:tcBorders>
          </w:tcPr>
          <w:p>
            <w:pPr>
              <w:spacing w:after="0"/>
              <w:rPr>
                <w:sz w:val="3"/>
                <w:szCs w:val="3"/>
                <w:color w:val="auto"/>
              </w:rPr>
            </w:pPr>
          </w:p>
        </w:tc>
        <w:tc>
          <w:tcPr>
            <w:tcW w:w="580" w:type="dxa"/>
            <w:vAlign w:val="bottom"/>
            <w:tcBorders>
              <w:bottom w:val="single" w:sz="8" w:color="DFF1FB"/>
            </w:tcBorders>
          </w:tcPr>
          <w:p>
            <w:pPr>
              <w:spacing w:after="0"/>
              <w:rPr>
                <w:sz w:val="3"/>
                <w:szCs w:val="3"/>
                <w:color w:val="auto"/>
              </w:rPr>
            </w:pPr>
          </w:p>
        </w:tc>
      </w:tr>
      <w:tr>
        <w:trPr>
          <w:trHeight w:val="290"/>
        </w:trPr>
        <w:tc>
          <w:tcPr>
            <w:tcW w:w="5020" w:type="dxa"/>
            <w:vAlign w:val="bottom"/>
            <w:tcBorders>
              <w:bottom w:val="single" w:sz="8" w:color="DFF1FB"/>
            </w:tcBorders>
          </w:tcPr>
          <w:p>
            <w:pPr>
              <w:ind w:left="340"/>
              <w:spacing w:after="0"/>
              <w:rPr>
                <w:sz w:val="20"/>
                <w:szCs w:val="20"/>
                <w:color w:val="auto"/>
              </w:rPr>
            </w:pPr>
            <w:r>
              <w:rPr>
                <w:rFonts w:ascii="Arial" w:cs="Arial" w:eastAsia="Arial" w:hAnsi="Arial"/>
                <w:sz w:val="13"/>
                <w:szCs w:val="13"/>
                <w:color w:val="auto"/>
              </w:rPr>
              <w:t>Beginning common shareholders’ equity</w:t>
            </w:r>
            <w:r>
              <w:rPr>
                <w:rFonts w:ascii="Arial" w:cs="Arial" w:eastAsia="Arial" w:hAnsi="Arial"/>
                <w:sz w:val="22"/>
                <w:szCs w:val="22"/>
                <w:color w:val="auto"/>
                <w:vertAlign w:val="superscript"/>
              </w:rPr>
              <w:t>(1)</w:t>
            </w:r>
          </w:p>
        </w:tc>
        <w:tc>
          <w:tcPr>
            <w:tcW w:w="1980" w:type="dxa"/>
            <w:vAlign w:val="bottom"/>
            <w:tcBorders>
              <w:bottom w:val="single" w:sz="8" w:color="DFF1FB"/>
            </w:tcBorders>
          </w:tcPr>
          <w:p>
            <w:pPr>
              <w:jc w:val="right"/>
              <w:ind w:right="33"/>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DFF1FB"/>
            </w:tcBorders>
          </w:tcPr>
          <w:p>
            <w:pPr>
              <w:jc w:val="right"/>
              <w:ind w:right="73"/>
              <w:spacing w:after="0"/>
              <w:rPr>
                <w:sz w:val="20"/>
                <w:szCs w:val="20"/>
                <w:color w:val="auto"/>
              </w:rPr>
            </w:pPr>
            <w:r>
              <w:rPr>
                <w:rFonts w:ascii="Arial" w:cs="Arial" w:eastAsia="Arial" w:hAnsi="Arial"/>
                <w:sz w:val="13"/>
                <w:szCs w:val="13"/>
                <w:color w:val="auto"/>
              </w:rPr>
              <w:t>20,805</w:t>
            </w:r>
          </w:p>
        </w:tc>
        <w:tc>
          <w:tcPr>
            <w:tcW w:w="300" w:type="dxa"/>
            <w:vAlign w:val="bottom"/>
            <w:tcBorders>
              <w:bottom w:val="single" w:sz="8" w:color="DFF1FB"/>
            </w:tcBorders>
          </w:tcPr>
          <w:p>
            <w:pPr>
              <w:jc w:val="right"/>
              <w:ind w:right="33"/>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DFF1FB"/>
            </w:tcBorders>
          </w:tcPr>
          <w:p>
            <w:pPr>
              <w:jc w:val="right"/>
              <w:ind w:right="73"/>
              <w:spacing w:after="0"/>
              <w:rPr>
                <w:sz w:val="20"/>
                <w:szCs w:val="20"/>
                <w:color w:val="auto"/>
              </w:rPr>
            </w:pPr>
            <w:r>
              <w:rPr>
                <w:rFonts w:ascii="Arial" w:cs="Arial" w:eastAsia="Arial" w:hAnsi="Arial"/>
                <w:sz w:val="13"/>
                <w:szCs w:val="13"/>
                <w:color w:val="auto"/>
              </w:rPr>
              <w:t>18,827</w:t>
            </w:r>
          </w:p>
        </w:tc>
        <w:tc>
          <w:tcPr>
            <w:tcW w:w="300" w:type="dxa"/>
            <w:vAlign w:val="bottom"/>
            <w:tcBorders>
              <w:bottom w:val="single" w:sz="8" w:color="DFF1FB"/>
            </w:tcBorders>
          </w:tcPr>
          <w:p>
            <w:pPr>
              <w:jc w:val="right"/>
              <w:ind w:right="33"/>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DFF1FB"/>
            </w:tcBorders>
          </w:tcPr>
          <w:p>
            <w:pPr>
              <w:jc w:val="right"/>
              <w:ind w:right="73"/>
              <w:spacing w:after="0"/>
              <w:rPr>
                <w:sz w:val="20"/>
                <w:szCs w:val="20"/>
                <w:color w:val="auto"/>
              </w:rPr>
            </w:pPr>
            <w:r>
              <w:rPr>
                <w:rFonts w:ascii="Arial" w:cs="Arial" w:eastAsia="Arial" w:hAnsi="Arial"/>
                <w:sz w:val="13"/>
                <w:szCs w:val="13"/>
                <w:color w:val="auto"/>
              </w:rPr>
              <w:t>18,279</w:t>
            </w:r>
          </w:p>
        </w:tc>
        <w:tc>
          <w:tcPr>
            <w:tcW w:w="300" w:type="dxa"/>
            <w:vAlign w:val="bottom"/>
            <w:tcBorders>
              <w:bottom w:val="single" w:sz="8" w:color="DFF1FB"/>
            </w:tcBorders>
          </w:tcPr>
          <w:p>
            <w:pPr>
              <w:jc w:val="right"/>
              <w:ind w:right="33"/>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DFF1FB"/>
            </w:tcBorders>
          </w:tcPr>
          <w:p>
            <w:pPr>
              <w:jc w:val="right"/>
              <w:ind w:right="53"/>
              <w:spacing w:after="0"/>
              <w:rPr>
                <w:sz w:val="20"/>
                <w:szCs w:val="20"/>
                <w:color w:val="auto"/>
              </w:rPr>
            </w:pPr>
            <w:r>
              <w:rPr>
                <w:rFonts w:ascii="Arial" w:cs="Arial" w:eastAsia="Arial" w:hAnsi="Arial"/>
                <w:sz w:val="13"/>
                <w:szCs w:val="13"/>
                <w:color w:val="auto"/>
              </w:rPr>
              <w:t>20,558</w:t>
            </w:r>
          </w:p>
        </w:tc>
        <w:tc>
          <w:tcPr>
            <w:tcW w:w="320" w:type="dxa"/>
            <w:vAlign w:val="bottom"/>
            <w:tcBorders>
              <w:bottom w:val="single" w:sz="8" w:color="DFF1FB"/>
            </w:tcBorders>
          </w:tcPr>
          <w:p>
            <w:pPr>
              <w:jc w:val="right"/>
              <w:ind w:right="33"/>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DFF1FB"/>
            </w:tcBorders>
          </w:tcPr>
          <w:p>
            <w:pPr>
              <w:jc w:val="right"/>
              <w:ind w:right="13"/>
              <w:spacing w:after="0"/>
              <w:rPr>
                <w:sz w:val="20"/>
                <w:szCs w:val="20"/>
                <w:color w:val="auto"/>
              </w:rPr>
            </w:pPr>
            <w:r>
              <w:rPr>
                <w:rFonts w:ascii="Arial" w:cs="Arial" w:eastAsia="Arial" w:hAnsi="Arial"/>
                <w:sz w:val="13"/>
                <w:szCs w:val="13"/>
                <w:color w:val="auto"/>
              </w:rPr>
              <w:t>20,700</w:t>
            </w:r>
          </w:p>
        </w:tc>
      </w:tr>
      <w:tr>
        <w:trPr>
          <w:trHeight w:val="290"/>
        </w:trPr>
        <w:tc>
          <w:tcPr>
            <w:tcW w:w="5020" w:type="dxa"/>
            <w:vAlign w:val="bottom"/>
            <w:tcBorders>
              <w:bottom w:val="single" w:sz="8" w:color="DFF1FB"/>
            </w:tcBorders>
          </w:tcPr>
          <w:p>
            <w:pPr>
              <w:ind w:left="340"/>
              <w:spacing w:after="0"/>
              <w:rPr>
                <w:sz w:val="20"/>
                <w:szCs w:val="20"/>
                <w:color w:val="auto"/>
              </w:rPr>
            </w:pPr>
            <w:r>
              <w:rPr>
                <w:rFonts w:ascii="Arial" w:cs="Arial" w:eastAsia="Arial" w:hAnsi="Arial"/>
                <w:sz w:val="13"/>
                <w:szCs w:val="13"/>
                <w:color w:val="auto"/>
              </w:rPr>
              <w:t>Ending common shareholders’ equity</w:t>
            </w:r>
            <w:r>
              <w:rPr>
                <w:rFonts w:ascii="Arial" w:cs="Arial" w:eastAsia="Arial" w:hAnsi="Arial"/>
                <w:sz w:val="22"/>
                <w:szCs w:val="22"/>
                <w:color w:val="auto"/>
                <w:vertAlign w:val="superscript"/>
              </w:rPr>
              <w:t>(1)</w:t>
            </w:r>
          </w:p>
        </w:tc>
        <w:tc>
          <w:tcPr>
            <w:tcW w:w="1980" w:type="dxa"/>
            <w:vAlign w:val="bottom"/>
            <w:tcBorders>
              <w:bottom w:val="single" w:sz="8" w:color="DFF1FB"/>
            </w:tcBorders>
          </w:tcPr>
          <w:p>
            <w:pPr>
              <w:spacing w:after="0"/>
              <w:rPr>
                <w:sz w:val="24"/>
                <w:szCs w:val="24"/>
                <w:color w:val="auto"/>
              </w:rPr>
            </w:pPr>
          </w:p>
        </w:tc>
        <w:tc>
          <w:tcPr>
            <w:tcW w:w="660" w:type="dxa"/>
            <w:vAlign w:val="bottom"/>
            <w:tcBorders>
              <w:bottom w:val="single" w:sz="8" w:color="DFF1FB"/>
            </w:tcBorders>
          </w:tcPr>
          <w:p>
            <w:pPr>
              <w:jc w:val="right"/>
              <w:ind w:right="73"/>
              <w:spacing w:after="0"/>
              <w:rPr>
                <w:sz w:val="20"/>
                <w:szCs w:val="20"/>
                <w:color w:val="auto"/>
              </w:rPr>
            </w:pPr>
            <w:r>
              <w:rPr>
                <w:rFonts w:ascii="Arial" w:cs="Arial" w:eastAsia="Arial" w:hAnsi="Arial"/>
                <w:sz w:val="13"/>
                <w:szCs w:val="13"/>
                <w:color w:val="auto"/>
              </w:rPr>
              <w:t>19,382</w:t>
            </w:r>
          </w:p>
        </w:tc>
        <w:tc>
          <w:tcPr>
            <w:tcW w:w="300" w:type="dxa"/>
            <w:vAlign w:val="bottom"/>
            <w:tcBorders>
              <w:bottom w:val="single" w:sz="8" w:color="DFF1FB"/>
            </w:tcBorders>
          </w:tcPr>
          <w:p>
            <w:pPr>
              <w:spacing w:after="0"/>
              <w:rPr>
                <w:sz w:val="24"/>
                <w:szCs w:val="24"/>
                <w:color w:val="auto"/>
              </w:rPr>
            </w:pPr>
          </w:p>
        </w:tc>
        <w:tc>
          <w:tcPr>
            <w:tcW w:w="660" w:type="dxa"/>
            <w:vAlign w:val="bottom"/>
            <w:tcBorders>
              <w:bottom w:val="single" w:sz="8" w:color="DFF1FB"/>
            </w:tcBorders>
          </w:tcPr>
          <w:p>
            <w:pPr>
              <w:jc w:val="right"/>
              <w:ind w:right="73"/>
              <w:spacing w:after="0"/>
              <w:rPr>
                <w:sz w:val="20"/>
                <w:szCs w:val="20"/>
                <w:color w:val="auto"/>
              </w:rPr>
            </w:pPr>
            <w:r>
              <w:rPr>
                <w:rFonts w:ascii="Arial" w:cs="Arial" w:eastAsia="Arial" w:hAnsi="Arial"/>
                <w:sz w:val="13"/>
                <w:szCs w:val="13"/>
                <w:color w:val="auto"/>
              </w:rPr>
              <w:t>20,805</w:t>
            </w:r>
          </w:p>
        </w:tc>
        <w:tc>
          <w:tcPr>
            <w:tcW w:w="300" w:type="dxa"/>
            <w:vAlign w:val="bottom"/>
            <w:tcBorders>
              <w:bottom w:val="single" w:sz="8" w:color="DFF1FB"/>
            </w:tcBorders>
          </w:tcPr>
          <w:p>
            <w:pPr>
              <w:spacing w:after="0"/>
              <w:rPr>
                <w:sz w:val="24"/>
                <w:szCs w:val="24"/>
                <w:color w:val="auto"/>
              </w:rPr>
            </w:pPr>
          </w:p>
        </w:tc>
        <w:tc>
          <w:tcPr>
            <w:tcW w:w="660" w:type="dxa"/>
            <w:vAlign w:val="bottom"/>
            <w:tcBorders>
              <w:bottom w:val="single" w:sz="8" w:color="DFF1FB"/>
            </w:tcBorders>
          </w:tcPr>
          <w:p>
            <w:pPr>
              <w:jc w:val="right"/>
              <w:ind w:right="73"/>
              <w:spacing w:after="0"/>
              <w:rPr>
                <w:sz w:val="20"/>
                <w:szCs w:val="20"/>
                <w:color w:val="auto"/>
              </w:rPr>
            </w:pPr>
            <w:r>
              <w:rPr>
                <w:rFonts w:ascii="Arial" w:cs="Arial" w:eastAsia="Arial" w:hAnsi="Arial"/>
                <w:sz w:val="13"/>
                <w:szCs w:val="13"/>
                <w:color w:val="auto"/>
              </w:rPr>
              <w:t>18,827</w:t>
            </w:r>
          </w:p>
        </w:tc>
        <w:tc>
          <w:tcPr>
            <w:tcW w:w="300" w:type="dxa"/>
            <w:vAlign w:val="bottom"/>
            <w:tcBorders>
              <w:bottom w:val="single" w:sz="8" w:color="DFF1FB"/>
            </w:tcBorders>
          </w:tcPr>
          <w:p>
            <w:pPr>
              <w:spacing w:after="0"/>
              <w:rPr>
                <w:sz w:val="24"/>
                <w:szCs w:val="24"/>
                <w:color w:val="auto"/>
              </w:rPr>
            </w:pPr>
          </w:p>
        </w:tc>
        <w:tc>
          <w:tcPr>
            <w:tcW w:w="640" w:type="dxa"/>
            <w:vAlign w:val="bottom"/>
            <w:tcBorders>
              <w:bottom w:val="single" w:sz="8" w:color="DFF1FB"/>
            </w:tcBorders>
          </w:tcPr>
          <w:p>
            <w:pPr>
              <w:jc w:val="right"/>
              <w:ind w:right="53"/>
              <w:spacing w:after="0"/>
              <w:rPr>
                <w:sz w:val="20"/>
                <w:szCs w:val="20"/>
                <w:color w:val="auto"/>
              </w:rPr>
            </w:pPr>
            <w:r>
              <w:rPr>
                <w:rFonts w:ascii="Arial" w:cs="Arial" w:eastAsia="Arial" w:hAnsi="Arial"/>
                <w:sz w:val="13"/>
                <w:szCs w:val="13"/>
                <w:color w:val="auto"/>
              </w:rPr>
              <w:t>18,279</w:t>
            </w:r>
          </w:p>
        </w:tc>
        <w:tc>
          <w:tcPr>
            <w:tcW w:w="320" w:type="dxa"/>
            <w:vAlign w:val="bottom"/>
            <w:tcBorders>
              <w:bottom w:val="single" w:sz="8" w:color="DFF1FB"/>
            </w:tcBorders>
          </w:tcPr>
          <w:p>
            <w:pPr>
              <w:spacing w:after="0"/>
              <w:rPr>
                <w:sz w:val="24"/>
                <w:szCs w:val="24"/>
                <w:color w:val="auto"/>
              </w:rPr>
            </w:pPr>
          </w:p>
        </w:tc>
        <w:tc>
          <w:tcPr>
            <w:tcW w:w="580" w:type="dxa"/>
            <w:vAlign w:val="bottom"/>
            <w:tcBorders>
              <w:bottom w:val="single" w:sz="8" w:color="DFF1FB"/>
            </w:tcBorders>
          </w:tcPr>
          <w:p>
            <w:pPr>
              <w:jc w:val="right"/>
              <w:ind w:right="13"/>
              <w:spacing w:after="0"/>
              <w:rPr>
                <w:sz w:val="20"/>
                <w:szCs w:val="20"/>
                <w:color w:val="auto"/>
              </w:rPr>
            </w:pPr>
            <w:r>
              <w:rPr>
                <w:rFonts w:ascii="Arial" w:cs="Arial" w:eastAsia="Arial" w:hAnsi="Arial"/>
                <w:sz w:val="13"/>
                <w:szCs w:val="13"/>
                <w:color w:val="auto"/>
              </w:rPr>
              <w:t>20,558</w:t>
            </w:r>
          </w:p>
        </w:tc>
      </w:tr>
      <w:tr>
        <w:trPr>
          <w:trHeight w:val="195"/>
        </w:trPr>
        <w:tc>
          <w:tcPr>
            <w:tcW w:w="5020" w:type="dxa"/>
            <w:vAlign w:val="bottom"/>
          </w:tcPr>
          <w:p>
            <w:pPr>
              <w:ind w:left="80"/>
              <w:spacing w:after="0"/>
              <w:rPr>
                <w:sz w:val="20"/>
                <w:szCs w:val="20"/>
                <w:color w:val="auto"/>
              </w:rPr>
            </w:pPr>
            <w:r>
              <w:rPr>
                <w:rFonts w:ascii="Arial" w:cs="Arial" w:eastAsia="Arial" w:hAnsi="Arial"/>
                <w:sz w:val="13"/>
                <w:szCs w:val="13"/>
                <w:color w:val="auto"/>
              </w:rPr>
              <w:t>Average common shareholders’ equity</w:t>
            </w:r>
          </w:p>
        </w:tc>
        <w:tc>
          <w:tcPr>
            <w:tcW w:w="19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73"/>
              <w:spacing w:after="0"/>
              <w:rPr>
                <w:sz w:val="20"/>
                <w:szCs w:val="20"/>
                <w:color w:val="auto"/>
              </w:rPr>
            </w:pPr>
            <w:r>
              <w:rPr>
                <w:rFonts w:ascii="Arial" w:cs="Arial" w:eastAsia="Arial" w:hAnsi="Arial"/>
                <w:sz w:val="13"/>
                <w:szCs w:val="13"/>
                <w:color w:val="auto"/>
              </w:rPr>
              <w:t>20,094</w:t>
            </w:r>
          </w:p>
        </w:tc>
        <w:tc>
          <w:tcPr>
            <w:tcW w:w="3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73"/>
              <w:spacing w:after="0"/>
              <w:rPr>
                <w:sz w:val="20"/>
                <w:szCs w:val="20"/>
                <w:color w:val="auto"/>
              </w:rPr>
            </w:pPr>
            <w:r>
              <w:rPr>
                <w:rFonts w:ascii="Arial" w:cs="Arial" w:eastAsia="Arial" w:hAnsi="Arial"/>
                <w:sz w:val="13"/>
                <w:szCs w:val="13"/>
                <w:color w:val="auto"/>
              </w:rPr>
              <w:t>19,816</w:t>
            </w:r>
          </w:p>
        </w:tc>
        <w:tc>
          <w:tcPr>
            <w:tcW w:w="3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73"/>
              <w:spacing w:after="0"/>
              <w:rPr>
                <w:sz w:val="20"/>
                <w:szCs w:val="20"/>
                <w:color w:val="auto"/>
              </w:rPr>
            </w:pPr>
            <w:r>
              <w:rPr>
                <w:rFonts w:ascii="Arial" w:cs="Arial" w:eastAsia="Arial" w:hAnsi="Arial"/>
                <w:sz w:val="13"/>
                <w:szCs w:val="13"/>
                <w:color w:val="auto"/>
              </w:rPr>
              <w:t>18,553</w:t>
            </w:r>
          </w:p>
        </w:tc>
        <w:tc>
          <w:tcPr>
            <w:tcW w:w="3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53"/>
              <w:spacing w:after="0"/>
              <w:rPr>
                <w:sz w:val="20"/>
                <w:szCs w:val="20"/>
                <w:color w:val="auto"/>
              </w:rPr>
            </w:pPr>
            <w:r>
              <w:rPr>
                <w:rFonts w:ascii="Arial" w:cs="Arial" w:eastAsia="Arial" w:hAnsi="Arial"/>
                <w:sz w:val="13"/>
                <w:szCs w:val="13"/>
                <w:color w:val="auto"/>
              </w:rPr>
              <w:t>19,419</w:t>
            </w:r>
          </w:p>
        </w:tc>
        <w:tc>
          <w:tcPr>
            <w:tcW w:w="32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13"/>
              <w:spacing w:after="0"/>
              <w:rPr>
                <w:sz w:val="20"/>
                <w:szCs w:val="20"/>
                <w:color w:val="auto"/>
              </w:rPr>
            </w:pPr>
            <w:r>
              <w:rPr>
                <w:rFonts w:ascii="Arial" w:cs="Arial" w:eastAsia="Arial" w:hAnsi="Arial"/>
                <w:sz w:val="13"/>
                <w:szCs w:val="13"/>
                <w:color w:val="auto"/>
              </w:rPr>
              <w:t>20,629</w:t>
            </w:r>
          </w:p>
        </w:tc>
      </w:tr>
      <w:tr>
        <w:trPr>
          <w:trHeight w:val="41"/>
        </w:trPr>
        <w:tc>
          <w:tcPr>
            <w:tcW w:w="5020" w:type="dxa"/>
            <w:vAlign w:val="bottom"/>
            <w:tcBorders>
              <w:bottom w:val="single" w:sz="8" w:color="DFF1FB"/>
            </w:tcBorders>
          </w:tcPr>
          <w:p>
            <w:pPr>
              <w:spacing w:after="0"/>
              <w:rPr>
                <w:sz w:val="3"/>
                <w:szCs w:val="3"/>
                <w:color w:val="auto"/>
              </w:rPr>
            </w:pPr>
          </w:p>
        </w:tc>
        <w:tc>
          <w:tcPr>
            <w:tcW w:w="1980" w:type="dxa"/>
            <w:vAlign w:val="bottom"/>
            <w:tcBorders>
              <w:bottom w:val="single" w:sz="8" w:color="DFF1FB"/>
            </w:tcBorders>
          </w:tcPr>
          <w:p>
            <w:pPr>
              <w:spacing w:after="0"/>
              <w:rPr>
                <w:sz w:val="3"/>
                <w:szCs w:val="3"/>
                <w:color w:val="auto"/>
              </w:rPr>
            </w:pPr>
          </w:p>
        </w:tc>
        <w:tc>
          <w:tcPr>
            <w:tcW w:w="660" w:type="dxa"/>
            <w:vAlign w:val="bottom"/>
            <w:tcBorders>
              <w:bottom w:val="single" w:sz="8" w:color="DFF1FB"/>
            </w:tcBorders>
          </w:tcPr>
          <w:p>
            <w:pPr>
              <w:spacing w:after="0"/>
              <w:rPr>
                <w:sz w:val="3"/>
                <w:szCs w:val="3"/>
                <w:color w:val="auto"/>
              </w:rPr>
            </w:pPr>
          </w:p>
        </w:tc>
        <w:tc>
          <w:tcPr>
            <w:tcW w:w="300" w:type="dxa"/>
            <w:vAlign w:val="bottom"/>
            <w:tcBorders>
              <w:bottom w:val="single" w:sz="8" w:color="DFF1FB"/>
            </w:tcBorders>
          </w:tcPr>
          <w:p>
            <w:pPr>
              <w:spacing w:after="0"/>
              <w:rPr>
                <w:sz w:val="3"/>
                <w:szCs w:val="3"/>
                <w:color w:val="auto"/>
              </w:rPr>
            </w:pPr>
          </w:p>
        </w:tc>
        <w:tc>
          <w:tcPr>
            <w:tcW w:w="660" w:type="dxa"/>
            <w:vAlign w:val="bottom"/>
            <w:tcBorders>
              <w:bottom w:val="single" w:sz="8" w:color="DFF1FB"/>
            </w:tcBorders>
          </w:tcPr>
          <w:p>
            <w:pPr>
              <w:spacing w:after="0"/>
              <w:rPr>
                <w:sz w:val="3"/>
                <w:szCs w:val="3"/>
                <w:color w:val="auto"/>
              </w:rPr>
            </w:pPr>
          </w:p>
        </w:tc>
        <w:tc>
          <w:tcPr>
            <w:tcW w:w="300" w:type="dxa"/>
            <w:vAlign w:val="bottom"/>
            <w:tcBorders>
              <w:bottom w:val="single" w:sz="8" w:color="DFF1FB"/>
            </w:tcBorders>
          </w:tcPr>
          <w:p>
            <w:pPr>
              <w:spacing w:after="0"/>
              <w:rPr>
                <w:sz w:val="3"/>
                <w:szCs w:val="3"/>
                <w:color w:val="auto"/>
              </w:rPr>
            </w:pPr>
          </w:p>
        </w:tc>
        <w:tc>
          <w:tcPr>
            <w:tcW w:w="660" w:type="dxa"/>
            <w:vAlign w:val="bottom"/>
            <w:tcBorders>
              <w:bottom w:val="single" w:sz="8" w:color="DFF1FB"/>
            </w:tcBorders>
          </w:tcPr>
          <w:p>
            <w:pPr>
              <w:spacing w:after="0"/>
              <w:rPr>
                <w:sz w:val="3"/>
                <w:szCs w:val="3"/>
                <w:color w:val="auto"/>
              </w:rPr>
            </w:pPr>
          </w:p>
        </w:tc>
        <w:tc>
          <w:tcPr>
            <w:tcW w:w="300" w:type="dxa"/>
            <w:vAlign w:val="bottom"/>
            <w:tcBorders>
              <w:bottom w:val="single" w:sz="8" w:color="DFF1FB"/>
            </w:tcBorders>
          </w:tcPr>
          <w:p>
            <w:pPr>
              <w:spacing w:after="0"/>
              <w:rPr>
                <w:sz w:val="3"/>
                <w:szCs w:val="3"/>
                <w:color w:val="auto"/>
              </w:rPr>
            </w:pPr>
          </w:p>
        </w:tc>
        <w:tc>
          <w:tcPr>
            <w:tcW w:w="640" w:type="dxa"/>
            <w:vAlign w:val="bottom"/>
            <w:tcBorders>
              <w:bottom w:val="single" w:sz="8" w:color="DFF1FB"/>
            </w:tcBorders>
          </w:tcPr>
          <w:p>
            <w:pPr>
              <w:spacing w:after="0"/>
              <w:rPr>
                <w:sz w:val="3"/>
                <w:szCs w:val="3"/>
                <w:color w:val="auto"/>
              </w:rPr>
            </w:pPr>
          </w:p>
        </w:tc>
        <w:tc>
          <w:tcPr>
            <w:tcW w:w="320" w:type="dxa"/>
            <w:vAlign w:val="bottom"/>
            <w:tcBorders>
              <w:bottom w:val="single" w:sz="8" w:color="DFF1FB"/>
            </w:tcBorders>
          </w:tcPr>
          <w:p>
            <w:pPr>
              <w:spacing w:after="0"/>
              <w:rPr>
                <w:sz w:val="3"/>
                <w:szCs w:val="3"/>
                <w:color w:val="auto"/>
              </w:rPr>
            </w:pPr>
          </w:p>
        </w:tc>
        <w:tc>
          <w:tcPr>
            <w:tcW w:w="580" w:type="dxa"/>
            <w:vAlign w:val="bottom"/>
            <w:tcBorders>
              <w:bottom w:val="single" w:sz="8" w:color="DFF1FB"/>
            </w:tcBorders>
          </w:tcPr>
          <w:p>
            <w:pPr>
              <w:spacing w:after="0"/>
              <w:rPr>
                <w:sz w:val="3"/>
                <w:szCs w:val="3"/>
                <w:color w:val="auto"/>
              </w:rPr>
            </w:pPr>
          </w:p>
        </w:tc>
      </w:tr>
      <w:tr>
        <w:trPr>
          <w:trHeight w:val="195"/>
        </w:trPr>
        <w:tc>
          <w:tcPr>
            <w:tcW w:w="5020" w:type="dxa"/>
            <w:vAlign w:val="bottom"/>
          </w:tcPr>
          <w:p>
            <w:pPr>
              <w:ind w:left="340"/>
              <w:spacing w:after="0"/>
              <w:rPr>
                <w:sz w:val="20"/>
                <w:szCs w:val="20"/>
                <w:color w:val="auto"/>
              </w:rPr>
            </w:pPr>
            <w:r>
              <w:rPr>
                <w:rFonts w:ascii="Arial" w:cs="Arial" w:eastAsia="Arial" w:hAnsi="Arial"/>
                <w:sz w:val="13"/>
                <w:szCs w:val="13"/>
                <w:color w:val="auto"/>
              </w:rPr>
              <w:t>Return on common shareholders’ equity</w:t>
            </w:r>
          </w:p>
        </w:tc>
        <w:tc>
          <w:tcPr>
            <w:tcW w:w="1980" w:type="dxa"/>
            <w:vAlign w:val="bottom"/>
          </w:tcPr>
          <w:p>
            <w:pPr>
              <w:spacing w:after="0"/>
              <w:rPr>
                <w:sz w:val="16"/>
                <w:szCs w:val="16"/>
                <w:color w:val="auto"/>
              </w:rPr>
            </w:pPr>
          </w:p>
        </w:tc>
        <w:tc>
          <w:tcPr>
            <w:tcW w:w="660" w:type="dxa"/>
            <w:vAlign w:val="bottom"/>
          </w:tcPr>
          <w:p>
            <w:pPr>
              <w:jc w:val="right"/>
              <w:ind w:right="73"/>
              <w:spacing w:after="0"/>
              <w:rPr>
                <w:sz w:val="20"/>
                <w:szCs w:val="20"/>
                <w:color w:val="auto"/>
              </w:rPr>
            </w:pPr>
            <w:r>
              <w:rPr>
                <w:rFonts w:ascii="Arial" w:cs="Arial" w:eastAsia="Arial" w:hAnsi="Arial"/>
                <w:sz w:val="13"/>
                <w:szCs w:val="13"/>
                <w:color w:val="auto"/>
              </w:rPr>
              <w:t>10.5%</w:t>
            </w:r>
          </w:p>
        </w:tc>
        <w:tc>
          <w:tcPr>
            <w:tcW w:w="300" w:type="dxa"/>
            <w:vAlign w:val="bottom"/>
          </w:tcPr>
          <w:p>
            <w:pPr>
              <w:spacing w:after="0"/>
              <w:rPr>
                <w:sz w:val="16"/>
                <w:szCs w:val="16"/>
                <w:color w:val="auto"/>
              </w:rPr>
            </w:pPr>
          </w:p>
        </w:tc>
        <w:tc>
          <w:tcPr>
            <w:tcW w:w="660" w:type="dxa"/>
            <w:vAlign w:val="bottom"/>
          </w:tcPr>
          <w:p>
            <w:pPr>
              <w:jc w:val="right"/>
              <w:ind w:right="73"/>
              <w:spacing w:after="0"/>
              <w:rPr>
                <w:sz w:val="20"/>
                <w:szCs w:val="20"/>
                <w:color w:val="auto"/>
              </w:rPr>
            </w:pPr>
            <w:r>
              <w:rPr>
                <w:rFonts w:ascii="Arial" w:cs="Arial" w:eastAsia="Arial" w:hAnsi="Arial"/>
                <w:sz w:val="13"/>
                <w:szCs w:val="13"/>
                <w:color w:val="auto"/>
              </w:rPr>
              <w:t>15.5%</w:t>
            </w:r>
          </w:p>
        </w:tc>
        <w:tc>
          <w:tcPr>
            <w:tcW w:w="300" w:type="dxa"/>
            <w:vAlign w:val="bottom"/>
          </w:tcPr>
          <w:p>
            <w:pPr>
              <w:spacing w:after="0"/>
              <w:rPr>
                <w:sz w:val="16"/>
                <w:szCs w:val="16"/>
                <w:color w:val="auto"/>
              </w:rPr>
            </w:pPr>
          </w:p>
        </w:tc>
        <w:tc>
          <w:tcPr>
            <w:tcW w:w="660" w:type="dxa"/>
            <w:vAlign w:val="bottom"/>
          </w:tcPr>
          <w:p>
            <w:pPr>
              <w:jc w:val="right"/>
              <w:ind w:right="73"/>
              <w:spacing w:after="0"/>
              <w:rPr>
                <w:sz w:val="20"/>
                <w:szCs w:val="20"/>
                <w:color w:val="auto"/>
              </w:rPr>
            </w:pPr>
            <w:r>
              <w:rPr>
                <w:rFonts w:ascii="Arial" w:cs="Arial" w:eastAsia="Arial" w:hAnsi="Arial"/>
                <w:sz w:val="13"/>
                <w:szCs w:val="13"/>
                <w:color w:val="auto"/>
              </w:rPr>
              <w:t>9.5%</w:t>
            </w:r>
          </w:p>
        </w:tc>
        <w:tc>
          <w:tcPr>
            <w:tcW w:w="300" w:type="dxa"/>
            <w:vAlign w:val="bottom"/>
          </w:tcPr>
          <w:p>
            <w:pPr>
              <w:spacing w:after="0"/>
              <w:rPr>
                <w:sz w:val="16"/>
                <w:szCs w:val="16"/>
                <w:color w:val="auto"/>
              </w:rPr>
            </w:pPr>
          </w:p>
        </w:tc>
        <w:tc>
          <w:tcPr>
            <w:tcW w:w="640" w:type="dxa"/>
            <w:vAlign w:val="bottom"/>
          </w:tcPr>
          <w:p>
            <w:pPr>
              <w:jc w:val="right"/>
              <w:ind w:right="53"/>
              <w:spacing w:after="0"/>
              <w:rPr>
                <w:sz w:val="20"/>
                <w:szCs w:val="20"/>
                <w:color w:val="auto"/>
              </w:rPr>
            </w:pPr>
            <w:r>
              <w:rPr>
                <w:rFonts w:ascii="Arial" w:cs="Arial" w:eastAsia="Arial" w:hAnsi="Arial"/>
                <w:sz w:val="13"/>
                <w:szCs w:val="13"/>
                <w:color w:val="auto"/>
              </w:rPr>
              <w:t>10.6%</w:t>
            </w:r>
          </w:p>
        </w:tc>
        <w:tc>
          <w:tcPr>
            <w:tcW w:w="320" w:type="dxa"/>
            <w:vAlign w:val="bottom"/>
          </w:tcPr>
          <w:p>
            <w:pPr>
              <w:spacing w:after="0"/>
              <w:rPr>
                <w:sz w:val="16"/>
                <w:szCs w:val="16"/>
                <w:color w:val="auto"/>
              </w:rPr>
            </w:pPr>
          </w:p>
        </w:tc>
        <w:tc>
          <w:tcPr>
            <w:tcW w:w="580" w:type="dxa"/>
            <w:vAlign w:val="bottom"/>
          </w:tcPr>
          <w:p>
            <w:pPr>
              <w:jc w:val="right"/>
              <w:ind w:right="13"/>
              <w:spacing w:after="0"/>
              <w:rPr>
                <w:sz w:val="20"/>
                <w:szCs w:val="20"/>
                <w:color w:val="auto"/>
              </w:rPr>
            </w:pPr>
            <w:r>
              <w:rPr>
                <w:rFonts w:ascii="Arial" w:cs="Arial" w:eastAsia="Arial" w:hAnsi="Arial"/>
                <w:sz w:val="13"/>
                <w:szCs w:val="13"/>
                <w:color w:val="auto"/>
              </w:rPr>
              <w:t>13.3%</w:t>
            </w:r>
          </w:p>
        </w:tc>
      </w:tr>
      <w:tr>
        <w:trPr>
          <w:trHeight w:val="48"/>
        </w:trPr>
        <w:tc>
          <w:tcPr>
            <w:tcW w:w="5020" w:type="dxa"/>
            <w:vAlign w:val="bottom"/>
            <w:tcBorders>
              <w:bottom w:val="single" w:sz="8" w:color="105EAB"/>
            </w:tcBorders>
          </w:tcPr>
          <w:p>
            <w:pPr>
              <w:spacing w:after="0"/>
              <w:rPr>
                <w:sz w:val="4"/>
                <w:szCs w:val="4"/>
                <w:color w:val="auto"/>
              </w:rPr>
            </w:pPr>
          </w:p>
        </w:tc>
        <w:tc>
          <w:tcPr>
            <w:tcW w:w="1980" w:type="dxa"/>
            <w:vAlign w:val="bottom"/>
            <w:tcBorders>
              <w:bottom w:val="single" w:sz="8" w:color="105EAB"/>
            </w:tcBorders>
          </w:tcPr>
          <w:p>
            <w:pPr>
              <w:spacing w:after="0"/>
              <w:rPr>
                <w:sz w:val="4"/>
                <w:szCs w:val="4"/>
                <w:color w:val="auto"/>
              </w:rPr>
            </w:pPr>
          </w:p>
        </w:tc>
        <w:tc>
          <w:tcPr>
            <w:tcW w:w="660" w:type="dxa"/>
            <w:vAlign w:val="bottom"/>
            <w:tcBorders>
              <w:bottom w:val="single" w:sz="8" w:color="105EAB"/>
            </w:tcBorders>
          </w:tcPr>
          <w:p>
            <w:pPr>
              <w:spacing w:after="0"/>
              <w:rPr>
                <w:sz w:val="4"/>
                <w:szCs w:val="4"/>
                <w:color w:val="auto"/>
              </w:rPr>
            </w:pPr>
          </w:p>
        </w:tc>
        <w:tc>
          <w:tcPr>
            <w:tcW w:w="300" w:type="dxa"/>
            <w:vAlign w:val="bottom"/>
            <w:tcBorders>
              <w:bottom w:val="single" w:sz="8" w:color="105EAB"/>
            </w:tcBorders>
          </w:tcPr>
          <w:p>
            <w:pPr>
              <w:spacing w:after="0"/>
              <w:rPr>
                <w:sz w:val="4"/>
                <w:szCs w:val="4"/>
                <w:color w:val="auto"/>
              </w:rPr>
            </w:pPr>
          </w:p>
        </w:tc>
        <w:tc>
          <w:tcPr>
            <w:tcW w:w="660" w:type="dxa"/>
            <w:vAlign w:val="bottom"/>
            <w:tcBorders>
              <w:bottom w:val="single" w:sz="8" w:color="105EAB"/>
            </w:tcBorders>
          </w:tcPr>
          <w:p>
            <w:pPr>
              <w:spacing w:after="0"/>
              <w:rPr>
                <w:sz w:val="4"/>
                <w:szCs w:val="4"/>
                <w:color w:val="auto"/>
              </w:rPr>
            </w:pPr>
          </w:p>
        </w:tc>
        <w:tc>
          <w:tcPr>
            <w:tcW w:w="300" w:type="dxa"/>
            <w:vAlign w:val="bottom"/>
            <w:tcBorders>
              <w:bottom w:val="single" w:sz="8" w:color="105EAB"/>
            </w:tcBorders>
          </w:tcPr>
          <w:p>
            <w:pPr>
              <w:spacing w:after="0"/>
              <w:rPr>
                <w:sz w:val="4"/>
                <w:szCs w:val="4"/>
                <w:color w:val="auto"/>
              </w:rPr>
            </w:pPr>
          </w:p>
        </w:tc>
        <w:tc>
          <w:tcPr>
            <w:tcW w:w="660" w:type="dxa"/>
            <w:vAlign w:val="bottom"/>
            <w:tcBorders>
              <w:bottom w:val="single" w:sz="8" w:color="105EAB"/>
            </w:tcBorders>
          </w:tcPr>
          <w:p>
            <w:pPr>
              <w:spacing w:after="0"/>
              <w:rPr>
                <w:sz w:val="4"/>
                <w:szCs w:val="4"/>
                <w:color w:val="auto"/>
              </w:rPr>
            </w:pPr>
          </w:p>
        </w:tc>
        <w:tc>
          <w:tcPr>
            <w:tcW w:w="300" w:type="dxa"/>
            <w:vAlign w:val="bottom"/>
            <w:tcBorders>
              <w:bottom w:val="single" w:sz="8" w:color="105EAB"/>
            </w:tcBorders>
          </w:tcPr>
          <w:p>
            <w:pPr>
              <w:spacing w:after="0"/>
              <w:rPr>
                <w:sz w:val="4"/>
                <w:szCs w:val="4"/>
                <w:color w:val="auto"/>
              </w:rPr>
            </w:pPr>
          </w:p>
        </w:tc>
        <w:tc>
          <w:tcPr>
            <w:tcW w:w="640" w:type="dxa"/>
            <w:vAlign w:val="bottom"/>
            <w:tcBorders>
              <w:bottom w:val="single" w:sz="8" w:color="105EAB"/>
            </w:tcBorders>
          </w:tcPr>
          <w:p>
            <w:pPr>
              <w:spacing w:after="0"/>
              <w:rPr>
                <w:sz w:val="4"/>
                <w:szCs w:val="4"/>
                <w:color w:val="auto"/>
              </w:rPr>
            </w:pPr>
          </w:p>
        </w:tc>
        <w:tc>
          <w:tcPr>
            <w:tcW w:w="320" w:type="dxa"/>
            <w:vAlign w:val="bottom"/>
            <w:tcBorders>
              <w:bottom w:val="single" w:sz="8" w:color="105EAB"/>
            </w:tcBorders>
          </w:tcPr>
          <w:p>
            <w:pPr>
              <w:spacing w:after="0"/>
              <w:rPr>
                <w:sz w:val="4"/>
                <w:szCs w:val="4"/>
                <w:color w:val="auto"/>
              </w:rPr>
            </w:pPr>
          </w:p>
        </w:tc>
        <w:tc>
          <w:tcPr>
            <w:tcW w:w="580" w:type="dxa"/>
            <w:vAlign w:val="bottom"/>
            <w:tcBorders>
              <w:bottom w:val="single" w:sz="8" w:color="105EAB"/>
            </w:tcBorders>
          </w:tcPr>
          <w:p>
            <w:pPr>
              <w:spacing w:after="0"/>
              <w:rPr>
                <w:sz w:val="4"/>
                <w:szCs w:val="4"/>
                <w:color w:val="auto"/>
              </w:rPr>
            </w:pPr>
          </w:p>
        </w:tc>
      </w:tr>
    </w:tbl>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4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80" w:type="dxa"/>
            <w:vAlign w:val="bottom"/>
          </w:tcPr>
          <w:p>
            <w:pPr>
              <w:jc w:val="right"/>
              <w:ind w:right="93"/>
              <w:spacing w:after="0"/>
              <w:rPr>
                <w:sz w:val="20"/>
                <w:szCs w:val="20"/>
                <w:color w:val="auto"/>
              </w:rPr>
            </w:pPr>
            <w:r>
              <w:rPr>
                <w:rFonts w:ascii="Arial" w:cs="Arial" w:eastAsia="Arial" w:hAnsi="Arial"/>
                <w:sz w:val="13"/>
                <w:szCs w:val="13"/>
                <w:b w:val="1"/>
                <w:bCs w:val="1"/>
                <w:color w:val="105EAB"/>
              </w:rPr>
              <w:t>2018</w:t>
            </w:r>
          </w:p>
        </w:tc>
        <w:tc>
          <w:tcPr>
            <w:tcW w:w="280" w:type="dxa"/>
            <w:vAlign w:val="bottom"/>
          </w:tcPr>
          <w:p>
            <w:pPr>
              <w:spacing w:after="0"/>
              <w:rPr>
                <w:sz w:val="15"/>
                <w:szCs w:val="15"/>
                <w:color w:val="auto"/>
              </w:rPr>
            </w:pPr>
          </w:p>
        </w:tc>
        <w:tc>
          <w:tcPr>
            <w:tcW w:w="660" w:type="dxa"/>
            <w:vAlign w:val="bottom"/>
          </w:tcPr>
          <w:p>
            <w:pPr>
              <w:jc w:val="right"/>
              <w:ind w:right="73"/>
              <w:spacing w:after="0"/>
              <w:rPr>
                <w:sz w:val="20"/>
                <w:szCs w:val="20"/>
                <w:color w:val="auto"/>
              </w:rPr>
            </w:pPr>
            <w:r>
              <w:rPr>
                <w:rFonts w:ascii="Arial" w:cs="Arial" w:eastAsia="Arial" w:hAnsi="Arial"/>
                <w:sz w:val="13"/>
                <w:szCs w:val="13"/>
                <w:b w:val="1"/>
                <w:bCs w:val="1"/>
                <w:color w:val="105EAB"/>
              </w:rPr>
              <w:t>2017</w:t>
            </w:r>
          </w:p>
        </w:tc>
        <w:tc>
          <w:tcPr>
            <w:tcW w:w="300" w:type="dxa"/>
            <w:vAlign w:val="bottom"/>
          </w:tcPr>
          <w:p>
            <w:pPr>
              <w:spacing w:after="0"/>
              <w:rPr>
                <w:sz w:val="15"/>
                <w:szCs w:val="15"/>
                <w:color w:val="auto"/>
              </w:rPr>
            </w:pPr>
          </w:p>
        </w:tc>
        <w:tc>
          <w:tcPr>
            <w:tcW w:w="660" w:type="dxa"/>
            <w:vAlign w:val="bottom"/>
          </w:tcPr>
          <w:p>
            <w:pPr>
              <w:jc w:val="right"/>
              <w:ind w:right="73"/>
              <w:spacing w:after="0"/>
              <w:rPr>
                <w:sz w:val="20"/>
                <w:szCs w:val="20"/>
                <w:color w:val="auto"/>
              </w:rPr>
            </w:pPr>
            <w:r>
              <w:rPr>
                <w:rFonts w:ascii="Arial" w:cs="Arial" w:eastAsia="Arial" w:hAnsi="Arial"/>
                <w:sz w:val="13"/>
                <w:szCs w:val="13"/>
                <w:b w:val="1"/>
                <w:bCs w:val="1"/>
                <w:color w:val="105EAB"/>
              </w:rPr>
              <w:t>2016</w:t>
            </w:r>
          </w:p>
        </w:tc>
        <w:tc>
          <w:tcPr>
            <w:tcW w:w="300" w:type="dxa"/>
            <w:vAlign w:val="bottom"/>
          </w:tcPr>
          <w:p>
            <w:pPr>
              <w:spacing w:after="0"/>
              <w:rPr>
                <w:sz w:val="15"/>
                <w:szCs w:val="15"/>
                <w:color w:val="auto"/>
              </w:rPr>
            </w:pPr>
          </w:p>
        </w:tc>
        <w:tc>
          <w:tcPr>
            <w:tcW w:w="640" w:type="dxa"/>
            <w:vAlign w:val="bottom"/>
          </w:tcPr>
          <w:p>
            <w:pPr>
              <w:jc w:val="right"/>
              <w:ind w:right="53"/>
              <w:spacing w:after="0"/>
              <w:rPr>
                <w:sz w:val="20"/>
                <w:szCs w:val="20"/>
                <w:color w:val="auto"/>
              </w:rPr>
            </w:pPr>
            <w:r>
              <w:rPr>
                <w:rFonts w:ascii="Arial" w:cs="Arial" w:eastAsia="Arial" w:hAnsi="Arial"/>
                <w:sz w:val="13"/>
                <w:szCs w:val="13"/>
                <w:b w:val="1"/>
                <w:bCs w:val="1"/>
                <w:color w:val="105EAB"/>
              </w:rPr>
              <w:t>2015</w:t>
            </w:r>
          </w:p>
        </w:tc>
        <w:tc>
          <w:tcPr>
            <w:tcW w:w="320" w:type="dxa"/>
            <w:vAlign w:val="bottom"/>
          </w:tcPr>
          <w:p>
            <w:pPr>
              <w:spacing w:after="0"/>
              <w:rPr>
                <w:sz w:val="15"/>
                <w:szCs w:val="15"/>
                <w:color w:val="auto"/>
              </w:rPr>
            </w:pPr>
          </w:p>
        </w:tc>
        <w:tc>
          <w:tcPr>
            <w:tcW w:w="580" w:type="dxa"/>
            <w:vAlign w:val="bottom"/>
          </w:tcPr>
          <w:p>
            <w:pPr>
              <w:jc w:val="right"/>
              <w:ind w:right="13"/>
              <w:spacing w:after="0"/>
              <w:rPr>
                <w:sz w:val="20"/>
                <w:szCs w:val="20"/>
                <w:color w:val="auto"/>
              </w:rPr>
            </w:pPr>
            <w:r>
              <w:rPr>
                <w:rFonts w:ascii="Arial" w:cs="Arial" w:eastAsia="Arial" w:hAnsi="Arial"/>
                <w:sz w:val="13"/>
                <w:szCs w:val="13"/>
                <w:b w:val="1"/>
                <w:bCs w:val="1"/>
                <w:color w:val="105EAB"/>
              </w:rPr>
              <w:t>2014</w:t>
            </w:r>
          </w:p>
        </w:tc>
      </w:tr>
      <w:tr>
        <w:trPr>
          <w:trHeight w:val="48"/>
        </w:trPr>
        <w:tc>
          <w:tcPr>
            <w:tcW w:w="5420" w:type="dxa"/>
            <w:vAlign w:val="bottom"/>
            <w:tcBorders>
              <w:bottom w:val="single" w:sz="8" w:color="105EAB"/>
            </w:tcBorders>
          </w:tcPr>
          <w:p>
            <w:pPr>
              <w:spacing w:after="0"/>
              <w:rPr>
                <w:sz w:val="4"/>
                <w:szCs w:val="4"/>
                <w:color w:val="auto"/>
              </w:rPr>
            </w:pPr>
          </w:p>
        </w:tc>
        <w:tc>
          <w:tcPr>
            <w:tcW w:w="1580" w:type="dxa"/>
            <w:vAlign w:val="bottom"/>
            <w:tcBorders>
              <w:bottom w:val="single" w:sz="8" w:color="105EAB"/>
            </w:tcBorders>
          </w:tcPr>
          <w:p>
            <w:pPr>
              <w:spacing w:after="0"/>
              <w:rPr>
                <w:sz w:val="4"/>
                <w:szCs w:val="4"/>
                <w:color w:val="auto"/>
              </w:rPr>
            </w:pPr>
          </w:p>
        </w:tc>
        <w:tc>
          <w:tcPr>
            <w:tcW w:w="680" w:type="dxa"/>
            <w:vAlign w:val="bottom"/>
            <w:tcBorders>
              <w:bottom w:val="single" w:sz="8" w:color="105EAB"/>
            </w:tcBorders>
          </w:tcPr>
          <w:p>
            <w:pPr>
              <w:spacing w:after="0"/>
              <w:rPr>
                <w:sz w:val="4"/>
                <w:szCs w:val="4"/>
                <w:color w:val="auto"/>
              </w:rPr>
            </w:pPr>
          </w:p>
        </w:tc>
        <w:tc>
          <w:tcPr>
            <w:tcW w:w="280" w:type="dxa"/>
            <w:vAlign w:val="bottom"/>
            <w:tcBorders>
              <w:bottom w:val="single" w:sz="8" w:color="105EAB"/>
            </w:tcBorders>
          </w:tcPr>
          <w:p>
            <w:pPr>
              <w:spacing w:after="0"/>
              <w:rPr>
                <w:sz w:val="4"/>
                <w:szCs w:val="4"/>
                <w:color w:val="auto"/>
              </w:rPr>
            </w:pPr>
          </w:p>
        </w:tc>
        <w:tc>
          <w:tcPr>
            <w:tcW w:w="660" w:type="dxa"/>
            <w:vAlign w:val="bottom"/>
            <w:tcBorders>
              <w:bottom w:val="single" w:sz="8" w:color="105EAB"/>
            </w:tcBorders>
          </w:tcPr>
          <w:p>
            <w:pPr>
              <w:spacing w:after="0"/>
              <w:rPr>
                <w:sz w:val="4"/>
                <w:szCs w:val="4"/>
                <w:color w:val="auto"/>
              </w:rPr>
            </w:pPr>
          </w:p>
        </w:tc>
        <w:tc>
          <w:tcPr>
            <w:tcW w:w="300" w:type="dxa"/>
            <w:vAlign w:val="bottom"/>
            <w:tcBorders>
              <w:bottom w:val="single" w:sz="8" w:color="105EAB"/>
            </w:tcBorders>
          </w:tcPr>
          <w:p>
            <w:pPr>
              <w:spacing w:after="0"/>
              <w:rPr>
                <w:sz w:val="4"/>
                <w:szCs w:val="4"/>
                <w:color w:val="auto"/>
              </w:rPr>
            </w:pPr>
          </w:p>
        </w:tc>
        <w:tc>
          <w:tcPr>
            <w:tcW w:w="660" w:type="dxa"/>
            <w:vAlign w:val="bottom"/>
            <w:tcBorders>
              <w:bottom w:val="single" w:sz="8" w:color="105EAB"/>
            </w:tcBorders>
          </w:tcPr>
          <w:p>
            <w:pPr>
              <w:spacing w:after="0"/>
              <w:rPr>
                <w:sz w:val="4"/>
                <w:szCs w:val="4"/>
                <w:color w:val="auto"/>
              </w:rPr>
            </w:pPr>
          </w:p>
        </w:tc>
        <w:tc>
          <w:tcPr>
            <w:tcW w:w="300" w:type="dxa"/>
            <w:vAlign w:val="bottom"/>
            <w:tcBorders>
              <w:bottom w:val="single" w:sz="8" w:color="105EAB"/>
            </w:tcBorders>
          </w:tcPr>
          <w:p>
            <w:pPr>
              <w:spacing w:after="0"/>
              <w:rPr>
                <w:sz w:val="4"/>
                <w:szCs w:val="4"/>
                <w:color w:val="auto"/>
              </w:rPr>
            </w:pPr>
          </w:p>
        </w:tc>
        <w:tc>
          <w:tcPr>
            <w:tcW w:w="640" w:type="dxa"/>
            <w:vAlign w:val="bottom"/>
            <w:tcBorders>
              <w:bottom w:val="single" w:sz="8" w:color="105EAB"/>
            </w:tcBorders>
          </w:tcPr>
          <w:p>
            <w:pPr>
              <w:spacing w:after="0"/>
              <w:rPr>
                <w:sz w:val="4"/>
                <w:szCs w:val="4"/>
                <w:color w:val="auto"/>
              </w:rPr>
            </w:pPr>
          </w:p>
        </w:tc>
        <w:tc>
          <w:tcPr>
            <w:tcW w:w="320" w:type="dxa"/>
            <w:vAlign w:val="bottom"/>
            <w:tcBorders>
              <w:bottom w:val="single" w:sz="8" w:color="105EAB"/>
            </w:tcBorders>
          </w:tcPr>
          <w:p>
            <w:pPr>
              <w:spacing w:after="0"/>
              <w:rPr>
                <w:sz w:val="4"/>
                <w:szCs w:val="4"/>
                <w:color w:val="auto"/>
              </w:rPr>
            </w:pPr>
          </w:p>
        </w:tc>
        <w:tc>
          <w:tcPr>
            <w:tcW w:w="580" w:type="dxa"/>
            <w:vAlign w:val="bottom"/>
            <w:tcBorders>
              <w:bottom w:val="single" w:sz="8" w:color="105EAB"/>
            </w:tcBorders>
          </w:tcPr>
          <w:p>
            <w:pPr>
              <w:spacing w:after="0"/>
              <w:rPr>
                <w:sz w:val="4"/>
                <w:szCs w:val="4"/>
                <w:color w:val="auto"/>
              </w:rPr>
            </w:pPr>
          </w:p>
        </w:tc>
      </w:tr>
      <w:tr>
        <w:trPr>
          <w:trHeight w:val="202"/>
        </w:trPr>
        <w:tc>
          <w:tcPr>
            <w:tcW w:w="5420" w:type="dxa"/>
            <w:vAlign w:val="bottom"/>
          </w:tcPr>
          <w:p>
            <w:pPr>
              <w:ind w:left="80"/>
              <w:spacing w:after="0"/>
              <w:rPr>
                <w:sz w:val="20"/>
                <w:szCs w:val="20"/>
                <w:color w:val="auto"/>
              </w:rPr>
            </w:pPr>
            <w:r>
              <w:rPr>
                <w:rFonts w:ascii="Arial" w:cs="Arial" w:eastAsia="Arial" w:hAnsi="Arial"/>
                <w:sz w:val="13"/>
                <w:szCs w:val="13"/>
                <w:b w:val="1"/>
                <w:bCs w:val="1"/>
                <w:color w:val="auto"/>
              </w:rPr>
              <w:t>Adjusted Net Income return on common shareholders’ equity</w:t>
            </w:r>
          </w:p>
        </w:tc>
        <w:tc>
          <w:tcPr>
            <w:tcW w:w="1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41"/>
        </w:trPr>
        <w:tc>
          <w:tcPr>
            <w:tcW w:w="5420" w:type="dxa"/>
            <w:vAlign w:val="bottom"/>
            <w:tcBorders>
              <w:bottom w:val="single" w:sz="8" w:color="DFF1FB"/>
            </w:tcBorders>
          </w:tcPr>
          <w:p>
            <w:pPr>
              <w:spacing w:after="0"/>
              <w:rPr>
                <w:sz w:val="3"/>
                <w:szCs w:val="3"/>
                <w:color w:val="auto"/>
              </w:rPr>
            </w:pPr>
          </w:p>
        </w:tc>
        <w:tc>
          <w:tcPr>
            <w:tcW w:w="1580" w:type="dxa"/>
            <w:vAlign w:val="bottom"/>
            <w:tcBorders>
              <w:bottom w:val="single" w:sz="8" w:color="DFF1FB"/>
            </w:tcBorders>
          </w:tcPr>
          <w:p>
            <w:pPr>
              <w:spacing w:after="0"/>
              <w:rPr>
                <w:sz w:val="3"/>
                <w:szCs w:val="3"/>
                <w:color w:val="auto"/>
              </w:rPr>
            </w:pPr>
          </w:p>
        </w:tc>
        <w:tc>
          <w:tcPr>
            <w:tcW w:w="680" w:type="dxa"/>
            <w:vAlign w:val="bottom"/>
            <w:tcBorders>
              <w:bottom w:val="single" w:sz="8" w:color="DFF1FB"/>
            </w:tcBorders>
          </w:tcPr>
          <w:p>
            <w:pPr>
              <w:spacing w:after="0"/>
              <w:rPr>
                <w:sz w:val="3"/>
                <w:szCs w:val="3"/>
                <w:color w:val="auto"/>
              </w:rPr>
            </w:pPr>
          </w:p>
        </w:tc>
        <w:tc>
          <w:tcPr>
            <w:tcW w:w="280" w:type="dxa"/>
            <w:vAlign w:val="bottom"/>
            <w:tcBorders>
              <w:bottom w:val="single" w:sz="8" w:color="DFF1FB"/>
            </w:tcBorders>
          </w:tcPr>
          <w:p>
            <w:pPr>
              <w:spacing w:after="0"/>
              <w:rPr>
                <w:sz w:val="3"/>
                <w:szCs w:val="3"/>
                <w:color w:val="auto"/>
              </w:rPr>
            </w:pPr>
          </w:p>
        </w:tc>
        <w:tc>
          <w:tcPr>
            <w:tcW w:w="660" w:type="dxa"/>
            <w:vAlign w:val="bottom"/>
            <w:tcBorders>
              <w:bottom w:val="single" w:sz="8" w:color="DFF1FB"/>
            </w:tcBorders>
          </w:tcPr>
          <w:p>
            <w:pPr>
              <w:spacing w:after="0"/>
              <w:rPr>
                <w:sz w:val="3"/>
                <w:szCs w:val="3"/>
                <w:color w:val="auto"/>
              </w:rPr>
            </w:pPr>
          </w:p>
        </w:tc>
        <w:tc>
          <w:tcPr>
            <w:tcW w:w="300" w:type="dxa"/>
            <w:vAlign w:val="bottom"/>
            <w:tcBorders>
              <w:bottom w:val="single" w:sz="8" w:color="DFF1FB"/>
            </w:tcBorders>
          </w:tcPr>
          <w:p>
            <w:pPr>
              <w:spacing w:after="0"/>
              <w:rPr>
                <w:sz w:val="3"/>
                <w:szCs w:val="3"/>
                <w:color w:val="auto"/>
              </w:rPr>
            </w:pPr>
          </w:p>
        </w:tc>
        <w:tc>
          <w:tcPr>
            <w:tcW w:w="660" w:type="dxa"/>
            <w:vAlign w:val="bottom"/>
            <w:tcBorders>
              <w:bottom w:val="single" w:sz="8" w:color="DFF1FB"/>
            </w:tcBorders>
          </w:tcPr>
          <w:p>
            <w:pPr>
              <w:spacing w:after="0"/>
              <w:rPr>
                <w:sz w:val="3"/>
                <w:szCs w:val="3"/>
                <w:color w:val="auto"/>
              </w:rPr>
            </w:pPr>
          </w:p>
        </w:tc>
        <w:tc>
          <w:tcPr>
            <w:tcW w:w="300" w:type="dxa"/>
            <w:vAlign w:val="bottom"/>
            <w:tcBorders>
              <w:bottom w:val="single" w:sz="8" w:color="DFF1FB"/>
            </w:tcBorders>
          </w:tcPr>
          <w:p>
            <w:pPr>
              <w:spacing w:after="0"/>
              <w:rPr>
                <w:sz w:val="3"/>
                <w:szCs w:val="3"/>
                <w:color w:val="auto"/>
              </w:rPr>
            </w:pPr>
          </w:p>
        </w:tc>
        <w:tc>
          <w:tcPr>
            <w:tcW w:w="640" w:type="dxa"/>
            <w:vAlign w:val="bottom"/>
            <w:tcBorders>
              <w:bottom w:val="single" w:sz="8" w:color="DFF1FB"/>
            </w:tcBorders>
          </w:tcPr>
          <w:p>
            <w:pPr>
              <w:spacing w:after="0"/>
              <w:rPr>
                <w:sz w:val="3"/>
                <w:szCs w:val="3"/>
                <w:color w:val="auto"/>
              </w:rPr>
            </w:pPr>
          </w:p>
        </w:tc>
        <w:tc>
          <w:tcPr>
            <w:tcW w:w="320" w:type="dxa"/>
            <w:vAlign w:val="bottom"/>
            <w:tcBorders>
              <w:bottom w:val="single" w:sz="8" w:color="DFF1FB"/>
            </w:tcBorders>
          </w:tcPr>
          <w:p>
            <w:pPr>
              <w:spacing w:after="0"/>
              <w:rPr>
                <w:sz w:val="3"/>
                <w:szCs w:val="3"/>
                <w:color w:val="auto"/>
              </w:rPr>
            </w:pPr>
          </w:p>
        </w:tc>
        <w:tc>
          <w:tcPr>
            <w:tcW w:w="580" w:type="dxa"/>
            <w:vAlign w:val="bottom"/>
            <w:tcBorders>
              <w:bottom w:val="single" w:sz="8" w:color="DFF1FB"/>
            </w:tcBorders>
          </w:tcPr>
          <w:p>
            <w:pPr>
              <w:spacing w:after="0"/>
              <w:rPr>
                <w:sz w:val="3"/>
                <w:szCs w:val="3"/>
                <w:color w:val="auto"/>
              </w:rPr>
            </w:pPr>
          </w:p>
        </w:tc>
      </w:tr>
      <w:tr>
        <w:trPr>
          <w:trHeight w:val="195"/>
        </w:trPr>
        <w:tc>
          <w:tcPr>
            <w:tcW w:w="5420" w:type="dxa"/>
            <w:vAlign w:val="bottom"/>
          </w:tcPr>
          <w:p>
            <w:pPr>
              <w:ind w:left="80"/>
              <w:spacing w:after="0"/>
              <w:rPr>
                <w:sz w:val="20"/>
                <w:szCs w:val="20"/>
                <w:color w:val="auto"/>
              </w:rPr>
            </w:pPr>
            <w:r>
              <w:rPr>
                <w:rFonts w:ascii="Arial" w:cs="Arial" w:eastAsia="Arial" w:hAnsi="Arial"/>
                <w:sz w:val="13"/>
                <w:szCs w:val="13"/>
                <w:color w:val="auto"/>
              </w:rPr>
              <w:t>Numerator:</w:t>
            </w:r>
          </w:p>
        </w:tc>
        <w:tc>
          <w:tcPr>
            <w:tcW w:w="1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41"/>
        </w:trPr>
        <w:tc>
          <w:tcPr>
            <w:tcW w:w="5420" w:type="dxa"/>
            <w:vAlign w:val="bottom"/>
            <w:tcBorders>
              <w:bottom w:val="single" w:sz="8" w:color="DFF1FB"/>
            </w:tcBorders>
          </w:tcPr>
          <w:p>
            <w:pPr>
              <w:spacing w:after="0"/>
              <w:rPr>
                <w:sz w:val="3"/>
                <w:szCs w:val="3"/>
                <w:color w:val="auto"/>
              </w:rPr>
            </w:pPr>
          </w:p>
        </w:tc>
        <w:tc>
          <w:tcPr>
            <w:tcW w:w="1580" w:type="dxa"/>
            <w:vAlign w:val="bottom"/>
            <w:tcBorders>
              <w:bottom w:val="single" w:sz="8" w:color="DFF1FB"/>
            </w:tcBorders>
          </w:tcPr>
          <w:p>
            <w:pPr>
              <w:spacing w:after="0"/>
              <w:rPr>
                <w:sz w:val="3"/>
                <w:szCs w:val="3"/>
                <w:color w:val="auto"/>
              </w:rPr>
            </w:pPr>
          </w:p>
        </w:tc>
        <w:tc>
          <w:tcPr>
            <w:tcW w:w="680" w:type="dxa"/>
            <w:vAlign w:val="bottom"/>
            <w:tcBorders>
              <w:bottom w:val="single" w:sz="8" w:color="DFF1FB"/>
            </w:tcBorders>
          </w:tcPr>
          <w:p>
            <w:pPr>
              <w:spacing w:after="0"/>
              <w:rPr>
                <w:sz w:val="3"/>
                <w:szCs w:val="3"/>
                <w:color w:val="auto"/>
              </w:rPr>
            </w:pPr>
          </w:p>
        </w:tc>
        <w:tc>
          <w:tcPr>
            <w:tcW w:w="280" w:type="dxa"/>
            <w:vAlign w:val="bottom"/>
            <w:tcBorders>
              <w:bottom w:val="single" w:sz="8" w:color="DFF1FB"/>
            </w:tcBorders>
          </w:tcPr>
          <w:p>
            <w:pPr>
              <w:spacing w:after="0"/>
              <w:rPr>
                <w:sz w:val="3"/>
                <w:szCs w:val="3"/>
                <w:color w:val="auto"/>
              </w:rPr>
            </w:pPr>
          </w:p>
        </w:tc>
        <w:tc>
          <w:tcPr>
            <w:tcW w:w="660" w:type="dxa"/>
            <w:vAlign w:val="bottom"/>
            <w:tcBorders>
              <w:bottom w:val="single" w:sz="8" w:color="DFF1FB"/>
            </w:tcBorders>
          </w:tcPr>
          <w:p>
            <w:pPr>
              <w:spacing w:after="0"/>
              <w:rPr>
                <w:sz w:val="3"/>
                <w:szCs w:val="3"/>
                <w:color w:val="auto"/>
              </w:rPr>
            </w:pPr>
          </w:p>
        </w:tc>
        <w:tc>
          <w:tcPr>
            <w:tcW w:w="300" w:type="dxa"/>
            <w:vAlign w:val="bottom"/>
            <w:tcBorders>
              <w:bottom w:val="single" w:sz="8" w:color="DFF1FB"/>
            </w:tcBorders>
          </w:tcPr>
          <w:p>
            <w:pPr>
              <w:spacing w:after="0"/>
              <w:rPr>
                <w:sz w:val="3"/>
                <w:szCs w:val="3"/>
                <w:color w:val="auto"/>
              </w:rPr>
            </w:pPr>
          </w:p>
        </w:tc>
        <w:tc>
          <w:tcPr>
            <w:tcW w:w="660" w:type="dxa"/>
            <w:vAlign w:val="bottom"/>
            <w:tcBorders>
              <w:bottom w:val="single" w:sz="8" w:color="DFF1FB"/>
            </w:tcBorders>
          </w:tcPr>
          <w:p>
            <w:pPr>
              <w:spacing w:after="0"/>
              <w:rPr>
                <w:sz w:val="3"/>
                <w:szCs w:val="3"/>
                <w:color w:val="auto"/>
              </w:rPr>
            </w:pPr>
          </w:p>
        </w:tc>
        <w:tc>
          <w:tcPr>
            <w:tcW w:w="300" w:type="dxa"/>
            <w:vAlign w:val="bottom"/>
            <w:tcBorders>
              <w:bottom w:val="single" w:sz="8" w:color="DFF1FB"/>
            </w:tcBorders>
          </w:tcPr>
          <w:p>
            <w:pPr>
              <w:spacing w:after="0"/>
              <w:rPr>
                <w:sz w:val="3"/>
                <w:szCs w:val="3"/>
                <w:color w:val="auto"/>
              </w:rPr>
            </w:pPr>
          </w:p>
        </w:tc>
        <w:tc>
          <w:tcPr>
            <w:tcW w:w="640" w:type="dxa"/>
            <w:vAlign w:val="bottom"/>
            <w:tcBorders>
              <w:bottom w:val="single" w:sz="8" w:color="DFF1FB"/>
            </w:tcBorders>
          </w:tcPr>
          <w:p>
            <w:pPr>
              <w:spacing w:after="0"/>
              <w:rPr>
                <w:sz w:val="3"/>
                <w:szCs w:val="3"/>
                <w:color w:val="auto"/>
              </w:rPr>
            </w:pPr>
          </w:p>
        </w:tc>
        <w:tc>
          <w:tcPr>
            <w:tcW w:w="320" w:type="dxa"/>
            <w:vAlign w:val="bottom"/>
            <w:tcBorders>
              <w:bottom w:val="single" w:sz="8" w:color="DFF1FB"/>
            </w:tcBorders>
          </w:tcPr>
          <w:p>
            <w:pPr>
              <w:spacing w:after="0"/>
              <w:rPr>
                <w:sz w:val="3"/>
                <w:szCs w:val="3"/>
                <w:color w:val="auto"/>
              </w:rPr>
            </w:pPr>
          </w:p>
        </w:tc>
        <w:tc>
          <w:tcPr>
            <w:tcW w:w="580" w:type="dxa"/>
            <w:vAlign w:val="bottom"/>
            <w:tcBorders>
              <w:bottom w:val="single" w:sz="8" w:color="DFF1FB"/>
            </w:tcBorders>
          </w:tcPr>
          <w:p>
            <w:pPr>
              <w:spacing w:after="0"/>
              <w:rPr>
                <w:sz w:val="3"/>
                <w:szCs w:val="3"/>
                <w:color w:val="auto"/>
              </w:rPr>
            </w:pPr>
          </w:p>
        </w:tc>
      </w:tr>
      <w:tr>
        <w:trPr>
          <w:trHeight w:val="195"/>
        </w:trPr>
        <w:tc>
          <w:tcPr>
            <w:tcW w:w="5420" w:type="dxa"/>
            <w:vAlign w:val="bottom"/>
          </w:tcPr>
          <w:p>
            <w:pPr>
              <w:ind w:left="340"/>
              <w:spacing w:after="0"/>
              <w:rPr>
                <w:sz w:val="20"/>
                <w:szCs w:val="20"/>
                <w:color w:val="auto"/>
              </w:rPr>
            </w:pPr>
            <w:r>
              <w:rPr>
                <w:rFonts w:ascii="Arial" w:cs="Arial" w:eastAsia="Arial" w:hAnsi="Arial"/>
                <w:sz w:val="13"/>
                <w:szCs w:val="13"/>
                <w:color w:val="auto"/>
              </w:rPr>
              <w:t>Adjusted Net Income</w:t>
            </w:r>
          </w:p>
        </w:tc>
        <w:tc>
          <w:tcPr>
            <w:tcW w:w="15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93"/>
              <w:spacing w:after="0"/>
              <w:rPr>
                <w:sz w:val="20"/>
                <w:szCs w:val="20"/>
                <w:color w:val="auto"/>
              </w:rPr>
            </w:pPr>
            <w:r>
              <w:rPr>
                <w:rFonts w:ascii="Arial" w:cs="Arial" w:eastAsia="Arial" w:hAnsi="Arial"/>
                <w:sz w:val="13"/>
                <w:szCs w:val="13"/>
                <w:color w:val="auto"/>
              </w:rPr>
              <w:t>2,851</w:t>
            </w:r>
          </w:p>
        </w:tc>
        <w:tc>
          <w:tcPr>
            <w:tcW w:w="2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73"/>
              <w:spacing w:after="0"/>
              <w:rPr>
                <w:sz w:val="20"/>
                <w:szCs w:val="20"/>
                <w:color w:val="auto"/>
              </w:rPr>
            </w:pPr>
            <w:r>
              <w:rPr>
                <w:rFonts w:ascii="Arial" w:cs="Arial" w:eastAsia="Arial" w:hAnsi="Arial"/>
                <w:sz w:val="13"/>
                <w:szCs w:val="13"/>
                <w:color w:val="auto"/>
              </w:rPr>
              <w:t>2,467</w:t>
            </w:r>
          </w:p>
        </w:tc>
        <w:tc>
          <w:tcPr>
            <w:tcW w:w="3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73"/>
              <w:spacing w:after="0"/>
              <w:rPr>
                <w:sz w:val="20"/>
                <w:szCs w:val="20"/>
                <w:color w:val="auto"/>
              </w:rPr>
            </w:pPr>
            <w:r>
              <w:rPr>
                <w:rFonts w:ascii="Arial" w:cs="Arial" w:eastAsia="Arial" w:hAnsi="Arial"/>
                <w:sz w:val="13"/>
                <w:szCs w:val="13"/>
                <w:color w:val="auto"/>
              </w:rPr>
              <w:t>1,838</w:t>
            </w:r>
          </w:p>
        </w:tc>
        <w:tc>
          <w:tcPr>
            <w:tcW w:w="3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53"/>
              <w:spacing w:after="0"/>
              <w:rPr>
                <w:sz w:val="20"/>
                <w:szCs w:val="20"/>
                <w:color w:val="auto"/>
              </w:rPr>
            </w:pPr>
            <w:r>
              <w:rPr>
                <w:rFonts w:ascii="Arial" w:cs="Arial" w:eastAsia="Arial" w:hAnsi="Arial"/>
                <w:sz w:val="13"/>
                <w:szCs w:val="13"/>
                <w:color w:val="auto"/>
              </w:rPr>
              <w:t>2,113</w:t>
            </w:r>
          </w:p>
        </w:tc>
        <w:tc>
          <w:tcPr>
            <w:tcW w:w="32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13"/>
              <w:spacing w:after="0"/>
              <w:rPr>
                <w:sz w:val="20"/>
                <w:szCs w:val="20"/>
                <w:color w:val="auto"/>
              </w:rPr>
            </w:pPr>
            <w:r>
              <w:rPr>
                <w:rFonts w:ascii="Arial" w:cs="Arial" w:eastAsia="Arial" w:hAnsi="Arial"/>
                <w:sz w:val="13"/>
                <w:szCs w:val="13"/>
                <w:color w:val="auto"/>
              </w:rPr>
              <w:t>2,367</w:t>
            </w:r>
          </w:p>
        </w:tc>
      </w:tr>
      <w:tr>
        <w:trPr>
          <w:trHeight w:val="41"/>
        </w:trPr>
        <w:tc>
          <w:tcPr>
            <w:tcW w:w="5420" w:type="dxa"/>
            <w:vAlign w:val="bottom"/>
            <w:tcBorders>
              <w:bottom w:val="single" w:sz="8" w:color="DFF1FB"/>
            </w:tcBorders>
          </w:tcPr>
          <w:p>
            <w:pPr>
              <w:spacing w:after="0"/>
              <w:rPr>
                <w:sz w:val="3"/>
                <w:szCs w:val="3"/>
                <w:color w:val="auto"/>
              </w:rPr>
            </w:pPr>
          </w:p>
        </w:tc>
        <w:tc>
          <w:tcPr>
            <w:tcW w:w="1580" w:type="dxa"/>
            <w:vAlign w:val="bottom"/>
            <w:tcBorders>
              <w:bottom w:val="single" w:sz="8" w:color="DFF1FB"/>
            </w:tcBorders>
          </w:tcPr>
          <w:p>
            <w:pPr>
              <w:spacing w:after="0"/>
              <w:rPr>
                <w:sz w:val="3"/>
                <w:szCs w:val="3"/>
                <w:color w:val="auto"/>
              </w:rPr>
            </w:pPr>
          </w:p>
        </w:tc>
        <w:tc>
          <w:tcPr>
            <w:tcW w:w="680" w:type="dxa"/>
            <w:vAlign w:val="bottom"/>
            <w:tcBorders>
              <w:bottom w:val="single" w:sz="8" w:color="DFF1FB"/>
            </w:tcBorders>
          </w:tcPr>
          <w:p>
            <w:pPr>
              <w:spacing w:after="0"/>
              <w:rPr>
                <w:sz w:val="3"/>
                <w:szCs w:val="3"/>
                <w:color w:val="auto"/>
              </w:rPr>
            </w:pPr>
          </w:p>
        </w:tc>
        <w:tc>
          <w:tcPr>
            <w:tcW w:w="280" w:type="dxa"/>
            <w:vAlign w:val="bottom"/>
            <w:tcBorders>
              <w:bottom w:val="single" w:sz="8" w:color="DFF1FB"/>
            </w:tcBorders>
          </w:tcPr>
          <w:p>
            <w:pPr>
              <w:spacing w:after="0"/>
              <w:rPr>
                <w:sz w:val="3"/>
                <w:szCs w:val="3"/>
                <w:color w:val="auto"/>
              </w:rPr>
            </w:pPr>
          </w:p>
        </w:tc>
        <w:tc>
          <w:tcPr>
            <w:tcW w:w="660" w:type="dxa"/>
            <w:vAlign w:val="bottom"/>
            <w:tcBorders>
              <w:bottom w:val="single" w:sz="8" w:color="DFF1FB"/>
            </w:tcBorders>
          </w:tcPr>
          <w:p>
            <w:pPr>
              <w:spacing w:after="0"/>
              <w:rPr>
                <w:sz w:val="3"/>
                <w:szCs w:val="3"/>
                <w:color w:val="auto"/>
              </w:rPr>
            </w:pPr>
          </w:p>
        </w:tc>
        <w:tc>
          <w:tcPr>
            <w:tcW w:w="300" w:type="dxa"/>
            <w:vAlign w:val="bottom"/>
            <w:tcBorders>
              <w:bottom w:val="single" w:sz="8" w:color="DFF1FB"/>
            </w:tcBorders>
          </w:tcPr>
          <w:p>
            <w:pPr>
              <w:spacing w:after="0"/>
              <w:rPr>
                <w:sz w:val="3"/>
                <w:szCs w:val="3"/>
                <w:color w:val="auto"/>
              </w:rPr>
            </w:pPr>
          </w:p>
        </w:tc>
        <w:tc>
          <w:tcPr>
            <w:tcW w:w="660" w:type="dxa"/>
            <w:vAlign w:val="bottom"/>
            <w:tcBorders>
              <w:bottom w:val="single" w:sz="8" w:color="DFF1FB"/>
            </w:tcBorders>
          </w:tcPr>
          <w:p>
            <w:pPr>
              <w:spacing w:after="0"/>
              <w:rPr>
                <w:sz w:val="3"/>
                <w:szCs w:val="3"/>
                <w:color w:val="auto"/>
              </w:rPr>
            </w:pPr>
          </w:p>
        </w:tc>
        <w:tc>
          <w:tcPr>
            <w:tcW w:w="300" w:type="dxa"/>
            <w:vAlign w:val="bottom"/>
            <w:tcBorders>
              <w:bottom w:val="single" w:sz="8" w:color="DFF1FB"/>
            </w:tcBorders>
          </w:tcPr>
          <w:p>
            <w:pPr>
              <w:spacing w:after="0"/>
              <w:rPr>
                <w:sz w:val="3"/>
                <w:szCs w:val="3"/>
                <w:color w:val="auto"/>
              </w:rPr>
            </w:pPr>
          </w:p>
        </w:tc>
        <w:tc>
          <w:tcPr>
            <w:tcW w:w="640" w:type="dxa"/>
            <w:vAlign w:val="bottom"/>
            <w:tcBorders>
              <w:bottom w:val="single" w:sz="8" w:color="DFF1FB"/>
            </w:tcBorders>
          </w:tcPr>
          <w:p>
            <w:pPr>
              <w:spacing w:after="0"/>
              <w:rPr>
                <w:sz w:val="3"/>
                <w:szCs w:val="3"/>
                <w:color w:val="auto"/>
              </w:rPr>
            </w:pPr>
          </w:p>
        </w:tc>
        <w:tc>
          <w:tcPr>
            <w:tcW w:w="320" w:type="dxa"/>
            <w:vAlign w:val="bottom"/>
            <w:tcBorders>
              <w:bottom w:val="single" w:sz="8" w:color="DFF1FB"/>
            </w:tcBorders>
          </w:tcPr>
          <w:p>
            <w:pPr>
              <w:spacing w:after="0"/>
              <w:rPr>
                <w:sz w:val="3"/>
                <w:szCs w:val="3"/>
                <w:color w:val="auto"/>
              </w:rPr>
            </w:pPr>
          </w:p>
        </w:tc>
        <w:tc>
          <w:tcPr>
            <w:tcW w:w="580" w:type="dxa"/>
            <w:vAlign w:val="bottom"/>
            <w:tcBorders>
              <w:bottom w:val="single" w:sz="8" w:color="DFF1FB"/>
            </w:tcBorders>
          </w:tcPr>
          <w:p>
            <w:pPr>
              <w:spacing w:after="0"/>
              <w:rPr>
                <w:sz w:val="3"/>
                <w:szCs w:val="3"/>
                <w:color w:val="auto"/>
              </w:rPr>
            </w:pPr>
          </w:p>
        </w:tc>
      </w:tr>
      <w:tr>
        <w:trPr>
          <w:trHeight w:val="236"/>
        </w:trPr>
        <w:tc>
          <w:tcPr>
            <w:tcW w:w="5420" w:type="dxa"/>
            <w:vAlign w:val="bottom"/>
            <w:tcBorders>
              <w:bottom w:val="single" w:sz="8" w:color="DFF1FB"/>
            </w:tcBorders>
          </w:tcPr>
          <w:p>
            <w:pPr>
              <w:spacing w:after="0"/>
              <w:rPr>
                <w:sz w:val="20"/>
                <w:szCs w:val="20"/>
                <w:color w:val="auto"/>
              </w:rPr>
            </w:pPr>
          </w:p>
        </w:tc>
        <w:tc>
          <w:tcPr>
            <w:tcW w:w="1580" w:type="dxa"/>
            <w:vAlign w:val="bottom"/>
            <w:tcBorders>
              <w:bottom w:val="single" w:sz="8" w:color="DFF1FB"/>
            </w:tcBorders>
          </w:tcPr>
          <w:p>
            <w:pPr>
              <w:spacing w:after="0"/>
              <w:rPr>
                <w:sz w:val="20"/>
                <w:szCs w:val="20"/>
                <w:color w:val="auto"/>
              </w:rPr>
            </w:pPr>
          </w:p>
        </w:tc>
        <w:tc>
          <w:tcPr>
            <w:tcW w:w="680" w:type="dxa"/>
            <w:vAlign w:val="bottom"/>
            <w:tcBorders>
              <w:bottom w:val="single" w:sz="8" w:color="DFF1FB"/>
            </w:tcBorders>
          </w:tcPr>
          <w:p>
            <w:pPr>
              <w:spacing w:after="0"/>
              <w:rPr>
                <w:sz w:val="20"/>
                <w:szCs w:val="20"/>
                <w:color w:val="auto"/>
              </w:rPr>
            </w:pPr>
          </w:p>
        </w:tc>
        <w:tc>
          <w:tcPr>
            <w:tcW w:w="280" w:type="dxa"/>
            <w:vAlign w:val="bottom"/>
            <w:tcBorders>
              <w:bottom w:val="single" w:sz="8" w:color="DFF1FB"/>
            </w:tcBorders>
          </w:tcPr>
          <w:p>
            <w:pPr>
              <w:spacing w:after="0"/>
              <w:rPr>
                <w:sz w:val="20"/>
                <w:szCs w:val="20"/>
                <w:color w:val="auto"/>
              </w:rPr>
            </w:pPr>
          </w:p>
        </w:tc>
        <w:tc>
          <w:tcPr>
            <w:tcW w:w="660" w:type="dxa"/>
            <w:vAlign w:val="bottom"/>
            <w:tcBorders>
              <w:bottom w:val="single" w:sz="8" w:color="DFF1FB"/>
            </w:tcBorders>
          </w:tcPr>
          <w:p>
            <w:pPr>
              <w:spacing w:after="0"/>
              <w:rPr>
                <w:sz w:val="20"/>
                <w:szCs w:val="20"/>
                <w:color w:val="auto"/>
              </w:rPr>
            </w:pPr>
          </w:p>
        </w:tc>
        <w:tc>
          <w:tcPr>
            <w:tcW w:w="300" w:type="dxa"/>
            <w:vAlign w:val="bottom"/>
            <w:tcBorders>
              <w:bottom w:val="single" w:sz="8" w:color="DFF1FB"/>
            </w:tcBorders>
          </w:tcPr>
          <w:p>
            <w:pPr>
              <w:spacing w:after="0"/>
              <w:rPr>
                <w:sz w:val="20"/>
                <w:szCs w:val="20"/>
                <w:color w:val="auto"/>
              </w:rPr>
            </w:pPr>
          </w:p>
        </w:tc>
        <w:tc>
          <w:tcPr>
            <w:tcW w:w="660" w:type="dxa"/>
            <w:vAlign w:val="bottom"/>
            <w:tcBorders>
              <w:bottom w:val="single" w:sz="8" w:color="DFF1FB"/>
            </w:tcBorders>
          </w:tcPr>
          <w:p>
            <w:pPr>
              <w:spacing w:after="0"/>
              <w:rPr>
                <w:sz w:val="20"/>
                <w:szCs w:val="20"/>
                <w:color w:val="auto"/>
              </w:rPr>
            </w:pPr>
          </w:p>
        </w:tc>
        <w:tc>
          <w:tcPr>
            <w:tcW w:w="300" w:type="dxa"/>
            <w:vAlign w:val="bottom"/>
            <w:tcBorders>
              <w:bottom w:val="single" w:sz="8" w:color="DFF1FB"/>
            </w:tcBorders>
          </w:tcPr>
          <w:p>
            <w:pPr>
              <w:spacing w:after="0"/>
              <w:rPr>
                <w:sz w:val="20"/>
                <w:szCs w:val="20"/>
                <w:color w:val="auto"/>
              </w:rPr>
            </w:pPr>
          </w:p>
        </w:tc>
        <w:tc>
          <w:tcPr>
            <w:tcW w:w="640" w:type="dxa"/>
            <w:vAlign w:val="bottom"/>
            <w:tcBorders>
              <w:bottom w:val="single" w:sz="8" w:color="DFF1FB"/>
            </w:tcBorders>
          </w:tcPr>
          <w:p>
            <w:pPr>
              <w:spacing w:after="0"/>
              <w:rPr>
                <w:sz w:val="20"/>
                <w:szCs w:val="20"/>
                <w:color w:val="auto"/>
              </w:rPr>
            </w:pPr>
          </w:p>
        </w:tc>
        <w:tc>
          <w:tcPr>
            <w:tcW w:w="320" w:type="dxa"/>
            <w:vAlign w:val="bottom"/>
            <w:tcBorders>
              <w:bottom w:val="single" w:sz="8" w:color="DFF1FB"/>
            </w:tcBorders>
          </w:tcPr>
          <w:p>
            <w:pPr>
              <w:spacing w:after="0"/>
              <w:rPr>
                <w:sz w:val="20"/>
                <w:szCs w:val="20"/>
                <w:color w:val="auto"/>
              </w:rPr>
            </w:pPr>
          </w:p>
        </w:tc>
        <w:tc>
          <w:tcPr>
            <w:tcW w:w="580" w:type="dxa"/>
            <w:vAlign w:val="bottom"/>
            <w:tcBorders>
              <w:bottom w:val="single" w:sz="8" w:color="DFF1FB"/>
            </w:tcBorders>
          </w:tcPr>
          <w:p>
            <w:pPr>
              <w:spacing w:after="0"/>
              <w:rPr>
                <w:sz w:val="20"/>
                <w:szCs w:val="20"/>
                <w:color w:val="auto"/>
              </w:rPr>
            </w:pPr>
          </w:p>
        </w:tc>
      </w:tr>
      <w:tr>
        <w:trPr>
          <w:trHeight w:val="195"/>
        </w:trPr>
        <w:tc>
          <w:tcPr>
            <w:tcW w:w="5420" w:type="dxa"/>
            <w:vAlign w:val="bottom"/>
          </w:tcPr>
          <w:p>
            <w:pPr>
              <w:ind w:left="80"/>
              <w:spacing w:after="0"/>
              <w:rPr>
                <w:sz w:val="20"/>
                <w:szCs w:val="20"/>
                <w:color w:val="auto"/>
              </w:rPr>
            </w:pPr>
            <w:r>
              <w:rPr>
                <w:rFonts w:ascii="Arial" w:cs="Arial" w:eastAsia="Arial" w:hAnsi="Arial"/>
                <w:sz w:val="13"/>
                <w:szCs w:val="13"/>
                <w:color w:val="auto"/>
              </w:rPr>
              <w:t>Denominator:</w:t>
            </w:r>
          </w:p>
        </w:tc>
        <w:tc>
          <w:tcPr>
            <w:tcW w:w="1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41"/>
        </w:trPr>
        <w:tc>
          <w:tcPr>
            <w:tcW w:w="5420" w:type="dxa"/>
            <w:vAlign w:val="bottom"/>
            <w:tcBorders>
              <w:bottom w:val="single" w:sz="8" w:color="DFF1FB"/>
            </w:tcBorders>
          </w:tcPr>
          <w:p>
            <w:pPr>
              <w:spacing w:after="0"/>
              <w:rPr>
                <w:sz w:val="3"/>
                <w:szCs w:val="3"/>
                <w:color w:val="auto"/>
              </w:rPr>
            </w:pPr>
          </w:p>
        </w:tc>
        <w:tc>
          <w:tcPr>
            <w:tcW w:w="1580" w:type="dxa"/>
            <w:vAlign w:val="bottom"/>
            <w:tcBorders>
              <w:bottom w:val="single" w:sz="8" w:color="DFF1FB"/>
            </w:tcBorders>
          </w:tcPr>
          <w:p>
            <w:pPr>
              <w:spacing w:after="0"/>
              <w:rPr>
                <w:sz w:val="3"/>
                <w:szCs w:val="3"/>
                <w:color w:val="auto"/>
              </w:rPr>
            </w:pPr>
          </w:p>
        </w:tc>
        <w:tc>
          <w:tcPr>
            <w:tcW w:w="680" w:type="dxa"/>
            <w:vAlign w:val="bottom"/>
            <w:tcBorders>
              <w:bottom w:val="single" w:sz="8" w:color="DFF1FB"/>
            </w:tcBorders>
          </w:tcPr>
          <w:p>
            <w:pPr>
              <w:spacing w:after="0"/>
              <w:rPr>
                <w:sz w:val="3"/>
                <w:szCs w:val="3"/>
                <w:color w:val="auto"/>
              </w:rPr>
            </w:pPr>
          </w:p>
        </w:tc>
        <w:tc>
          <w:tcPr>
            <w:tcW w:w="280" w:type="dxa"/>
            <w:vAlign w:val="bottom"/>
            <w:tcBorders>
              <w:bottom w:val="single" w:sz="8" w:color="DFF1FB"/>
            </w:tcBorders>
          </w:tcPr>
          <w:p>
            <w:pPr>
              <w:spacing w:after="0"/>
              <w:rPr>
                <w:sz w:val="3"/>
                <w:szCs w:val="3"/>
                <w:color w:val="auto"/>
              </w:rPr>
            </w:pPr>
          </w:p>
        </w:tc>
        <w:tc>
          <w:tcPr>
            <w:tcW w:w="660" w:type="dxa"/>
            <w:vAlign w:val="bottom"/>
            <w:tcBorders>
              <w:bottom w:val="single" w:sz="8" w:color="DFF1FB"/>
            </w:tcBorders>
          </w:tcPr>
          <w:p>
            <w:pPr>
              <w:spacing w:after="0"/>
              <w:rPr>
                <w:sz w:val="3"/>
                <w:szCs w:val="3"/>
                <w:color w:val="auto"/>
              </w:rPr>
            </w:pPr>
          </w:p>
        </w:tc>
        <w:tc>
          <w:tcPr>
            <w:tcW w:w="300" w:type="dxa"/>
            <w:vAlign w:val="bottom"/>
            <w:tcBorders>
              <w:bottom w:val="single" w:sz="8" w:color="DFF1FB"/>
            </w:tcBorders>
          </w:tcPr>
          <w:p>
            <w:pPr>
              <w:spacing w:after="0"/>
              <w:rPr>
                <w:sz w:val="3"/>
                <w:szCs w:val="3"/>
                <w:color w:val="auto"/>
              </w:rPr>
            </w:pPr>
          </w:p>
        </w:tc>
        <w:tc>
          <w:tcPr>
            <w:tcW w:w="660" w:type="dxa"/>
            <w:vAlign w:val="bottom"/>
            <w:tcBorders>
              <w:bottom w:val="single" w:sz="8" w:color="DFF1FB"/>
            </w:tcBorders>
          </w:tcPr>
          <w:p>
            <w:pPr>
              <w:spacing w:after="0"/>
              <w:rPr>
                <w:sz w:val="3"/>
                <w:szCs w:val="3"/>
                <w:color w:val="auto"/>
              </w:rPr>
            </w:pPr>
          </w:p>
        </w:tc>
        <w:tc>
          <w:tcPr>
            <w:tcW w:w="300" w:type="dxa"/>
            <w:vAlign w:val="bottom"/>
            <w:tcBorders>
              <w:bottom w:val="single" w:sz="8" w:color="DFF1FB"/>
            </w:tcBorders>
          </w:tcPr>
          <w:p>
            <w:pPr>
              <w:spacing w:after="0"/>
              <w:rPr>
                <w:sz w:val="3"/>
                <w:szCs w:val="3"/>
                <w:color w:val="auto"/>
              </w:rPr>
            </w:pPr>
          </w:p>
        </w:tc>
        <w:tc>
          <w:tcPr>
            <w:tcW w:w="640" w:type="dxa"/>
            <w:vAlign w:val="bottom"/>
            <w:tcBorders>
              <w:bottom w:val="single" w:sz="8" w:color="DFF1FB"/>
            </w:tcBorders>
          </w:tcPr>
          <w:p>
            <w:pPr>
              <w:spacing w:after="0"/>
              <w:rPr>
                <w:sz w:val="3"/>
                <w:szCs w:val="3"/>
                <w:color w:val="auto"/>
              </w:rPr>
            </w:pPr>
          </w:p>
        </w:tc>
        <w:tc>
          <w:tcPr>
            <w:tcW w:w="320" w:type="dxa"/>
            <w:vAlign w:val="bottom"/>
            <w:tcBorders>
              <w:bottom w:val="single" w:sz="8" w:color="DFF1FB"/>
            </w:tcBorders>
          </w:tcPr>
          <w:p>
            <w:pPr>
              <w:spacing w:after="0"/>
              <w:rPr>
                <w:sz w:val="3"/>
                <w:szCs w:val="3"/>
                <w:color w:val="auto"/>
              </w:rPr>
            </w:pPr>
          </w:p>
        </w:tc>
        <w:tc>
          <w:tcPr>
            <w:tcW w:w="580" w:type="dxa"/>
            <w:vAlign w:val="bottom"/>
            <w:tcBorders>
              <w:bottom w:val="single" w:sz="8" w:color="DFF1FB"/>
            </w:tcBorders>
          </w:tcPr>
          <w:p>
            <w:pPr>
              <w:spacing w:after="0"/>
              <w:rPr>
                <w:sz w:val="3"/>
                <w:szCs w:val="3"/>
                <w:color w:val="auto"/>
              </w:rPr>
            </w:pPr>
          </w:p>
        </w:tc>
      </w:tr>
      <w:tr>
        <w:trPr>
          <w:trHeight w:val="290"/>
        </w:trPr>
        <w:tc>
          <w:tcPr>
            <w:tcW w:w="5420" w:type="dxa"/>
            <w:vAlign w:val="bottom"/>
            <w:tcBorders>
              <w:bottom w:val="single" w:sz="8" w:color="DFF1FB"/>
            </w:tcBorders>
          </w:tcPr>
          <w:p>
            <w:pPr>
              <w:ind w:left="340"/>
              <w:spacing w:after="0"/>
              <w:rPr>
                <w:sz w:val="20"/>
                <w:szCs w:val="20"/>
                <w:color w:val="auto"/>
              </w:rPr>
            </w:pPr>
            <w:r>
              <w:rPr>
                <w:rFonts w:ascii="Arial" w:cs="Arial" w:eastAsia="Arial" w:hAnsi="Arial"/>
                <w:sz w:val="13"/>
                <w:szCs w:val="13"/>
                <w:color w:val="auto"/>
              </w:rPr>
              <w:t>Beginning common shareholders’ equity</w:t>
            </w:r>
            <w:r>
              <w:rPr>
                <w:rFonts w:ascii="Arial" w:cs="Arial" w:eastAsia="Arial" w:hAnsi="Arial"/>
                <w:sz w:val="22"/>
                <w:szCs w:val="22"/>
                <w:color w:val="auto"/>
                <w:vertAlign w:val="superscript"/>
              </w:rPr>
              <w:t>(1)</w:t>
            </w:r>
          </w:p>
        </w:tc>
        <w:tc>
          <w:tcPr>
            <w:tcW w:w="1580" w:type="dxa"/>
            <w:vAlign w:val="bottom"/>
            <w:tcBorders>
              <w:bottom w:val="single" w:sz="8" w:color="DFF1FB"/>
            </w:tcBorders>
          </w:tcPr>
          <w:p>
            <w:pPr>
              <w:jc w:val="right"/>
              <w:ind w:right="33"/>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DFF1FB"/>
            </w:tcBorders>
          </w:tcPr>
          <w:p>
            <w:pPr>
              <w:jc w:val="right"/>
              <w:ind w:right="93"/>
              <w:spacing w:after="0"/>
              <w:rPr>
                <w:sz w:val="20"/>
                <w:szCs w:val="20"/>
                <w:color w:val="auto"/>
              </w:rPr>
            </w:pPr>
            <w:r>
              <w:rPr>
                <w:rFonts w:ascii="Arial" w:cs="Arial" w:eastAsia="Arial" w:hAnsi="Arial"/>
                <w:sz w:val="13"/>
                <w:szCs w:val="13"/>
                <w:color w:val="auto"/>
              </w:rPr>
              <w:t>20,805</w:t>
            </w:r>
          </w:p>
        </w:tc>
        <w:tc>
          <w:tcPr>
            <w:tcW w:w="280" w:type="dxa"/>
            <w:vAlign w:val="bottom"/>
            <w:tcBorders>
              <w:bottom w:val="single" w:sz="8" w:color="DFF1FB"/>
            </w:tcBorders>
          </w:tcPr>
          <w:p>
            <w:pPr>
              <w:jc w:val="right"/>
              <w:ind w:right="33"/>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DFF1FB"/>
            </w:tcBorders>
          </w:tcPr>
          <w:p>
            <w:pPr>
              <w:jc w:val="right"/>
              <w:ind w:right="73"/>
              <w:spacing w:after="0"/>
              <w:rPr>
                <w:sz w:val="20"/>
                <w:szCs w:val="20"/>
                <w:color w:val="auto"/>
              </w:rPr>
            </w:pPr>
            <w:r>
              <w:rPr>
                <w:rFonts w:ascii="Arial" w:cs="Arial" w:eastAsia="Arial" w:hAnsi="Arial"/>
                <w:sz w:val="13"/>
                <w:szCs w:val="13"/>
                <w:color w:val="auto"/>
              </w:rPr>
              <w:t>18,827</w:t>
            </w:r>
          </w:p>
        </w:tc>
        <w:tc>
          <w:tcPr>
            <w:tcW w:w="300" w:type="dxa"/>
            <w:vAlign w:val="bottom"/>
            <w:tcBorders>
              <w:bottom w:val="single" w:sz="8" w:color="DFF1FB"/>
            </w:tcBorders>
          </w:tcPr>
          <w:p>
            <w:pPr>
              <w:jc w:val="right"/>
              <w:ind w:right="33"/>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DFF1FB"/>
            </w:tcBorders>
          </w:tcPr>
          <w:p>
            <w:pPr>
              <w:jc w:val="right"/>
              <w:ind w:right="73"/>
              <w:spacing w:after="0"/>
              <w:rPr>
                <w:sz w:val="20"/>
                <w:szCs w:val="20"/>
                <w:color w:val="auto"/>
              </w:rPr>
            </w:pPr>
            <w:r>
              <w:rPr>
                <w:rFonts w:ascii="Arial" w:cs="Arial" w:eastAsia="Arial" w:hAnsi="Arial"/>
                <w:sz w:val="13"/>
                <w:szCs w:val="13"/>
                <w:color w:val="auto"/>
              </w:rPr>
              <w:t>18,279</w:t>
            </w:r>
          </w:p>
        </w:tc>
        <w:tc>
          <w:tcPr>
            <w:tcW w:w="300" w:type="dxa"/>
            <w:vAlign w:val="bottom"/>
            <w:tcBorders>
              <w:bottom w:val="single" w:sz="8" w:color="DFF1FB"/>
            </w:tcBorders>
          </w:tcPr>
          <w:p>
            <w:pPr>
              <w:jc w:val="right"/>
              <w:ind w:right="33"/>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DFF1FB"/>
            </w:tcBorders>
          </w:tcPr>
          <w:p>
            <w:pPr>
              <w:jc w:val="right"/>
              <w:ind w:right="53"/>
              <w:spacing w:after="0"/>
              <w:rPr>
                <w:sz w:val="20"/>
                <w:szCs w:val="20"/>
                <w:color w:val="auto"/>
              </w:rPr>
            </w:pPr>
            <w:r>
              <w:rPr>
                <w:rFonts w:ascii="Arial" w:cs="Arial" w:eastAsia="Arial" w:hAnsi="Arial"/>
                <w:sz w:val="13"/>
                <w:szCs w:val="13"/>
                <w:color w:val="auto"/>
              </w:rPr>
              <w:t>20,558</w:t>
            </w:r>
          </w:p>
        </w:tc>
        <w:tc>
          <w:tcPr>
            <w:tcW w:w="320" w:type="dxa"/>
            <w:vAlign w:val="bottom"/>
            <w:tcBorders>
              <w:bottom w:val="single" w:sz="8" w:color="DFF1FB"/>
            </w:tcBorders>
          </w:tcPr>
          <w:p>
            <w:pPr>
              <w:jc w:val="right"/>
              <w:ind w:right="33"/>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DFF1FB"/>
            </w:tcBorders>
          </w:tcPr>
          <w:p>
            <w:pPr>
              <w:jc w:val="right"/>
              <w:ind w:right="13"/>
              <w:spacing w:after="0"/>
              <w:rPr>
                <w:sz w:val="20"/>
                <w:szCs w:val="20"/>
                <w:color w:val="auto"/>
              </w:rPr>
            </w:pPr>
            <w:r>
              <w:rPr>
                <w:rFonts w:ascii="Arial" w:cs="Arial" w:eastAsia="Arial" w:hAnsi="Arial"/>
                <w:sz w:val="13"/>
                <w:szCs w:val="13"/>
                <w:color w:val="auto"/>
              </w:rPr>
              <w:t>20,700</w:t>
            </w:r>
          </w:p>
        </w:tc>
      </w:tr>
      <w:tr>
        <w:trPr>
          <w:trHeight w:val="195"/>
        </w:trPr>
        <w:tc>
          <w:tcPr>
            <w:tcW w:w="5420" w:type="dxa"/>
            <w:vAlign w:val="bottom"/>
          </w:tcPr>
          <w:p>
            <w:pPr>
              <w:ind w:left="340"/>
              <w:spacing w:after="0"/>
              <w:rPr>
                <w:sz w:val="20"/>
                <w:szCs w:val="20"/>
                <w:color w:val="auto"/>
              </w:rPr>
            </w:pPr>
            <w:r>
              <w:rPr>
                <w:rFonts w:ascii="Arial" w:cs="Arial" w:eastAsia="Arial" w:hAnsi="Arial"/>
                <w:sz w:val="13"/>
                <w:szCs w:val="13"/>
                <w:color w:val="auto"/>
              </w:rPr>
              <w:t>Less: Unrealized net capital gains and losses</w:t>
            </w:r>
          </w:p>
        </w:tc>
        <w:tc>
          <w:tcPr>
            <w:tcW w:w="1580" w:type="dxa"/>
            <w:vAlign w:val="bottom"/>
          </w:tcPr>
          <w:p>
            <w:pPr>
              <w:spacing w:after="0"/>
              <w:rPr>
                <w:sz w:val="16"/>
                <w:szCs w:val="16"/>
                <w:color w:val="auto"/>
              </w:rPr>
            </w:pPr>
          </w:p>
        </w:tc>
        <w:tc>
          <w:tcPr>
            <w:tcW w:w="680" w:type="dxa"/>
            <w:vAlign w:val="bottom"/>
          </w:tcPr>
          <w:p>
            <w:pPr>
              <w:jc w:val="right"/>
              <w:ind w:right="93"/>
              <w:spacing w:after="0"/>
              <w:rPr>
                <w:sz w:val="20"/>
                <w:szCs w:val="20"/>
                <w:color w:val="auto"/>
              </w:rPr>
            </w:pPr>
            <w:r>
              <w:rPr>
                <w:rFonts w:ascii="Arial" w:cs="Arial" w:eastAsia="Arial" w:hAnsi="Arial"/>
                <w:sz w:val="13"/>
                <w:szCs w:val="13"/>
                <w:color w:val="auto"/>
              </w:rPr>
              <w:t>1,662</w:t>
            </w:r>
          </w:p>
        </w:tc>
        <w:tc>
          <w:tcPr>
            <w:tcW w:w="280" w:type="dxa"/>
            <w:vAlign w:val="bottom"/>
          </w:tcPr>
          <w:p>
            <w:pPr>
              <w:spacing w:after="0"/>
              <w:rPr>
                <w:sz w:val="16"/>
                <w:szCs w:val="16"/>
                <w:color w:val="auto"/>
              </w:rPr>
            </w:pPr>
          </w:p>
        </w:tc>
        <w:tc>
          <w:tcPr>
            <w:tcW w:w="660" w:type="dxa"/>
            <w:vAlign w:val="bottom"/>
          </w:tcPr>
          <w:p>
            <w:pPr>
              <w:jc w:val="right"/>
              <w:ind w:right="73"/>
              <w:spacing w:after="0"/>
              <w:rPr>
                <w:sz w:val="20"/>
                <w:szCs w:val="20"/>
                <w:color w:val="auto"/>
              </w:rPr>
            </w:pPr>
            <w:r>
              <w:rPr>
                <w:rFonts w:ascii="Arial" w:cs="Arial" w:eastAsia="Arial" w:hAnsi="Arial"/>
                <w:sz w:val="13"/>
                <w:szCs w:val="13"/>
                <w:color w:val="auto"/>
              </w:rPr>
              <w:t>1,053</w:t>
            </w:r>
          </w:p>
        </w:tc>
        <w:tc>
          <w:tcPr>
            <w:tcW w:w="300" w:type="dxa"/>
            <w:vAlign w:val="bottom"/>
          </w:tcPr>
          <w:p>
            <w:pPr>
              <w:spacing w:after="0"/>
              <w:rPr>
                <w:sz w:val="16"/>
                <w:szCs w:val="16"/>
                <w:color w:val="auto"/>
              </w:rPr>
            </w:pPr>
          </w:p>
        </w:tc>
        <w:tc>
          <w:tcPr>
            <w:tcW w:w="660" w:type="dxa"/>
            <w:vAlign w:val="bottom"/>
          </w:tcPr>
          <w:p>
            <w:pPr>
              <w:jc w:val="right"/>
              <w:ind w:right="73"/>
              <w:spacing w:after="0"/>
              <w:rPr>
                <w:sz w:val="20"/>
                <w:szCs w:val="20"/>
                <w:color w:val="auto"/>
              </w:rPr>
            </w:pPr>
            <w:r>
              <w:rPr>
                <w:rFonts w:ascii="Arial" w:cs="Arial" w:eastAsia="Arial" w:hAnsi="Arial"/>
                <w:sz w:val="13"/>
                <w:szCs w:val="13"/>
                <w:color w:val="auto"/>
              </w:rPr>
              <w:t>620</w:t>
            </w:r>
          </w:p>
        </w:tc>
        <w:tc>
          <w:tcPr>
            <w:tcW w:w="300" w:type="dxa"/>
            <w:vAlign w:val="bottom"/>
          </w:tcPr>
          <w:p>
            <w:pPr>
              <w:spacing w:after="0"/>
              <w:rPr>
                <w:sz w:val="16"/>
                <w:szCs w:val="16"/>
                <w:color w:val="auto"/>
              </w:rPr>
            </w:pPr>
          </w:p>
        </w:tc>
        <w:tc>
          <w:tcPr>
            <w:tcW w:w="640" w:type="dxa"/>
            <w:vAlign w:val="bottom"/>
          </w:tcPr>
          <w:p>
            <w:pPr>
              <w:jc w:val="right"/>
              <w:ind w:right="53"/>
              <w:spacing w:after="0"/>
              <w:rPr>
                <w:sz w:val="20"/>
                <w:szCs w:val="20"/>
                <w:color w:val="auto"/>
              </w:rPr>
            </w:pPr>
            <w:r>
              <w:rPr>
                <w:rFonts w:ascii="Arial" w:cs="Arial" w:eastAsia="Arial" w:hAnsi="Arial"/>
                <w:sz w:val="13"/>
                <w:szCs w:val="13"/>
                <w:color w:val="auto"/>
              </w:rPr>
              <w:t>1,926</w:t>
            </w:r>
          </w:p>
        </w:tc>
        <w:tc>
          <w:tcPr>
            <w:tcW w:w="320" w:type="dxa"/>
            <w:vAlign w:val="bottom"/>
          </w:tcPr>
          <w:p>
            <w:pPr>
              <w:spacing w:after="0"/>
              <w:rPr>
                <w:sz w:val="16"/>
                <w:szCs w:val="16"/>
                <w:color w:val="auto"/>
              </w:rPr>
            </w:pPr>
          </w:p>
        </w:tc>
        <w:tc>
          <w:tcPr>
            <w:tcW w:w="580" w:type="dxa"/>
            <w:vAlign w:val="bottom"/>
          </w:tcPr>
          <w:p>
            <w:pPr>
              <w:jc w:val="right"/>
              <w:ind w:right="13"/>
              <w:spacing w:after="0"/>
              <w:rPr>
                <w:sz w:val="20"/>
                <w:szCs w:val="20"/>
                <w:color w:val="auto"/>
              </w:rPr>
            </w:pPr>
            <w:r>
              <w:rPr>
                <w:rFonts w:ascii="Arial" w:cs="Arial" w:eastAsia="Arial" w:hAnsi="Arial"/>
                <w:sz w:val="13"/>
                <w:szCs w:val="13"/>
                <w:color w:val="auto"/>
              </w:rPr>
              <w:t>1,646</w:t>
            </w:r>
          </w:p>
        </w:tc>
      </w:tr>
      <w:tr>
        <w:trPr>
          <w:trHeight w:val="41"/>
        </w:trPr>
        <w:tc>
          <w:tcPr>
            <w:tcW w:w="5420" w:type="dxa"/>
            <w:vAlign w:val="bottom"/>
            <w:tcBorders>
              <w:bottom w:val="single" w:sz="8" w:color="DFF1FB"/>
            </w:tcBorders>
          </w:tcPr>
          <w:p>
            <w:pPr>
              <w:spacing w:after="0"/>
              <w:rPr>
                <w:sz w:val="3"/>
                <w:szCs w:val="3"/>
                <w:color w:val="auto"/>
              </w:rPr>
            </w:pPr>
          </w:p>
        </w:tc>
        <w:tc>
          <w:tcPr>
            <w:tcW w:w="1580" w:type="dxa"/>
            <w:vAlign w:val="bottom"/>
            <w:tcBorders>
              <w:bottom w:val="single" w:sz="8" w:color="DFF1FB"/>
            </w:tcBorders>
          </w:tcPr>
          <w:p>
            <w:pPr>
              <w:spacing w:after="0"/>
              <w:rPr>
                <w:sz w:val="3"/>
                <w:szCs w:val="3"/>
                <w:color w:val="auto"/>
              </w:rPr>
            </w:pPr>
          </w:p>
        </w:tc>
        <w:tc>
          <w:tcPr>
            <w:tcW w:w="680" w:type="dxa"/>
            <w:vAlign w:val="bottom"/>
            <w:tcBorders>
              <w:bottom w:val="single" w:sz="8" w:color="DFF1FB"/>
            </w:tcBorders>
          </w:tcPr>
          <w:p>
            <w:pPr>
              <w:spacing w:after="0"/>
              <w:rPr>
                <w:sz w:val="3"/>
                <w:szCs w:val="3"/>
                <w:color w:val="auto"/>
              </w:rPr>
            </w:pPr>
          </w:p>
        </w:tc>
        <w:tc>
          <w:tcPr>
            <w:tcW w:w="280" w:type="dxa"/>
            <w:vAlign w:val="bottom"/>
            <w:tcBorders>
              <w:bottom w:val="single" w:sz="8" w:color="DFF1FB"/>
            </w:tcBorders>
          </w:tcPr>
          <w:p>
            <w:pPr>
              <w:spacing w:after="0"/>
              <w:rPr>
                <w:sz w:val="3"/>
                <w:szCs w:val="3"/>
                <w:color w:val="auto"/>
              </w:rPr>
            </w:pPr>
          </w:p>
        </w:tc>
        <w:tc>
          <w:tcPr>
            <w:tcW w:w="660" w:type="dxa"/>
            <w:vAlign w:val="bottom"/>
            <w:tcBorders>
              <w:bottom w:val="single" w:sz="8" w:color="DFF1FB"/>
            </w:tcBorders>
          </w:tcPr>
          <w:p>
            <w:pPr>
              <w:spacing w:after="0"/>
              <w:rPr>
                <w:sz w:val="3"/>
                <w:szCs w:val="3"/>
                <w:color w:val="auto"/>
              </w:rPr>
            </w:pPr>
          </w:p>
        </w:tc>
        <w:tc>
          <w:tcPr>
            <w:tcW w:w="300" w:type="dxa"/>
            <w:vAlign w:val="bottom"/>
            <w:tcBorders>
              <w:bottom w:val="single" w:sz="8" w:color="DFF1FB"/>
            </w:tcBorders>
          </w:tcPr>
          <w:p>
            <w:pPr>
              <w:spacing w:after="0"/>
              <w:rPr>
                <w:sz w:val="3"/>
                <w:szCs w:val="3"/>
                <w:color w:val="auto"/>
              </w:rPr>
            </w:pPr>
          </w:p>
        </w:tc>
        <w:tc>
          <w:tcPr>
            <w:tcW w:w="660" w:type="dxa"/>
            <w:vAlign w:val="bottom"/>
            <w:tcBorders>
              <w:bottom w:val="single" w:sz="8" w:color="DFF1FB"/>
            </w:tcBorders>
          </w:tcPr>
          <w:p>
            <w:pPr>
              <w:spacing w:after="0"/>
              <w:rPr>
                <w:sz w:val="3"/>
                <w:szCs w:val="3"/>
                <w:color w:val="auto"/>
              </w:rPr>
            </w:pPr>
          </w:p>
        </w:tc>
        <w:tc>
          <w:tcPr>
            <w:tcW w:w="300" w:type="dxa"/>
            <w:vAlign w:val="bottom"/>
            <w:tcBorders>
              <w:bottom w:val="single" w:sz="8" w:color="DFF1FB"/>
            </w:tcBorders>
          </w:tcPr>
          <w:p>
            <w:pPr>
              <w:spacing w:after="0"/>
              <w:rPr>
                <w:sz w:val="3"/>
                <w:szCs w:val="3"/>
                <w:color w:val="auto"/>
              </w:rPr>
            </w:pPr>
          </w:p>
        </w:tc>
        <w:tc>
          <w:tcPr>
            <w:tcW w:w="640" w:type="dxa"/>
            <w:vAlign w:val="bottom"/>
            <w:tcBorders>
              <w:bottom w:val="single" w:sz="8" w:color="DFF1FB"/>
            </w:tcBorders>
          </w:tcPr>
          <w:p>
            <w:pPr>
              <w:spacing w:after="0"/>
              <w:rPr>
                <w:sz w:val="3"/>
                <w:szCs w:val="3"/>
                <w:color w:val="auto"/>
              </w:rPr>
            </w:pPr>
          </w:p>
        </w:tc>
        <w:tc>
          <w:tcPr>
            <w:tcW w:w="320" w:type="dxa"/>
            <w:vAlign w:val="bottom"/>
            <w:tcBorders>
              <w:bottom w:val="single" w:sz="8" w:color="DFF1FB"/>
            </w:tcBorders>
          </w:tcPr>
          <w:p>
            <w:pPr>
              <w:spacing w:after="0"/>
              <w:rPr>
                <w:sz w:val="3"/>
                <w:szCs w:val="3"/>
                <w:color w:val="auto"/>
              </w:rPr>
            </w:pPr>
          </w:p>
        </w:tc>
        <w:tc>
          <w:tcPr>
            <w:tcW w:w="580" w:type="dxa"/>
            <w:vAlign w:val="bottom"/>
            <w:tcBorders>
              <w:bottom w:val="single" w:sz="8" w:color="DFF1FB"/>
            </w:tcBorders>
          </w:tcPr>
          <w:p>
            <w:pPr>
              <w:spacing w:after="0"/>
              <w:rPr>
                <w:sz w:val="3"/>
                <w:szCs w:val="3"/>
                <w:color w:val="auto"/>
              </w:rPr>
            </w:pPr>
          </w:p>
        </w:tc>
      </w:tr>
      <w:tr>
        <w:trPr>
          <w:trHeight w:val="195"/>
        </w:trPr>
        <w:tc>
          <w:tcPr>
            <w:tcW w:w="5420" w:type="dxa"/>
            <w:vAlign w:val="bottom"/>
          </w:tcPr>
          <w:p>
            <w:pPr>
              <w:ind w:left="340"/>
              <w:spacing w:after="0"/>
              <w:rPr>
                <w:sz w:val="20"/>
                <w:szCs w:val="20"/>
                <w:color w:val="auto"/>
              </w:rPr>
            </w:pPr>
            <w:r>
              <w:rPr>
                <w:rFonts w:ascii="Arial" w:cs="Arial" w:eastAsia="Arial" w:hAnsi="Arial"/>
                <w:sz w:val="13"/>
                <w:szCs w:val="13"/>
                <w:color w:val="auto"/>
              </w:rPr>
              <w:t>Adjusted beginning common shareholders’ equity</w:t>
            </w:r>
          </w:p>
        </w:tc>
        <w:tc>
          <w:tcPr>
            <w:tcW w:w="1580" w:type="dxa"/>
            <w:vAlign w:val="bottom"/>
          </w:tcPr>
          <w:p>
            <w:pPr>
              <w:spacing w:after="0"/>
              <w:rPr>
                <w:sz w:val="16"/>
                <w:szCs w:val="16"/>
                <w:color w:val="auto"/>
              </w:rPr>
            </w:pPr>
          </w:p>
        </w:tc>
        <w:tc>
          <w:tcPr>
            <w:tcW w:w="680" w:type="dxa"/>
            <w:vAlign w:val="bottom"/>
          </w:tcPr>
          <w:p>
            <w:pPr>
              <w:jc w:val="right"/>
              <w:ind w:right="93"/>
              <w:spacing w:after="0"/>
              <w:rPr>
                <w:sz w:val="20"/>
                <w:szCs w:val="20"/>
                <w:color w:val="auto"/>
              </w:rPr>
            </w:pPr>
            <w:r>
              <w:rPr>
                <w:rFonts w:ascii="Arial" w:cs="Arial" w:eastAsia="Arial" w:hAnsi="Arial"/>
                <w:sz w:val="13"/>
                <w:szCs w:val="13"/>
                <w:color w:val="auto"/>
              </w:rPr>
              <w:t>19,143</w:t>
            </w:r>
          </w:p>
        </w:tc>
        <w:tc>
          <w:tcPr>
            <w:tcW w:w="280" w:type="dxa"/>
            <w:vAlign w:val="bottom"/>
          </w:tcPr>
          <w:p>
            <w:pPr>
              <w:spacing w:after="0"/>
              <w:rPr>
                <w:sz w:val="16"/>
                <w:szCs w:val="16"/>
                <w:color w:val="auto"/>
              </w:rPr>
            </w:pPr>
          </w:p>
        </w:tc>
        <w:tc>
          <w:tcPr>
            <w:tcW w:w="660" w:type="dxa"/>
            <w:vAlign w:val="bottom"/>
          </w:tcPr>
          <w:p>
            <w:pPr>
              <w:jc w:val="right"/>
              <w:ind w:right="73"/>
              <w:spacing w:after="0"/>
              <w:rPr>
                <w:sz w:val="20"/>
                <w:szCs w:val="20"/>
                <w:color w:val="auto"/>
              </w:rPr>
            </w:pPr>
            <w:r>
              <w:rPr>
                <w:rFonts w:ascii="Arial" w:cs="Arial" w:eastAsia="Arial" w:hAnsi="Arial"/>
                <w:sz w:val="13"/>
                <w:szCs w:val="13"/>
                <w:color w:val="auto"/>
              </w:rPr>
              <w:t>17,774</w:t>
            </w:r>
          </w:p>
        </w:tc>
        <w:tc>
          <w:tcPr>
            <w:tcW w:w="300" w:type="dxa"/>
            <w:vAlign w:val="bottom"/>
          </w:tcPr>
          <w:p>
            <w:pPr>
              <w:spacing w:after="0"/>
              <w:rPr>
                <w:sz w:val="16"/>
                <w:szCs w:val="16"/>
                <w:color w:val="auto"/>
              </w:rPr>
            </w:pPr>
          </w:p>
        </w:tc>
        <w:tc>
          <w:tcPr>
            <w:tcW w:w="660" w:type="dxa"/>
            <w:vAlign w:val="bottom"/>
          </w:tcPr>
          <w:p>
            <w:pPr>
              <w:jc w:val="right"/>
              <w:ind w:right="73"/>
              <w:spacing w:after="0"/>
              <w:rPr>
                <w:sz w:val="20"/>
                <w:szCs w:val="20"/>
                <w:color w:val="auto"/>
              </w:rPr>
            </w:pPr>
            <w:r>
              <w:rPr>
                <w:rFonts w:ascii="Arial" w:cs="Arial" w:eastAsia="Arial" w:hAnsi="Arial"/>
                <w:sz w:val="13"/>
                <w:szCs w:val="13"/>
                <w:color w:val="auto"/>
              </w:rPr>
              <w:t>17,659</w:t>
            </w:r>
          </w:p>
        </w:tc>
        <w:tc>
          <w:tcPr>
            <w:tcW w:w="300" w:type="dxa"/>
            <w:vAlign w:val="bottom"/>
          </w:tcPr>
          <w:p>
            <w:pPr>
              <w:spacing w:after="0"/>
              <w:rPr>
                <w:sz w:val="16"/>
                <w:szCs w:val="16"/>
                <w:color w:val="auto"/>
              </w:rPr>
            </w:pPr>
          </w:p>
        </w:tc>
        <w:tc>
          <w:tcPr>
            <w:tcW w:w="640" w:type="dxa"/>
            <w:vAlign w:val="bottom"/>
          </w:tcPr>
          <w:p>
            <w:pPr>
              <w:jc w:val="right"/>
              <w:ind w:right="53"/>
              <w:spacing w:after="0"/>
              <w:rPr>
                <w:sz w:val="20"/>
                <w:szCs w:val="20"/>
                <w:color w:val="auto"/>
              </w:rPr>
            </w:pPr>
            <w:r>
              <w:rPr>
                <w:rFonts w:ascii="Arial" w:cs="Arial" w:eastAsia="Arial" w:hAnsi="Arial"/>
                <w:sz w:val="13"/>
                <w:szCs w:val="13"/>
                <w:color w:val="auto"/>
              </w:rPr>
              <w:t>18,632</w:t>
            </w:r>
          </w:p>
        </w:tc>
        <w:tc>
          <w:tcPr>
            <w:tcW w:w="320" w:type="dxa"/>
            <w:vAlign w:val="bottom"/>
          </w:tcPr>
          <w:p>
            <w:pPr>
              <w:spacing w:after="0"/>
              <w:rPr>
                <w:sz w:val="16"/>
                <w:szCs w:val="16"/>
                <w:color w:val="auto"/>
              </w:rPr>
            </w:pPr>
          </w:p>
        </w:tc>
        <w:tc>
          <w:tcPr>
            <w:tcW w:w="580" w:type="dxa"/>
            <w:vAlign w:val="bottom"/>
          </w:tcPr>
          <w:p>
            <w:pPr>
              <w:jc w:val="right"/>
              <w:ind w:right="13"/>
              <w:spacing w:after="0"/>
              <w:rPr>
                <w:sz w:val="20"/>
                <w:szCs w:val="20"/>
                <w:color w:val="auto"/>
              </w:rPr>
            </w:pPr>
            <w:r>
              <w:rPr>
                <w:rFonts w:ascii="Arial" w:cs="Arial" w:eastAsia="Arial" w:hAnsi="Arial"/>
                <w:sz w:val="13"/>
                <w:szCs w:val="13"/>
                <w:color w:val="auto"/>
              </w:rPr>
              <w:t>19,054</w:t>
            </w:r>
          </w:p>
        </w:tc>
      </w:tr>
      <w:tr>
        <w:trPr>
          <w:trHeight w:val="41"/>
        </w:trPr>
        <w:tc>
          <w:tcPr>
            <w:tcW w:w="5420" w:type="dxa"/>
            <w:vAlign w:val="bottom"/>
            <w:tcBorders>
              <w:bottom w:val="single" w:sz="8" w:color="DFF1FB"/>
            </w:tcBorders>
          </w:tcPr>
          <w:p>
            <w:pPr>
              <w:spacing w:after="0"/>
              <w:rPr>
                <w:sz w:val="3"/>
                <w:szCs w:val="3"/>
                <w:color w:val="auto"/>
              </w:rPr>
            </w:pPr>
          </w:p>
        </w:tc>
        <w:tc>
          <w:tcPr>
            <w:tcW w:w="1580" w:type="dxa"/>
            <w:vAlign w:val="bottom"/>
            <w:tcBorders>
              <w:bottom w:val="single" w:sz="8" w:color="DFF1FB"/>
            </w:tcBorders>
          </w:tcPr>
          <w:p>
            <w:pPr>
              <w:spacing w:after="0"/>
              <w:rPr>
                <w:sz w:val="3"/>
                <w:szCs w:val="3"/>
                <w:color w:val="auto"/>
              </w:rPr>
            </w:pPr>
          </w:p>
        </w:tc>
        <w:tc>
          <w:tcPr>
            <w:tcW w:w="680" w:type="dxa"/>
            <w:vAlign w:val="bottom"/>
            <w:tcBorders>
              <w:bottom w:val="single" w:sz="8" w:color="DFF1FB"/>
            </w:tcBorders>
          </w:tcPr>
          <w:p>
            <w:pPr>
              <w:spacing w:after="0"/>
              <w:rPr>
                <w:sz w:val="3"/>
                <w:szCs w:val="3"/>
                <w:color w:val="auto"/>
              </w:rPr>
            </w:pPr>
          </w:p>
        </w:tc>
        <w:tc>
          <w:tcPr>
            <w:tcW w:w="280" w:type="dxa"/>
            <w:vAlign w:val="bottom"/>
            <w:tcBorders>
              <w:bottom w:val="single" w:sz="8" w:color="DFF1FB"/>
            </w:tcBorders>
          </w:tcPr>
          <w:p>
            <w:pPr>
              <w:spacing w:after="0"/>
              <w:rPr>
                <w:sz w:val="3"/>
                <w:szCs w:val="3"/>
                <w:color w:val="auto"/>
              </w:rPr>
            </w:pPr>
          </w:p>
        </w:tc>
        <w:tc>
          <w:tcPr>
            <w:tcW w:w="660" w:type="dxa"/>
            <w:vAlign w:val="bottom"/>
            <w:tcBorders>
              <w:bottom w:val="single" w:sz="8" w:color="DFF1FB"/>
            </w:tcBorders>
          </w:tcPr>
          <w:p>
            <w:pPr>
              <w:spacing w:after="0"/>
              <w:rPr>
                <w:sz w:val="3"/>
                <w:szCs w:val="3"/>
                <w:color w:val="auto"/>
              </w:rPr>
            </w:pPr>
          </w:p>
        </w:tc>
        <w:tc>
          <w:tcPr>
            <w:tcW w:w="300" w:type="dxa"/>
            <w:vAlign w:val="bottom"/>
            <w:tcBorders>
              <w:bottom w:val="single" w:sz="8" w:color="DFF1FB"/>
            </w:tcBorders>
          </w:tcPr>
          <w:p>
            <w:pPr>
              <w:spacing w:after="0"/>
              <w:rPr>
                <w:sz w:val="3"/>
                <w:szCs w:val="3"/>
                <w:color w:val="auto"/>
              </w:rPr>
            </w:pPr>
          </w:p>
        </w:tc>
        <w:tc>
          <w:tcPr>
            <w:tcW w:w="660" w:type="dxa"/>
            <w:vAlign w:val="bottom"/>
            <w:tcBorders>
              <w:bottom w:val="single" w:sz="8" w:color="DFF1FB"/>
            </w:tcBorders>
          </w:tcPr>
          <w:p>
            <w:pPr>
              <w:spacing w:after="0"/>
              <w:rPr>
                <w:sz w:val="3"/>
                <w:szCs w:val="3"/>
                <w:color w:val="auto"/>
              </w:rPr>
            </w:pPr>
          </w:p>
        </w:tc>
        <w:tc>
          <w:tcPr>
            <w:tcW w:w="300" w:type="dxa"/>
            <w:vAlign w:val="bottom"/>
            <w:tcBorders>
              <w:bottom w:val="single" w:sz="8" w:color="DFF1FB"/>
            </w:tcBorders>
          </w:tcPr>
          <w:p>
            <w:pPr>
              <w:spacing w:after="0"/>
              <w:rPr>
                <w:sz w:val="3"/>
                <w:szCs w:val="3"/>
                <w:color w:val="auto"/>
              </w:rPr>
            </w:pPr>
          </w:p>
        </w:tc>
        <w:tc>
          <w:tcPr>
            <w:tcW w:w="640" w:type="dxa"/>
            <w:vAlign w:val="bottom"/>
            <w:tcBorders>
              <w:bottom w:val="single" w:sz="8" w:color="DFF1FB"/>
            </w:tcBorders>
          </w:tcPr>
          <w:p>
            <w:pPr>
              <w:spacing w:after="0"/>
              <w:rPr>
                <w:sz w:val="3"/>
                <w:szCs w:val="3"/>
                <w:color w:val="auto"/>
              </w:rPr>
            </w:pPr>
          </w:p>
        </w:tc>
        <w:tc>
          <w:tcPr>
            <w:tcW w:w="320" w:type="dxa"/>
            <w:vAlign w:val="bottom"/>
            <w:tcBorders>
              <w:bottom w:val="single" w:sz="8" w:color="DFF1FB"/>
            </w:tcBorders>
          </w:tcPr>
          <w:p>
            <w:pPr>
              <w:spacing w:after="0"/>
              <w:rPr>
                <w:sz w:val="3"/>
                <w:szCs w:val="3"/>
                <w:color w:val="auto"/>
              </w:rPr>
            </w:pPr>
          </w:p>
        </w:tc>
        <w:tc>
          <w:tcPr>
            <w:tcW w:w="580" w:type="dxa"/>
            <w:vAlign w:val="bottom"/>
            <w:tcBorders>
              <w:bottom w:val="single" w:sz="8" w:color="DFF1FB"/>
            </w:tcBorders>
          </w:tcPr>
          <w:p>
            <w:pPr>
              <w:spacing w:after="0"/>
              <w:rPr>
                <w:sz w:val="3"/>
                <w:szCs w:val="3"/>
                <w:color w:val="auto"/>
              </w:rPr>
            </w:pPr>
          </w:p>
        </w:tc>
      </w:tr>
      <w:tr>
        <w:trPr>
          <w:trHeight w:val="236"/>
        </w:trPr>
        <w:tc>
          <w:tcPr>
            <w:tcW w:w="5420" w:type="dxa"/>
            <w:vAlign w:val="bottom"/>
            <w:tcBorders>
              <w:bottom w:val="single" w:sz="8" w:color="DFF1FB"/>
            </w:tcBorders>
          </w:tcPr>
          <w:p>
            <w:pPr>
              <w:spacing w:after="0"/>
              <w:rPr>
                <w:sz w:val="20"/>
                <w:szCs w:val="20"/>
                <w:color w:val="auto"/>
              </w:rPr>
            </w:pPr>
          </w:p>
        </w:tc>
        <w:tc>
          <w:tcPr>
            <w:tcW w:w="1580" w:type="dxa"/>
            <w:vAlign w:val="bottom"/>
            <w:tcBorders>
              <w:bottom w:val="single" w:sz="8" w:color="DFF1FB"/>
            </w:tcBorders>
          </w:tcPr>
          <w:p>
            <w:pPr>
              <w:spacing w:after="0"/>
              <w:rPr>
                <w:sz w:val="20"/>
                <w:szCs w:val="20"/>
                <w:color w:val="auto"/>
              </w:rPr>
            </w:pPr>
          </w:p>
        </w:tc>
        <w:tc>
          <w:tcPr>
            <w:tcW w:w="680" w:type="dxa"/>
            <w:vAlign w:val="bottom"/>
            <w:tcBorders>
              <w:bottom w:val="single" w:sz="8" w:color="DFF1FB"/>
            </w:tcBorders>
          </w:tcPr>
          <w:p>
            <w:pPr>
              <w:spacing w:after="0"/>
              <w:rPr>
                <w:sz w:val="20"/>
                <w:szCs w:val="20"/>
                <w:color w:val="auto"/>
              </w:rPr>
            </w:pPr>
          </w:p>
        </w:tc>
        <w:tc>
          <w:tcPr>
            <w:tcW w:w="280" w:type="dxa"/>
            <w:vAlign w:val="bottom"/>
            <w:tcBorders>
              <w:bottom w:val="single" w:sz="8" w:color="DFF1FB"/>
            </w:tcBorders>
          </w:tcPr>
          <w:p>
            <w:pPr>
              <w:spacing w:after="0"/>
              <w:rPr>
                <w:sz w:val="20"/>
                <w:szCs w:val="20"/>
                <w:color w:val="auto"/>
              </w:rPr>
            </w:pPr>
          </w:p>
        </w:tc>
        <w:tc>
          <w:tcPr>
            <w:tcW w:w="660" w:type="dxa"/>
            <w:vAlign w:val="bottom"/>
            <w:tcBorders>
              <w:bottom w:val="single" w:sz="8" w:color="DFF1FB"/>
            </w:tcBorders>
          </w:tcPr>
          <w:p>
            <w:pPr>
              <w:spacing w:after="0"/>
              <w:rPr>
                <w:sz w:val="20"/>
                <w:szCs w:val="20"/>
                <w:color w:val="auto"/>
              </w:rPr>
            </w:pPr>
          </w:p>
        </w:tc>
        <w:tc>
          <w:tcPr>
            <w:tcW w:w="300" w:type="dxa"/>
            <w:vAlign w:val="bottom"/>
            <w:tcBorders>
              <w:bottom w:val="single" w:sz="8" w:color="DFF1FB"/>
            </w:tcBorders>
          </w:tcPr>
          <w:p>
            <w:pPr>
              <w:spacing w:after="0"/>
              <w:rPr>
                <w:sz w:val="20"/>
                <w:szCs w:val="20"/>
                <w:color w:val="auto"/>
              </w:rPr>
            </w:pPr>
          </w:p>
        </w:tc>
        <w:tc>
          <w:tcPr>
            <w:tcW w:w="660" w:type="dxa"/>
            <w:vAlign w:val="bottom"/>
            <w:tcBorders>
              <w:bottom w:val="single" w:sz="8" w:color="DFF1FB"/>
            </w:tcBorders>
          </w:tcPr>
          <w:p>
            <w:pPr>
              <w:spacing w:after="0"/>
              <w:rPr>
                <w:sz w:val="20"/>
                <w:szCs w:val="20"/>
                <w:color w:val="auto"/>
              </w:rPr>
            </w:pPr>
          </w:p>
        </w:tc>
        <w:tc>
          <w:tcPr>
            <w:tcW w:w="300" w:type="dxa"/>
            <w:vAlign w:val="bottom"/>
            <w:tcBorders>
              <w:bottom w:val="single" w:sz="8" w:color="DFF1FB"/>
            </w:tcBorders>
          </w:tcPr>
          <w:p>
            <w:pPr>
              <w:spacing w:after="0"/>
              <w:rPr>
                <w:sz w:val="20"/>
                <w:szCs w:val="20"/>
                <w:color w:val="auto"/>
              </w:rPr>
            </w:pPr>
          </w:p>
        </w:tc>
        <w:tc>
          <w:tcPr>
            <w:tcW w:w="640" w:type="dxa"/>
            <w:vAlign w:val="bottom"/>
            <w:tcBorders>
              <w:bottom w:val="single" w:sz="8" w:color="DFF1FB"/>
            </w:tcBorders>
          </w:tcPr>
          <w:p>
            <w:pPr>
              <w:spacing w:after="0"/>
              <w:rPr>
                <w:sz w:val="20"/>
                <w:szCs w:val="20"/>
                <w:color w:val="auto"/>
              </w:rPr>
            </w:pPr>
          </w:p>
        </w:tc>
        <w:tc>
          <w:tcPr>
            <w:tcW w:w="320" w:type="dxa"/>
            <w:vAlign w:val="bottom"/>
            <w:tcBorders>
              <w:bottom w:val="single" w:sz="8" w:color="DFF1FB"/>
            </w:tcBorders>
          </w:tcPr>
          <w:p>
            <w:pPr>
              <w:spacing w:after="0"/>
              <w:rPr>
                <w:sz w:val="20"/>
                <w:szCs w:val="20"/>
                <w:color w:val="auto"/>
              </w:rPr>
            </w:pPr>
          </w:p>
        </w:tc>
        <w:tc>
          <w:tcPr>
            <w:tcW w:w="580" w:type="dxa"/>
            <w:vAlign w:val="bottom"/>
            <w:tcBorders>
              <w:bottom w:val="single" w:sz="8" w:color="DFF1FB"/>
            </w:tcBorders>
          </w:tcPr>
          <w:p>
            <w:pPr>
              <w:spacing w:after="0"/>
              <w:rPr>
                <w:sz w:val="20"/>
                <w:szCs w:val="20"/>
                <w:color w:val="auto"/>
              </w:rPr>
            </w:pPr>
          </w:p>
        </w:tc>
      </w:tr>
      <w:tr>
        <w:trPr>
          <w:trHeight w:val="290"/>
        </w:trPr>
        <w:tc>
          <w:tcPr>
            <w:tcW w:w="5420" w:type="dxa"/>
            <w:vAlign w:val="bottom"/>
            <w:tcBorders>
              <w:bottom w:val="single" w:sz="8" w:color="DFF1FB"/>
            </w:tcBorders>
          </w:tcPr>
          <w:p>
            <w:pPr>
              <w:ind w:left="340"/>
              <w:spacing w:after="0"/>
              <w:rPr>
                <w:sz w:val="20"/>
                <w:szCs w:val="20"/>
                <w:color w:val="auto"/>
              </w:rPr>
            </w:pPr>
            <w:r>
              <w:rPr>
                <w:rFonts w:ascii="Arial" w:cs="Arial" w:eastAsia="Arial" w:hAnsi="Arial"/>
                <w:sz w:val="13"/>
                <w:szCs w:val="13"/>
                <w:color w:val="auto"/>
              </w:rPr>
              <w:t>Ending common shareholders’ equity</w:t>
            </w:r>
            <w:r>
              <w:rPr>
                <w:rFonts w:ascii="Arial" w:cs="Arial" w:eastAsia="Arial" w:hAnsi="Arial"/>
                <w:sz w:val="22"/>
                <w:szCs w:val="22"/>
                <w:color w:val="auto"/>
                <w:vertAlign w:val="superscript"/>
              </w:rPr>
              <w:t>(1)</w:t>
            </w:r>
          </w:p>
        </w:tc>
        <w:tc>
          <w:tcPr>
            <w:tcW w:w="1580" w:type="dxa"/>
            <w:vAlign w:val="bottom"/>
            <w:tcBorders>
              <w:bottom w:val="single" w:sz="8" w:color="DFF1FB"/>
            </w:tcBorders>
          </w:tcPr>
          <w:p>
            <w:pPr>
              <w:spacing w:after="0"/>
              <w:rPr>
                <w:sz w:val="24"/>
                <w:szCs w:val="24"/>
                <w:color w:val="auto"/>
              </w:rPr>
            </w:pPr>
          </w:p>
        </w:tc>
        <w:tc>
          <w:tcPr>
            <w:tcW w:w="680" w:type="dxa"/>
            <w:vAlign w:val="bottom"/>
            <w:tcBorders>
              <w:bottom w:val="single" w:sz="8" w:color="DFF1FB"/>
            </w:tcBorders>
          </w:tcPr>
          <w:p>
            <w:pPr>
              <w:jc w:val="right"/>
              <w:ind w:right="93"/>
              <w:spacing w:after="0"/>
              <w:rPr>
                <w:sz w:val="20"/>
                <w:szCs w:val="20"/>
                <w:color w:val="auto"/>
              </w:rPr>
            </w:pPr>
            <w:r>
              <w:rPr>
                <w:rFonts w:ascii="Arial" w:cs="Arial" w:eastAsia="Arial" w:hAnsi="Arial"/>
                <w:sz w:val="13"/>
                <w:szCs w:val="13"/>
                <w:color w:val="auto"/>
              </w:rPr>
              <w:t>19,382</w:t>
            </w:r>
          </w:p>
        </w:tc>
        <w:tc>
          <w:tcPr>
            <w:tcW w:w="280" w:type="dxa"/>
            <w:vAlign w:val="bottom"/>
            <w:tcBorders>
              <w:bottom w:val="single" w:sz="8" w:color="DFF1FB"/>
            </w:tcBorders>
          </w:tcPr>
          <w:p>
            <w:pPr>
              <w:spacing w:after="0"/>
              <w:rPr>
                <w:sz w:val="24"/>
                <w:szCs w:val="24"/>
                <w:color w:val="auto"/>
              </w:rPr>
            </w:pPr>
          </w:p>
        </w:tc>
        <w:tc>
          <w:tcPr>
            <w:tcW w:w="660" w:type="dxa"/>
            <w:vAlign w:val="bottom"/>
            <w:tcBorders>
              <w:bottom w:val="single" w:sz="8" w:color="DFF1FB"/>
            </w:tcBorders>
          </w:tcPr>
          <w:p>
            <w:pPr>
              <w:jc w:val="right"/>
              <w:ind w:right="73"/>
              <w:spacing w:after="0"/>
              <w:rPr>
                <w:sz w:val="20"/>
                <w:szCs w:val="20"/>
                <w:color w:val="auto"/>
              </w:rPr>
            </w:pPr>
            <w:r>
              <w:rPr>
                <w:rFonts w:ascii="Arial" w:cs="Arial" w:eastAsia="Arial" w:hAnsi="Arial"/>
                <w:sz w:val="13"/>
                <w:szCs w:val="13"/>
                <w:color w:val="auto"/>
              </w:rPr>
              <w:t>20,805</w:t>
            </w:r>
          </w:p>
        </w:tc>
        <w:tc>
          <w:tcPr>
            <w:tcW w:w="300" w:type="dxa"/>
            <w:vAlign w:val="bottom"/>
            <w:tcBorders>
              <w:bottom w:val="single" w:sz="8" w:color="DFF1FB"/>
            </w:tcBorders>
          </w:tcPr>
          <w:p>
            <w:pPr>
              <w:spacing w:after="0"/>
              <w:rPr>
                <w:sz w:val="24"/>
                <w:szCs w:val="24"/>
                <w:color w:val="auto"/>
              </w:rPr>
            </w:pPr>
          </w:p>
        </w:tc>
        <w:tc>
          <w:tcPr>
            <w:tcW w:w="660" w:type="dxa"/>
            <w:vAlign w:val="bottom"/>
            <w:tcBorders>
              <w:bottom w:val="single" w:sz="8" w:color="DFF1FB"/>
            </w:tcBorders>
          </w:tcPr>
          <w:p>
            <w:pPr>
              <w:jc w:val="right"/>
              <w:ind w:right="73"/>
              <w:spacing w:after="0"/>
              <w:rPr>
                <w:sz w:val="20"/>
                <w:szCs w:val="20"/>
                <w:color w:val="auto"/>
              </w:rPr>
            </w:pPr>
            <w:r>
              <w:rPr>
                <w:rFonts w:ascii="Arial" w:cs="Arial" w:eastAsia="Arial" w:hAnsi="Arial"/>
                <w:sz w:val="13"/>
                <w:szCs w:val="13"/>
                <w:color w:val="auto"/>
              </w:rPr>
              <w:t>18,827</w:t>
            </w:r>
          </w:p>
        </w:tc>
        <w:tc>
          <w:tcPr>
            <w:tcW w:w="300" w:type="dxa"/>
            <w:vAlign w:val="bottom"/>
            <w:tcBorders>
              <w:bottom w:val="single" w:sz="8" w:color="DFF1FB"/>
            </w:tcBorders>
          </w:tcPr>
          <w:p>
            <w:pPr>
              <w:spacing w:after="0"/>
              <w:rPr>
                <w:sz w:val="24"/>
                <w:szCs w:val="24"/>
                <w:color w:val="auto"/>
              </w:rPr>
            </w:pPr>
          </w:p>
        </w:tc>
        <w:tc>
          <w:tcPr>
            <w:tcW w:w="640" w:type="dxa"/>
            <w:vAlign w:val="bottom"/>
            <w:tcBorders>
              <w:bottom w:val="single" w:sz="8" w:color="DFF1FB"/>
            </w:tcBorders>
          </w:tcPr>
          <w:p>
            <w:pPr>
              <w:jc w:val="right"/>
              <w:ind w:right="53"/>
              <w:spacing w:after="0"/>
              <w:rPr>
                <w:sz w:val="20"/>
                <w:szCs w:val="20"/>
                <w:color w:val="auto"/>
              </w:rPr>
            </w:pPr>
            <w:r>
              <w:rPr>
                <w:rFonts w:ascii="Arial" w:cs="Arial" w:eastAsia="Arial" w:hAnsi="Arial"/>
                <w:sz w:val="13"/>
                <w:szCs w:val="13"/>
                <w:color w:val="auto"/>
              </w:rPr>
              <w:t>18,279</w:t>
            </w:r>
          </w:p>
        </w:tc>
        <w:tc>
          <w:tcPr>
            <w:tcW w:w="320" w:type="dxa"/>
            <w:vAlign w:val="bottom"/>
            <w:tcBorders>
              <w:bottom w:val="single" w:sz="8" w:color="DFF1FB"/>
            </w:tcBorders>
          </w:tcPr>
          <w:p>
            <w:pPr>
              <w:spacing w:after="0"/>
              <w:rPr>
                <w:sz w:val="24"/>
                <w:szCs w:val="24"/>
                <w:color w:val="auto"/>
              </w:rPr>
            </w:pPr>
          </w:p>
        </w:tc>
        <w:tc>
          <w:tcPr>
            <w:tcW w:w="580" w:type="dxa"/>
            <w:vAlign w:val="bottom"/>
            <w:tcBorders>
              <w:bottom w:val="single" w:sz="8" w:color="DFF1FB"/>
            </w:tcBorders>
          </w:tcPr>
          <w:p>
            <w:pPr>
              <w:jc w:val="right"/>
              <w:ind w:right="13"/>
              <w:spacing w:after="0"/>
              <w:rPr>
                <w:sz w:val="20"/>
                <w:szCs w:val="20"/>
                <w:color w:val="auto"/>
              </w:rPr>
            </w:pPr>
            <w:r>
              <w:rPr>
                <w:rFonts w:ascii="Arial" w:cs="Arial" w:eastAsia="Arial" w:hAnsi="Arial"/>
                <w:sz w:val="13"/>
                <w:szCs w:val="13"/>
                <w:color w:val="auto"/>
              </w:rPr>
              <w:t>20,558</w:t>
            </w:r>
          </w:p>
        </w:tc>
      </w:tr>
      <w:tr>
        <w:trPr>
          <w:trHeight w:val="195"/>
        </w:trPr>
        <w:tc>
          <w:tcPr>
            <w:tcW w:w="5420" w:type="dxa"/>
            <w:vAlign w:val="bottom"/>
          </w:tcPr>
          <w:p>
            <w:pPr>
              <w:ind w:left="340"/>
              <w:spacing w:after="0"/>
              <w:rPr>
                <w:sz w:val="20"/>
                <w:szCs w:val="20"/>
                <w:color w:val="auto"/>
              </w:rPr>
            </w:pPr>
            <w:r>
              <w:rPr>
                <w:rFonts w:ascii="Arial" w:cs="Arial" w:eastAsia="Arial" w:hAnsi="Arial"/>
                <w:sz w:val="13"/>
                <w:szCs w:val="13"/>
                <w:color w:val="auto"/>
              </w:rPr>
              <w:t>Less: Unrealized net capital gains and losses</w:t>
            </w:r>
          </w:p>
        </w:tc>
        <w:tc>
          <w:tcPr>
            <w:tcW w:w="1580" w:type="dxa"/>
            <w:vAlign w:val="bottom"/>
          </w:tcPr>
          <w:p>
            <w:pPr>
              <w:spacing w:after="0"/>
              <w:rPr>
                <w:sz w:val="16"/>
                <w:szCs w:val="16"/>
                <w:color w:val="auto"/>
              </w:rPr>
            </w:pPr>
          </w:p>
        </w:tc>
        <w:tc>
          <w:tcPr>
            <w:tcW w:w="680" w:type="dxa"/>
            <w:vAlign w:val="bottom"/>
          </w:tcPr>
          <w:p>
            <w:pPr>
              <w:jc w:val="right"/>
              <w:ind w:right="53"/>
              <w:spacing w:after="0"/>
              <w:rPr>
                <w:sz w:val="20"/>
                <w:szCs w:val="20"/>
                <w:color w:val="auto"/>
              </w:rPr>
            </w:pPr>
            <w:r>
              <w:rPr>
                <w:rFonts w:ascii="Arial" w:cs="Arial" w:eastAsia="Arial" w:hAnsi="Arial"/>
                <w:sz w:val="13"/>
                <w:szCs w:val="13"/>
                <w:color w:val="auto"/>
              </w:rPr>
              <w:t>(2)</w:t>
            </w:r>
          </w:p>
        </w:tc>
        <w:tc>
          <w:tcPr>
            <w:tcW w:w="280" w:type="dxa"/>
            <w:vAlign w:val="bottom"/>
          </w:tcPr>
          <w:p>
            <w:pPr>
              <w:spacing w:after="0"/>
              <w:rPr>
                <w:sz w:val="16"/>
                <w:szCs w:val="16"/>
                <w:color w:val="auto"/>
              </w:rPr>
            </w:pPr>
          </w:p>
        </w:tc>
        <w:tc>
          <w:tcPr>
            <w:tcW w:w="660" w:type="dxa"/>
            <w:vAlign w:val="bottom"/>
          </w:tcPr>
          <w:p>
            <w:pPr>
              <w:jc w:val="right"/>
              <w:ind w:right="73"/>
              <w:spacing w:after="0"/>
              <w:rPr>
                <w:sz w:val="20"/>
                <w:szCs w:val="20"/>
                <w:color w:val="auto"/>
              </w:rPr>
            </w:pPr>
            <w:r>
              <w:rPr>
                <w:rFonts w:ascii="Arial" w:cs="Arial" w:eastAsia="Arial" w:hAnsi="Arial"/>
                <w:sz w:val="13"/>
                <w:szCs w:val="13"/>
                <w:color w:val="auto"/>
              </w:rPr>
              <w:t>1,662</w:t>
            </w:r>
          </w:p>
        </w:tc>
        <w:tc>
          <w:tcPr>
            <w:tcW w:w="300" w:type="dxa"/>
            <w:vAlign w:val="bottom"/>
          </w:tcPr>
          <w:p>
            <w:pPr>
              <w:spacing w:after="0"/>
              <w:rPr>
                <w:sz w:val="16"/>
                <w:szCs w:val="16"/>
                <w:color w:val="auto"/>
              </w:rPr>
            </w:pPr>
          </w:p>
        </w:tc>
        <w:tc>
          <w:tcPr>
            <w:tcW w:w="660" w:type="dxa"/>
            <w:vAlign w:val="bottom"/>
          </w:tcPr>
          <w:p>
            <w:pPr>
              <w:jc w:val="right"/>
              <w:ind w:right="73"/>
              <w:spacing w:after="0"/>
              <w:rPr>
                <w:sz w:val="20"/>
                <w:szCs w:val="20"/>
                <w:color w:val="auto"/>
              </w:rPr>
            </w:pPr>
            <w:r>
              <w:rPr>
                <w:rFonts w:ascii="Arial" w:cs="Arial" w:eastAsia="Arial" w:hAnsi="Arial"/>
                <w:sz w:val="13"/>
                <w:szCs w:val="13"/>
                <w:color w:val="auto"/>
              </w:rPr>
              <w:t>1,053</w:t>
            </w:r>
          </w:p>
        </w:tc>
        <w:tc>
          <w:tcPr>
            <w:tcW w:w="300" w:type="dxa"/>
            <w:vAlign w:val="bottom"/>
          </w:tcPr>
          <w:p>
            <w:pPr>
              <w:spacing w:after="0"/>
              <w:rPr>
                <w:sz w:val="16"/>
                <w:szCs w:val="16"/>
                <w:color w:val="auto"/>
              </w:rPr>
            </w:pPr>
          </w:p>
        </w:tc>
        <w:tc>
          <w:tcPr>
            <w:tcW w:w="640" w:type="dxa"/>
            <w:vAlign w:val="bottom"/>
          </w:tcPr>
          <w:p>
            <w:pPr>
              <w:jc w:val="right"/>
              <w:ind w:right="53"/>
              <w:spacing w:after="0"/>
              <w:rPr>
                <w:sz w:val="20"/>
                <w:szCs w:val="20"/>
                <w:color w:val="auto"/>
              </w:rPr>
            </w:pPr>
            <w:r>
              <w:rPr>
                <w:rFonts w:ascii="Arial" w:cs="Arial" w:eastAsia="Arial" w:hAnsi="Arial"/>
                <w:sz w:val="13"/>
                <w:szCs w:val="13"/>
                <w:color w:val="auto"/>
              </w:rPr>
              <w:t>620</w:t>
            </w:r>
          </w:p>
        </w:tc>
        <w:tc>
          <w:tcPr>
            <w:tcW w:w="320" w:type="dxa"/>
            <w:vAlign w:val="bottom"/>
          </w:tcPr>
          <w:p>
            <w:pPr>
              <w:spacing w:after="0"/>
              <w:rPr>
                <w:sz w:val="16"/>
                <w:szCs w:val="16"/>
                <w:color w:val="auto"/>
              </w:rPr>
            </w:pPr>
          </w:p>
        </w:tc>
        <w:tc>
          <w:tcPr>
            <w:tcW w:w="580" w:type="dxa"/>
            <w:vAlign w:val="bottom"/>
          </w:tcPr>
          <w:p>
            <w:pPr>
              <w:jc w:val="right"/>
              <w:ind w:right="13"/>
              <w:spacing w:after="0"/>
              <w:rPr>
                <w:sz w:val="20"/>
                <w:szCs w:val="20"/>
                <w:color w:val="auto"/>
              </w:rPr>
            </w:pPr>
            <w:r>
              <w:rPr>
                <w:rFonts w:ascii="Arial" w:cs="Arial" w:eastAsia="Arial" w:hAnsi="Arial"/>
                <w:sz w:val="13"/>
                <w:szCs w:val="13"/>
                <w:color w:val="auto"/>
              </w:rPr>
              <w:t>1,926</w:t>
            </w:r>
          </w:p>
        </w:tc>
      </w:tr>
      <w:tr>
        <w:trPr>
          <w:trHeight w:val="41"/>
        </w:trPr>
        <w:tc>
          <w:tcPr>
            <w:tcW w:w="5420" w:type="dxa"/>
            <w:vAlign w:val="bottom"/>
            <w:tcBorders>
              <w:bottom w:val="single" w:sz="8" w:color="DFF1FB"/>
            </w:tcBorders>
          </w:tcPr>
          <w:p>
            <w:pPr>
              <w:spacing w:after="0"/>
              <w:rPr>
                <w:sz w:val="3"/>
                <w:szCs w:val="3"/>
                <w:color w:val="auto"/>
              </w:rPr>
            </w:pPr>
          </w:p>
        </w:tc>
        <w:tc>
          <w:tcPr>
            <w:tcW w:w="1580" w:type="dxa"/>
            <w:vAlign w:val="bottom"/>
            <w:tcBorders>
              <w:bottom w:val="single" w:sz="8" w:color="DFF1FB"/>
            </w:tcBorders>
          </w:tcPr>
          <w:p>
            <w:pPr>
              <w:spacing w:after="0"/>
              <w:rPr>
                <w:sz w:val="3"/>
                <w:szCs w:val="3"/>
                <w:color w:val="auto"/>
              </w:rPr>
            </w:pPr>
          </w:p>
        </w:tc>
        <w:tc>
          <w:tcPr>
            <w:tcW w:w="680" w:type="dxa"/>
            <w:vAlign w:val="bottom"/>
            <w:tcBorders>
              <w:bottom w:val="single" w:sz="8" w:color="DFF1FB"/>
            </w:tcBorders>
          </w:tcPr>
          <w:p>
            <w:pPr>
              <w:spacing w:after="0"/>
              <w:rPr>
                <w:sz w:val="3"/>
                <w:szCs w:val="3"/>
                <w:color w:val="auto"/>
              </w:rPr>
            </w:pPr>
          </w:p>
        </w:tc>
        <w:tc>
          <w:tcPr>
            <w:tcW w:w="280" w:type="dxa"/>
            <w:vAlign w:val="bottom"/>
            <w:tcBorders>
              <w:bottom w:val="single" w:sz="8" w:color="DFF1FB"/>
            </w:tcBorders>
          </w:tcPr>
          <w:p>
            <w:pPr>
              <w:spacing w:after="0"/>
              <w:rPr>
                <w:sz w:val="3"/>
                <w:szCs w:val="3"/>
                <w:color w:val="auto"/>
              </w:rPr>
            </w:pPr>
          </w:p>
        </w:tc>
        <w:tc>
          <w:tcPr>
            <w:tcW w:w="660" w:type="dxa"/>
            <w:vAlign w:val="bottom"/>
            <w:tcBorders>
              <w:bottom w:val="single" w:sz="8" w:color="DFF1FB"/>
            </w:tcBorders>
          </w:tcPr>
          <w:p>
            <w:pPr>
              <w:spacing w:after="0"/>
              <w:rPr>
                <w:sz w:val="3"/>
                <w:szCs w:val="3"/>
                <w:color w:val="auto"/>
              </w:rPr>
            </w:pPr>
          </w:p>
        </w:tc>
        <w:tc>
          <w:tcPr>
            <w:tcW w:w="300" w:type="dxa"/>
            <w:vAlign w:val="bottom"/>
            <w:tcBorders>
              <w:bottom w:val="single" w:sz="8" w:color="DFF1FB"/>
            </w:tcBorders>
          </w:tcPr>
          <w:p>
            <w:pPr>
              <w:spacing w:after="0"/>
              <w:rPr>
                <w:sz w:val="3"/>
                <w:szCs w:val="3"/>
                <w:color w:val="auto"/>
              </w:rPr>
            </w:pPr>
          </w:p>
        </w:tc>
        <w:tc>
          <w:tcPr>
            <w:tcW w:w="660" w:type="dxa"/>
            <w:vAlign w:val="bottom"/>
            <w:tcBorders>
              <w:bottom w:val="single" w:sz="8" w:color="DFF1FB"/>
            </w:tcBorders>
          </w:tcPr>
          <w:p>
            <w:pPr>
              <w:spacing w:after="0"/>
              <w:rPr>
                <w:sz w:val="3"/>
                <w:szCs w:val="3"/>
                <w:color w:val="auto"/>
              </w:rPr>
            </w:pPr>
          </w:p>
        </w:tc>
        <w:tc>
          <w:tcPr>
            <w:tcW w:w="300" w:type="dxa"/>
            <w:vAlign w:val="bottom"/>
            <w:tcBorders>
              <w:bottom w:val="single" w:sz="8" w:color="DFF1FB"/>
            </w:tcBorders>
          </w:tcPr>
          <w:p>
            <w:pPr>
              <w:spacing w:after="0"/>
              <w:rPr>
                <w:sz w:val="3"/>
                <w:szCs w:val="3"/>
                <w:color w:val="auto"/>
              </w:rPr>
            </w:pPr>
          </w:p>
        </w:tc>
        <w:tc>
          <w:tcPr>
            <w:tcW w:w="640" w:type="dxa"/>
            <w:vAlign w:val="bottom"/>
            <w:tcBorders>
              <w:bottom w:val="single" w:sz="8" w:color="DFF1FB"/>
            </w:tcBorders>
          </w:tcPr>
          <w:p>
            <w:pPr>
              <w:spacing w:after="0"/>
              <w:rPr>
                <w:sz w:val="3"/>
                <w:szCs w:val="3"/>
                <w:color w:val="auto"/>
              </w:rPr>
            </w:pPr>
          </w:p>
        </w:tc>
        <w:tc>
          <w:tcPr>
            <w:tcW w:w="320" w:type="dxa"/>
            <w:vAlign w:val="bottom"/>
            <w:tcBorders>
              <w:bottom w:val="single" w:sz="8" w:color="DFF1FB"/>
            </w:tcBorders>
          </w:tcPr>
          <w:p>
            <w:pPr>
              <w:spacing w:after="0"/>
              <w:rPr>
                <w:sz w:val="3"/>
                <w:szCs w:val="3"/>
                <w:color w:val="auto"/>
              </w:rPr>
            </w:pPr>
          </w:p>
        </w:tc>
        <w:tc>
          <w:tcPr>
            <w:tcW w:w="580" w:type="dxa"/>
            <w:vAlign w:val="bottom"/>
            <w:tcBorders>
              <w:bottom w:val="single" w:sz="8" w:color="DFF1FB"/>
            </w:tcBorders>
          </w:tcPr>
          <w:p>
            <w:pPr>
              <w:spacing w:after="0"/>
              <w:rPr>
                <w:sz w:val="3"/>
                <w:szCs w:val="3"/>
                <w:color w:val="auto"/>
              </w:rPr>
            </w:pPr>
          </w:p>
        </w:tc>
      </w:tr>
      <w:tr>
        <w:trPr>
          <w:trHeight w:val="195"/>
        </w:trPr>
        <w:tc>
          <w:tcPr>
            <w:tcW w:w="5420" w:type="dxa"/>
            <w:vAlign w:val="bottom"/>
          </w:tcPr>
          <w:p>
            <w:pPr>
              <w:ind w:left="340"/>
              <w:spacing w:after="0"/>
              <w:rPr>
                <w:sz w:val="20"/>
                <w:szCs w:val="20"/>
                <w:color w:val="auto"/>
              </w:rPr>
            </w:pPr>
            <w:r>
              <w:rPr>
                <w:rFonts w:ascii="Arial" w:cs="Arial" w:eastAsia="Arial" w:hAnsi="Arial"/>
                <w:sz w:val="13"/>
                <w:szCs w:val="13"/>
                <w:color w:val="auto"/>
              </w:rPr>
              <w:t>Adjusted ending common shareholders’ equity</w:t>
            </w:r>
          </w:p>
        </w:tc>
        <w:tc>
          <w:tcPr>
            <w:tcW w:w="1580" w:type="dxa"/>
            <w:vAlign w:val="bottom"/>
          </w:tcPr>
          <w:p>
            <w:pPr>
              <w:spacing w:after="0"/>
              <w:rPr>
                <w:sz w:val="16"/>
                <w:szCs w:val="16"/>
                <w:color w:val="auto"/>
              </w:rPr>
            </w:pPr>
          </w:p>
        </w:tc>
        <w:tc>
          <w:tcPr>
            <w:tcW w:w="680" w:type="dxa"/>
            <w:vAlign w:val="bottom"/>
          </w:tcPr>
          <w:p>
            <w:pPr>
              <w:jc w:val="right"/>
              <w:ind w:right="93"/>
              <w:spacing w:after="0"/>
              <w:rPr>
                <w:sz w:val="20"/>
                <w:szCs w:val="20"/>
                <w:color w:val="auto"/>
              </w:rPr>
            </w:pPr>
            <w:r>
              <w:rPr>
                <w:rFonts w:ascii="Arial" w:cs="Arial" w:eastAsia="Arial" w:hAnsi="Arial"/>
                <w:sz w:val="13"/>
                <w:szCs w:val="13"/>
                <w:color w:val="auto"/>
              </w:rPr>
              <w:t>19,384</w:t>
            </w:r>
          </w:p>
        </w:tc>
        <w:tc>
          <w:tcPr>
            <w:tcW w:w="280" w:type="dxa"/>
            <w:vAlign w:val="bottom"/>
          </w:tcPr>
          <w:p>
            <w:pPr>
              <w:spacing w:after="0"/>
              <w:rPr>
                <w:sz w:val="16"/>
                <w:szCs w:val="16"/>
                <w:color w:val="auto"/>
              </w:rPr>
            </w:pPr>
          </w:p>
        </w:tc>
        <w:tc>
          <w:tcPr>
            <w:tcW w:w="660" w:type="dxa"/>
            <w:vAlign w:val="bottom"/>
          </w:tcPr>
          <w:p>
            <w:pPr>
              <w:jc w:val="right"/>
              <w:ind w:right="73"/>
              <w:spacing w:after="0"/>
              <w:rPr>
                <w:sz w:val="20"/>
                <w:szCs w:val="20"/>
                <w:color w:val="auto"/>
              </w:rPr>
            </w:pPr>
            <w:r>
              <w:rPr>
                <w:rFonts w:ascii="Arial" w:cs="Arial" w:eastAsia="Arial" w:hAnsi="Arial"/>
                <w:sz w:val="13"/>
                <w:szCs w:val="13"/>
                <w:color w:val="auto"/>
              </w:rPr>
              <w:t>19,143</w:t>
            </w:r>
          </w:p>
        </w:tc>
        <w:tc>
          <w:tcPr>
            <w:tcW w:w="300" w:type="dxa"/>
            <w:vAlign w:val="bottom"/>
          </w:tcPr>
          <w:p>
            <w:pPr>
              <w:spacing w:after="0"/>
              <w:rPr>
                <w:sz w:val="16"/>
                <w:szCs w:val="16"/>
                <w:color w:val="auto"/>
              </w:rPr>
            </w:pPr>
          </w:p>
        </w:tc>
        <w:tc>
          <w:tcPr>
            <w:tcW w:w="660" w:type="dxa"/>
            <w:vAlign w:val="bottom"/>
          </w:tcPr>
          <w:p>
            <w:pPr>
              <w:jc w:val="right"/>
              <w:ind w:right="73"/>
              <w:spacing w:after="0"/>
              <w:rPr>
                <w:sz w:val="20"/>
                <w:szCs w:val="20"/>
                <w:color w:val="auto"/>
              </w:rPr>
            </w:pPr>
            <w:r>
              <w:rPr>
                <w:rFonts w:ascii="Arial" w:cs="Arial" w:eastAsia="Arial" w:hAnsi="Arial"/>
                <w:sz w:val="13"/>
                <w:szCs w:val="13"/>
                <w:color w:val="auto"/>
              </w:rPr>
              <w:t>17,774</w:t>
            </w:r>
          </w:p>
        </w:tc>
        <w:tc>
          <w:tcPr>
            <w:tcW w:w="300" w:type="dxa"/>
            <w:vAlign w:val="bottom"/>
          </w:tcPr>
          <w:p>
            <w:pPr>
              <w:spacing w:after="0"/>
              <w:rPr>
                <w:sz w:val="16"/>
                <w:szCs w:val="16"/>
                <w:color w:val="auto"/>
              </w:rPr>
            </w:pPr>
          </w:p>
        </w:tc>
        <w:tc>
          <w:tcPr>
            <w:tcW w:w="640" w:type="dxa"/>
            <w:vAlign w:val="bottom"/>
          </w:tcPr>
          <w:p>
            <w:pPr>
              <w:jc w:val="right"/>
              <w:ind w:right="53"/>
              <w:spacing w:after="0"/>
              <w:rPr>
                <w:sz w:val="20"/>
                <w:szCs w:val="20"/>
                <w:color w:val="auto"/>
              </w:rPr>
            </w:pPr>
            <w:r>
              <w:rPr>
                <w:rFonts w:ascii="Arial" w:cs="Arial" w:eastAsia="Arial" w:hAnsi="Arial"/>
                <w:sz w:val="13"/>
                <w:szCs w:val="13"/>
                <w:color w:val="auto"/>
              </w:rPr>
              <w:t>17,659</w:t>
            </w:r>
          </w:p>
        </w:tc>
        <w:tc>
          <w:tcPr>
            <w:tcW w:w="320" w:type="dxa"/>
            <w:vAlign w:val="bottom"/>
          </w:tcPr>
          <w:p>
            <w:pPr>
              <w:spacing w:after="0"/>
              <w:rPr>
                <w:sz w:val="16"/>
                <w:szCs w:val="16"/>
                <w:color w:val="auto"/>
              </w:rPr>
            </w:pPr>
          </w:p>
        </w:tc>
        <w:tc>
          <w:tcPr>
            <w:tcW w:w="580" w:type="dxa"/>
            <w:vAlign w:val="bottom"/>
          </w:tcPr>
          <w:p>
            <w:pPr>
              <w:jc w:val="right"/>
              <w:ind w:right="13"/>
              <w:spacing w:after="0"/>
              <w:rPr>
                <w:sz w:val="20"/>
                <w:szCs w:val="20"/>
                <w:color w:val="auto"/>
              </w:rPr>
            </w:pPr>
            <w:r>
              <w:rPr>
                <w:rFonts w:ascii="Arial" w:cs="Arial" w:eastAsia="Arial" w:hAnsi="Arial"/>
                <w:sz w:val="13"/>
                <w:szCs w:val="13"/>
                <w:color w:val="auto"/>
              </w:rPr>
              <w:t>18,632</w:t>
            </w:r>
          </w:p>
        </w:tc>
      </w:tr>
      <w:tr>
        <w:trPr>
          <w:trHeight w:val="41"/>
        </w:trPr>
        <w:tc>
          <w:tcPr>
            <w:tcW w:w="5420" w:type="dxa"/>
            <w:vAlign w:val="bottom"/>
            <w:tcBorders>
              <w:bottom w:val="single" w:sz="8" w:color="DFF1FB"/>
            </w:tcBorders>
          </w:tcPr>
          <w:p>
            <w:pPr>
              <w:spacing w:after="0"/>
              <w:rPr>
                <w:sz w:val="3"/>
                <w:szCs w:val="3"/>
                <w:color w:val="auto"/>
              </w:rPr>
            </w:pPr>
          </w:p>
        </w:tc>
        <w:tc>
          <w:tcPr>
            <w:tcW w:w="1580" w:type="dxa"/>
            <w:vAlign w:val="bottom"/>
            <w:tcBorders>
              <w:bottom w:val="single" w:sz="8" w:color="DFF1FB"/>
            </w:tcBorders>
          </w:tcPr>
          <w:p>
            <w:pPr>
              <w:spacing w:after="0"/>
              <w:rPr>
                <w:sz w:val="3"/>
                <w:szCs w:val="3"/>
                <w:color w:val="auto"/>
              </w:rPr>
            </w:pPr>
          </w:p>
        </w:tc>
        <w:tc>
          <w:tcPr>
            <w:tcW w:w="680" w:type="dxa"/>
            <w:vAlign w:val="bottom"/>
            <w:tcBorders>
              <w:bottom w:val="single" w:sz="8" w:color="DFF1FB"/>
            </w:tcBorders>
          </w:tcPr>
          <w:p>
            <w:pPr>
              <w:spacing w:after="0"/>
              <w:rPr>
                <w:sz w:val="3"/>
                <w:szCs w:val="3"/>
                <w:color w:val="auto"/>
              </w:rPr>
            </w:pPr>
          </w:p>
        </w:tc>
        <w:tc>
          <w:tcPr>
            <w:tcW w:w="280" w:type="dxa"/>
            <w:vAlign w:val="bottom"/>
            <w:tcBorders>
              <w:bottom w:val="single" w:sz="8" w:color="DFF1FB"/>
            </w:tcBorders>
          </w:tcPr>
          <w:p>
            <w:pPr>
              <w:spacing w:after="0"/>
              <w:rPr>
                <w:sz w:val="3"/>
                <w:szCs w:val="3"/>
                <w:color w:val="auto"/>
              </w:rPr>
            </w:pPr>
          </w:p>
        </w:tc>
        <w:tc>
          <w:tcPr>
            <w:tcW w:w="660" w:type="dxa"/>
            <w:vAlign w:val="bottom"/>
            <w:tcBorders>
              <w:bottom w:val="single" w:sz="8" w:color="DFF1FB"/>
            </w:tcBorders>
          </w:tcPr>
          <w:p>
            <w:pPr>
              <w:spacing w:after="0"/>
              <w:rPr>
                <w:sz w:val="3"/>
                <w:szCs w:val="3"/>
                <w:color w:val="auto"/>
              </w:rPr>
            </w:pPr>
          </w:p>
        </w:tc>
        <w:tc>
          <w:tcPr>
            <w:tcW w:w="300" w:type="dxa"/>
            <w:vAlign w:val="bottom"/>
            <w:tcBorders>
              <w:bottom w:val="single" w:sz="8" w:color="DFF1FB"/>
            </w:tcBorders>
          </w:tcPr>
          <w:p>
            <w:pPr>
              <w:spacing w:after="0"/>
              <w:rPr>
                <w:sz w:val="3"/>
                <w:szCs w:val="3"/>
                <w:color w:val="auto"/>
              </w:rPr>
            </w:pPr>
          </w:p>
        </w:tc>
        <w:tc>
          <w:tcPr>
            <w:tcW w:w="660" w:type="dxa"/>
            <w:vAlign w:val="bottom"/>
            <w:tcBorders>
              <w:bottom w:val="single" w:sz="8" w:color="DFF1FB"/>
            </w:tcBorders>
          </w:tcPr>
          <w:p>
            <w:pPr>
              <w:spacing w:after="0"/>
              <w:rPr>
                <w:sz w:val="3"/>
                <w:szCs w:val="3"/>
                <w:color w:val="auto"/>
              </w:rPr>
            </w:pPr>
          </w:p>
        </w:tc>
        <w:tc>
          <w:tcPr>
            <w:tcW w:w="300" w:type="dxa"/>
            <w:vAlign w:val="bottom"/>
            <w:tcBorders>
              <w:bottom w:val="single" w:sz="8" w:color="DFF1FB"/>
            </w:tcBorders>
          </w:tcPr>
          <w:p>
            <w:pPr>
              <w:spacing w:after="0"/>
              <w:rPr>
                <w:sz w:val="3"/>
                <w:szCs w:val="3"/>
                <w:color w:val="auto"/>
              </w:rPr>
            </w:pPr>
          </w:p>
        </w:tc>
        <w:tc>
          <w:tcPr>
            <w:tcW w:w="640" w:type="dxa"/>
            <w:vAlign w:val="bottom"/>
            <w:tcBorders>
              <w:bottom w:val="single" w:sz="8" w:color="DFF1FB"/>
            </w:tcBorders>
          </w:tcPr>
          <w:p>
            <w:pPr>
              <w:spacing w:after="0"/>
              <w:rPr>
                <w:sz w:val="3"/>
                <w:szCs w:val="3"/>
                <w:color w:val="auto"/>
              </w:rPr>
            </w:pPr>
          </w:p>
        </w:tc>
        <w:tc>
          <w:tcPr>
            <w:tcW w:w="320" w:type="dxa"/>
            <w:vAlign w:val="bottom"/>
            <w:tcBorders>
              <w:bottom w:val="single" w:sz="8" w:color="DFF1FB"/>
            </w:tcBorders>
          </w:tcPr>
          <w:p>
            <w:pPr>
              <w:spacing w:after="0"/>
              <w:rPr>
                <w:sz w:val="3"/>
                <w:szCs w:val="3"/>
                <w:color w:val="auto"/>
              </w:rPr>
            </w:pPr>
          </w:p>
        </w:tc>
        <w:tc>
          <w:tcPr>
            <w:tcW w:w="580" w:type="dxa"/>
            <w:vAlign w:val="bottom"/>
            <w:tcBorders>
              <w:bottom w:val="single" w:sz="8" w:color="DFF1FB"/>
            </w:tcBorders>
          </w:tcPr>
          <w:p>
            <w:pPr>
              <w:spacing w:after="0"/>
              <w:rPr>
                <w:sz w:val="3"/>
                <w:szCs w:val="3"/>
                <w:color w:val="auto"/>
              </w:rPr>
            </w:pPr>
          </w:p>
        </w:tc>
      </w:tr>
      <w:tr>
        <w:trPr>
          <w:trHeight w:val="195"/>
        </w:trPr>
        <w:tc>
          <w:tcPr>
            <w:tcW w:w="5420" w:type="dxa"/>
            <w:vAlign w:val="bottom"/>
          </w:tcPr>
          <w:p>
            <w:pPr>
              <w:ind w:left="80"/>
              <w:spacing w:after="0"/>
              <w:rPr>
                <w:sz w:val="20"/>
                <w:szCs w:val="20"/>
                <w:color w:val="auto"/>
              </w:rPr>
            </w:pPr>
            <w:r>
              <w:rPr>
                <w:rFonts w:ascii="Arial" w:cs="Arial" w:eastAsia="Arial" w:hAnsi="Arial"/>
                <w:sz w:val="13"/>
                <w:szCs w:val="13"/>
                <w:color w:val="auto"/>
              </w:rPr>
              <w:t>Average adjusted common shareholders’ equity</w:t>
            </w:r>
          </w:p>
        </w:tc>
        <w:tc>
          <w:tcPr>
            <w:tcW w:w="15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93"/>
              <w:spacing w:after="0"/>
              <w:rPr>
                <w:sz w:val="20"/>
                <w:szCs w:val="20"/>
                <w:color w:val="auto"/>
              </w:rPr>
            </w:pPr>
            <w:r>
              <w:rPr>
                <w:rFonts w:ascii="Arial" w:cs="Arial" w:eastAsia="Arial" w:hAnsi="Arial"/>
                <w:sz w:val="13"/>
                <w:szCs w:val="13"/>
                <w:color w:val="auto"/>
              </w:rPr>
              <w:t>19,264</w:t>
            </w:r>
          </w:p>
        </w:tc>
        <w:tc>
          <w:tcPr>
            <w:tcW w:w="2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73"/>
              <w:spacing w:after="0"/>
              <w:rPr>
                <w:sz w:val="20"/>
                <w:szCs w:val="20"/>
                <w:color w:val="auto"/>
              </w:rPr>
            </w:pPr>
            <w:r>
              <w:rPr>
                <w:rFonts w:ascii="Arial" w:cs="Arial" w:eastAsia="Arial" w:hAnsi="Arial"/>
                <w:sz w:val="13"/>
                <w:szCs w:val="13"/>
                <w:color w:val="auto"/>
              </w:rPr>
              <w:t>18,459</w:t>
            </w:r>
          </w:p>
        </w:tc>
        <w:tc>
          <w:tcPr>
            <w:tcW w:w="3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73"/>
              <w:spacing w:after="0"/>
              <w:rPr>
                <w:sz w:val="20"/>
                <w:szCs w:val="20"/>
                <w:color w:val="auto"/>
              </w:rPr>
            </w:pPr>
            <w:r>
              <w:rPr>
                <w:rFonts w:ascii="Arial" w:cs="Arial" w:eastAsia="Arial" w:hAnsi="Arial"/>
                <w:sz w:val="13"/>
                <w:szCs w:val="13"/>
                <w:color w:val="auto"/>
              </w:rPr>
              <w:t>17,717</w:t>
            </w:r>
          </w:p>
        </w:tc>
        <w:tc>
          <w:tcPr>
            <w:tcW w:w="3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53"/>
              <w:spacing w:after="0"/>
              <w:rPr>
                <w:sz w:val="20"/>
                <w:szCs w:val="20"/>
                <w:color w:val="auto"/>
              </w:rPr>
            </w:pPr>
            <w:r>
              <w:rPr>
                <w:rFonts w:ascii="Arial" w:cs="Arial" w:eastAsia="Arial" w:hAnsi="Arial"/>
                <w:sz w:val="13"/>
                <w:szCs w:val="13"/>
                <w:color w:val="auto"/>
              </w:rPr>
              <w:t>18,146</w:t>
            </w:r>
          </w:p>
        </w:tc>
        <w:tc>
          <w:tcPr>
            <w:tcW w:w="32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13"/>
              <w:spacing w:after="0"/>
              <w:rPr>
                <w:sz w:val="20"/>
                <w:szCs w:val="20"/>
                <w:color w:val="auto"/>
              </w:rPr>
            </w:pPr>
            <w:r>
              <w:rPr>
                <w:rFonts w:ascii="Arial" w:cs="Arial" w:eastAsia="Arial" w:hAnsi="Arial"/>
                <w:sz w:val="13"/>
                <w:szCs w:val="13"/>
                <w:color w:val="auto"/>
              </w:rPr>
              <w:t>18,843</w:t>
            </w:r>
          </w:p>
        </w:tc>
      </w:tr>
      <w:tr>
        <w:trPr>
          <w:trHeight w:val="41"/>
        </w:trPr>
        <w:tc>
          <w:tcPr>
            <w:tcW w:w="5420" w:type="dxa"/>
            <w:vAlign w:val="bottom"/>
            <w:tcBorders>
              <w:bottom w:val="single" w:sz="8" w:color="DFF1FB"/>
            </w:tcBorders>
          </w:tcPr>
          <w:p>
            <w:pPr>
              <w:spacing w:after="0"/>
              <w:rPr>
                <w:sz w:val="3"/>
                <w:szCs w:val="3"/>
                <w:color w:val="auto"/>
              </w:rPr>
            </w:pPr>
          </w:p>
        </w:tc>
        <w:tc>
          <w:tcPr>
            <w:tcW w:w="1580" w:type="dxa"/>
            <w:vAlign w:val="bottom"/>
            <w:tcBorders>
              <w:bottom w:val="single" w:sz="8" w:color="DFF1FB"/>
            </w:tcBorders>
          </w:tcPr>
          <w:p>
            <w:pPr>
              <w:spacing w:after="0"/>
              <w:rPr>
                <w:sz w:val="3"/>
                <w:szCs w:val="3"/>
                <w:color w:val="auto"/>
              </w:rPr>
            </w:pPr>
          </w:p>
        </w:tc>
        <w:tc>
          <w:tcPr>
            <w:tcW w:w="680" w:type="dxa"/>
            <w:vAlign w:val="bottom"/>
            <w:tcBorders>
              <w:bottom w:val="single" w:sz="8" w:color="DFF1FB"/>
            </w:tcBorders>
          </w:tcPr>
          <w:p>
            <w:pPr>
              <w:spacing w:after="0"/>
              <w:rPr>
                <w:sz w:val="3"/>
                <w:szCs w:val="3"/>
                <w:color w:val="auto"/>
              </w:rPr>
            </w:pPr>
          </w:p>
        </w:tc>
        <w:tc>
          <w:tcPr>
            <w:tcW w:w="280" w:type="dxa"/>
            <w:vAlign w:val="bottom"/>
            <w:tcBorders>
              <w:bottom w:val="single" w:sz="8" w:color="DFF1FB"/>
            </w:tcBorders>
          </w:tcPr>
          <w:p>
            <w:pPr>
              <w:spacing w:after="0"/>
              <w:rPr>
                <w:sz w:val="3"/>
                <w:szCs w:val="3"/>
                <w:color w:val="auto"/>
              </w:rPr>
            </w:pPr>
          </w:p>
        </w:tc>
        <w:tc>
          <w:tcPr>
            <w:tcW w:w="660" w:type="dxa"/>
            <w:vAlign w:val="bottom"/>
            <w:tcBorders>
              <w:bottom w:val="single" w:sz="8" w:color="DFF1FB"/>
            </w:tcBorders>
          </w:tcPr>
          <w:p>
            <w:pPr>
              <w:spacing w:after="0"/>
              <w:rPr>
                <w:sz w:val="3"/>
                <w:szCs w:val="3"/>
                <w:color w:val="auto"/>
              </w:rPr>
            </w:pPr>
          </w:p>
        </w:tc>
        <w:tc>
          <w:tcPr>
            <w:tcW w:w="300" w:type="dxa"/>
            <w:vAlign w:val="bottom"/>
            <w:tcBorders>
              <w:bottom w:val="single" w:sz="8" w:color="DFF1FB"/>
            </w:tcBorders>
          </w:tcPr>
          <w:p>
            <w:pPr>
              <w:spacing w:after="0"/>
              <w:rPr>
                <w:sz w:val="3"/>
                <w:szCs w:val="3"/>
                <w:color w:val="auto"/>
              </w:rPr>
            </w:pPr>
          </w:p>
        </w:tc>
        <w:tc>
          <w:tcPr>
            <w:tcW w:w="660" w:type="dxa"/>
            <w:vAlign w:val="bottom"/>
            <w:tcBorders>
              <w:bottom w:val="single" w:sz="8" w:color="DFF1FB"/>
            </w:tcBorders>
          </w:tcPr>
          <w:p>
            <w:pPr>
              <w:spacing w:after="0"/>
              <w:rPr>
                <w:sz w:val="3"/>
                <w:szCs w:val="3"/>
                <w:color w:val="auto"/>
              </w:rPr>
            </w:pPr>
          </w:p>
        </w:tc>
        <w:tc>
          <w:tcPr>
            <w:tcW w:w="300" w:type="dxa"/>
            <w:vAlign w:val="bottom"/>
            <w:tcBorders>
              <w:bottom w:val="single" w:sz="8" w:color="DFF1FB"/>
            </w:tcBorders>
          </w:tcPr>
          <w:p>
            <w:pPr>
              <w:spacing w:after="0"/>
              <w:rPr>
                <w:sz w:val="3"/>
                <w:szCs w:val="3"/>
                <w:color w:val="auto"/>
              </w:rPr>
            </w:pPr>
          </w:p>
        </w:tc>
        <w:tc>
          <w:tcPr>
            <w:tcW w:w="640" w:type="dxa"/>
            <w:vAlign w:val="bottom"/>
            <w:tcBorders>
              <w:bottom w:val="single" w:sz="8" w:color="DFF1FB"/>
            </w:tcBorders>
          </w:tcPr>
          <w:p>
            <w:pPr>
              <w:spacing w:after="0"/>
              <w:rPr>
                <w:sz w:val="3"/>
                <w:szCs w:val="3"/>
                <w:color w:val="auto"/>
              </w:rPr>
            </w:pPr>
          </w:p>
        </w:tc>
        <w:tc>
          <w:tcPr>
            <w:tcW w:w="320" w:type="dxa"/>
            <w:vAlign w:val="bottom"/>
            <w:tcBorders>
              <w:bottom w:val="single" w:sz="8" w:color="DFF1FB"/>
            </w:tcBorders>
          </w:tcPr>
          <w:p>
            <w:pPr>
              <w:spacing w:after="0"/>
              <w:rPr>
                <w:sz w:val="3"/>
                <w:szCs w:val="3"/>
                <w:color w:val="auto"/>
              </w:rPr>
            </w:pPr>
          </w:p>
        </w:tc>
        <w:tc>
          <w:tcPr>
            <w:tcW w:w="580" w:type="dxa"/>
            <w:vAlign w:val="bottom"/>
            <w:tcBorders>
              <w:bottom w:val="single" w:sz="8" w:color="DFF1FB"/>
            </w:tcBorders>
          </w:tcPr>
          <w:p>
            <w:pPr>
              <w:spacing w:after="0"/>
              <w:rPr>
                <w:sz w:val="3"/>
                <w:szCs w:val="3"/>
                <w:color w:val="auto"/>
              </w:rPr>
            </w:pPr>
          </w:p>
        </w:tc>
      </w:tr>
      <w:tr>
        <w:trPr>
          <w:trHeight w:val="195"/>
        </w:trPr>
        <w:tc>
          <w:tcPr>
            <w:tcW w:w="5420" w:type="dxa"/>
            <w:vAlign w:val="bottom"/>
          </w:tcPr>
          <w:p>
            <w:pPr>
              <w:ind w:left="340"/>
              <w:spacing w:after="0"/>
              <w:rPr>
                <w:sz w:val="20"/>
                <w:szCs w:val="20"/>
                <w:color w:val="auto"/>
              </w:rPr>
            </w:pPr>
            <w:r>
              <w:rPr>
                <w:rFonts w:ascii="Arial" w:cs="Arial" w:eastAsia="Arial" w:hAnsi="Arial"/>
                <w:sz w:val="13"/>
                <w:szCs w:val="13"/>
                <w:color w:val="auto"/>
              </w:rPr>
              <w:t>Adjusted Net Income return on common shareholders’ equity</w:t>
            </w:r>
          </w:p>
        </w:tc>
        <w:tc>
          <w:tcPr>
            <w:tcW w:w="1580" w:type="dxa"/>
            <w:vAlign w:val="bottom"/>
          </w:tcPr>
          <w:p>
            <w:pPr>
              <w:spacing w:after="0"/>
              <w:rPr>
                <w:sz w:val="16"/>
                <w:szCs w:val="16"/>
                <w:color w:val="auto"/>
              </w:rPr>
            </w:pPr>
          </w:p>
        </w:tc>
        <w:tc>
          <w:tcPr>
            <w:tcW w:w="680" w:type="dxa"/>
            <w:vAlign w:val="bottom"/>
          </w:tcPr>
          <w:p>
            <w:pPr>
              <w:jc w:val="right"/>
              <w:ind w:right="93"/>
              <w:spacing w:after="0"/>
              <w:rPr>
                <w:sz w:val="20"/>
                <w:szCs w:val="20"/>
                <w:color w:val="auto"/>
              </w:rPr>
            </w:pPr>
            <w:r>
              <w:rPr>
                <w:rFonts w:ascii="Arial" w:cs="Arial" w:eastAsia="Arial" w:hAnsi="Arial"/>
                <w:sz w:val="13"/>
                <w:szCs w:val="13"/>
                <w:color w:val="auto"/>
              </w:rPr>
              <w:t>14.8%</w:t>
            </w:r>
          </w:p>
        </w:tc>
        <w:tc>
          <w:tcPr>
            <w:tcW w:w="280" w:type="dxa"/>
            <w:vAlign w:val="bottom"/>
          </w:tcPr>
          <w:p>
            <w:pPr>
              <w:spacing w:after="0"/>
              <w:rPr>
                <w:sz w:val="16"/>
                <w:szCs w:val="16"/>
                <w:color w:val="auto"/>
              </w:rPr>
            </w:pPr>
          </w:p>
        </w:tc>
        <w:tc>
          <w:tcPr>
            <w:tcW w:w="660" w:type="dxa"/>
            <w:vAlign w:val="bottom"/>
          </w:tcPr>
          <w:p>
            <w:pPr>
              <w:jc w:val="right"/>
              <w:ind w:right="73"/>
              <w:spacing w:after="0"/>
              <w:rPr>
                <w:sz w:val="20"/>
                <w:szCs w:val="20"/>
                <w:color w:val="auto"/>
              </w:rPr>
            </w:pPr>
            <w:r>
              <w:rPr>
                <w:rFonts w:ascii="Arial" w:cs="Arial" w:eastAsia="Arial" w:hAnsi="Arial"/>
                <w:sz w:val="13"/>
                <w:szCs w:val="13"/>
                <w:color w:val="auto"/>
              </w:rPr>
              <w:t>13.4%</w:t>
            </w:r>
          </w:p>
        </w:tc>
        <w:tc>
          <w:tcPr>
            <w:tcW w:w="300" w:type="dxa"/>
            <w:vAlign w:val="bottom"/>
          </w:tcPr>
          <w:p>
            <w:pPr>
              <w:spacing w:after="0"/>
              <w:rPr>
                <w:sz w:val="16"/>
                <w:szCs w:val="16"/>
                <w:color w:val="auto"/>
              </w:rPr>
            </w:pPr>
          </w:p>
        </w:tc>
        <w:tc>
          <w:tcPr>
            <w:tcW w:w="660" w:type="dxa"/>
            <w:vAlign w:val="bottom"/>
          </w:tcPr>
          <w:p>
            <w:pPr>
              <w:jc w:val="right"/>
              <w:ind w:right="73"/>
              <w:spacing w:after="0"/>
              <w:rPr>
                <w:sz w:val="20"/>
                <w:szCs w:val="20"/>
                <w:color w:val="auto"/>
              </w:rPr>
            </w:pPr>
            <w:r>
              <w:rPr>
                <w:rFonts w:ascii="Arial" w:cs="Arial" w:eastAsia="Arial" w:hAnsi="Arial"/>
                <w:sz w:val="13"/>
                <w:szCs w:val="13"/>
                <w:color w:val="auto"/>
              </w:rPr>
              <w:t>10.4%</w:t>
            </w:r>
          </w:p>
        </w:tc>
        <w:tc>
          <w:tcPr>
            <w:tcW w:w="300" w:type="dxa"/>
            <w:vAlign w:val="bottom"/>
          </w:tcPr>
          <w:p>
            <w:pPr>
              <w:spacing w:after="0"/>
              <w:rPr>
                <w:sz w:val="16"/>
                <w:szCs w:val="16"/>
                <w:color w:val="auto"/>
              </w:rPr>
            </w:pPr>
          </w:p>
        </w:tc>
        <w:tc>
          <w:tcPr>
            <w:tcW w:w="640" w:type="dxa"/>
            <w:vAlign w:val="bottom"/>
          </w:tcPr>
          <w:p>
            <w:pPr>
              <w:jc w:val="right"/>
              <w:ind w:right="53"/>
              <w:spacing w:after="0"/>
              <w:rPr>
                <w:sz w:val="20"/>
                <w:szCs w:val="20"/>
                <w:color w:val="auto"/>
              </w:rPr>
            </w:pPr>
            <w:r>
              <w:rPr>
                <w:rFonts w:ascii="Arial" w:cs="Arial" w:eastAsia="Arial" w:hAnsi="Arial"/>
                <w:sz w:val="13"/>
                <w:szCs w:val="13"/>
                <w:color w:val="auto"/>
              </w:rPr>
              <w:t>11.6%</w:t>
            </w:r>
          </w:p>
        </w:tc>
        <w:tc>
          <w:tcPr>
            <w:tcW w:w="320" w:type="dxa"/>
            <w:vAlign w:val="bottom"/>
          </w:tcPr>
          <w:p>
            <w:pPr>
              <w:spacing w:after="0"/>
              <w:rPr>
                <w:sz w:val="16"/>
                <w:szCs w:val="16"/>
                <w:color w:val="auto"/>
              </w:rPr>
            </w:pPr>
          </w:p>
        </w:tc>
        <w:tc>
          <w:tcPr>
            <w:tcW w:w="580" w:type="dxa"/>
            <w:vAlign w:val="bottom"/>
          </w:tcPr>
          <w:p>
            <w:pPr>
              <w:jc w:val="right"/>
              <w:ind w:right="13"/>
              <w:spacing w:after="0"/>
              <w:rPr>
                <w:sz w:val="20"/>
                <w:szCs w:val="20"/>
                <w:color w:val="auto"/>
              </w:rPr>
            </w:pPr>
            <w:r>
              <w:rPr>
                <w:rFonts w:ascii="Arial" w:cs="Arial" w:eastAsia="Arial" w:hAnsi="Arial"/>
                <w:sz w:val="13"/>
                <w:szCs w:val="13"/>
                <w:color w:val="auto"/>
              </w:rPr>
              <w:t>12.6%</w:t>
            </w:r>
          </w:p>
        </w:tc>
      </w:tr>
      <w:tr>
        <w:trPr>
          <w:trHeight w:val="48"/>
        </w:trPr>
        <w:tc>
          <w:tcPr>
            <w:tcW w:w="5420" w:type="dxa"/>
            <w:vAlign w:val="bottom"/>
            <w:tcBorders>
              <w:bottom w:val="single" w:sz="8" w:color="105EAB"/>
            </w:tcBorders>
          </w:tcPr>
          <w:p>
            <w:pPr>
              <w:spacing w:after="0"/>
              <w:rPr>
                <w:sz w:val="4"/>
                <w:szCs w:val="4"/>
                <w:color w:val="auto"/>
              </w:rPr>
            </w:pPr>
          </w:p>
        </w:tc>
        <w:tc>
          <w:tcPr>
            <w:tcW w:w="1580" w:type="dxa"/>
            <w:vAlign w:val="bottom"/>
            <w:tcBorders>
              <w:bottom w:val="single" w:sz="8" w:color="105EAB"/>
            </w:tcBorders>
          </w:tcPr>
          <w:p>
            <w:pPr>
              <w:spacing w:after="0"/>
              <w:rPr>
                <w:sz w:val="4"/>
                <w:szCs w:val="4"/>
                <w:color w:val="auto"/>
              </w:rPr>
            </w:pPr>
          </w:p>
        </w:tc>
        <w:tc>
          <w:tcPr>
            <w:tcW w:w="680" w:type="dxa"/>
            <w:vAlign w:val="bottom"/>
            <w:tcBorders>
              <w:bottom w:val="single" w:sz="8" w:color="105EAB"/>
            </w:tcBorders>
          </w:tcPr>
          <w:p>
            <w:pPr>
              <w:spacing w:after="0"/>
              <w:rPr>
                <w:sz w:val="4"/>
                <w:szCs w:val="4"/>
                <w:color w:val="auto"/>
              </w:rPr>
            </w:pPr>
          </w:p>
        </w:tc>
        <w:tc>
          <w:tcPr>
            <w:tcW w:w="280" w:type="dxa"/>
            <w:vAlign w:val="bottom"/>
            <w:tcBorders>
              <w:bottom w:val="single" w:sz="8" w:color="105EAB"/>
            </w:tcBorders>
          </w:tcPr>
          <w:p>
            <w:pPr>
              <w:spacing w:after="0"/>
              <w:rPr>
                <w:sz w:val="4"/>
                <w:szCs w:val="4"/>
                <w:color w:val="auto"/>
              </w:rPr>
            </w:pPr>
          </w:p>
        </w:tc>
        <w:tc>
          <w:tcPr>
            <w:tcW w:w="660" w:type="dxa"/>
            <w:vAlign w:val="bottom"/>
            <w:tcBorders>
              <w:bottom w:val="single" w:sz="8" w:color="105EAB"/>
            </w:tcBorders>
          </w:tcPr>
          <w:p>
            <w:pPr>
              <w:spacing w:after="0"/>
              <w:rPr>
                <w:sz w:val="4"/>
                <w:szCs w:val="4"/>
                <w:color w:val="auto"/>
              </w:rPr>
            </w:pPr>
          </w:p>
        </w:tc>
        <w:tc>
          <w:tcPr>
            <w:tcW w:w="300" w:type="dxa"/>
            <w:vAlign w:val="bottom"/>
            <w:tcBorders>
              <w:bottom w:val="single" w:sz="8" w:color="105EAB"/>
            </w:tcBorders>
          </w:tcPr>
          <w:p>
            <w:pPr>
              <w:spacing w:after="0"/>
              <w:rPr>
                <w:sz w:val="4"/>
                <w:szCs w:val="4"/>
                <w:color w:val="auto"/>
              </w:rPr>
            </w:pPr>
          </w:p>
        </w:tc>
        <w:tc>
          <w:tcPr>
            <w:tcW w:w="660" w:type="dxa"/>
            <w:vAlign w:val="bottom"/>
            <w:tcBorders>
              <w:bottom w:val="single" w:sz="8" w:color="105EAB"/>
            </w:tcBorders>
          </w:tcPr>
          <w:p>
            <w:pPr>
              <w:spacing w:after="0"/>
              <w:rPr>
                <w:sz w:val="4"/>
                <w:szCs w:val="4"/>
                <w:color w:val="auto"/>
              </w:rPr>
            </w:pPr>
          </w:p>
        </w:tc>
        <w:tc>
          <w:tcPr>
            <w:tcW w:w="300" w:type="dxa"/>
            <w:vAlign w:val="bottom"/>
            <w:tcBorders>
              <w:bottom w:val="single" w:sz="8" w:color="105EAB"/>
            </w:tcBorders>
          </w:tcPr>
          <w:p>
            <w:pPr>
              <w:spacing w:after="0"/>
              <w:rPr>
                <w:sz w:val="4"/>
                <w:szCs w:val="4"/>
                <w:color w:val="auto"/>
              </w:rPr>
            </w:pPr>
          </w:p>
        </w:tc>
        <w:tc>
          <w:tcPr>
            <w:tcW w:w="640" w:type="dxa"/>
            <w:vAlign w:val="bottom"/>
            <w:tcBorders>
              <w:bottom w:val="single" w:sz="8" w:color="105EAB"/>
            </w:tcBorders>
          </w:tcPr>
          <w:p>
            <w:pPr>
              <w:spacing w:after="0"/>
              <w:rPr>
                <w:sz w:val="4"/>
                <w:szCs w:val="4"/>
                <w:color w:val="auto"/>
              </w:rPr>
            </w:pPr>
          </w:p>
        </w:tc>
        <w:tc>
          <w:tcPr>
            <w:tcW w:w="320" w:type="dxa"/>
            <w:vAlign w:val="bottom"/>
            <w:tcBorders>
              <w:bottom w:val="single" w:sz="8" w:color="105EAB"/>
            </w:tcBorders>
          </w:tcPr>
          <w:p>
            <w:pPr>
              <w:spacing w:after="0"/>
              <w:rPr>
                <w:sz w:val="4"/>
                <w:szCs w:val="4"/>
                <w:color w:val="auto"/>
              </w:rPr>
            </w:pPr>
          </w:p>
        </w:tc>
        <w:tc>
          <w:tcPr>
            <w:tcW w:w="580" w:type="dxa"/>
            <w:vAlign w:val="bottom"/>
            <w:tcBorders>
              <w:bottom w:val="single" w:sz="8" w:color="105EAB"/>
            </w:tcBorders>
          </w:tcPr>
          <w:p>
            <w:pPr>
              <w:spacing w:after="0"/>
              <w:rPr>
                <w:sz w:val="4"/>
                <w:szCs w:val="4"/>
                <w:color w:val="auto"/>
              </w:rPr>
            </w:pPr>
          </w:p>
        </w:tc>
      </w:tr>
    </w:tbl>
    <w:p>
      <w:pPr>
        <w:spacing w:after="0" w:line="30" w:lineRule="exact"/>
        <w:rPr>
          <w:sz w:val="20"/>
          <w:szCs w:val="20"/>
          <w:color w:val="auto"/>
        </w:rPr>
      </w:pPr>
    </w:p>
    <w:p>
      <w:pPr>
        <w:ind w:left="300" w:hanging="292"/>
        <w:spacing w:after="0"/>
        <w:tabs>
          <w:tab w:leader="none" w:pos="300" w:val="left"/>
        </w:tabs>
        <w:numPr>
          <w:ilvl w:val="0"/>
          <w:numId w:val="255"/>
        </w:numPr>
        <w:rPr>
          <w:rFonts w:ascii="Arial" w:cs="Arial" w:eastAsia="Arial" w:hAnsi="Arial"/>
          <w:sz w:val="22"/>
          <w:szCs w:val="22"/>
          <w:color w:val="auto"/>
          <w:vertAlign w:val="superscript"/>
        </w:rPr>
      </w:pPr>
      <w:r>
        <w:rPr>
          <w:rFonts w:ascii="Arial" w:cs="Arial" w:eastAsia="Arial" w:hAnsi="Arial"/>
          <w:sz w:val="13"/>
          <w:szCs w:val="13"/>
          <w:color w:val="auto"/>
        </w:rPr>
        <w:t>Excludes equity related to preferred stock of $1,930 million as of December 31, 2018 and $1,746 million for all other year-ends presented.</w:t>
      </w:r>
    </w:p>
    <w:p>
      <w:pPr>
        <w:spacing w:after="0" w:line="202" w:lineRule="exact"/>
        <w:rPr>
          <w:sz w:val="20"/>
          <w:szCs w:val="20"/>
          <w:color w:val="auto"/>
        </w:rPr>
      </w:pPr>
    </w:p>
    <w:p>
      <w:pPr>
        <w:ind w:left="460" w:hanging="452"/>
        <w:spacing w:after="0"/>
        <w:tabs>
          <w:tab w:leader="none" w:pos="460" w:val="left"/>
        </w:tabs>
        <w:numPr>
          <w:ilvl w:val="0"/>
          <w:numId w:val="256"/>
        </w:numPr>
        <w:rPr>
          <w:rFonts w:ascii="Arial" w:cs="Arial" w:eastAsia="Arial" w:hAnsi="Arial"/>
          <w:sz w:val="13"/>
          <w:szCs w:val="13"/>
          <w:b w:val="1"/>
          <w:bCs w:val="1"/>
          <w:color w:val="105EAB"/>
        </w:rPr>
      </w:pPr>
      <w:r>
        <w:rPr>
          <w:rFonts w:ascii="Arial" w:cs="Arial" w:eastAsia="Arial" w:hAnsi="Arial"/>
          <w:sz w:val="13"/>
          <w:szCs w:val="13"/>
          <w:color w:val="105EAB"/>
        </w:rPr>
        <w:t>www.allstateproxy.com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134620</wp:posOffset>
            </wp:positionV>
            <wp:extent cx="7268210" cy="209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jc w:val="right"/>
        <w:ind w:right="20"/>
        <w:spacing w:after="0"/>
        <w:rPr>
          <w:sz w:val="20"/>
          <w:szCs w:val="20"/>
          <w:color w:val="auto"/>
        </w:rPr>
      </w:pPr>
      <w:r>
        <w:rPr>
          <w:rFonts w:ascii="Arial" w:cs="Arial" w:eastAsia="Arial" w:hAnsi="Arial"/>
          <w:sz w:val="13"/>
          <w:szCs w:val="13"/>
          <w:b w:val="1"/>
          <w:bCs w:val="1"/>
          <w:color w:val="auto"/>
        </w:rPr>
        <w:t xml:space="preserve">Appendix B – Categorical Standards of Independence </w:t>
      </w:r>
      <w:r>
        <w:rPr>
          <w:rFonts w:ascii="Arial" w:cs="Arial" w:eastAsia="Arial" w:hAnsi="Arial"/>
          <w:sz w:val="13"/>
          <w:szCs w:val="13"/>
          <w:b w:val="1"/>
          <w:bCs w:val="1"/>
          <w:color w:val="105EAB"/>
        </w:rPr>
        <w:t>| Other Information</w:t>
      </w:r>
    </w:p>
    <w:p>
      <w:pPr>
        <w:spacing w:after="0" w:line="200" w:lineRule="exact"/>
        <w:rPr>
          <w:sz w:val="20"/>
          <w:szCs w:val="20"/>
          <w:color w:val="auto"/>
        </w:rPr>
      </w:pPr>
    </w:p>
    <w:p>
      <w:pPr>
        <w:spacing w:after="0"/>
        <w:rPr>
          <w:sz w:val="20"/>
          <w:szCs w:val="20"/>
          <w:color w:val="auto"/>
        </w:rPr>
      </w:pPr>
      <w:r>
        <w:rPr>
          <w:rFonts w:ascii="Arial" w:cs="Arial" w:eastAsia="Arial" w:hAnsi="Arial"/>
          <w:sz w:val="31"/>
          <w:szCs w:val="31"/>
          <w:b w:val="1"/>
          <w:bCs w:val="1"/>
          <w:color w:val="959595"/>
        </w:rPr>
        <w:t>Appendix B – Categorical Standards of Independence</w:t>
      </w:r>
    </w:p>
    <w:p>
      <w:pPr>
        <w:spacing w:after="0" w:line="258" w:lineRule="exact"/>
        <w:rPr>
          <w:sz w:val="20"/>
          <w:szCs w:val="20"/>
          <w:color w:val="auto"/>
        </w:rPr>
      </w:pPr>
    </w:p>
    <w:p>
      <w:pPr>
        <w:ind w:right="800"/>
        <w:spacing w:after="0" w:line="239" w:lineRule="auto"/>
        <w:rPr>
          <w:sz w:val="20"/>
          <w:szCs w:val="20"/>
          <w:color w:val="auto"/>
        </w:rPr>
      </w:pPr>
      <w:r>
        <w:rPr>
          <w:rFonts w:ascii="Arial" w:cs="Arial" w:eastAsia="Arial" w:hAnsi="Arial"/>
          <w:sz w:val="18"/>
          <w:szCs w:val="18"/>
          <w:color w:val="auto"/>
        </w:rPr>
        <w:t>In accordance with the Director Independence Standards, the Board has determined that the nature of the following relationships with the corporation do not create a conflict of interest that would impair a director’s independence.</w:t>
      </w:r>
    </w:p>
    <w:p>
      <w:pPr>
        <w:spacing w:after="0" w:line="208" w:lineRule="exact"/>
        <w:rPr>
          <w:sz w:val="20"/>
          <w:szCs w:val="20"/>
          <w:color w:val="auto"/>
        </w:rPr>
      </w:pPr>
    </w:p>
    <w:p>
      <w:pPr>
        <w:ind w:left="420" w:right="20" w:hanging="412"/>
        <w:spacing w:after="0" w:line="237" w:lineRule="auto"/>
        <w:tabs>
          <w:tab w:leader="none" w:pos="42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An Allstate director’s relationship arising from (i) only such director’s position as a director of another corporation or organization; (ii) only such director’s direct or indirect ownership of a 5% or less equity interest in another corporation or organization (other than a partnership); (iii) both such position and such ownership; or (iv) such director’s position only as a limited partner in a partnership in which he or she has an interest of 5% or less.</w:t>
      </w:r>
    </w:p>
    <w:p>
      <w:pPr>
        <w:spacing w:after="0" w:line="99" w:lineRule="exact"/>
        <w:rPr>
          <w:rFonts w:ascii="Arial" w:cs="Arial" w:eastAsia="Arial" w:hAnsi="Arial"/>
          <w:sz w:val="18"/>
          <w:szCs w:val="18"/>
          <w:color w:val="auto"/>
        </w:rPr>
      </w:pPr>
    </w:p>
    <w:p>
      <w:pPr>
        <w:jc w:val="both"/>
        <w:ind w:left="420" w:right="260" w:hanging="412"/>
        <w:spacing w:after="0" w:line="237" w:lineRule="auto"/>
        <w:tabs>
          <w:tab w:leader="none" w:pos="42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An Allstate director’s relationship arising from an interest of the director, or any entity in which the director is an employee, director, partner, stockholder or officer, in or under any standard-form insurance policy or other financial product offered by the Allstate Group in the ordinary course of business.</w:t>
      </w:r>
    </w:p>
    <w:p>
      <w:pPr>
        <w:spacing w:after="0" w:line="101" w:lineRule="exact"/>
        <w:rPr>
          <w:rFonts w:ascii="Arial" w:cs="Arial" w:eastAsia="Arial" w:hAnsi="Arial"/>
          <w:sz w:val="18"/>
          <w:szCs w:val="18"/>
          <w:color w:val="auto"/>
        </w:rPr>
      </w:pPr>
    </w:p>
    <w:p>
      <w:pPr>
        <w:ind w:left="420" w:right="20" w:hanging="412"/>
        <w:spacing w:after="0" w:line="237" w:lineRule="auto"/>
        <w:tabs>
          <w:tab w:leader="none" w:pos="42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An Allstate director’s relationship with another company that participates in a transaction with the Allstate Group (i) where the rates or charges involved are determined by competitive bid or (ii) where the transaction involves the rendering of services as a common or contract carrier (including any airline) or public utility at rates or charges fixed in conformity with law or governmental authority.</w:t>
      </w:r>
    </w:p>
    <w:p>
      <w:pPr>
        <w:spacing w:after="0" w:line="101" w:lineRule="exact"/>
        <w:rPr>
          <w:rFonts w:ascii="Arial" w:cs="Arial" w:eastAsia="Arial" w:hAnsi="Arial"/>
          <w:sz w:val="18"/>
          <w:szCs w:val="18"/>
          <w:color w:val="auto"/>
        </w:rPr>
      </w:pPr>
    </w:p>
    <w:p>
      <w:pPr>
        <w:ind w:left="420" w:right="520" w:hanging="412"/>
        <w:spacing w:after="0" w:line="237" w:lineRule="auto"/>
        <w:tabs>
          <w:tab w:leader="none" w:pos="42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An Allstate director’s relationship with another company that has made payments to, or received payments from, the Allstate Group for property or services in an amount which, in the last fiscal year, does not exceed the greater of $1 million or 2% of such other company’s consolidated gross revenues for such year.</w:t>
      </w:r>
    </w:p>
    <w:p>
      <w:pPr>
        <w:spacing w:after="0" w:line="101" w:lineRule="exact"/>
        <w:rPr>
          <w:rFonts w:ascii="Arial" w:cs="Arial" w:eastAsia="Arial" w:hAnsi="Arial"/>
          <w:sz w:val="18"/>
          <w:szCs w:val="18"/>
          <w:color w:val="auto"/>
        </w:rPr>
      </w:pPr>
    </w:p>
    <w:p>
      <w:pPr>
        <w:ind w:left="420" w:right="40" w:hanging="412"/>
        <w:spacing w:after="0" w:line="237" w:lineRule="auto"/>
        <w:tabs>
          <w:tab w:leader="none" w:pos="42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An Allstate director’s position as an executive officer of a tax-exempt organization to which the aggregate amount of discretionary contributions (other than employee matching contributions) made by the Allstate Group and The Allstate Foundation in any of the last three fiscal years of the tax-exempt organization were equal to or less than the greater of $1 million or 2% of such organization’s consolidated gross revenues for such year.</w:t>
      </w:r>
    </w:p>
    <w:p>
      <w:pPr>
        <w:spacing w:after="0" w:line="99" w:lineRule="exact"/>
        <w:rPr>
          <w:rFonts w:ascii="Arial" w:cs="Arial" w:eastAsia="Arial" w:hAnsi="Arial"/>
          <w:sz w:val="18"/>
          <w:szCs w:val="18"/>
          <w:color w:val="auto"/>
        </w:rPr>
      </w:pPr>
    </w:p>
    <w:p>
      <w:pPr>
        <w:ind w:left="420" w:right="300" w:hanging="412"/>
        <w:spacing w:after="0" w:line="281" w:lineRule="auto"/>
        <w:tabs>
          <w:tab w:leader="none" w:pos="420" w:val="left"/>
        </w:tabs>
        <w:numPr>
          <w:ilvl w:val="0"/>
          <w:numId w:val="257"/>
        </w:numPr>
        <w:rPr>
          <w:rFonts w:ascii="Arial" w:cs="Arial" w:eastAsia="Arial" w:hAnsi="Arial"/>
          <w:sz w:val="16"/>
          <w:szCs w:val="16"/>
          <w:color w:val="auto"/>
        </w:rPr>
      </w:pPr>
      <w:r>
        <w:rPr>
          <w:rFonts w:ascii="Arial" w:cs="Arial" w:eastAsia="Arial" w:hAnsi="Arial"/>
          <w:sz w:val="16"/>
          <w:szCs w:val="16"/>
          <w:color w:val="auto"/>
        </w:rPr>
        <w:t>An Allstate director’s relationship with another company (i) in which the Allstate Group makes investments or (ii) which invests in securities issued by the Allstate Group or securities backed by any product issued by the Allstate Group, all in the ordinary course of such entity’s investment business and on terms and under circumstances similar to those available to or from entities unaffiliated with such director.</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1120" w:type="dxa"/>
            <w:vAlign w:val="bottom"/>
          </w:tcPr>
          <w:p>
            <w:pPr>
              <w:ind w:left="9640"/>
              <w:spacing w:after="0"/>
              <w:rPr>
                <w:sz w:val="20"/>
                <w:szCs w:val="20"/>
                <w:color w:val="auto"/>
              </w:rPr>
            </w:pPr>
            <w:r>
              <w:rPr>
                <w:rFonts w:ascii="Arial" w:cs="Arial" w:eastAsia="Arial" w:hAnsi="Arial"/>
                <w:sz w:val="13"/>
                <w:szCs w:val="13"/>
                <w:color w:val="105EAB"/>
              </w:rPr>
              <w:t>2019 Proxy Statement</w:t>
            </w:r>
          </w:p>
        </w:tc>
        <w:tc>
          <w:tcPr>
            <w:tcW w:w="320" w:type="dxa"/>
            <w:vAlign w:val="bottom"/>
          </w:tcPr>
          <w:p>
            <w:pPr>
              <w:jc w:val="right"/>
              <w:spacing w:after="0"/>
              <w:rPr>
                <w:sz w:val="20"/>
                <w:szCs w:val="20"/>
                <w:color w:val="auto"/>
              </w:rPr>
            </w:pPr>
            <w:r>
              <w:rPr>
                <w:rFonts w:ascii="Arial" w:cs="Arial" w:eastAsia="Arial" w:hAnsi="Arial"/>
                <w:sz w:val="13"/>
                <w:szCs w:val="13"/>
                <w:b w:val="1"/>
                <w:bCs w:val="1"/>
                <w:color w:val="105EAB"/>
              </w:rPr>
              <w:t>99</w:t>
            </w:r>
          </w:p>
        </w:tc>
      </w:tr>
      <w:tr>
        <w:trPr>
          <w:trHeight w:val="213"/>
        </w:trPr>
        <w:tc>
          <w:tcPr>
            <w:tcW w:w="1112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-13970</wp:posOffset>
            </wp:positionV>
            <wp:extent cx="1270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b w:val="1"/>
          <w:bCs w:val="1"/>
          <w:color w:val="105EAB"/>
        </w:rPr>
        <w:t xml:space="preserve">Other Information | </w:t>
      </w:r>
      <w:r>
        <w:rPr>
          <w:rFonts w:ascii="Arial" w:cs="Arial" w:eastAsia="Arial" w:hAnsi="Arial"/>
          <w:sz w:val="13"/>
          <w:szCs w:val="13"/>
          <w:b w:val="1"/>
          <w:bCs w:val="1"/>
          <w:color w:val="000000"/>
        </w:rPr>
        <w:t>Appendix C – Executive Officers</w:t>
      </w:r>
    </w:p>
    <w:p>
      <w:pPr>
        <w:spacing w:after="0" w:line="200" w:lineRule="exact"/>
        <w:rPr>
          <w:sz w:val="20"/>
          <w:szCs w:val="20"/>
          <w:color w:val="auto"/>
        </w:rPr>
      </w:pPr>
    </w:p>
    <w:p>
      <w:pPr>
        <w:spacing w:after="0"/>
        <w:rPr>
          <w:sz w:val="20"/>
          <w:szCs w:val="20"/>
          <w:color w:val="auto"/>
        </w:rPr>
      </w:pPr>
      <w:r>
        <w:rPr>
          <w:rFonts w:ascii="Arial" w:cs="Arial" w:eastAsia="Arial" w:hAnsi="Arial"/>
          <w:sz w:val="31"/>
          <w:szCs w:val="31"/>
          <w:b w:val="1"/>
          <w:bCs w:val="1"/>
          <w:color w:val="959595"/>
        </w:rPr>
        <w:t>Appendix C – Executive Officers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lists the names and titles of our executive officers as of March 1, 2019. AIC refers to Allstate Insurance Company.</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660" w:type="dxa"/>
            <w:vAlign w:val="bottom"/>
            <w:tcBorders>
              <w:bottom w:val="single" w:sz="8" w:color="105EAB"/>
            </w:tcBorders>
          </w:tcPr>
          <w:p>
            <w:pPr>
              <w:ind w:left="80"/>
              <w:spacing w:after="0"/>
              <w:rPr>
                <w:sz w:val="20"/>
                <w:szCs w:val="20"/>
                <w:color w:val="auto"/>
              </w:rPr>
            </w:pPr>
            <w:r>
              <w:rPr>
                <w:rFonts w:ascii="Arial" w:cs="Arial" w:eastAsia="Arial" w:hAnsi="Arial"/>
                <w:sz w:val="13"/>
                <w:szCs w:val="13"/>
                <w:b w:val="1"/>
                <w:bCs w:val="1"/>
                <w:color w:val="105EAB"/>
              </w:rPr>
              <w:t>Name</w:t>
            </w:r>
          </w:p>
        </w:tc>
        <w:tc>
          <w:tcPr>
            <w:tcW w:w="9760" w:type="dxa"/>
            <w:vAlign w:val="bottom"/>
            <w:tcBorders>
              <w:bottom w:val="single" w:sz="8" w:color="105EAB"/>
            </w:tcBorders>
          </w:tcPr>
          <w:p>
            <w:pPr>
              <w:ind w:left="120"/>
              <w:spacing w:after="0"/>
              <w:rPr>
                <w:sz w:val="20"/>
                <w:szCs w:val="20"/>
                <w:color w:val="auto"/>
              </w:rPr>
            </w:pPr>
            <w:r>
              <w:rPr>
                <w:rFonts w:ascii="Arial" w:cs="Arial" w:eastAsia="Arial" w:hAnsi="Arial"/>
                <w:sz w:val="13"/>
                <w:szCs w:val="13"/>
                <w:b w:val="1"/>
                <w:bCs w:val="1"/>
                <w:color w:val="105EAB"/>
              </w:rPr>
              <w:t>Principal Positions and Offices Held</w:t>
            </w:r>
          </w:p>
        </w:tc>
      </w:tr>
      <w:tr>
        <w:trPr>
          <w:trHeight w:val="250"/>
        </w:trPr>
        <w:tc>
          <w:tcPr>
            <w:tcW w:w="1660" w:type="dxa"/>
            <w:vAlign w:val="bottom"/>
            <w:tcBorders>
              <w:bottom w:val="single" w:sz="8" w:color="DFF1FB"/>
            </w:tcBorders>
          </w:tcPr>
          <w:p>
            <w:pPr>
              <w:ind w:left="80"/>
              <w:spacing w:after="0"/>
              <w:rPr>
                <w:sz w:val="20"/>
                <w:szCs w:val="20"/>
                <w:color w:val="auto"/>
              </w:rPr>
            </w:pPr>
            <w:r>
              <w:rPr>
                <w:rFonts w:ascii="Arial" w:cs="Arial" w:eastAsia="Arial" w:hAnsi="Arial"/>
                <w:sz w:val="18"/>
                <w:szCs w:val="18"/>
                <w:color w:val="auto"/>
              </w:rPr>
              <w:t>Thomas J. Wilson</w:t>
            </w:r>
          </w:p>
        </w:tc>
        <w:tc>
          <w:tcPr>
            <w:tcW w:w="9760" w:type="dxa"/>
            <w:vAlign w:val="bottom"/>
            <w:tcBorders>
              <w:bottom w:val="single" w:sz="8" w:color="DFF1FB"/>
            </w:tcBorders>
          </w:tcPr>
          <w:p>
            <w:pPr>
              <w:ind w:left="120"/>
              <w:spacing w:after="0"/>
              <w:rPr>
                <w:sz w:val="20"/>
                <w:szCs w:val="20"/>
                <w:color w:val="auto"/>
              </w:rPr>
            </w:pPr>
            <w:r>
              <w:rPr>
                <w:rFonts w:ascii="Arial" w:cs="Arial" w:eastAsia="Arial" w:hAnsi="Arial"/>
                <w:sz w:val="18"/>
                <w:szCs w:val="18"/>
                <w:color w:val="auto"/>
              </w:rPr>
              <w:t>Chair of the Board, President, and Chief Executive Officer of The Allstate Corporation and AIC.</w:t>
            </w:r>
          </w:p>
        </w:tc>
      </w:tr>
      <w:tr>
        <w:trPr>
          <w:trHeight w:val="250"/>
        </w:trPr>
        <w:tc>
          <w:tcPr>
            <w:tcW w:w="1660" w:type="dxa"/>
            <w:vAlign w:val="bottom"/>
            <w:tcBorders>
              <w:bottom w:val="single" w:sz="8" w:color="DFF1FB"/>
            </w:tcBorders>
          </w:tcPr>
          <w:p>
            <w:pPr>
              <w:ind w:left="80"/>
              <w:spacing w:after="0"/>
              <w:rPr>
                <w:sz w:val="20"/>
                <w:szCs w:val="20"/>
                <w:color w:val="auto"/>
              </w:rPr>
            </w:pPr>
            <w:r>
              <w:rPr>
                <w:rFonts w:ascii="Arial" w:cs="Arial" w:eastAsia="Arial" w:hAnsi="Arial"/>
                <w:sz w:val="18"/>
                <w:szCs w:val="18"/>
                <w:color w:val="auto"/>
              </w:rPr>
              <w:t>Steven E. Shebik</w:t>
            </w:r>
          </w:p>
        </w:tc>
        <w:tc>
          <w:tcPr>
            <w:tcW w:w="9760" w:type="dxa"/>
            <w:vAlign w:val="bottom"/>
            <w:tcBorders>
              <w:bottom w:val="single" w:sz="8" w:color="DFF1FB"/>
            </w:tcBorders>
          </w:tcPr>
          <w:p>
            <w:pPr>
              <w:ind w:left="120"/>
              <w:spacing w:after="0"/>
              <w:rPr>
                <w:sz w:val="20"/>
                <w:szCs w:val="20"/>
                <w:color w:val="auto"/>
              </w:rPr>
            </w:pPr>
            <w:r>
              <w:rPr>
                <w:rFonts w:ascii="Arial" w:cs="Arial" w:eastAsia="Arial" w:hAnsi="Arial"/>
                <w:sz w:val="18"/>
                <w:szCs w:val="18"/>
                <w:color w:val="auto"/>
              </w:rPr>
              <w:t>Vice Chair of The Allstate Corporation and AIC.</w:t>
            </w:r>
          </w:p>
        </w:tc>
      </w:tr>
      <w:tr>
        <w:trPr>
          <w:trHeight w:val="250"/>
        </w:trPr>
        <w:tc>
          <w:tcPr>
            <w:tcW w:w="1660" w:type="dxa"/>
            <w:vAlign w:val="bottom"/>
            <w:tcBorders>
              <w:bottom w:val="single" w:sz="8" w:color="DFF1FB"/>
            </w:tcBorders>
          </w:tcPr>
          <w:p>
            <w:pPr>
              <w:ind w:left="80"/>
              <w:spacing w:after="0"/>
              <w:rPr>
                <w:sz w:val="20"/>
                <w:szCs w:val="20"/>
                <w:color w:val="auto"/>
              </w:rPr>
            </w:pPr>
            <w:r>
              <w:rPr>
                <w:rFonts w:ascii="Arial" w:cs="Arial" w:eastAsia="Arial" w:hAnsi="Arial"/>
                <w:sz w:val="18"/>
                <w:szCs w:val="18"/>
                <w:color w:val="auto"/>
              </w:rPr>
              <w:t>Elizabeth Brady</w:t>
            </w:r>
          </w:p>
        </w:tc>
        <w:tc>
          <w:tcPr>
            <w:tcW w:w="9760" w:type="dxa"/>
            <w:vAlign w:val="bottom"/>
            <w:tcBorders>
              <w:bottom w:val="single" w:sz="8" w:color="DFF1FB"/>
            </w:tcBorders>
          </w:tcPr>
          <w:p>
            <w:pPr>
              <w:ind w:left="120"/>
              <w:spacing w:after="0"/>
              <w:rPr>
                <w:sz w:val="20"/>
                <w:szCs w:val="20"/>
                <w:color w:val="auto"/>
              </w:rPr>
            </w:pPr>
            <w:r>
              <w:rPr>
                <w:rFonts w:ascii="Arial" w:cs="Arial" w:eastAsia="Arial" w:hAnsi="Arial"/>
                <w:sz w:val="18"/>
                <w:szCs w:val="18"/>
                <w:color w:val="auto"/>
              </w:rPr>
              <w:t>Executive Vice President and Chief Marketing, Innovation, and Corporate Relations Officer of AIC.</w:t>
            </w:r>
          </w:p>
        </w:tc>
      </w:tr>
      <w:tr>
        <w:trPr>
          <w:trHeight w:val="250"/>
        </w:trPr>
        <w:tc>
          <w:tcPr>
            <w:tcW w:w="1660" w:type="dxa"/>
            <w:vAlign w:val="bottom"/>
            <w:tcBorders>
              <w:bottom w:val="single" w:sz="8" w:color="DFF1FB"/>
            </w:tcBorders>
          </w:tcPr>
          <w:p>
            <w:pPr>
              <w:ind w:left="80"/>
              <w:spacing w:after="0"/>
              <w:rPr>
                <w:sz w:val="20"/>
                <w:szCs w:val="20"/>
                <w:color w:val="auto"/>
              </w:rPr>
            </w:pPr>
            <w:r>
              <w:rPr>
                <w:rFonts w:ascii="Arial" w:cs="Arial" w:eastAsia="Arial" w:hAnsi="Arial"/>
                <w:sz w:val="18"/>
                <w:szCs w:val="18"/>
                <w:color w:val="auto"/>
              </w:rPr>
              <w:t>Don Civgin</w:t>
            </w:r>
          </w:p>
        </w:tc>
        <w:tc>
          <w:tcPr>
            <w:tcW w:w="9760" w:type="dxa"/>
            <w:vAlign w:val="bottom"/>
            <w:tcBorders>
              <w:bottom w:val="single" w:sz="8" w:color="DFF1FB"/>
            </w:tcBorders>
          </w:tcPr>
          <w:p>
            <w:pPr>
              <w:ind w:left="120"/>
              <w:spacing w:after="0"/>
              <w:rPr>
                <w:sz w:val="20"/>
                <w:szCs w:val="20"/>
                <w:color w:val="auto"/>
              </w:rPr>
            </w:pPr>
            <w:r>
              <w:rPr>
                <w:rFonts w:ascii="Arial" w:cs="Arial" w:eastAsia="Arial" w:hAnsi="Arial"/>
                <w:sz w:val="18"/>
                <w:szCs w:val="18"/>
                <w:color w:val="auto"/>
              </w:rPr>
              <w:t>President, Service Businesses, of AIC.</w:t>
            </w:r>
          </w:p>
        </w:tc>
      </w:tr>
      <w:tr>
        <w:trPr>
          <w:trHeight w:val="250"/>
        </w:trPr>
        <w:tc>
          <w:tcPr>
            <w:tcW w:w="1660" w:type="dxa"/>
            <w:vAlign w:val="bottom"/>
            <w:tcBorders>
              <w:bottom w:val="single" w:sz="8" w:color="DFF1FB"/>
            </w:tcBorders>
          </w:tcPr>
          <w:p>
            <w:pPr>
              <w:ind w:left="80"/>
              <w:spacing w:after="0"/>
              <w:rPr>
                <w:sz w:val="20"/>
                <w:szCs w:val="20"/>
                <w:color w:val="auto"/>
              </w:rPr>
            </w:pPr>
            <w:r>
              <w:rPr>
                <w:rFonts w:ascii="Arial" w:cs="Arial" w:eastAsia="Arial" w:hAnsi="Arial"/>
                <w:sz w:val="18"/>
                <w:szCs w:val="18"/>
                <w:color w:val="auto"/>
              </w:rPr>
              <w:t>John E. Dugenske</w:t>
            </w:r>
          </w:p>
        </w:tc>
        <w:tc>
          <w:tcPr>
            <w:tcW w:w="9760" w:type="dxa"/>
            <w:vAlign w:val="bottom"/>
            <w:tcBorders>
              <w:bottom w:val="single" w:sz="8" w:color="DFF1FB"/>
            </w:tcBorders>
          </w:tcPr>
          <w:p>
            <w:pPr>
              <w:ind w:left="120"/>
              <w:spacing w:after="0"/>
              <w:rPr>
                <w:sz w:val="20"/>
                <w:szCs w:val="20"/>
                <w:color w:val="auto"/>
              </w:rPr>
            </w:pPr>
            <w:r>
              <w:rPr>
                <w:rFonts w:ascii="Arial" w:cs="Arial" w:eastAsia="Arial" w:hAnsi="Arial"/>
                <w:sz w:val="18"/>
                <w:szCs w:val="18"/>
                <w:color w:val="auto"/>
              </w:rPr>
              <w:t>Executive Vice President and Chief Investment and Corporate Strategy Officer of AIC.</w:t>
            </w:r>
          </w:p>
        </w:tc>
      </w:tr>
      <w:tr>
        <w:trPr>
          <w:trHeight w:val="250"/>
        </w:trPr>
        <w:tc>
          <w:tcPr>
            <w:tcW w:w="1660" w:type="dxa"/>
            <w:vAlign w:val="bottom"/>
            <w:tcBorders>
              <w:bottom w:val="single" w:sz="8" w:color="DFF1FB"/>
            </w:tcBorders>
          </w:tcPr>
          <w:p>
            <w:pPr>
              <w:ind w:left="80"/>
              <w:spacing w:after="0"/>
              <w:rPr>
                <w:sz w:val="20"/>
                <w:szCs w:val="20"/>
                <w:color w:val="auto"/>
              </w:rPr>
            </w:pPr>
            <w:r>
              <w:rPr>
                <w:rFonts w:ascii="Arial" w:cs="Arial" w:eastAsia="Arial" w:hAnsi="Arial"/>
                <w:sz w:val="18"/>
                <w:szCs w:val="18"/>
                <w:color w:val="auto"/>
              </w:rPr>
              <w:t>Eric K. Ferren</w:t>
            </w:r>
          </w:p>
        </w:tc>
        <w:tc>
          <w:tcPr>
            <w:tcW w:w="9760" w:type="dxa"/>
            <w:vAlign w:val="bottom"/>
            <w:tcBorders>
              <w:bottom w:val="single" w:sz="8" w:color="DFF1FB"/>
            </w:tcBorders>
          </w:tcPr>
          <w:p>
            <w:pPr>
              <w:ind w:left="120"/>
              <w:spacing w:after="0"/>
              <w:rPr>
                <w:sz w:val="20"/>
                <w:szCs w:val="20"/>
                <w:color w:val="auto"/>
              </w:rPr>
            </w:pPr>
            <w:r>
              <w:rPr>
                <w:rFonts w:ascii="Arial" w:cs="Arial" w:eastAsia="Arial" w:hAnsi="Arial"/>
                <w:sz w:val="18"/>
                <w:szCs w:val="18"/>
                <w:color w:val="auto"/>
              </w:rPr>
              <w:t>Senior Vice President, Controller, and Chief Accounting Officer of The Allstate Corporation and AIC.</w:t>
            </w:r>
          </w:p>
        </w:tc>
      </w:tr>
      <w:tr>
        <w:trPr>
          <w:trHeight w:val="250"/>
        </w:trPr>
        <w:tc>
          <w:tcPr>
            <w:tcW w:w="1660" w:type="dxa"/>
            <w:vAlign w:val="bottom"/>
            <w:tcBorders>
              <w:bottom w:val="single" w:sz="8" w:color="DFF1FB"/>
            </w:tcBorders>
          </w:tcPr>
          <w:p>
            <w:pPr>
              <w:ind w:left="80"/>
              <w:spacing w:after="0"/>
              <w:rPr>
                <w:sz w:val="20"/>
                <w:szCs w:val="20"/>
                <w:color w:val="auto"/>
              </w:rPr>
            </w:pPr>
            <w:r>
              <w:rPr>
                <w:rFonts w:ascii="Arial" w:cs="Arial" w:eastAsia="Arial" w:hAnsi="Arial"/>
                <w:sz w:val="18"/>
                <w:szCs w:val="18"/>
                <w:color w:val="auto"/>
              </w:rPr>
              <w:t>Mary Jane Fortin</w:t>
            </w:r>
          </w:p>
        </w:tc>
        <w:tc>
          <w:tcPr>
            <w:tcW w:w="9760" w:type="dxa"/>
            <w:vAlign w:val="bottom"/>
            <w:tcBorders>
              <w:bottom w:val="single" w:sz="8" w:color="DFF1FB"/>
            </w:tcBorders>
          </w:tcPr>
          <w:p>
            <w:pPr>
              <w:ind w:left="120"/>
              <w:spacing w:after="0"/>
              <w:rPr>
                <w:sz w:val="20"/>
                <w:szCs w:val="20"/>
                <w:color w:val="auto"/>
              </w:rPr>
            </w:pPr>
            <w:r>
              <w:rPr>
                <w:rFonts w:ascii="Arial" w:cs="Arial" w:eastAsia="Arial" w:hAnsi="Arial"/>
                <w:sz w:val="18"/>
                <w:szCs w:val="18"/>
                <w:color w:val="auto"/>
              </w:rPr>
              <w:t>President, Allstate Financial Businesses, of AIC.</w:t>
            </w:r>
          </w:p>
        </w:tc>
      </w:tr>
      <w:tr>
        <w:trPr>
          <w:trHeight w:val="250"/>
        </w:trPr>
        <w:tc>
          <w:tcPr>
            <w:tcW w:w="1660" w:type="dxa"/>
            <w:vAlign w:val="bottom"/>
            <w:tcBorders>
              <w:bottom w:val="single" w:sz="8" w:color="DFF1FB"/>
            </w:tcBorders>
          </w:tcPr>
          <w:p>
            <w:pPr>
              <w:ind w:left="80"/>
              <w:spacing w:after="0"/>
              <w:rPr>
                <w:sz w:val="20"/>
                <w:szCs w:val="20"/>
                <w:color w:val="auto"/>
              </w:rPr>
            </w:pPr>
            <w:r>
              <w:rPr>
                <w:rFonts w:ascii="Arial" w:cs="Arial" w:eastAsia="Arial" w:hAnsi="Arial"/>
                <w:sz w:val="18"/>
                <w:szCs w:val="18"/>
                <w:color w:val="auto"/>
              </w:rPr>
              <w:t>Suren Gupta</w:t>
            </w:r>
          </w:p>
        </w:tc>
        <w:tc>
          <w:tcPr>
            <w:tcW w:w="9760" w:type="dxa"/>
            <w:vAlign w:val="bottom"/>
            <w:tcBorders>
              <w:bottom w:val="single" w:sz="8" w:color="DFF1FB"/>
            </w:tcBorders>
          </w:tcPr>
          <w:p>
            <w:pPr>
              <w:ind w:left="120"/>
              <w:spacing w:after="0"/>
              <w:rPr>
                <w:sz w:val="20"/>
                <w:szCs w:val="20"/>
                <w:color w:val="auto"/>
              </w:rPr>
            </w:pPr>
            <w:r>
              <w:rPr>
                <w:rFonts w:ascii="Arial" w:cs="Arial" w:eastAsia="Arial" w:hAnsi="Arial"/>
                <w:sz w:val="18"/>
                <w:szCs w:val="18"/>
                <w:color w:val="auto"/>
              </w:rPr>
              <w:t>Executive Vice President, Enterprise Technology and Strategic Ventures, of AIC.</w:t>
            </w:r>
          </w:p>
        </w:tc>
      </w:tr>
      <w:tr>
        <w:trPr>
          <w:trHeight w:val="250"/>
        </w:trPr>
        <w:tc>
          <w:tcPr>
            <w:tcW w:w="1660" w:type="dxa"/>
            <w:vAlign w:val="bottom"/>
            <w:tcBorders>
              <w:bottom w:val="single" w:sz="8" w:color="DFF1FB"/>
            </w:tcBorders>
          </w:tcPr>
          <w:p>
            <w:pPr>
              <w:ind w:left="80"/>
              <w:spacing w:after="0"/>
              <w:rPr>
                <w:sz w:val="20"/>
                <w:szCs w:val="20"/>
                <w:color w:val="auto"/>
              </w:rPr>
            </w:pPr>
            <w:r>
              <w:rPr>
                <w:rFonts w:ascii="Arial" w:cs="Arial" w:eastAsia="Arial" w:hAnsi="Arial"/>
                <w:sz w:val="18"/>
                <w:szCs w:val="18"/>
                <w:color w:val="auto"/>
              </w:rPr>
              <w:t>Susan L. Lees</w:t>
            </w:r>
          </w:p>
        </w:tc>
        <w:tc>
          <w:tcPr>
            <w:tcW w:w="9760" w:type="dxa"/>
            <w:vAlign w:val="bottom"/>
            <w:tcBorders>
              <w:bottom w:val="single" w:sz="8" w:color="DFF1FB"/>
            </w:tcBorders>
          </w:tcPr>
          <w:p>
            <w:pPr>
              <w:ind w:left="120"/>
              <w:spacing w:after="0"/>
              <w:rPr>
                <w:sz w:val="20"/>
                <w:szCs w:val="20"/>
                <w:color w:val="auto"/>
              </w:rPr>
            </w:pPr>
            <w:r>
              <w:rPr>
                <w:rFonts w:ascii="Arial" w:cs="Arial" w:eastAsia="Arial" w:hAnsi="Arial"/>
                <w:sz w:val="18"/>
                <w:szCs w:val="18"/>
                <w:color w:val="auto"/>
              </w:rPr>
              <w:t>Executive Vice President, General Counsel, and Secretary of The Allstate Corporation and AIC (Chief Legal Officer).</w:t>
            </w:r>
          </w:p>
        </w:tc>
      </w:tr>
      <w:tr>
        <w:trPr>
          <w:trHeight w:val="250"/>
        </w:trPr>
        <w:tc>
          <w:tcPr>
            <w:tcW w:w="1660" w:type="dxa"/>
            <w:vAlign w:val="bottom"/>
            <w:tcBorders>
              <w:bottom w:val="single" w:sz="8" w:color="DFF1FB"/>
            </w:tcBorders>
          </w:tcPr>
          <w:p>
            <w:pPr>
              <w:ind w:left="80"/>
              <w:spacing w:after="0"/>
              <w:rPr>
                <w:sz w:val="20"/>
                <w:szCs w:val="20"/>
                <w:color w:val="auto"/>
              </w:rPr>
            </w:pPr>
            <w:r>
              <w:rPr>
                <w:rFonts w:ascii="Arial" w:cs="Arial" w:eastAsia="Arial" w:hAnsi="Arial"/>
                <w:sz w:val="18"/>
                <w:szCs w:val="18"/>
                <w:color w:val="auto"/>
              </w:rPr>
              <w:t>Jesse E. Merten</w:t>
            </w:r>
          </w:p>
        </w:tc>
        <w:tc>
          <w:tcPr>
            <w:tcW w:w="9760" w:type="dxa"/>
            <w:vAlign w:val="bottom"/>
            <w:tcBorders>
              <w:bottom w:val="single" w:sz="8" w:color="DFF1FB"/>
            </w:tcBorders>
          </w:tcPr>
          <w:p>
            <w:pPr>
              <w:ind w:left="120"/>
              <w:spacing w:after="0"/>
              <w:rPr>
                <w:sz w:val="20"/>
                <w:szCs w:val="20"/>
                <w:color w:val="auto"/>
              </w:rPr>
            </w:pPr>
            <w:r>
              <w:rPr>
                <w:rFonts w:ascii="Arial" w:cs="Arial" w:eastAsia="Arial" w:hAnsi="Arial"/>
                <w:sz w:val="18"/>
                <w:szCs w:val="18"/>
                <w:color w:val="auto"/>
              </w:rPr>
              <w:t>Treasurer of The Allstate Corporation and Executive Vice President, Chief Risk Officer and Treasurer of AIC.</w:t>
            </w:r>
          </w:p>
        </w:tc>
      </w:tr>
      <w:tr>
        <w:trPr>
          <w:trHeight w:val="250"/>
        </w:trPr>
        <w:tc>
          <w:tcPr>
            <w:tcW w:w="1660" w:type="dxa"/>
            <w:vAlign w:val="bottom"/>
            <w:tcBorders>
              <w:bottom w:val="single" w:sz="8" w:color="DFF1FB"/>
            </w:tcBorders>
          </w:tcPr>
          <w:p>
            <w:pPr>
              <w:ind w:left="80"/>
              <w:spacing w:after="0"/>
              <w:rPr>
                <w:sz w:val="20"/>
                <w:szCs w:val="20"/>
                <w:color w:val="auto"/>
              </w:rPr>
            </w:pPr>
            <w:r>
              <w:rPr>
                <w:rFonts w:ascii="Arial" w:cs="Arial" w:eastAsia="Arial" w:hAnsi="Arial"/>
                <w:sz w:val="18"/>
                <w:szCs w:val="18"/>
                <w:color w:val="auto"/>
              </w:rPr>
              <w:t>Mario Rizzo</w:t>
            </w:r>
          </w:p>
        </w:tc>
        <w:tc>
          <w:tcPr>
            <w:tcW w:w="9760" w:type="dxa"/>
            <w:vAlign w:val="bottom"/>
            <w:tcBorders>
              <w:bottom w:val="single" w:sz="8" w:color="DFF1FB"/>
            </w:tcBorders>
          </w:tcPr>
          <w:p>
            <w:pPr>
              <w:ind w:left="120"/>
              <w:spacing w:after="0"/>
              <w:rPr>
                <w:sz w:val="20"/>
                <w:szCs w:val="20"/>
                <w:color w:val="auto"/>
              </w:rPr>
            </w:pPr>
            <w:r>
              <w:rPr>
                <w:rFonts w:ascii="Arial" w:cs="Arial" w:eastAsia="Arial" w:hAnsi="Arial"/>
                <w:sz w:val="18"/>
                <w:szCs w:val="18"/>
                <w:color w:val="auto"/>
              </w:rPr>
              <w:t>Executive Vice President and Chief Financial Officer of The Allstate Corporation and AIC.</w:t>
            </w:r>
          </w:p>
        </w:tc>
      </w:tr>
      <w:tr>
        <w:trPr>
          <w:trHeight w:val="263"/>
        </w:trPr>
        <w:tc>
          <w:tcPr>
            <w:tcW w:w="1660" w:type="dxa"/>
            <w:vAlign w:val="bottom"/>
            <w:tcBorders>
              <w:bottom w:val="single" w:sz="8" w:color="105EAB"/>
            </w:tcBorders>
          </w:tcPr>
          <w:p>
            <w:pPr>
              <w:ind w:left="80"/>
              <w:spacing w:after="0"/>
              <w:rPr>
                <w:sz w:val="20"/>
                <w:szCs w:val="20"/>
                <w:color w:val="auto"/>
              </w:rPr>
            </w:pPr>
            <w:r>
              <w:rPr>
                <w:rFonts w:ascii="Arial" w:cs="Arial" w:eastAsia="Arial" w:hAnsi="Arial"/>
                <w:sz w:val="18"/>
                <w:szCs w:val="18"/>
                <w:color w:val="auto"/>
              </w:rPr>
              <w:t>Glenn T. Shapiro</w:t>
            </w:r>
          </w:p>
        </w:tc>
        <w:tc>
          <w:tcPr>
            <w:tcW w:w="9760" w:type="dxa"/>
            <w:vAlign w:val="bottom"/>
            <w:tcBorders>
              <w:bottom w:val="single" w:sz="8" w:color="105EAB"/>
            </w:tcBorders>
          </w:tcPr>
          <w:p>
            <w:pPr>
              <w:ind w:left="120"/>
              <w:spacing w:after="0"/>
              <w:rPr>
                <w:sz w:val="20"/>
                <w:szCs w:val="20"/>
                <w:color w:val="auto"/>
              </w:rPr>
            </w:pPr>
            <w:r>
              <w:rPr>
                <w:rFonts w:ascii="Arial" w:cs="Arial" w:eastAsia="Arial" w:hAnsi="Arial"/>
                <w:sz w:val="18"/>
                <w:szCs w:val="18"/>
                <w:color w:val="auto"/>
              </w:rPr>
              <w:t>President, Allstate Personal Lines, of AIC.</w:t>
            </w:r>
          </w:p>
        </w:tc>
      </w:tr>
    </w:tbl>
    <w:p>
      <w:pPr>
        <w:spacing w:after="0" w:line="215" w:lineRule="exact"/>
        <w:rPr>
          <w:sz w:val="20"/>
          <w:szCs w:val="20"/>
          <w:color w:val="auto"/>
        </w:rPr>
      </w:pPr>
    </w:p>
    <w:p>
      <w:pPr>
        <w:ind w:left="460" w:hanging="452"/>
        <w:spacing w:after="0"/>
        <w:tabs>
          <w:tab w:leader="none" w:pos="460" w:val="left"/>
        </w:tabs>
        <w:numPr>
          <w:ilvl w:val="0"/>
          <w:numId w:val="258"/>
        </w:numPr>
        <w:rPr>
          <w:rFonts w:ascii="Arial" w:cs="Arial" w:eastAsia="Arial" w:hAnsi="Arial"/>
          <w:sz w:val="13"/>
          <w:szCs w:val="13"/>
          <w:b w:val="1"/>
          <w:bCs w:val="1"/>
          <w:color w:val="105EAB"/>
        </w:rPr>
      </w:pPr>
      <w:r>
        <w:rPr>
          <w:rFonts w:ascii="Arial" w:cs="Arial" w:eastAsia="Arial" w:hAnsi="Arial"/>
          <w:sz w:val="13"/>
          <w:szCs w:val="13"/>
          <w:color w:val="105EAB"/>
        </w:rPr>
        <w:t>www.allstateproxy.com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134620</wp:posOffset>
            </wp:positionV>
            <wp:extent cx="7268210" cy="209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 xml:space="preserve">Appendix D – 2019 Equity Incentive Plan </w:t>
      </w:r>
      <w:r>
        <w:rPr>
          <w:rFonts w:ascii="Arial" w:cs="Arial" w:eastAsia="Arial" w:hAnsi="Arial"/>
          <w:sz w:val="13"/>
          <w:szCs w:val="13"/>
          <w:b w:val="1"/>
          <w:bCs w:val="1"/>
          <w:color w:val="105EAB"/>
        </w:rPr>
        <w:t>| Other Information</w:t>
      </w:r>
    </w:p>
    <w:p>
      <w:pPr>
        <w:spacing w:after="0" w:line="200" w:lineRule="exact"/>
        <w:rPr>
          <w:sz w:val="20"/>
          <w:szCs w:val="20"/>
          <w:color w:val="auto"/>
        </w:rPr>
      </w:pPr>
    </w:p>
    <w:p>
      <w:pPr>
        <w:spacing w:after="0"/>
        <w:rPr>
          <w:sz w:val="20"/>
          <w:szCs w:val="20"/>
          <w:color w:val="auto"/>
        </w:rPr>
      </w:pPr>
      <w:r>
        <w:rPr>
          <w:rFonts w:ascii="Arial" w:cs="Arial" w:eastAsia="Arial" w:hAnsi="Arial"/>
          <w:sz w:val="31"/>
          <w:szCs w:val="31"/>
          <w:b w:val="1"/>
          <w:bCs w:val="1"/>
          <w:color w:val="959595"/>
        </w:rPr>
        <w:t>Appendix D – 2019 Equity Incentive Plan</w:t>
      </w:r>
    </w:p>
    <w:p>
      <w:pPr>
        <w:spacing w:after="0" w:line="236"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THE ALLSTATE CORPORATION</w:t>
      </w:r>
    </w:p>
    <w:p>
      <w:pPr>
        <w:spacing w:after="0" w:line="17"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2019 EQUITY INCENTIVE PLAN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 Establishment, Purpose and Duration</w:t>
      </w:r>
    </w:p>
    <w:p>
      <w:pPr>
        <w:spacing w:after="0" w:line="21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i w:val="1"/>
          <w:iCs w:val="1"/>
          <w:color w:val="auto"/>
        </w:rPr>
        <w:t>Establishment of the Plan</w:t>
      </w:r>
      <w:r>
        <w:rPr>
          <w:rFonts w:ascii="Arial" w:cs="Arial" w:eastAsia="Arial" w:hAnsi="Arial"/>
          <w:sz w:val="16"/>
          <w:szCs w:val="16"/>
          <w:color w:val="auto"/>
        </w:rPr>
        <w:t>. The Allstate Corporation, a Delaware corporation (hereinafter, together with any successor as provided in Article</w:t>
      </w:r>
    </w:p>
    <w:p>
      <w:pPr>
        <w:spacing w:after="0" w:line="36"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18 herein, referred to as the “Company”), hereby establishes an incentive compensation plan for employees, as set forth in this document. The Plan permits the grant of nonqualified stock options (NQSOs), incentive stock options (ISOs), stock appreciation rights (SARs), unrestricted stock, restricted stock, restricted stock units, performance units, performance stock, and other awards as set forth herein.</w:t>
      </w:r>
    </w:p>
    <w:p>
      <w:pPr>
        <w:spacing w:after="0" w:line="210" w:lineRule="exact"/>
        <w:rPr>
          <w:sz w:val="20"/>
          <w:szCs w:val="20"/>
          <w:color w:val="auto"/>
        </w:rPr>
      </w:pPr>
    </w:p>
    <w:p>
      <w:pPr>
        <w:ind w:right="20" w:firstLine="270"/>
        <w:spacing w:after="0" w:line="235" w:lineRule="auto"/>
        <w:rPr>
          <w:sz w:val="20"/>
          <w:szCs w:val="20"/>
          <w:color w:val="auto"/>
        </w:rPr>
      </w:pPr>
      <w:r>
        <w:rPr>
          <w:rFonts w:ascii="Arial" w:cs="Arial" w:eastAsia="Arial" w:hAnsi="Arial"/>
          <w:sz w:val="18"/>
          <w:szCs w:val="18"/>
          <w:color w:val="auto"/>
        </w:rPr>
        <w:t>The Plan was formerly known as “The Allstate Corporation 2001 Equity Incentive Plan.” The Plan was approved by the Board of Directors on March 13, 2001, and became effective when approved by the Company’s stockholders on May 15, 2001 (the “Effective Date”). The Plan was amended by the Board of Directors on March 9, 2004. On March 14, 2006 the Plan was amended and restated effective upon approval by stockholders at the 2006 Annual Meeting of Stockholders on May 16, 2006. The Plan was further amended and restated by the Board of Directors at meetings held on September 10, 2006, February 20, 2007, and September 15, 2008. On March 10, 2009, the Plan was amended, restated, and renamed as “The Allstate Corporation 2009 Equity Incentive Plan,” effective upon approval by stockholders at the 2009 Annual Meeting of Stockholders on May 19, 2009. The Plan was further amended and restated on February 22, 2011, and February 21, 2012. On February 18, 2013, the Plan was amended, restated, and renamed The Allstate Corporation 2013 Equity Incentive Plan and was effective upon approval by stockholders at the Company’s 2013 annual stockholders meeting. The Plan was further amended and restated on February 19, 2014, and July 24, 2018. On February 8, 2019, the Plan was amended and restated as set forth herein, and renamed The Allstate Corporation 2019 Equity Incentive Plan and was effective upon approval by stockholders at the Company’s 2019 Annual Meeting of Stockholders and shall thereafter remain in effect as provided in Section 1.3 herein. The provisions of The Allstate Corporation 2019 Equity Incentive Plan apply to Awards granted on or after the date of the Company’s 2019 Annual Meeting of Stockholders. Provisions in effect prior to the Company’s 2019 Annual Meeting of Stockholders apply to Awards granted before that date. For the avoidance of doubt, this February 8, 2019 amendment and restatement shall not affect the terms or conditions of any Performance-Based Compensation or other Awards that were in effect on November 2, 2017, and such Awards shall not be deemed to be modified in any way as a result of this February 8, 2019 amendment and restatement.</w:t>
      </w:r>
    </w:p>
    <w:p>
      <w:pPr>
        <w:spacing w:after="0" w:line="193" w:lineRule="exact"/>
        <w:rPr>
          <w:sz w:val="20"/>
          <w:szCs w:val="20"/>
          <w:color w:val="auto"/>
        </w:rPr>
      </w:pPr>
    </w:p>
    <w:p>
      <w:pPr>
        <w:ind w:firstLine="270"/>
        <w:spacing w:after="0"/>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i w:val="1"/>
          <w:iCs w:val="1"/>
          <w:color w:val="auto"/>
        </w:rPr>
        <w:t>Purpose of the Plan</w:t>
      </w:r>
      <w:r>
        <w:rPr>
          <w:rFonts w:ascii="Arial" w:cs="Arial" w:eastAsia="Arial" w:hAnsi="Arial"/>
          <w:sz w:val="18"/>
          <w:szCs w:val="18"/>
          <w:color w:val="auto"/>
        </w:rPr>
        <w:t xml:space="preserve"> . The primary purpose of the Plan is to provide a means by which employees of the Company and its Subsidiaries can acquire and maintain stock ownership, thereby strengthening their commitment to the success of the Company and its Subsidiaries and their desire to remain employed by the Company and its Subsidiaries. The Plan also is intended to attract and retain employees and to provide such employees with additional incentive and reward opportunities designed to encourage them to enhance the profitable growth of the Company and its Subsidiaries.</w:t>
      </w:r>
    </w:p>
    <w:p>
      <w:pPr>
        <w:spacing w:after="0" w:line="193" w:lineRule="exact"/>
        <w:rPr>
          <w:sz w:val="20"/>
          <w:szCs w:val="20"/>
          <w:color w:val="auto"/>
        </w:rPr>
      </w:pPr>
    </w:p>
    <w:p>
      <w:pPr>
        <w:ind w:right="320" w:firstLine="270"/>
        <w:spacing w:after="0" w:line="247"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i w:val="1"/>
          <w:iCs w:val="1"/>
          <w:color w:val="auto"/>
        </w:rPr>
        <w:t>Duration of the Plan</w:t>
      </w:r>
      <w:r>
        <w:rPr>
          <w:rFonts w:ascii="Arial" w:cs="Arial" w:eastAsia="Arial" w:hAnsi="Arial"/>
          <w:sz w:val="18"/>
          <w:szCs w:val="18"/>
          <w:color w:val="auto"/>
        </w:rPr>
        <w:t>. The Plan was initially effective on the Effective Date, as described in Section 1.1 herein, and shall remain in effect subject to the right of the Board of Directors to terminate the Plan at any time pursuant to Article 15 herein, until all Stock subject to it shall have been purchased or acquired according to the Plan’s provisions.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 Definitions</w:t>
      </w:r>
    </w:p>
    <w:p>
      <w:pPr>
        <w:spacing w:after="0" w:line="233" w:lineRule="exact"/>
        <w:rPr>
          <w:sz w:val="20"/>
          <w:szCs w:val="20"/>
          <w:color w:val="auto"/>
        </w:rPr>
      </w:pPr>
    </w:p>
    <w:p>
      <w:pPr>
        <w:ind w:right="40" w:firstLine="270"/>
        <w:spacing w:after="0" w:line="239" w:lineRule="auto"/>
        <w:rPr>
          <w:sz w:val="20"/>
          <w:szCs w:val="20"/>
          <w:color w:val="auto"/>
        </w:rPr>
      </w:pPr>
      <w:r>
        <w:rPr>
          <w:rFonts w:ascii="Arial" w:cs="Arial" w:eastAsia="Arial" w:hAnsi="Arial"/>
          <w:sz w:val="18"/>
          <w:szCs w:val="18"/>
          <w:color w:val="auto"/>
        </w:rPr>
        <w:t>Whenever used in the Plan, the following terms shall have the meanings set forth below and, when such meaning is intended, the initial letter of the word is capitalized:</w:t>
      </w:r>
    </w:p>
    <w:p>
      <w:pPr>
        <w:spacing w:after="0" w:line="190" w:lineRule="exact"/>
        <w:rPr>
          <w:sz w:val="20"/>
          <w:szCs w:val="20"/>
          <w:color w:val="auto"/>
        </w:rPr>
      </w:pPr>
    </w:p>
    <w:p>
      <w:pPr>
        <w:ind w:right="60" w:firstLine="270"/>
        <w:spacing w:after="0" w:line="259"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i w:val="1"/>
          <w:iCs w:val="1"/>
          <w:color w:val="auto"/>
        </w:rPr>
        <w:t>Award</w:t>
      </w:r>
      <w:r>
        <w:rPr>
          <w:rFonts w:ascii="Arial" w:cs="Arial" w:eastAsia="Arial" w:hAnsi="Arial"/>
          <w:sz w:val="18"/>
          <w:szCs w:val="18"/>
          <w:color w:val="auto"/>
        </w:rPr>
        <w:t xml:space="preserve"> means, individually or collectively, an award under the Plan of NQSOs, ISOs, SARs, Unrestricted Stock, Restricted Stock, Restricted Stock Units, Performance Units, Performance Stock, or any other type of award permitted under Article 10 of the Plan.</w:t>
      </w:r>
    </w:p>
    <w:p>
      <w:pPr>
        <w:spacing w:after="0" w:line="174" w:lineRule="exact"/>
        <w:rPr>
          <w:sz w:val="20"/>
          <w:szCs w:val="20"/>
          <w:color w:val="auto"/>
        </w:rPr>
      </w:pPr>
    </w:p>
    <w:p>
      <w:pPr>
        <w:ind w:right="340" w:firstLine="270"/>
        <w:spacing w:after="0" w:line="259"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i w:val="1"/>
          <w:iCs w:val="1"/>
          <w:color w:val="auto"/>
        </w:rPr>
        <w:t>Award Agreement</w:t>
      </w:r>
      <w:r>
        <w:rPr>
          <w:rFonts w:ascii="Arial" w:cs="Arial" w:eastAsia="Arial" w:hAnsi="Arial"/>
          <w:sz w:val="18"/>
          <w:szCs w:val="18"/>
          <w:color w:val="auto"/>
        </w:rPr>
        <w:t xml:space="preserve"> means an agreement setting forth the terms and provisions applicable to an Award granted to a Participant under the Plan.</w:t>
      </w:r>
    </w:p>
    <w:p>
      <w:pPr>
        <w:spacing w:after="0" w:line="172" w:lineRule="exact"/>
        <w:rPr>
          <w:sz w:val="20"/>
          <w:szCs w:val="20"/>
          <w:color w:val="auto"/>
        </w:rPr>
      </w:pPr>
    </w:p>
    <w:p>
      <w:pPr>
        <w:ind w:left="9640"/>
        <w:spacing w:after="0"/>
        <w:tabs>
          <w:tab w:leader="none" w:pos="11180" w:val="left"/>
        </w:tabs>
        <w:rPr>
          <w:sz w:val="20"/>
          <w:szCs w:val="20"/>
          <w:color w:val="auto"/>
        </w:rPr>
      </w:pPr>
      <w:r>
        <w:rPr>
          <w:rFonts w:ascii="Arial" w:cs="Arial" w:eastAsia="Arial" w:hAnsi="Arial"/>
          <w:sz w:val="13"/>
          <w:szCs w:val="13"/>
          <w:color w:val="105EAB"/>
        </w:rPr>
        <w:t>2019 Proxy Statement</w:t>
      </w:r>
      <w:r>
        <w:rPr>
          <w:sz w:val="20"/>
          <w:szCs w:val="20"/>
          <w:color w:val="auto"/>
        </w:rPr>
        <w:tab/>
      </w:r>
      <w:r>
        <w:rPr>
          <w:rFonts w:ascii="Arial" w:cs="Arial" w:eastAsia="Arial" w:hAnsi="Arial"/>
          <w:sz w:val="13"/>
          <w:szCs w:val="13"/>
          <w:b w:val="1"/>
          <w:bCs w:val="1"/>
          <w:color w:val="105EAB"/>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68210" cy="209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b w:val="1"/>
          <w:bCs w:val="1"/>
          <w:color w:val="105EAB"/>
        </w:rPr>
        <w:t xml:space="preserve">Other Information | </w:t>
      </w:r>
      <w:r>
        <w:rPr>
          <w:rFonts w:ascii="Arial" w:cs="Arial" w:eastAsia="Arial" w:hAnsi="Arial"/>
          <w:sz w:val="13"/>
          <w:szCs w:val="13"/>
          <w:b w:val="1"/>
          <w:bCs w:val="1"/>
          <w:color w:val="000000"/>
        </w:rPr>
        <w:t>Appendix D – 2019 Equity Incentive Plan</w:t>
      </w:r>
    </w:p>
    <w:p>
      <w:pPr>
        <w:spacing w:after="0" w:line="21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i w:val="1"/>
          <w:iCs w:val="1"/>
          <w:color w:val="auto"/>
        </w:rPr>
        <w:t>Base Value</w:t>
      </w:r>
      <w:r>
        <w:rPr>
          <w:rFonts w:ascii="Arial" w:cs="Arial" w:eastAsia="Arial" w:hAnsi="Arial"/>
          <w:sz w:val="18"/>
          <w:szCs w:val="18"/>
          <w:color w:val="auto"/>
        </w:rPr>
        <w:t xml:space="preserve"> of an SAR means the Fair Market Value of a share of Stock on the date the SAR is granted.</w:t>
      </w:r>
    </w:p>
    <w:p>
      <w:pPr>
        <w:spacing w:after="0" w:line="21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i w:val="1"/>
          <w:iCs w:val="1"/>
          <w:color w:val="auto"/>
        </w:rPr>
        <w:t>Beneficiary</w:t>
      </w:r>
      <w:r>
        <w:rPr>
          <w:rFonts w:ascii="Arial" w:cs="Arial" w:eastAsia="Arial" w:hAnsi="Arial"/>
          <w:sz w:val="18"/>
          <w:szCs w:val="18"/>
          <w:color w:val="auto"/>
        </w:rPr>
        <w:t xml:space="preserve"> means a person or entity designated as a beneficiary in accordance with Section 6.6 or other applicable Section of the Plan.</w:t>
      </w:r>
    </w:p>
    <w:p>
      <w:pPr>
        <w:spacing w:after="0" w:line="211" w:lineRule="exact"/>
        <w:rPr>
          <w:sz w:val="20"/>
          <w:szCs w:val="20"/>
          <w:color w:val="auto"/>
        </w:rPr>
      </w:pPr>
    </w:p>
    <w:p>
      <w:pPr>
        <w:ind w:right="460" w:firstLine="270"/>
        <w:spacing w:after="0" w:line="259"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i w:val="1"/>
          <w:iCs w:val="1"/>
          <w:color w:val="auto"/>
        </w:rPr>
        <w:t>Beneficiary Designation Form</w:t>
      </w:r>
      <w:r>
        <w:rPr>
          <w:rFonts w:ascii="Arial" w:cs="Arial" w:eastAsia="Arial" w:hAnsi="Arial"/>
          <w:sz w:val="18"/>
          <w:szCs w:val="18"/>
          <w:color w:val="auto"/>
        </w:rPr>
        <w:t xml:space="preserve"> means a form provided by the Company for the purpose of designating a beneficiary in accordance with Section 6.6 or other applicable Section of the Plan.</w:t>
      </w:r>
    </w:p>
    <w:p>
      <w:pPr>
        <w:spacing w:after="0" w:line="17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i w:val="1"/>
          <w:iCs w:val="1"/>
          <w:color w:val="auto"/>
        </w:rPr>
        <w:t>Board</w:t>
      </w:r>
      <w:r>
        <w:rPr>
          <w:rFonts w:ascii="Arial" w:cs="Arial" w:eastAsia="Arial" w:hAnsi="Arial"/>
          <w:sz w:val="18"/>
          <w:szCs w:val="18"/>
          <w:color w:val="auto"/>
        </w:rPr>
        <w:t xml:space="preserve"> or </w:t>
      </w:r>
      <w:r>
        <w:rPr>
          <w:rFonts w:ascii="Arial" w:cs="Arial" w:eastAsia="Arial" w:hAnsi="Arial"/>
          <w:sz w:val="18"/>
          <w:szCs w:val="18"/>
          <w:i w:val="1"/>
          <w:iCs w:val="1"/>
          <w:color w:val="auto"/>
        </w:rPr>
        <w:t>Board of Directors</w:t>
      </w:r>
      <w:r>
        <w:rPr>
          <w:rFonts w:ascii="Arial" w:cs="Arial" w:eastAsia="Arial" w:hAnsi="Arial"/>
          <w:sz w:val="18"/>
          <w:szCs w:val="18"/>
          <w:color w:val="auto"/>
        </w:rPr>
        <w:t xml:space="preserve"> means the Board of Directors of the Company.</w:t>
      </w:r>
    </w:p>
    <w:p>
      <w:pPr>
        <w:spacing w:after="0" w:line="211" w:lineRule="exact"/>
        <w:rPr>
          <w:sz w:val="20"/>
          <w:szCs w:val="20"/>
          <w:color w:val="auto"/>
        </w:rPr>
      </w:pPr>
    </w:p>
    <w:p>
      <w:pPr>
        <w:ind w:right="340" w:firstLine="270"/>
        <w:spacing w:after="0" w:line="259" w:lineRule="auto"/>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i w:val="1"/>
          <w:iCs w:val="1"/>
          <w:color w:val="auto"/>
        </w:rPr>
        <w:t>Business Day</w:t>
      </w:r>
      <w:r>
        <w:rPr>
          <w:rFonts w:ascii="Arial" w:cs="Arial" w:eastAsia="Arial" w:hAnsi="Arial"/>
          <w:sz w:val="18"/>
          <w:szCs w:val="18"/>
          <w:color w:val="auto"/>
        </w:rPr>
        <w:t xml:space="preserve"> means any day on which the principal securities exchange on which the shares of the Company’s Stock are then listed or admitted to trading is open.</w:t>
      </w:r>
    </w:p>
    <w:p>
      <w:pPr>
        <w:spacing w:after="0" w:line="17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i w:val="1"/>
          <w:iCs w:val="1"/>
          <w:color w:val="auto"/>
        </w:rPr>
        <w:t>Change in Control</w:t>
      </w:r>
      <w:r>
        <w:rPr>
          <w:rFonts w:ascii="Arial" w:cs="Arial" w:eastAsia="Arial" w:hAnsi="Arial"/>
          <w:sz w:val="18"/>
          <w:szCs w:val="18"/>
          <w:color w:val="auto"/>
        </w:rPr>
        <w:t xml:space="preserve"> means the occurrence of any one or more of the following:</w:t>
      </w:r>
    </w:p>
    <w:p>
      <w:pPr>
        <w:spacing w:after="0" w:line="211" w:lineRule="exact"/>
        <w:rPr>
          <w:sz w:val="20"/>
          <w:szCs w:val="20"/>
          <w:color w:val="auto"/>
        </w:rPr>
      </w:pPr>
    </w:p>
    <w:p>
      <w:pPr>
        <w:ind w:firstLine="547"/>
        <w:spacing w:after="0" w:line="270" w:lineRule="auto"/>
        <w:tabs>
          <w:tab w:leader="none" w:pos="803" w:val="left"/>
        </w:tabs>
        <w:numPr>
          <w:ilvl w:val="0"/>
          <w:numId w:val="25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Voting Power)</w:t>
      </w:r>
      <w:r>
        <w:rPr>
          <w:rFonts w:ascii="Arial" w:cs="Arial" w:eastAsia="Arial" w:hAnsi="Arial"/>
          <w:sz w:val="16"/>
          <w:szCs w:val="16"/>
          <w:color w:val="auto"/>
        </w:rPr>
        <w:t xml:space="preserve"> any Person or group (as such term is defined in Treasury Regulation Section 1.409A-3(i)(5)(v)(B)), other than a Subsidiary or any employee benefit plan (or any related trust) of the Company or any of its Subsidiaries, acquires or has acquired during the 12-month period ending on the date of the most recent acquisition by such Person or Persons, ownership of stock of the Company possessing 30% or more of the combined voting power of all Voting Securities of the Company (such a Person or group that is not a Similarly Owned Company (as defined below), for purposes of this Section 2.8, a “More than 30% Owner”), except that no Change in Control shall be deemed to have occurred solely by reason of such ownership by a corporation with respect to which both more than 70% of the common stock of such corporation and Voting Securities representing more than 70% of the combined voting power of the Voting Securities of such corporation are then owned, directly or indirectly, by the Persons who were the direct or indirect owners of the common stock and Voting Securities of the Company immediately before such acquisition in substantially the same proportions as their ownership, immediately before such acquisition, of the common stock and Voting Securities of the Company, as the case may be (for purposes of this section 2.8, a “Similarly Owned Company”); or</w:t>
      </w:r>
    </w:p>
    <w:p>
      <w:pPr>
        <w:spacing w:after="0" w:line="376" w:lineRule="exact"/>
        <w:rPr>
          <w:rFonts w:ascii="Arial" w:cs="Arial" w:eastAsia="Arial" w:hAnsi="Arial"/>
          <w:sz w:val="16"/>
          <w:szCs w:val="16"/>
          <w:color w:val="auto"/>
        </w:rPr>
      </w:pPr>
    </w:p>
    <w:p>
      <w:pPr>
        <w:ind w:right="180" w:firstLine="547"/>
        <w:spacing w:after="0"/>
        <w:tabs>
          <w:tab w:leader="none" w:pos="803" w:val="left"/>
        </w:tabs>
        <w:numPr>
          <w:ilvl w:val="0"/>
          <w:numId w:val="2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Majority Ownership)</w:t>
      </w:r>
      <w:r>
        <w:rPr>
          <w:rFonts w:ascii="Arial" w:cs="Arial" w:eastAsia="Arial" w:hAnsi="Arial"/>
          <w:sz w:val="18"/>
          <w:szCs w:val="18"/>
          <w:color w:val="auto"/>
        </w:rPr>
        <w:t xml:space="preserve"> any Person or group (as such term is defined in Treasury Regulation Section 1.409A-3(i)(5)(v)(B)), other than a Subsidiary or any employee benefit plan (or any related trust) of the Company or any of its Subsidiaries, acquires ownership of more than 50% of the voting power of all Voting Securities of the Company or of the total fair market value of the stock of the Company (for purposes of this Section 2.8, such a Person or group that is not a Similarly Owned Company, a “Majority Owner”), except that no Change in Control shall be deemed to have occurred solely by reason of such ownership by a Similarly Owned Company; or</w:t>
      </w:r>
    </w:p>
    <w:p>
      <w:pPr>
        <w:spacing w:after="0" w:line="192" w:lineRule="exact"/>
        <w:rPr>
          <w:rFonts w:ascii="Arial" w:cs="Arial" w:eastAsia="Arial" w:hAnsi="Arial"/>
          <w:sz w:val="18"/>
          <w:szCs w:val="18"/>
          <w:color w:val="auto"/>
        </w:rPr>
      </w:pPr>
    </w:p>
    <w:p>
      <w:pPr>
        <w:jc w:val="both"/>
        <w:ind w:right="80" w:firstLine="547"/>
        <w:spacing w:after="0" w:line="247" w:lineRule="auto"/>
        <w:tabs>
          <w:tab w:leader="none" w:pos="793" w:val="left"/>
        </w:tabs>
        <w:numPr>
          <w:ilvl w:val="0"/>
          <w:numId w:val="2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Composition)</w:t>
      </w:r>
      <w:r>
        <w:rPr>
          <w:rFonts w:ascii="Arial" w:cs="Arial" w:eastAsia="Arial" w:hAnsi="Arial"/>
          <w:sz w:val="18"/>
          <w:szCs w:val="18"/>
          <w:color w:val="auto"/>
        </w:rPr>
        <w:t xml:space="preserve"> a majority of the members of the Board is replaced during any 12-month period by directors whose appointment or election is not endorsed by a majority of the members of the Board before the date of the appointment or election (for purposes of this Section 2.8, “Board Turnover”); or</w:t>
      </w:r>
    </w:p>
    <w:p>
      <w:pPr>
        <w:spacing w:after="0" w:line="183" w:lineRule="exact"/>
        <w:rPr>
          <w:rFonts w:ascii="Arial" w:cs="Arial" w:eastAsia="Arial" w:hAnsi="Arial"/>
          <w:sz w:val="18"/>
          <w:szCs w:val="18"/>
          <w:color w:val="auto"/>
        </w:rPr>
      </w:pPr>
    </w:p>
    <w:p>
      <w:pPr>
        <w:ind w:right="40" w:firstLine="547"/>
        <w:spacing w:after="0" w:line="271" w:lineRule="auto"/>
        <w:tabs>
          <w:tab w:leader="none" w:pos="803" w:val="left"/>
        </w:tabs>
        <w:numPr>
          <w:ilvl w:val="0"/>
          <w:numId w:val="25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Reorganization)</w:t>
      </w:r>
      <w:r>
        <w:rPr>
          <w:rFonts w:ascii="Arial" w:cs="Arial" w:eastAsia="Arial" w:hAnsi="Arial"/>
          <w:sz w:val="16"/>
          <w:szCs w:val="16"/>
          <w:color w:val="auto"/>
        </w:rPr>
        <w:t xml:space="preserve"> the consummation of a merger, reorganization, consolidation, or similar transaction, or of a plan or agreement for the sale or other disposition of all or substantially all of the consolidated assets of the Company, or a plan of liquidation of the Company (for purposes of this Section 2.8, any of the foregoing, a “Reorganization Transaction”) that does not qualify as an Exempt Reorganization Transaction (for purposes of this Section 2.8, “Exempt Reorganization Transaction” shall mean a Reorganization Transaction that fails to result in (i) any Person or group (as such term is defined in Treasury Regulation Section 1.409A-3(i)(5)(v)(B)) becoming a More than 30% Owner or a Majority Owner, (ii) Board Turnover, or (iii) a sale or disposition to any Person or group (as such term is defined in Treasury Regulation Section 1.409A-3(i)(5)(v)(B)) of the assets of the Company that have a total Gross Fair Market Value equal to at least forty percent (40%) of the total Gross Fair Market Value of all of the assets of the Company immediately before such transaction. For purposes of this Section 2.8, “Gross Fair Market Value” means the value of the assets of the Company, or the value of the assets being disposed of, determined without regard to any liabilities associated with such assets.).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Notwithstanding anything contained herein to the contrary: (i) no transaction or event shall constitute a Change in Control for purposes of this Plan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unless the transaction or event constituting the Change in Control also constitutes a change in the ownership of a corporation (as defined in</w:t>
      </w:r>
    </w:p>
    <w:p>
      <w:pPr>
        <w:spacing w:after="0"/>
        <w:rPr>
          <w:sz w:val="20"/>
          <w:szCs w:val="20"/>
          <w:color w:val="auto"/>
        </w:rPr>
      </w:pPr>
      <w:r>
        <w:rPr>
          <w:rFonts w:ascii="Arial" w:cs="Arial" w:eastAsia="Arial" w:hAnsi="Arial"/>
          <w:sz w:val="16"/>
          <w:szCs w:val="16"/>
          <w:color w:val="auto"/>
        </w:rPr>
        <w:t>Treasury Regulation Section 1.409A-3(i)(5) (v)), a change in effective control of a corporation (as defined in Treasury Regulation Section 1.409A-</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3(i)(5)(vi)) or a change in the ownership of a substantial portion of the assets of a corporation (as defined in Treasury Regulation Section 1.409A-</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3(i)(5)(vii)); and (ii) no sale or disposition of one or more Subsidiaries (“Sale Subsidiary”) or the</w:t>
      </w:r>
    </w:p>
    <w:p>
      <w:pPr>
        <w:spacing w:after="0" w:line="207" w:lineRule="exact"/>
        <w:rPr>
          <w:sz w:val="20"/>
          <w:szCs w:val="20"/>
          <w:color w:val="auto"/>
        </w:rPr>
      </w:pPr>
    </w:p>
    <w:p>
      <w:pPr>
        <w:ind w:left="460" w:hanging="452"/>
        <w:spacing w:after="0"/>
        <w:tabs>
          <w:tab w:leader="none" w:pos="460" w:val="left"/>
        </w:tabs>
        <w:numPr>
          <w:ilvl w:val="0"/>
          <w:numId w:val="260"/>
        </w:numPr>
        <w:rPr>
          <w:rFonts w:ascii="Arial" w:cs="Arial" w:eastAsia="Arial" w:hAnsi="Arial"/>
          <w:sz w:val="13"/>
          <w:szCs w:val="13"/>
          <w:b w:val="1"/>
          <w:bCs w:val="1"/>
          <w:color w:val="105EAB"/>
        </w:rPr>
      </w:pPr>
      <w:r>
        <w:rPr>
          <w:rFonts w:ascii="Arial" w:cs="Arial" w:eastAsia="Arial" w:hAnsi="Arial"/>
          <w:sz w:val="13"/>
          <w:szCs w:val="13"/>
          <w:color w:val="105EAB"/>
        </w:rPr>
        <w:t>www.allstateproxy.com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134620</wp:posOffset>
            </wp:positionV>
            <wp:extent cx="7268210" cy="209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 xml:space="preserve">Appendix D – 2019 Equity Incentive Plan </w:t>
      </w:r>
      <w:r>
        <w:rPr>
          <w:rFonts w:ascii="Arial" w:cs="Arial" w:eastAsia="Arial" w:hAnsi="Arial"/>
          <w:sz w:val="13"/>
          <w:szCs w:val="13"/>
          <w:b w:val="1"/>
          <w:bCs w:val="1"/>
          <w:color w:val="105EAB"/>
        </w:rPr>
        <w:t>| Other Information</w:t>
      </w:r>
    </w:p>
    <w:p>
      <w:pPr>
        <w:spacing w:after="0" w:line="235"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assets thereof shall constitute a Change in Control for purposes of this Plan if the investments in and advances by the Company and its Subsidiaries (other than the Sale Subsidiaries) to such Sale Subsidiary as of immediately prior to the sale or disposition determined in accordance with Generally Accepted Accounting Principles (“GAAP”) (but after intercompany eliminations and net of the effect of intercompany reinsurance) are less than 51% of the Consolidated Total Shareholders’ Equity of the Company as of immediately prior to the sale or disposition. “Consolidated Total Shareholders’ Equity” means, at any date, the total shareholders’ equity of the Company and its Subsidiaries at such date, as reported in the consolidated financial statements prepared in accordance with GAAP.</w:t>
      </w:r>
    </w:p>
    <w:p>
      <w:pPr>
        <w:spacing w:after="0" w:line="19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i w:val="1"/>
          <w:iCs w:val="1"/>
          <w:color w:val="auto"/>
        </w:rPr>
        <w:t>CIC Plan</w:t>
      </w:r>
      <w:r>
        <w:rPr>
          <w:rFonts w:ascii="Arial" w:cs="Arial" w:eastAsia="Arial" w:hAnsi="Arial"/>
          <w:sz w:val="18"/>
          <w:szCs w:val="18"/>
          <w:color w:val="auto"/>
        </w:rPr>
        <w:t xml:space="preserve"> means The Allstate Corporation Change in Control Severance Plan.</w:t>
      </w:r>
    </w:p>
    <w:p>
      <w:pPr>
        <w:spacing w:after="0" w:line="21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i w:val="1"/>
          <w:iCs w:val="1"/>
          <w:color w:val="auto"/>
        </w:rPr>
        <w:t>Code</w:t>
      </w:r>
      <w:r>
        <w:rPr>
          <w:rFonts w:ascii="Arial" w:cs="Arial" w:eastAsia="Arial" w:hAnsi="Arial"/>
          <w:sz w:val="18"/>
          <w:szCs w:val="18"/>
          <w:color w:val="auto"/>
        </w:rPr>
        <w:t xml:space="preserve"> means the Internal Revenue Code of 1986, as amended from time to time, or any successor code thereto.</w:t>
      </w:r>
    </w:p>
    <w:p>
      <w:pPr>
        <w:spacing w:after="0" w:line="21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i w:val="1"/>
          <w:iCs w:val="1"/>
          <w:color w:val="auto"/>
        </w:rPr>
        <w:t>Committee</w:t>
      </w:r>
      <w:r>
        <w:rPr>
          <w:rFonts w:ascii="Arial" w:cs="Arial" w:eastAsia="Arial" w:hAnsi="Arial"/>
          <w:sz w:val="18"/>
          <w:szCs w:val="18"/>
          <w:color w:val="auto"/>
        </w:rPr>
        <w:t xml:space="preserve"> means the committee, as specified in Article 3, appointed by the Board to administer the Plan.</w:t>
      </w:r>
    </w:p>
    <w:p>
      <w:pPr>
        <w:spacing w:after="0" w:line="21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i w:val="1"/>
          <w:iCs w:val="1"/>
          <w:color w:val="auto"/>
        </w:rPr>
        <w:t>Company</w:t>
      </w:r>
      <w:r>
        <w:rPr>
          <w:rFonts w:ascii="Arial" w:cs="Arial" w:eastAsia="Arial" w:hAnsi="Arial"/>
          <w:sz w:val="18"/>
          <w:szCs w:val="18"/>
          <w:color w:val="auto"/>
        </w:rPr>
        <w:t xml:space="preserve"> has the meaning provided in Section 1.1 herein.</w:t>
      </w:r>
    </w:p>
    <w:p>
      <w:pPr>
        <w:spacing w:after="0" w:line="21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xml:space="preserve">2.13 </w:t>
      </w:r>
      <w:r>
        <w:rPr>
          <w:rFonts w:ascii="Arial" w:cs="Arial" w:eastAsia="Arial" w:hAnsi="Arial"/>
          <w:sz w:val="16"/>
          <w:szCs w:val="16"/>
          <w:i w:val="1"/>
          <w:iCs w:val="1"/>
          <w:color w:val="auto"/>
        </w:rPr>
        <w:t>Covered Employee</w:t>
      </w:r>
      <w:r>
        <w:rPr>
          <w:rFonts w:ascii="Arial" w:cs="Arial" w:eastAsia="Arial" w:hAnsi="Arial"/>
          <w:sz w:val="16"/>
          <w:szCs w:val="16"/>
          <w:color w:val="auto"/>
        </w:rPr>
        <w:t xml:space="preserve"> means any Participant who would be considered a “covered employee” for purposes of Section 162(m) of the Code.</w:t>
      </w:r>
    </w:p>
    <w:p>
      <w:pPr>
        <w:spacing w:after="0" w:line="23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2.14 </w:t>
      </w:r>
      <w:r>
        <w:rPr>
          <w:rFonts w:ascii="Arial" w:cs="Arial" w:eastAsia="Arial" w:hAnsi="Arial"/>
          <w:sz w:val="18"/>
          <w:szCs w:val="18"/>
          <w:i w:val="1"/>
          <w:iCs w:val="1"/>
          <w:color w:val="auto"/>
        </w:rPr>
        <w:t>Disability</w:t>
      </w:r>
      <w:r>
        <w:rPr>
          <w:rFonts w:ascii="Arial" w:cs="Arial" w:eastAsia="Arial" w:hAnsi="Arial"/>
          <w:sz w:val="18"/>
          <w:szCs w:val="18"/>
          <w:color w:val="auto"/>
        </w:rPr>
        <w:t xml:space="preserve"> means an impairment which renders a Participant disabled within the meaning of Code Section 409A(a)(2)(C).</w:t>
      </w:r>
    </w:p>
    <w:p>
      <w:pPr>
        <w:spacing w:after="0" w:line="211" w:lineRule="exact"/>
        <w:rPr>
          <w:sz w:val="20"/>
          <w:szCs w:val="20"/>
          <w:color w:val="auto"/>
        </w:rPr>
      </w:pPr>
    </w:p>
    <w:p>
      <w:pPr>
        <w:ind w:right="180" w:firstLine="270"/>
        <w:spacing w:after="0" w:line="259" w:lineRule="auto"/>
        <w:rPr>
          <w:sz w:val="20"/>
          <w:szCs w:val="20"/>
          <w:color w:val="auto"/>
        </w:rPr>
      </w:pPr>
      <w:r>
        <w:rPr>
          <w:rFonts w:ascii="Arial" w:cs="Arial" w:eastAsia="Arial" w:hAnsi="Arial"/>
          <w:sz w:val="18"/>
          <w:szCs w:val="18"/>
          <w:color w:val="auto"/>
        </w:rPr>
        <w:t xml:space="preserve">2.15 </w:t>
      </w:r>
      <w:r>
        <w:rPr>
          <w:rFonts w:ascii="Arial" w:cs="Arial" w:eastAsia="Arial" w:hAnsi="Arial"/>
          <w:sz w:val="18"/>
          <w:szCs w:val="18"/>
          <w:i w:val="1"/>
          <w:iCs w:val="1"/>
          <w:color w:val="auto"/>
        </w:rPr>
        <w:t>Dividend Equivalent</w:t>
      </w:r>
      <w:r>
        <w:rPr>
          <w:rFonts w:ascii="Arial" w:cs="Arial" w:eastAsia="Arial" w:hAnsi="Arial"/>
          <w:sz w:val="18"/>
          <w:szCs w:val="18"/>
          <w:color w:val="auto"/>
        </w:rPr>
        <w:t xml:space="preserve"> means, with respect to Stock subject to an Award (other than an Option or SAR), a right to be paid an amount equal to cash dividends, other than large, nonrecurring cash dividends, declared on an equal number of outstanding shares of Stock.</w:t>
      </w:r>
    </w:p>
    <w:p>
      <w:pPr>
        <w:spacing w:after="0" w:line="17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2.16 </w:t>
      </w:r>
      <w:r>
        <w:rPr>
          <w:rFonts w:ascii="Arial" w:cs="Arial" w:eastAsia="Arial" w:hAnsi="Arial"/>
          <w:sz w:val="18"/>
          <w:szCs w:val="18"/>
          <w:i w:val="1"/>
          <w:iCs w:val="1"/>
          <w:color w:val="auto"/>
        </w:rPr>
        <w:t>Eligible Person</w:t>
      </w:r>
      <w:r>
        <w:rPr>
          <w:rFonts w:ascii="Arial" w:cs="Arial" w:eastAsia="Arial" w:hAnsi="Arial"/>
          <w:sz w:val="18"/>
          <w:szCs w:val="18"/>
          <w:color w:val="auto"/>
        </w:rPr>
        <w:t xml:space="preserve"> means a Person who is eligible to participate in the Plan, as set forth in Section 5.1 herein.</w:t>
      </w:r>
    </w:p>
    <w:p>
      <w:pPr>
        <w:spacing w:after="0" w:line="211" w:lineRule="exact"/>
        <w:rPr>
          <w:sz w:val="20"/>
          <w:szCs w:val="20"/>
          <w:color w:val="auto"/>
        </w:rPr>
      </w:pPr>
    </w:p>
    <w:p>
      <w:pPr>
        <w:ind w:right="220" w:firstLine="270"/>
        <w:spacing w:after="0" w:line="239" w:lineRule="auto"/>
        <w:rPr>
          <w:sz w:val="20"/>
          <w:szCs w:val="20"/>
          <w:color w:val="auto"/>
        </w:rPr>
      </w:pPr>
      <w:r>
        <w:rPr>
          <w:rFonts w:ascii="Arial" w:cs="Arial" w:eastAsia="Arial" w:hAnsi="Arial"/>
          <w:sz w:val="18"/>
          <w:szCs w:val="18"/>
          <w:color w:val="auto"/>
        </w:rPr>
        <w:t xml:space="preserve">2.17 </w:t>
      </w:r>
      <w:r>
        <w:rPr>
          <w:rFonts w:ascii="Arial" w:cs="Arial" w:eastAsia="Arial" w:hAnsi="Arial"/>
          <w:sz w:val="18"/>
          <w:szCs w:val="18"/>
          <w:i w:val="1"/>
          <w:iCs w:val="1"/>
          <w:color w:val="auto"/>
        </w:rPr>
        <w:t>Employee</w:t>
      </w:r>
      <w:r>
        <w:rPr>
          <w:rFonts w:ascii="Arial" w:cs="Arial" w:eastAsia="Arial" w:hAnsi="Arial"/>
          <w:sz w:val="18"/>
          <w:szCs w:val="18"/>
          <w:color w:val="auto"/>
        </w:rPr>
        <w:t xml:space="preserve"> means any individual classified or designated by the Company or any Subsidiary as an employee, who is on the local payroll records thereof and who is not covered by any collective bargaining agreement to which the Company or any Subsidiary is a party. An Employee shall not include any individual during any period he or she is classified or designated by the Company or any Subsidiary as an independent contractor, a consultant, or any employee of an employment, consulting, or temporary agency, or any other entity other than the Company or any Subsidiary, without regard to whether such individual is subsequently determined to have been, or is subsequently retroactively reclassified as a common-law employee of the Company or any Subsidiary during such period.</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2.18 </w:t>
      </w:r>
      <w:r>
        <w:rPr>
          <w:rFonts w:ascii="Arial" w:cs="Arial" w:eastAsia="Arial" w:hAnsi="Arial"/>
          <w:sz w:val="18"/>
          <w:szCs w:val="18"/>
          <w:i w:val="1"/>
          <w:iCs w:val="1"/>
          <w:color w:val="auto"/>
        </w:rPr>
        <w:t>Exchange Act</w:t>
      </w:r>
      <w:r>
        <w:rPr>
          <w:rFonts w:ascii="Arial" w:cs="Arial" w:eastAsia="Arial" w:hAnsi="Arial"/>
          <w:sz w:val="18"/>
          <w:szCs w:val="18"/>
          <w:color w:val="auto"/>
        </w:rPr>
        <w:t xml:space="preserve"> means the Securities Exchange Act of 1934, as amended from time to time, or any successor act thereto.</w:t>
      </w:r>
    </w:p>
    <w:p>
      <w:pPr>
        <w:spacing w:after="0" w:line="21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2.19 </w:t>
      </w:r>
      <w:r>
        <w:rPr>
          <w:rFonts w:ascii="Arial" w:cs="Arial" w:eastAsia="Arial" w:hAnsi="Arial"/>
          <w:sz w:val="18"/>
          <w:szCs w:val="18"/>
          <w:i w:val="1"/>
          <w:iCs w:val="1"/>
          <w:color w:val="auto"/>
        </w:rPr>
        <w:t>Exercise Period</w:t>
      </w:r>
      <w:r>
        <w:rPr>
          <w:rFonts w:ascii="Arial" w:cs="Arial" w:eastAsia="Arial" w:hAnsi="Arial"/>
          <w:sz w:val="18"/>
          <w:szCs w:val="18"/>
          <w:color w:val="auto"/>
        </w:rPr>
        <w:t xml:space="preserve"> means the period during which an SAR or Option is exercisable, as set forth in the related Award Agreement.</w:t>
      </w:r>
    </w:p>
    <w:p>
      <w:pPr>
        <w:spacing w:after="0" w:line="211" w:lineRule="exact"/>
        <w:rPr>
          <w:sz w:val="20"/>
          <w:szCs w:val="20"/>
          <w:color w:val="auto"/>
        </w:rPr>
      </w:pPr>
    </w:p>
    <w:p>
      <w:pPr>
        <w:jc w:val="both"/>
        <w:ind w:right="100" w:firstLine="270"/>
        <w:spacing w:after="0" w:line="293" w:lineRule="auto"/>
        <w:rPr>
          <w:sz w:val="20"/>
          <w:szCs w:val="20"/>
          <w:color w:val="auto"/>
        </w:rPr>
      </w:pPr>
      <w:r>
        <w:rPr>
          <w:rFonts w:ascii="Arial" w:cs="Arial" w:eastAsia="Arial" w:hAnsi="Arial"/>
          <w:sz w:val="16"/>
          <w:szCs w:val="16"/>
          <w:color w:val="auto"/>
        </w:rPr>
        <w:t xml:space="preserve">2.20 </w:t>
      </w:r>
      <w:r>
        <w:rPr>
          <w:rFonts w:ascii="Arial" w:cs="Arial" w:eastAsia="Arial" w:hAnsi="Arial"/>
          <w:sz w:val="16"/>
          <w:szCs w:val="16"/>
          <w:i w:val="1"/>
          <w:iCs w:val="1"/>
          <w:color w:val="auto"/>
        </w:rPr>
        <w:t>Fair Market Value</w:t>
      </w:r>
      <w:r>
        <w:rPr>
          <w:rFonts w:ascii="Arial" w:cs="Arial" w:eastAsia="Arial" w:hAnsi="Arial"/>
          <w:sz w:val="16"/>
          <w:szCs w:val="16"/>
          <w:color w:val="auto"/>
        </w:rPr>
        <w:t xml:space="preserve"> means the price at which a share of the Stock was last sold in the principal United States market for the Stock as of the date for which fair market value is being determined. Notwithstanding anything herein to the contrary, to the extent necessary to comply with or be exempt from Section 409A, Fair Market Value shall be determined in accordance with Treasury Regulation Section 1.409A-1(b)(5)(iv).</w:t>
      </w:r>
    </w:p>
    <w:p>
      <w:pPr>
        <w:spacing w:after="0" w:line="149" w:lineRule="exact"/>
        <w:rPr>
          <w:sz w:val="20"/>
          <w:szCs w:val="20"/>
          <w:color w:val="auto"/>
        </w:rPr>
      </w:pPr>
    </w:p>
    <w:p>
      <w:pPr>
        <w:jc w:val="both"/>
        <w:ind w:right="240" w:firstLine="270"/>
        <w:spacing w:after="0" w:line="243" w:lineRule="auto"/>
        <w:rPr>
          <w:sz w:val="20"/>
          <w:szCs w:val="20"/>
          <w:color w:val="auto"/>
        </w:rPr>
      </w:pPr>
      <w:r>
        <w:rPr>
          <w:rFonts w:ascii="Arial" w:cs="Arial" w:eastAsia="Arial" w:hAnsi="Arial"/>
          <w:sz w:val="18"/>
          <w:szCs w:val="18"/>
          <w:color w:val="auto"/>
        </w:rPr>
        <w:t xml:space="preserve">2.21 </w:t>
      </w:r>
      <w:r>
        <w:rPr>
          <w:rFonts w:ascii="Arial" w:cs="Arial" w:eastAsia="Arial" w:hAnsi="Arial"/>
          <w:sz w:val="18"/>
          <w:szCs w:val="18"/>
          <w:i w:val="1"/>
          <w:iCs w:val="1"/>
          <w:color w:val="auto"/>
        </w:rPr>
        <w:t>Family Member</w:t>
      </w:r>
      <w:r>
        <w:rPr>
          <w:rFonts w:ascii="Arial" w:cs="Arial" w:eastAsia="Arial" w:hAnsi="Arial"/>
          <w:sz w:val="18"/>
          <w:szCs w:val="18"/>
          <w:color w:val="auto"/>
        </w:rPr>
        <w:t xml:space="preserve"> means any child, stepchild, grandchild, parent, stepparent, grandparent, spouse, domestic partner, or sibling, including adoptive relationships, a trust in which these persons have more than 50% of the beneficial interest, a foundation in which these persons (or the Employee) control the management of assets, and any other entity in which these persons (or the Employee) own more than 50% percent of the voting interests.</w:t>
      </w:r>
    </w:p>
    <w:p>
      <w:pPr>
        <w:spacing w:after="0" w:line="18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2.22 </w:t>
      </w:r>
      <w:r>
        <w:rPr>
          <w:rFonts w:ascii="Arial" w:cs="Arial" w:eastAsia="Arial" w:hAnsi="Arial"/>
          <w:sz w:val="18"/>
          <w:szCs w:val="18"/>
          <w:i w:val="1"/>
          <w:iCs w:val="1"/>
          <w:color w:val="auto"/>
        </w:rPr>
        <w:t>Freestanding SAR</w:t>
      </w:r>
      <w:r>
        <w:rPr>
          <w:rFonts w:ascii="Arial" w:cs="Arial" w:eastAsia="Arial" w:hAnsi="Arial"/>
          <w:sz w:val="18"/>
          <w:szCs w:val="18"/>
          <w:color w:val="auto"/>
        </w:rPr>
        <w:t xml:space="preserve"> means an SAR that is not a Tandem SAR.</w:t>
      </w:r>
    </w:p>
    <w:p>
      <w:pPr>
        <w:spacing w:after="0" w:line="209" w:lineRule="exact"/>
        <w:rPr>
          <w:sz w:val="20"/>
          <w:szCs w:val="20"/>
          <w:color w:val="auto"/>
        </w:rPr>
      </w:pPr>
    </w:p>
    <w:p>
      <w:pPr>
        <w:ind w:left="9640"/>
        <w:spacing w:after="0"/>
        <w:tabs>
          <w:tab w:leader="none" w:pos="11180" w:val="left"/>
        </w:tabs>
        <w:rPr>
          <w:sz w:val="20"/>
          <w:szCs w:val="20"/>
          <w:color w:val="auto"/>
        </w:rPr>
      </w:pPr>
      <w:r>
        <w:rPr>
          <w:rFonts w:ascii="Arial" w:cs="Arial" w:eastAsia="Arial" w:hAnsi="Arial"/>
          <w:sz w:val="13"/>
          <w:szCs w:val="13"/>
          <w:color w:val="105EAB"/>
        </w:rPr>
        <w:t>2019 Proxy Statement</w:t>
      </w:r>
      <w:r>
        <w:rPr>
          <w:sz w:val="20"/>
          <w:szCs w:val="20"/>
          <w:color w:val="auto"/>
        </w:rPr>
        <w:tab/>
      </w:r>
      <w:r>
        <w:rPr>
          <w:rFonts w:ascii="Arial" w:cs="Arial" w:eastAsia="Arial" w:hAnsi="Arial"/>
          <w:sz w:val="13"/>
          <w:szCs w:val="13"/>
          <w:b w:val="1"/>
          <w:bCs w:val="1"/>
          <w:color w:val="105EAB"/>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68210" cy="209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b w:val="1"/>
          <w:bCs w:val="1"/>
          <w:color w:val="105EAB"/>
        </w:rPr>
        <w:t xml:space="preserve">Other Information | </w:t>
      </w:r>
      <w:r>
        <w:rPr>
          <w:rFonts w:ascii="Arial" w:cs="Arial" w:eastAsia="Arial" w:hAnsi="Arial"/>
          <w:sz w:val="13"/>
          <w:szCs w:val="13"/>
          <w:b w:val="1"/>
          <w:bCs w:val="1"/>
          <w:color w:val="000000"/>
        </w:rPr>
        <w:t>Appendix D – 2019 Equity Incentive Plan</w:t>
      </w:r>
    </w:p>
    <w:p>
      <w:pPr>
        <w:spacing w:after="0" w:line="21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2.23 </w:t>
      </w:r>
      <w:r>
        <w:rPr>
          <w:rFonts w:ascii="Arial" w:cs="Arial" w:eastAsia="Arial" w:hAnsi="Arial"/>
          <w:sz w:val="18"/>
          <w:szCs w:val="18"/>
          <w:i w:val="1"/>
          <w:iCs w:val="1"/>
          <w:color w:val="auto"/>
        </w:rPr>
        <w:t>Full-Value Award</w:t>
      </w:r>
      <w:r>
        <w:rPr>
          <w:rFonts w:ascii="Arial" w:cs="Arial" w:eastAsia="Arial" w:hAnsi="Arial"/>
          <w:sz w:val="18"/>
          <w:szCs w:val="18"/>
          <w:color w:val="auto"/>
        </w:rPr>
        <w:t xml:space="preserve"> means an Award granted on or after May 19, 2009, other than an Option or a SAR.</w:t>
      </w:r>
    </w:p>
    <w:p>
      <w:pPr>
        <w:spacing w:after="0" w:line="211" w:lineRule="exact"/>
        <w:rPr>
          <w:sz w:val="20"/>
          <w:szCs w:val="20"/>
          <w:color w:val="auto"/>
        </w:rPr>
      </w:pPr>
    </w:p>
    <w:p>
      <w:pPr>
        <w:ind w:right="380" w:firstLine="270"/>
        <w:spacing w:after="0" w:line="259" w:lineRule="auto"/>
        <w:rPr>
          <w:sz w:val="20"/>
          <w:szCs w:val="20"/>
          <w:color w:val="auto"/>
        </w:rPr>
      </w:pPr>
      <w:r>
        <w:rPr>
          <w:rFonts w:ascii="Arial" w:cs="Arial" w:eastAsia="Arial" w:hAnsi="Arial"/>
          <w:sz w:val="18"/>
          <w:szCs w:val="18"/>
          <w:color w:val="auto"/>
        </w:rPr>
        <w:t xml:space="preserve">2.24 </w:t>
      </w:r>
      <w:r>
        <w:rPr>
          <w:rFonts w:ascii="Arial" w:cs="Arial" w:eastAsia="Arial" w:hAnsi="Arial"/>
          <w:sz w:val="18"/>
          <w:szCs w:val="18"/>
          <w:i w:val="1"/>
          <w:iCs w:val="1"/>
          <w:color w:val="auto"/>
        </w:rPr>
        <w:t>Incentive Stock Option</w:t>
      </w:r>
      <w:r>
        <w:rPr>
          <w:rFonts w:ascii="Arial" w:cs="Arial" w:eastAsia="Arial" w:hAnsi="Arial"/>
          <w:sz w:val="18"/>
          <w:szCs w:val="18"/>
          <w:color w:val="auto"/>
        </w:rPr>
        <w:t xml:space="preserve"> or </w:t>
      </w:r>
      <w:r>
        <w:rPr>
          <w:rFonts w:ascii="Arial" w:cs="Arial" w:eastAsia="Arial" w:hAnsi="Arial"/>
          <w:sz w:val="18"/>
          <w:szCs w:val="18"/>
          <w:i w:val="1"/>
          <w:iCs w:val="1"/>
          <w:color w:val="auto"/>
        </w:rPr>
        <w:t>ISO</w:t>
      </w:r>
      <w:r>
        <w:rPr>
          <w:rFonts w:ascii="Arial" w:cs="Arial" w:eastAsia="Arial" w:hAnsi="Arial"/>
          <w:sz w:val="18"/>
          <w:szCs w:val="18"/>
          <w:color w:val="auto"/>
        </w:rPr>
        <w:t xml:space="preserve"> means an option to purchase Stock, granted under Article 6 herein, which is designated as an Incentive Stock Option and satisfies the requirements of Section 422 of the Code.</w:t>
      </w:r>
    </w:p>
    <w:p>
      <w:pPr>
        <w:spacing w:after="0" w:line="174" w:lineRule="exact"/>
        <w:rPr>
          <w:sz w:val="20"/>
          <w:szCs w:val="20"/>
          <w:color w:val="auto"/>
        </w:rPr>
      </w:pPr>
    </w:p>
    <w:p>
      <w:pPr>
        <w:ind w:right="340" w:firstLine="270"/>
        <w:spacing w:after="0" w:line="259" w:lineRule="auto"/>
        <w:rPr>
          <w:sz w:val="20"/>
          <w:szCs w:val="20"/>
          <w:color w:val="auto"/>
        </w:rPr>
      </w:pPr>
      <w:r>
        <w:rPr>
          <w:rFonts w:ascii="Arial" w:cs="Arial" w:eastAsia="Arial" w:hAnsi="Arial"/>
          <w:sz w:val="18"/>
          <w:szCs w:val="18"/>
          <w:color w:val="auto"/>
        </w:rPr>
        <w:t xml:space="preserve">2.25 </w:t>
      </w:r>
      <w:r>
        <w:rPr>
          <w:rFonts w:ascii="Arial" w:cs="Arial" w:eastAsia="Arial" w:hAnsi="Arial"/>
          <w:sz w:val="18"/>
          <w:szCs w:val="18"/>
          <w:i w:val="1"/>
          <w:iCs w:val="1"/>
          <w:color w:val="auto"/>
        </w:rPr>
        <w:t>Nonqualified Stock Option</w:t>
      </w:r>
      <w:r>
        <w:rPr>
          <w:rFonts w:ascii="Arial" w:cs="Arial" w:eastAsia="Arial" w:hAnsi="Arial"/>
          <w:sz w:val="18"/>
          <w:szCs w:val="18"/>
          <w:color w:val="auto"/>
        </w:rPr>
        <w:t xml:space="preserve"> or </w:t>
      </w:r>
      <w:r>
        <w:rPr>
          <w:rFonts w:ascii="Arial" w:cs="Arial" w:eastAsia="Arial" w:hAnsi="Arial"/>
          <w:sz w:val="18"/>
          <w:szCs w:val="18"/>
          <w:i w:val="1"/>
          <w:iCs w:val="1"/>
          <w:color w:val="auto"/>
        </w:rPr>
        <w:t>NQSO</w:t>
      </w:r>
      <w:r>
        <w:rPr>
          <w:rFonts w:ascii="Arial" w:cs="Arial" w:eastAsia="Arial" w:hAnsi="Arial"/>
          <w:sz w:val="18"/>
          <w:szCs w:val="18"/>
          <w:color w:val="auto"/>
        </w:rPr>
        <w:t xml:space="preserve"> means an option to purchase Stock, granted under Article 6 herein, which is not intended to be an Incentive Stock Option under Section 422 of the Code.</w:t>
      </w:r>
    </w:p>
    <w:p>
      <w:pPr>
        <w:spacing w:after="0" w:line="17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2.26 </w:t>
      </w:r>
      <w:r>
        <w:rPr>
          <w:rFonts w:ascii="Arial" w:cs="Arial" w:eastAsia="Arial" w:hAnsi="Arial"/>
          <w:sz w:val="18"/>
          <w:szCs w:val="18"/>
          <w:i w:val="1"/>
          <w:iCs w:val="1"/>
          <w:color w:val="auto"/>
        </w:rPr>
        <w:t>Option</w:t>
      </w:r>
      <w:r>
        <w:rPr>
          <w:rFonts w:ascii="Arial" w:cs="Arial" w:eastAsia="Arial" w:hAnsi="Arial"/>
          <w:sz w:val="18"/>
          <w:szCs w:val="18"/>
          <w:color w:val="auto"/>
        </w:rPr>
        <w:t xml:space="preserve"> means an Incentive Stock Option or a Nonqualified Stock Option.</w:t>
      </w:r>
    </w:p>
    <w:p>
      <w:pPr>
        <w:spacing w:after="0" w:line="211" w:lineRule="exact"/>
        <w:rPr>
          <w:sz w:val="20"/>
          <w:szCs w:val="20"/>
          <w:color w:val="auto"/>
        </w:rPr>
      </w:pPr>
    </w:p>
    <w:p>
      <w:pPr>
        <w:ind w:right="60" w:firstLine="270"/>
        <w:spacing w:after="0" w:line="259" w:lineRule="auto"/>
        <w:rPr>
          <w:sz w:val="20"/>
          <w:szCs w:val="20"/>
          <w:color w:val="auto"/>
        </w:rPr>
      </w:pPr>
      <w:r>
        <w:rPr>
          <w:rFonts w:ascii="Arial" w:cs="Arial" w:eastAsia="Arial" w:hAnsi="Arial"/>
          <w:sz w:val="18"/>
          <w:szCs w:val="18"/>
          <w:color w:val="auto"/>
        </w:rPr>
        <w:t xml:space="preserve">2.27 </w:t>
      </w:r>
      <w:r>
        <w:rPr>
          <w:rFonts w:ascii="Arial" w:cs="Arial" w:eastAsia="Arial" w:hAnsi="Arial"/>
          <w:sz w:val="18"/>
          <w:szCs w:val="18"/>
          <w:i w:val="1"/>
          <w:iCs w:val="1"/>
          <w:color w:val="auto"/>
        </w:rPr>
        <w:t>Option Exercise Price</w:t>
      </w:r>
      <w:r>
        <w:rPr>
          <w:rFonts w:ascii="Arial" w:cs="Arial" w:eastAsia="Arial" w:hAnsi="Arial"/>
          <w:sz w:val="18"/>
          <w:szCs w:val="18"/>
          <w:color w:val="auto"/>
        </w:rPr>
        <w:t xml:space="preserve"> means the price at which a share of Stock may be purchased by a Participant pursuant to an Option, as determined by the Committee and set forth in the Option Award Agreement.</w:t>
      </w:r>
    </w:p>
    <w:p>
      <w:pPr>
        <w:spacing w:after="0" w:line="17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2.28 </w:t>
      </w:r>
      <w:r>
        <w:rPr>
          <w:rFonts w:ascii="Arial" w:cs="Arial" w:eastAsia="Arial" w:hAnsi="Arial"/>
          <w:sz w:val="18"/>
          <w:szCs w:val="18"/>
          <w:i w:val="1"/>
          <w:iCs w:val="1"/>
          <w:color w:val="auto"/>
        </w:rPr>
        <w:t>Participant</w:t>
      </w:r>
      <w:r>
        <w:rPr>
          <w:rFonts w:ascii="Arial" w:cs="Arial" w:eastAsia="Arial" w:hAnsi="Arial"/>
          <w:sz w:val="18"/>
          <w:szCs w:val="18"/>
          <w:color w:val="auto"/>
        </w:rPr>
        <w:t xml:space="preserve"> means an Eligible Person who has outstanding an Award granted under the Plan.</w:t>
      </w:r>
    </w:p>
    <w:p>
      <w:pPr>
        <w:spacing w:after="0" w:line="211" w:lineRule="exact"/>
        <w:rPr>
          <w:sz w:val="20"/>
          <w:szCs w:val="20"/>
          <w:color w:val="auto"/>
        </w:rPr>
      </w:pPr>
    </w:p>
    <w:p>
      <w:pPr>
        <w:ind w:right="180" w:firstLine="270"/>
        <w:spacing w:after="0" w:line="322" w:lineRule="auto"/>
        <w:rPr>
          <w:sz w:val="20"/>
          <w:szCs w:val="20"/>
          <w:color w:val="auto"/>
        </w:rPr>
      </w:pPr>
      <w:r>
        <w:rPr>
          <w:rFonts w:ascii="Arial" w:cs="Arial" w:eastAsia="Arial" w:hAnsi="Arial"/>
          <w:sz w:val="16"/>
          <w:szCs w:val="16"/>
          <w:color w:val="auto"/>
        </w:rPr>
        <w:t xml:space="preserve">2.29 </w:t>
      </w:r>
      <w:r>
        <w:rPr>
          <w:rFonts w:ascii="Arial" w:cs="Arial" w:eastAsia="Arial" w:hAnsi="Arial"/>
          <w:sz w:val="16"/>
          <w:szCs w:val="16"/>
          <w:i w:val="1"/>
          <w:iCs w:val="1"/>
          <w:color w:val="auto"/>
        </w:rPr>
        <w:t>Performance-Based Compensation</w:t>
      </w:r>
      <w:r>
        <w:rPr>
          <w:rFonts w:ascii="Arial" w:cs="Arial" w:eastAsia="Arial" w:hAnsi="Arial"/>
          <w:sz w:val="16"/>
          <w:szCs w:val="16"/>
          <w:color w:val="auto"/>
        </w:rPr>
        <w:t xml:space="preserve"> means an Award intended to qualify for the exemption from the limitation on deductibility imposed by Section 162(m) of the Code as set forth in Section 162(m)(4)(C) of the Code as in effect prior to the Tax Cuts and Jobs Act of 2017.</w:t>
      </w:r>
    </w:p>
    <w:p>
      <w:pPr>
        <w:spacing w:after="0" w:line="127" w:lineRule="exact"/>
        <w:rPr>
          <w:sz w:val="20"/>
          <w:szCs w:val="20"/>
          <w:color w:val="auto"/>
        </w:rPr>
      </w:pPr>
    </w:p>
    <w:p>
      <w:pPr>
        <w:ind w:firstLine="270"/>
        <w:spacing w:after="0" w:line="237" w:lineRule="auto"/>
        <w:rPr>
          <w:sz w:val="20"/>
          <w:szCs w:val="20"/>
          <w:color w:val="auto"/>
        </w:rPr>
      </w:pPr>
      <w:r>
        <w:rPr>
          <w:rFonts w:ascii="Arial" w:cs="Arial" w:eastAsia="Arial" w:hAnsi="Arial"/>
          <w:sz w:val="18"/>
          <w:szCs w:val="18"/>
          <w:color w:val="auto"/>
        </w:rPr>
        <w:t xml:space="preserve">2.30 </w:t>
      </w:r>
      <w:r>
        <w:rPr>
          <w:rFonts w:ascii="Arial" w:cs="Arial" w:eastAsia="Arial" w:hAnsi="Arial"/>
          <w:sz w:val="18"/>
          <w:szCs w:val="18"/>
          <w:i w:val="1"/>
          <w:iCs w:val="1"/>
          <w:color w:val="auto"/>
        </w:rPr>
        <w:t>Performance Goals</w:t>
      </w:r>
      <w:r>
        <w:rPr>
          <w:rFonts w:ascii="Arial" w:cs="Arial" w:eastAsia="Arial" w:hAnsi="Arial"/>
          <w:sz w:val="18"/>
          <w:szCs w:val="18"/>
          <w:color w:val="auto"/>
        </w:rPr>
        <w:t xml:space="preserve"> means the performance goals established by the Committee, which may be based on one or more of the following measures or such other measures established by the Committee with respect to Awards that are not Performance-Based Compensation: sales, revenues, premiums, financial product sales, earnings per share, book value, stockholder return and/or value, funds from operations, operating income, gross income, net income, combined ratio, underwriting income, cash flow, return on equity, return on capital, return on assets, values of assets, market share, net earnings, earnings before interest, operating ratios, expenses, stock price, customer satisfaction, customer retention, customer loyalty, strategic business criteria based on meeting specified revenue goals, market penetration goals, investment performance goals, business expansion goals or cost targets, accomplishment of mergers, acquisitions, dispositions, or similar extraordinary business transactions, profit returns and margins, financial return ratios, market performance and/or risk-based capital goals or returns. Performance Goals may be based solely on a corporate, subsidiary, business unit, or other grouping basis, or a combination thereof, and may be before or after tax. Performance Goals may reflect absolute entity performance or a relative comparison of entity performance to the performance of a peer group of entities or other external measure.</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2.31 </w:t>
      </w:r>
      <w:r>
        <w:rPr>
          <w:rFonts w:ascii="Arial" w:cs="Arial" w:eastAsia="Arial" w:hAnsi="Arial"/>
          <w:sz w:val="18"/>
          <w:szCs w:val="18"/>
          <w:i w:val="1"/>
          <w:iCs w:val="1"/>
          <w:color w:val="auto"/>
        </w:rPr>
        <w:t>Performance Period</w:t>
      </w:r>
      <w:r>
        <w:rPr>
          <w:rFonts w:ascii="Arial" w:cs="Arial" w:eastAsia="Arial" w:hAnsi="Arial"/>
          <w:sz w:val="18"/>
          <w:szCs w:val="18"/>
          <w:color w:val="auto"/>
        </w:rPr>
        <w:t xml:space="preserve"> means the time period during which Performance Unit/Performance Stock Performance Goals must be met.</w:t>
      </w:r>
    </w:p>
    <w:p>
      <w:pPr>
        <w:spacing w:after="0" w:line="21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2.32 </w:t>
      </w:r>
      <w:r>
        <w:rPr>
          <w:rFonts w:ascii="Arial" w:cs="Arial" w:eastAsia="Arial" w:hAnsi="Arial"/>
          <w:sz w:val="18"/>
          <w:szCs w:val="18"/>
          <w:i w:val="1"/>
          <w:iCs w:val="1"/>
          <w:color w:val="auto"/>
        </w:rPr>
        <w:t>Performance Stock</w:t>
      </w:r>
      <w:r>
        <w:rPr>
          <w:rFonts w:ascii="Arial" w:cs="Arial" w:eastAsia="Arial" w:hAnsi="Arial"/>
          <w:sz w:val="18"/>
          <w:szCs w:val="18"/>
          <w:color w:val="auto"/>
        </w:rPr>
        <w:t xml:space="preserve"> means an Award described in Article 9 herein.</w:t>
      </w:r>
    </w:p>
    <w:p>
      <w:pPr>
        <w:spacing w:after="0" w:line="21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2.33 </w:t>
      </w:r>
      <w:r>
        <w:rPr>
          <w:rFonts w:ascii="Arial" w:cs="Arial" w:eastAsia="Arial" w:hAnsi="Arial"/>
          <w:sz w:val="18"/>
          <w:szCs w:val="18"/>
          <w:i w:val="1"/>
          <w:iCs w:val="1"/>
          <w:color w:val="auto"/>
        </w:rPr>
        <w:t>Performance Unit</w:t>
      </w:r>
      <w:r>
        <w:rPr>
          <w:rFonts w:ascii="Arial" w:cs="Arial" w:eastAsia="Arial" w:hAnsi="Arial"/>
          <w:sz w:val="18"/>
          <w:szCs w:val="18"/>
          <w:color w:val="auto"/>
        </w:rPr>
        <w:t xml:space="preserve"> means an Award described in Article 9 herein.</w:t>
      </w:r>
    </w:p>
    <w:p>
      <w:pPr>
        <w:spacing w:after="0" w:line="211" w:lineRule="exact"/>
        <w:rPr>
          <w:sz w:val="20"/>
          <w:szCs w:val="20"/>
          <w:color w:val="auto"/>
        </w:rPr>
      </w:pPr>
    </w:p>
    <w:p>
      <w:pPr>
        <w:ind w:right="280" w:firstLine="270"/>
        <w:spacing w:after="0" w:line="259" w:lineRule="auto"/>
        <w:rPr>
          <w:sz w:val="20"/>
          <w:szCs w:val="20"/>
          <w:color w:val="auto"/>
        </w:rPr>
      </w:pPr>
      <w:r>
        <w:rPr>
          <w:rFonts w:ascii="Arial" w:cs="Arial" w:eastAsia="Arial" w:hAnsi="Arial"/>
          <w:sz w:val="18"/>
          <w:szCs w:val="18"/>
          <w:color w:val="auto"/>
        </w:rPr>
        <w:t xml:space="preserve">2.34 </w:t>
      </w:r>
      <w:r>
        <w:rPr>
          <w:rFonts w:ascii="Arial" w:cs="Arial" w:eastAsia="Arial" w:hAnsi="Arial"/>
          <w:sz w:val="18"/>
          <w:szCs w:val="18"/>
          <w:i w:val="1"/>
          <w:iCs w:val="1"/>
          <w:color w:val="auto"/>
        </w:rPr>
        <w:t>Period of Restriction</w:t>
      </w:r>
      <w:r>
        <w:rPr>
          <w:rFonts w:ascii="Arial" w:cs="Arial" w:eastAsia="Arial" w:hAnsi="Arial"/>
          <w:sz w:val="18"/>
          <w:szCs w:val="18"/>
          <w:color w:val="auto"/>
        </w:rPr>
        <w:t xml:space="preserve"> means the period during which the transfer of Restricted Stock or Restricted Stock Units is limited in some way, as provided in Article 8 herein.</w:t>
      </w:r>
    </w:p>
    <w:p>
      <w:pPr>
        <w:spacing w:after="0" w:line="174" w:lineRule="exact"/>
        <w:rPr>
          <w:sz w:val="20"/>
          <w:szCs w:val="20"/>
          <w:color w:val="auto"/>
        </w:rPr>
      </w:pPr>
    </w:p>
    <w:p>
      <w:pPr>
        <w:ind w:right="260" w:firstLine="270"/>
        <w:spacing w:after="0" w:line="322" w:lineRule="auto"/>
        <w:rPr>
          <w:sz w:val="20"/>
          <w:szCs w:val="20"/>
          <w:color w:val="auto"/>
        </w:rPr>
      </w:pPr>
      <w:r>
        <w:rPr>
          <w:rFonts w:ascii="Arial" w:cs="Arial" w:eastAsia="Arial" w:hAnsi="Arial"/>
          <w:sz w:val="16"/>
          <w:szCs w:val="16"/>
          <w:color w:val="auto"/>
        </w:rPr>
        <w:t xml:space="preserve">2.35 </w:t>
      </w:r>
      <w:r>
        <w:rPr>
          <w:rFonts w:ascii="Arial" w:cs="Arial" w:eastAsia="Arial" w:hAnsi="Arial"/>
          <w:sz w:val="16"/>
          <w:szCs w:val="16"/>
          <w:i w:val="1"/>
          <w:iCs w:val="1"/>
          <w:color w:val="auto"/>
        </w:rPr>
        <w:t>Person</w:t>
      </w:r>
      <w:r>
        <w:rPr>
          <w:rFonts w:ascii="Arial" w:cs="Arial" w:eastAsia="Arial" w:hAnsi="Arial"/>
          <w:sz w:val="16"/>
          <w:szCs w:val="16"/>
          <w:color w:val="auto"/>
        </w:rPr>
        <w:t xml:space="preserve"> means any individual, sole proprietorship, partnership, joint venture, limited liability company, trust, unincorporated organization, association, corporation, institution, public benefit corporation, entity, or government instrumentality, division, agency, body, or department.</w:t>
      </w:r>
    </w:p>
    <w:p>
      <w:pPr>
        <w:spacing w:after="0" w:line="12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2.36 </w:t>
      </w:r>
      <w:r>
        <w:rPr>
          <w:rFonts w:ascii="Arial" w:cs="Arial" w:eastAsia="Arial" w:hAnsi="Arial"/>
          <w:sz w:val="18"/>
          <w:szCs w:val="18"/>
          <w:i w:val="1"/>
          <w:iCs w:val="1"/>
          <w:color w:val="auto"/>
        </w:rPr>
        <w:t>Plan</w:t>
      </w:r>
      <w:r>
        <w:rPr>
          <w:rFonts w:ascii="Arial" w:cs="Arial" w:eastAsia="Arial" w:hAnsi="Arial"/>
          <w:sz w:val="18"/>
          <w:szCs w:val="18"/>
          <w:color w:val="auto"/>
        </w:rPr>
        <w:t xml:space="preserve"> means The Allstate Corporation 2019 Equity Incentive Plan.</w:t>
      </w:r>
    </w:p>
    <w:p>
      <w:pPr>
        <w:spacing w:after="0" w:line="211" w:lineRule="exact"/>
        <w:rPr>
          <w:sz w:val="20"/>
          <w:szCs w:val="20"/>
          <w:color w:val="auto"/>
        </w:rPr>
      </w:pPr>
    </w:p>
    <w:p>
      <w:pPr>
        <w:ind w:right="480" w:firstLine="270"/>
        <w:spacing w:after="0" w:line="259" w:lineRule="auto"/>
        <w:rPr>
          <w:sz w:val="20"/>
          <w:szCs w:val="20"/>
          <w:color w:val="auto"/>
        </w:rPr>
      </w:pPr>
      <w:r>
        <w:rPr>
          <w:rFonts w:ascii="Arial" w:cs="Arial" w:eastAsia="Arial" w:hAnsi="Arial"/>
          <w:sz w:val="18"/>
          <w:szCs w:val="18"/>
          <w:color w:val="auto"/>
        </w:rPr>
        <w:t xml:space="preserve">2.37 </w:t>
      </w:r>
      <w:r>
        <w:rPr>
          <w:rFonts w:ascii="Arial" w:cs="Arial" w:eastAsia="Arial" w:hAnsi="Arial"/>
          <w:sz w:val="18"/>
          <w:szCs w:val="18"/>
          <w:i w:val="1"/>
          <w:iCs w:val="1"/>
          <w:color w:val="auto"/>
        </w:rPr>
        <w:t>Post-Change Period</w:t>
      </w:r>
      <w:r>
        <w:rPr>
          <w:rFonts w:ascii="Arial" w:cs="Arial" w:eastAsia="Arial" w:hAnsi="Arial"/>
          <w:sz w:val="18"/>
          <w:szCs w:val="18"/>
          <w:color w:val="auto"/>
        </w:rPr>
        <w:t xml:space="preserve"> means the period commencing on the date on which a Change in Control first occurs and ending on the second anniversary of the date on which a Change in Control first occurs.</w:t>
      </w:r>
    </w:p>
    <w:p>
      <w:pPr>
        <w:spacing w:after="0" w:line="174" w:lineRule="exact"/>
        <w:rPr>
          <w:sz w:val="20"/>
          <w:szCs w:val="20"/>
          <w:color w:val="auto"/>
        </w:rPr>
      </w:pPr>
    </w:p>
    <w:p>
      <w:pPr>
        <w:ind w:right="160" w:firstLine="270"/>
        <w:spacing w:after="0" w:line="259" w:lineRule="auto"/>
        <w:rPr>
          <w:sz w:val="20"/>
          <w:szCs w:val="20"/>
          <w:color w:val="auto"/>
        </w:rPr>
      </w:pPr>
      <w:r>
        <w:rPr>
          <w:rFonts w:ascii="Arial" w:cs="Arial" w:eastAsia="Arial" w:hAnsi="Arial"/>
          <w:sz w:val="18"/>
          <w:szCs w:val="18"/>
          <w:color w:val="auto"/>
        </w:rPr>
        <w:t xml:space="preserve">2.38 </w:t>
      </w:r>
      <w:r>
        <w:rPr>
          <w:rFonts w:ascii="Arial" w:cs="Arial" w:eastAsia="Arial" w:hAnsi="Arial"/>
          <w:sz w:val="18"/>
          <w:szCs w:val="18"/>
          <w:i w:val="1"/>
          <w:iCs w:val="1"/>
          <w:color w:val="auto"/>
        </w:rPr>
        <w:t>Qualified Restricted Stock</w:t>
      </w:r>
      <w:r>
        <w:rPr>
          <w:rFonts w:ascii="Arial" w:cs="Arial" w:eastAsia="Arial" w:hAnsi="Arial"/>
          <w:sz w:val="18"/>
          <w:szCs w:val="18"/>
          <w:color w:val="auto"/>
        </w:rPr>
        <w:t xml:space="preserve"> means an Award of Restricted Stock designated as Qualified Restricted Stock by the Committee at the time of grant and intended to qualify as Performance-Based Compensation.</w:t>
      </w:r>
    </w:p>
    <w:p>
      <w:pPr>
        <w:spacing w:after="0" w:line="174" w:lineRule="exact"/>
        <w:rPr>
          <w:sz w:val="20"/>
          <w:szCs w:val="20"/>
          <w:color w:val="auto"/>
        </w:rPr>
      </w:pPr>
    </w:p>
    <w:p>
      <w:pPr>
        <w:ind w:right="860" w:firstLine="270"/>
        <w:spacing w:after="0" w:line="259" w:lineRule="auto"/>
        <w:rPr>
          <w:sz w:val="20"/>
          <w:szCs w:val="20"/>
          <w:color w:val="auto"/>
        </w:rPr>
      </w:pPr>
      <w:r>
        <w:rPr>
          <w:rFonts w:ascii="Arial" w:cs="Arial" w:eastAsia="Arial" w:hAnsi="Arial"/>
          <w:sz w:val="18"/>
          <w:szCs w:val="18"/>
          <w:color w:val="auto"/>
        </w:rPr>
        <w:t xml:space="preserve">2.39 </w:t>
      </w:r>
      <w:r>
        <w:rPr>
          <w:rFonts w:ascii="Arial" w:cs="Arial" w:eastAsia="Arial" w:hAnsi="Arial"/>
          <w:sz w:val="18"/>
          <w:szCs w:val="18"/>
          <w:i w:val="1"/>
          <w:iCs w:val="1"/>
          <w:color w:val="auto"/>
        </w:rPr>
        <w:t>Qualified Restricted Stock Unit</w:t>
      </w:r>
      <w:r>
        <w:rPr>
          <w:rFonts w:ascii="Arial" w:cs="Arial" w:eastAsia="Arial" w:hAnsi="Arial"/>
          <w:sz w:val="18"/>
          <w:szCs w:val="18"/>
          <w:color w:val="auto"/>
        </w:rPr>
        <w:t xml:space="preserve"> means an Award of Restricted Stock Units designated as Qualified Restricted Stock Units by the Committee at the time of grant and intended to qualify as Performance-Based Compensation.</w:t>
      </w:r>
    </w:p>
    <w:p>
      <w:pPr>
        <w:spacing w:after="0" w:line="188" w:lineRule="exact"/>
        <w:rPr>
          <w:sz w:val="20"/>
          <w:szCs w:val="20"/>
          <w:color w:val="auto"/>
        </w:rPr>
      </w:pPr>
    </w:p>
    <w:p>
      <w:pPr>
        <w:ind w:left="460" w:hanging="452"/>
        <w:spacing w:after="0"/>
        <w:tabs>
          <w:tab w:leader="none" w:pos="460" w:val="left"/>
        </w:tabs>
        <w:numPr>
          <w:ilvl w:val="0"/>
          <w:numId w:val="261"/>
        </w:numPr>
        <w:rPr>
          <w:rFonts w:ascii="Arial" w:cs="Arial" w:eastAsia="Arial" w:hAnsi="Arial"/>
          <w:sz w:val="13"/>
          <w:szCs w:val="13"/>
          <w:b w:val="1"/>
          <w:bCs w:val="1"/>
          <w:color w:val="105EAB"/>
        </w:rPr>
      </w:pPr>
      <w:r>
        <w:rPr>
          <w:rFonts w:ascii="Arial" w:cs="Arial" w:eastAsia="Arial" w:hAnsi="Arial"/>
          <w:sz w:val="13"/>
          <w:szCs w:val="13"/>
          <w:color w:val="105EAB"/>
        </w:rPr>
        <w:t>www.allstateproxy.com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134620</wp:posOffset>
            </wp:positionV>
            <wp:extent cx="7268210" cy="209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 xml:space="preserve">Appendix D – 2019 Equity Incentive Plan </w:t>
      </w:r>
      <w:r>
        <w:rPr>
          <w:rFonts w:ascii="Arial" w:cs="Arial" w:eastAsia="Arial" w:hAnsi="Arial"/>
          <w:sz w:val="13"/>
          <w:szCs w:val="13"/>
          <w:b w:val="1"/>
          <w:bCs w:val="1"/>
          <w:color w:val="105EAB"/>
        </w:rPr>
        <w:t>| Other Information</w:t>
      </w:r>
    </w:p>
    <w:p>
      <w:pPr>
        <w:spacing w:after="0" w:line="21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2.40 </w:t>
      </w:r>
      <w:r>
        <w:rPr>
          <w:rFonts w:ascii="Arial" w:cs="Arial" w:eastAsia="Arial" w:hAnsi="Arial"/>
          <w:sz w:val="18"/>
          <w:szCs w:val="18"/>
          <w:i w:val="1"/>
          <w:iCs w:val="1"/>
          <w:color w:val="auto"/>
        </w:rPr>
        <w:t>Restricted Stock</w:t>
      </w:r>
      <w:r>
        <w:rPr>
          <w:rFonts w:ascii="Arial" w:cs="Arial" w:eastAsia="Arial" w:hAnsi="Arial"/>
          <w:sz w:val="18"/>
          <w:szCs w:val="18"/>
          <w:color w:val="auto"/>
        </w:rPr>
        <w:t xml:space="preserve"> means an Award described in Article 8 herein.</w:t>
      </w:r>
    </w:p>
    <w:p>
      <w:pPr>
        <w:spacing w:after="0" w:line="21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2.41 </w:t>
      </w:r>
      <w:r>
        <w:rPr>
          <w:rFonts w:ascii="Arial" w:cs="Arial" w:eastAsia="Arial" w:hAnsi="Arial"/>
          <w:sz w:val="18"/>
          <w:szCs w:val="18"/>
          <w:i w:val="1"/>
          <w:iCs w:val="1"/>
          <w:color w:val="auto"/>
        </w:rPr>
        <w:t>Restricted Stock Unit</w:t>
      </w:r>
      <w:r>
        <w:rPr>
          <w:rFonts w:ascii="Arial" w:cs="Arial" w:eastAsia="Arial" w:hAnsi="Arial"/>
          <w:sz w:val="18"/>
          <w:szCs w:val="18"/>
          <w:color w:val="auto"/>
        </w:rPr>
        <w:t xml:space="preserve"> means an Award described in Article 8 herein.</w:t>
      </w:r>
    </w:p>
    <w:p>
      <w:pPr>
        <w:spacing w:after="0" w:line="211" w:lineRule="exact"/>
        <w:rPr>
          <w:sz w:val="20"/>
          <w:szCs w:val="20"/>
          <w:color w:val="auto"/>
        </w:rPr>
      </w:pPr>
    </w:p>
    <w:p>
      <w:pPr>
        <w:ind w:right="220" w:firstLine="270"/>
        <w:spacing w:after="0" w:line="247" w:lineRule="auto"/>
        <w:rPr>
          <w:sz w:val="20"/>
          <w:szCs w:val="20"/>
          <w:color w:val="auto"/>
        </w:rPr>
      </w:pPr>
      <w:r>
        <w:rPr>
          <w:rFonts w:ascii="Arial" w:cs="Arial" w:eastAsia="Arial" w:hAnsi="Arial"/>
          <w:sz w:val="18"/>
          <w:szCs w:val="18"/>
          <w:color w:val="auto"/>
        </w:rPr>
        <w:t xml:space="preserve">2.42 </w:t>
      </w:r>
      <w:r>
        <w:rPr>
          <w:rFonts w:ascii="Arial" w:cs="Arial" w:eastAsia="Arial" w:hAnsi="Arial"/>
          <w:sz w:val="18"/>
          <w:szCs w:val="18"/>
          <w:i w:val="1"/>
          <w:iCs w:val="1"/>
          <w:color w:val="auto"/>
        </w:rPr>
        <w:t>Retirement or Normal Retirement,</w:t>
      </w:r>
      <w:r>
        <w:rPr>
          <w:rFonts w:ascii="Arial" w:cs="Arial" w:eastAsia="Arial" w:hAnsi="Arial"/>
          <w:sz w:val="18"/>
          <w:szCs w:val="18"/>
          <w:color w:val="auto"/>
        </w:rPr>
        <w:t xml:space="preserve"> unless otherwise provided by the Committee or in the Award Agreement, means a Participant’s Termination of Employment with the Company or a Subsidiary, if such termination date occurs on or after the Participant attains age fifty-five (55) with ten (10) years of service, or age sixty (60) with five (5) years of service.</w:t>
      </w:r>
    </w:p>
    <w:p>
      <w:pPr>
        <w:spacing w:after="0" w:line="18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2.43 </w:t>
      </w:r>
      <w:r>
        <w:rPr>
          <w:rFonts w:ascii="Arial" w:cs="Arial" w:eastAsia="Arial" w:hAnsi="Arial"/>
          <w:sz w:val="18"/>
          <w:szCs w:val="18"/>
          <w:i w:val="1"/>
          <w:iCs w:val="1"/>
          <w:color w:val="auto"/>
        </w:rPr>
        <w:t>Section 409A</w:t>
      </w:r>
      <w:r>
        <w:rPr>
          <w:rFonts w:ascii="Arial" w:cs="Arial" w:eastAsia="Arial" w:hAnsi="Arial"/>
          <w:sz w:val="18"/>
          <w:szCs w:val="18"/>
          <w:color w:val="auto"/>
        </w:rPr>
        <w:t xml:space="preserve"> shall have the meaning set forth in Section 19.5 herein.</w:t>
      </w:r>
    </w:p>
    <w:p>
      <w:pPr>
        <w:spacing w:after="0" w:line="211" w:lineRule="exact"/>
        <w:rPr>
          <w:sz w:val="20"/>
          <w:szCs w:val="20"/>
          <w:color w:val="auto"/>
        </w:rPr>
      </w:pPr>
    </w:p>
    <w:p>
      <w:pPr>
        <w:ind w:right="140" w:firstLine="270"/>
        <w:spacing w:after="0" w:line="259" w:lineRule="auto"/>
        <w:rPr>
          <w:sz w:val="20"/>
          <w:szCs w:val="20"/>
          <w:color w:val="auto"/>
        </w:rPr>
      </w:pPr>
      <w:r>
        <w:rPr>
          <w:rFonts w:ascii="Arial" w:cs="Arial" w:eastAsia="Arial" w:hAnsi="Arial"/>
          <w:sz w:val="18"/>
          <w:szCs w:val="18"/>
          <w:color w:val="auto"/>
        </w:rPr>
        <w:t xml:space="preserve">2.44 </w:t>
      </w:r>
      <w:r>
        <w:rPr>
          <w:rFonts w:ascii="Arial" w:cs="Arial" w:eastAsia="Arial" w:hAnsi="Arial"/>
          <w:sz w:val="18"/>
          <w:szCs w:val="18"/>
          <w:i w:val="1"/>
          <w:iCs w:val="1"/>
          <w:color w:val="auto"/>
        </w:rPr>
        <w:t>Section 16 Officer</w:t>
      </w:r>
      <w:r>
        <w:rPr>
          <w:rFonts w:ascii="Arial" w:cs="Arial" w:eastAsia="Arial" w:hAnsi="Arial"/>
          <w:sz w:val="18"/>
          <w:szCs w:val="18"/>
          <w:color w:val="auto"/>
        </w:rPr>
        <w:t xml:space="preserve"> means any Eligible Person who was designated by the Board as an officer for purposes of Section 16 of the Exchange Act.</w:t>
      </w:r>
    </w:p>
    <w:p>
      <w:pPr>
        <w:spacing w:after="0" w:line="17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2.45 </w:t>
      </w:r>
      <w:r>
        <w:rPr>
          <w:rFonts w:ascii="Arial" w:cs="Arial" w:eastAsia="Arial" w:hAnsi="Arial"/>
          <w:sz w:val="18"/>
          <w:szCs w:val="18"/>
          <w:i w:val="1"/>
          <w:iCs w:val="1"/>
          <w:color w:val="auto"/>
        </w:rPr>
        <w:t>Securities Act</w:t>
      </w:r>
      <w:r>
        <w:rPr>
          <w:rFonts w:ascii="Arial" w:cs="Arial" w:eastAsia="Arial" w:hAnsi="Arial"/>
          <w:sz w:val="18"/>
          <w:szCs w:val="18"/>
          <w:color w:val="auto"/>
        </w:rPr>
        <w:t xml:space="preserve"> means the Securities Act of 1933, as amended.</w:t>
      </w:r>
    </w:p>
    <w:p>
      <w:pPr>
        <w:spacing w:after="0" w:line="21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2.46 </w:t>
      </w:r>
      <w:r>
        <w:rPr>
          <w:rFonts w:ascii="Arial" w:cs="Arial" w:eastAsia="Arial" w:hAnsi="Arial"/>
          <w:sz w:val="18"/>
          <w:szCs w:val="18"/>
          <w:i w:val="1"/>
          <w:iCs w:val="1"/>
          <w:color w:val="auto"/>
        </w:rPr>
        <w:t>Stock</w:t>
      </w:r>
      <w:r>
        <w:rPr>
          <w:rFonts w:ascii="Arial" w:cs="Arial" w:eastAsia="Arial" w:hAnsi="Arial"/>
          <w:sz w:val="18"/>
          <w:szCs w:val="18"/>
          <w:color w:val="auto"/>
        </w:rPr>
        <w:t xml:space="preserve"> means the common stock, $.01 par value, of the Company.</w:t>
      </w:r>
    </w:p>
    <w:p>
      <w:pPr>
        <w:spacing w:after="0" w:line="211" w:lineRule="exact"/>
        <w:rPr>
          <w:sz w:val="20"/>
          <w:szCs w:val="20"/>
          <w:color w:val="auto"/>
        </w:rPr>
      </w:pPr>
    </w:p>
    <w:p>
      <w:pPr>
        <w:ind w:right="140" w:firstLine="270"/>
        <w:spacing w:after="0" w:line="247" w:lineRule="auto"/>
        <w:rPr>
          <w:sz w:val="20"/>
          <w:szCs w:val="20"/>
          <w:color w:val="auto"/>
        </w:rPr>
      </w:pPr>
      <w:r>
        <w:rPr>
          <w:rFonts w:ascii="Arial" w:cs="Arial" w:eastAsia="Arial" w:hAnsi="Arial"/>
          <w:sz w:val="18"/>
          <w:szCs w:val="18"/>
          <w:color w:val="auto"/>
        </w:rPr>
        <w:t xml:space="preserve">2.47 </w:t>
      </w:r>
      <w:r>
        <w:rPr>
          <w:rFonts w:ascii="Arial" w:cs="Arial" w:eastAsia="Arial" w:hAnsi="Arial"/>
          <w:sz w:val="18"/>
          <w:szCs w:val="18"/>
          <w:i w:val="1"/>
          <w:iCs w:val="1"/>
          <w:color w:val="auto"/>
        </w:rPr>
        <w:t>Stock Appreciation Right</w:t>
      </w:r>
      <w:r>
        <w:rPr>
          <w:rFonts w:ascii="Arial" w:cs="Arial" w:eastAsia="Arial" w:hAnsi="Arial"/>
          <w:sz w:val="18"/>
          <w:szCs w:val="18"/>
          <w:color w:val="auto"/>
        </w:rPr>
        <w:t xml:space="preserve"> or </w:t>
      </w:r>
      <w:r>
        <w:rPr>
          <w:rFonts w:ascii="Arial" w:cs="Arial" w:eastAsia="Arial" w:hAnsi="Arial"/>
          <w:sz w:val="18"/>
          <w:szCs w:val="18"/>
          <w:i w:val="1"/>
          <w:iCs w:val="1"/>
          <w:color w:val="auto"/>
        </w:rPr>
        <w:t>SAR</w:t>
      </w:r>
      <w:r>
        <w:rPr>
          <w:rFonts w:ascii="Arial" w:cs="Arial" w:eastAsia="Arial" w:hAnsi="Arial"/>
          <w:sz w:val="18"/>
          <w:szCs w:val="18"/>
          <w:color w:val="auto"/>
        </w:rPr>
        <w:t xml:space="preserve"> means a right, granted alone or in connection with a related Option, designated as an SAR, to receive a payment on the day the right is exercised, pursuant to the terms of Article 7 herein. Each SAR shall be denominated in terms of one share of Stock.</w:t>
      </w:r>
    </w:p>
    <w:p>
      <w:pPr>
        <w:spacing w:after="0" w:line="184" w:lineRule="exact"/>
        <w:rPr>
          <w:sz w:val="20"/>
          <w:szCs w:val="20"/>
          <w:color w:val="auto"/>
        </w:rPr>
      </w:pPr>
    </w:p>
    <w:p>
      <w:pPr>
        <w:ind w:right="240" w:firstLine="270"/>
        <w:spacing w:after="0" w:line="247" w:lineRule="auto"/>
        <w:rPr>
          <w:sz w:val="20"/>
          <w:szCs w:val="20"/>
          <w:color w:val="auto"/>
        </w:rPr>
      </w:pPr>
      <w:r>
        <w:rPr>
          <w:rFonts w:ascii="Arial" w:cs="Arial" w:eastAsia="Arial" w:hAnsi="Arial"/>
          <w:sz w:val="18"/>
          <w:szCs w:val="18"/>
          <w:color w:val="auto"/>
        </w:rPr>
        <w:t xml:space="preserve">2.48 </w:t>
      </w:r>
      <w:r>
        <w:rPr>
          <w:rFonts w:ascii="Arial" w:cs="Arial" w:eastAsia="Arial" w:hAnsi="Arial"/>
          <w:sz w:val="18"/>
          <w:szCs w:val="18"/>
          <w:i w:val="1"/>
          <w:iCs w:val="1"/>
          <w:color w:val="auto"/>
        </w:rPr>
        <w:t>Subsidiary</w:t>
      </w:r>
      <w:r>
        <w:rPr>
          <w:rFonts w:ascii="Arial" w:cs="Arial" w:eastAsia="Arial" w:hAnsi="Arial"/>
          <w:sz w:val="18"/>
          <w:szCs w:val="18"/>
          <w:color w:val="auto"/>
        </w:rPr>
        <w:t xml:space="preserve"> means any corporation, business trust, limited liability company, or partnership with respect to which the Company owns, directly or indirectly, (a) more than 50% of the equity interests or partnership interests or (b) Voting Securities representing more than 50% of the aggregate Voting Power of the then-outstanding Voting Securities.</w:t>
      </w:r>
    </w:p>
    <w:p>
      <w:pPr>
        <w:spacing w:after="0" w:line="184" w:lineRule="exact"/>
        <w:rPr>
          <w:sz w:val="20"/>
          <w:szCs w:val="20"/>
          <w:color w:val="auto"/>
        </w:rPr>
      </w:pPr>
    </w:p>
    <w:p>
      <w:pPr>
        <w:ind w:right="40" w:firstLine="270"/>
        <w:spacing w:after="0" w:line="322" w:lineRule="auto"/>
        <w:rPr>
          <w:sz w:val="20"/>
          <w:szCs w:val="20"/>
          <w:color w:val="auto"/>
        </w:rPr>
      </w:pPr>
      <w:r>
        <w:rPr>
          <w:rFonts w:ascii="Arial" w:cs="Arial" w:eastAsia="Arial" w:hAnsi="Arial"/>
          <w:sz w:val="16"/>
          <w:szCs w:val="16"/>
          <w:color w:val="auto"/>
        </w:rPr>
        <w:t xml:space="preserve">2.49 </w:t>
      </w:r>
      <w:r>
        <w:rPr>
          <w:rFonts w:ascii="Arial" w:cs="Arial" w:eastAsia="Arial" w:hAnsi="Arial"/>
          <w:sz w:val="16"/>
          <w:szCs w:val="16"/>
          <w:i w:val="1"/>
          <w:iCs w:val="1"/>
          <w:color w:val="auto"/>
        </w:rPr>
        <w:t>Tandem SAR</w:t>
      </w:r>
      <w:r>
        <w:rPr>
          <w:rFonts w:ascii="Arial" w:cs="Arial" w:eastAsia="Arial" w:hAnsi="Arial"/>
          <w:sz w:val="16"/>
          <w:szCs w:val="16"/>
          <w:color w:val="auto"/>
        </w:rPr>
        <w:t xml:space="preserve"> means an SAR that is granted in connection with a related Option, the exercise of which shall require forfeiture of the right to purchase Stock under the related Option (and when Stock is purchased under the Option, the Tandem SAR shall be similarly canceled).</w:t>
      </w:r>
    </w:p>
    <w:p>
      <w:pPr>
        <w:spacing w:after="0" w:line="127" w:lineRule="exact"/>
        <w:rPr>
          <w:sz w:val="20"/>
          <w:szCs w:val="20"/>
          <w:color w:val="auto"/>
        </w:rPr>
      </w:pPr>
    </w:p>
    <w:p>
      <w:pPr>
        <w:ind w:right="120" w:firstLine="270"/>
        <w:spacing w:after="0" w:line="238" w:lineRule="auto"/>
        <w:rPr>
          <w:sz w:val="20"/>
          <w:szCs w:val="20"/>
          <w:color w:val="auto"/>
        </w:rPr>
      </w:pPr>
      <w:r>
        <w:rPr>
          <w:rFonts w:ascii="Arial" w:cs="Arial" w:eastAsia="Arial" w:hAnsi="Arial"/>
          <w:sz w:val="18"/>
          <w:szCs w:val="18"/>
          <w:color w:val="auto"/>
        </w:rPr>
        <w:t xml:space="preserve">2.50 </w:t>
      </w:r>
      <w:r>
        <w:rPr>
          <w:rFonts w:ascii="Arial" w:cs="Arial" w:eastAsia="Arial" w:hAnsi="Arial"/>
          <w:sz w:val="18"/>
          <w:szCs w:val="18"/>
          <w:i w:val="1"/>
          <w:iCs w:val="1"/>
          <w:color w:val="auto"/>
        </w:rPr>
        <w:t>Termination of Employment</w:t>
      </w:r>
      <w:r>
        <w:rPr>
          <w:rFonts w:ascii="Arial" w:cs="Arial" w:eastAsia="Arial" w:hAnsi="Arial"/>
          <w:sz w:val="18"/>
          <w:szCs w:val="18"/>
          <w:color w:val="auto"/>
        </w:rPr>
        <w:t xml:space="preserve"> occurs the first day on which an individual is for any reason no longer employed by the Company or any of its Subsidiaries, or with respect to an individual who is an Employee of a Subsidiary, the first day on which the Company no longer owns, directly or indirectly, at least 50% of the equity interests or partnership interests in, or Voting Securities possessing at least 50% of the Voting Power of, such Subsidiary. For purposes of the Plan, transfer of employment of a Participant between the Company and any one of its Subsidiaries (or between Subsidiaries) shall not be deemed a termination of employment. Notwithstanding anything herein to the contrary, no issuance of Stock or payment of cash shall be made upon a Termination of Employment with respect to any Award that constitutes deferred compensation for purposes of Section 409A unless the Termination of Employment constitutes a “separation from service” as that term is used in Section 409A(a)(2)(A)(i) of the Code.</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2.51 </w:t>
      </w:r>
      <w:r>
        <w:rPr>
          <w:rFonts w:ascii="Arial" w:cs="Arial" w:eastAsia="Arial" w:hAnsi="Arial"/>
          <w:sz w:val="18"/>
          <w:szCs w:val="18"/>
          <w:i w:val="1"/>
          <w:iCs w:val="1"/>
          <w:color w:val="auto"/>
        </w:rPr>
        <w:t>Unrestricted Stock</w:t>
      </w:r>
      <w:r>
        <w:rPr>
          <w:rFonts w:ascii="Arial" w:cs="Arial" w:eastAsia="Arial" w:hAnsi="Arial"/>
          <w:sz w:val="18"/>
          <w:szCs w:val="18"/>
          <w:color w:val="auto"/>
        </w:rPr>
        <w:t xml:space="preserve"> means an Award of Stock not subject to restrictions described in Article 8 herein.</w:t>
      </w:r>
    </w:p>
    <w:p>
      <w:pPr>
        <w:spacing w:after="0" w:line="211" w:lineRule="exact"/>
        <w:rPr>
          <w:sz w:val="20"/>
          <w:szCs w:val="20"/>
          <w:color w:val="auto"/>
        </w:rPr>
      </w:pPr>
    </w:p>
    <w:p>
      <w:pPr>
        <w:ind w:right="520" w:firstLine="270"/>
        <w:spacing w:after="0" w:line="259" w:lineRule="auto"/>
        <w:rPr>
          <w:sz w:val="20"/>
          <w:szCs w:val="20"/>
          <w:color w:val="auto"/>
        </w:rPr>
      </w:pPr>
      <w:r>
        <w:rPr>
          <w:rFonts w:ascii="Arial" w:cs="Arial" w:eastAsia="Arial" w:hAnsi="Arial"/>
          <w:sz w:val="18"/>
          <w:szCs w:val="18"/>
          <w:color w:val="auto"/>
        </w:rPr>
        <w:t xml:space="preserve">2.52 </w:t>
      </w:r>
      <w:r>
        <w:rPr>
          <w:rFonts w:ascii="Arial" w:cs="Arial" w:eastAsia="Arial" w:hAnsi="Arial"/>
          <w:sz w:val="18"/>
          <w:szCs w:val="18"/>
          <w:i w:val="1"/>
          <w:iCs w:val="1"/>
          <w:color w:val="auto"/>
        </w:rPr>
        <w:t>Voting Power</w:t>
      </w:r>
      <w:r>
        <w:rPr>
          <w:rFonts w:ascii="Arial" w:cs="Arial" w:eastAsia="Arial" w:hAnsi="Arial"/>
          <w:sz w:val="18"/>
          <w:szCs w:val="18"/>
          <w:color w:val="auto"/>
        </w:rPr>
        <w:t xml:space="preserve"> means the combined voting power of the then-outstanding Voting Securities entitled to vote generally in the election of directors.</w:t>
      </w:r>
    </w:p>
    <w:p>
      <w:pPr>
        <w:spacing w:after="0" w:line="174" w:lineRule="exact"/>
        <w:rPr>
          <w:sz w:val="20"/>
          <w:szCs w:val="20"/>
          <w:color w:val="auto"/>
        </w:rPr>
      </w:pPr>
    </w:p>
    <w:p>
      <w:pPr>
        <w:ind w:right="20" w:firstLine="270"/>
        <w:spacing w:after="0" w:line="259" w:lineRule="auto"/>
        <w:rPr>
          <w:sz w:val="20"/>
          <w:szCs w:val="20"/>
          <w:color w:val="auto"/>
        </w:rPr>
      </w:pPr>
      <w:r>
        <w:rPr>
          <w:rFonts w:ascii="Arial" w:cs="Arial" w:eastAsia="Arial" w:hAnsi="Arial"/>
          <w:sz w:val="18"/>
          <w:szCs w:val="18"/>
          <w:color w:val="auto"/>
        </w:rPr>
        <w:t xml:space="preserve">2.53 </w:t>
      </w:r>
      <w:r>
        <w:rPr>
          <w:rFonts w:ascii="Arial" w:cs="Arial" w:eastAsia="Arial" w:hAnsi="Arial"/>
          <w:sz w:val="18"/>
          <w:szCs w:val="18"/>
          <w:i w:val="1"/>
          <w:iCs w:val="1"/>
          <w:color w:val="auto"/>
        </w:rPr>
        <w:t>Voting Securities</w:t>
      </w:r>
      <w:r>
        <w:rPr>
          <w:rFonts w:ascii="Arial" w:cs="Arial" w:eastAsia="Arial" w:hAnsi="Arial"/>
          <w:sz w:val="18"/>
          <w:szCs w:val="18"/>
          <w:color w:val="auto"/>
        </w:rPr>
        <w:t xml:space="preserve"> of a corporation means securities of such corporation that are entitled to vote generally in the election of directors of such corporation.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3. Administration</w:t>
      </w:r>
    </w:p>
    <w:p>
      <w:pPr>
        <w:spacing w:after="0" w:line="215" w:lineRule="exact"/>
        <w:rPr>
          <w:sz w:val="20"/>
          <w:szCs w:val="20"/>
          <w:color w:val="auto"/>
        </w:rPr>
      </w:pPr>
    </w:p>
    <w:p>
      <w:pPr>
        <w:ind w:right="380" w:firstLine="270"/>
        <w:spacing w:after="0" w:line="247"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i w:val="1"/>
          <w:iCs w:val="1"/>
          <w:color w:val="auto"/>
        </w:rPr>
        <w:t>The Committee</w:t>
      </w:r>
      <w:r>
        <w:rPr>
          <w:rFonts w:ascii="Arial" w:cs="Arial" w:eastAsia="Arial" w:hAnsi="Arial"/>
          <w:sz w:val="18"/>
          <w:szCs w:val="18"/>
          <w:color w:val="auto"/>
        </w:rPr>
        <w:t>. The Plan shall be administered by the Compensation and Succession Committee or such other committee (the “Committee”) as the Board of Directors shall select, consisting solely of two or more nonemployee members of the Board. The members of the Committee shall be appointed from time to time by, and shall serve at the discretion of, the Board of Directors.</w:t>
      </w:r>
    </w:p>
    <w:p>
      <w:pPr>
        <w:spacing w:after="0" w:line="184" w:lineRule="exact"/>
        <w:rPr>
          <w:sz w:val="20"/>
          <w:szCs w:val="20"/>
          <w:color w:val="auto"/>
        </w:rPr>
      </w:pPr>
    </w:p>
    <w:p>
      <w:pPr>
        <w:ind w:right="60" w:firstLine="270"/>
        <w:spacing w:after="0" w:line="247"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i w:val="1"/>
          <w:iCs w:val="1"/>
          <w:color w:val="auto"/>
        </w:rPr>
        <w:t>Authority of the Committee</w:t>
      </w:r>
      <w:r>
        <w:rPr>
          <w:rFonts w:ascii="Arial" w:cs="Arial" w:eastAsia="Arial" w:hAnsi="Arial"/>
          <w:sz w:val="18"/>
          <w:szCs w:val="18"/>
          <w:color w:val="auto"/>
        </w:rPr>
        <w:t>. The Committee shall have full power and discretion except as limited by law or the articles of incorporation or the bylaws of the Company, subject to such other restricting limitations or directions as may be imposed by the Board and subject to the provisions herein, to determine the Eligible</w:t>
      </w:r>
    </w:p>
    <w:p>
      <w:pPr>
        <w:spacing w:after="0" w:line="182" w:lineRule="exact"/>
        <w:rPr>
          <w:sz w:val="20"/>
          <w:szCs w:val="20"/>
          <w:color w:val="auto"/>
        </w:rPr>
      </w:pPr>
    </w:p>
    <w:p>
      <w:pPr>
        <w:ind w:left="9640"/>
        <w:spacing w:after="0"/>
        <w:tabs>
          <w:tab w:leader="none" w:pos="11180" w:val="left"/>
        </w:tabs>
        <w:rPr>
          <w:sz w:val="20"/>
          <w:szCs w:val="20"/>
          <w:color w:val="auto"/>
        </w:rPr>
      </w:pPr>
      <w:r>
        <w:rPr>
          <w:rFonts w:ascii="Arial" w:cs="Arial" w:eastAsia="Arial" w:hAnsi="Arial"/>
          <w:sz w:val="13"/>
          <w:szCs w:val="13"/>
          <w:color w:val="105EAB"/>
        </w:rPr>
        <w:t>2019 Proxy Statement</w:t>
      </w:r>
      <w:r>
        <w:rPr>
          <w:sz w:val="20"/>
          <w:szCs w:val="20"/>
          <w:color w:val="auto"/>
        </w:rPr>
        <w:tab/>
      </w:r>
      <w:r>
        <w:rPr>
          <w:rFonts w:ascii="Arial" w:cs="Arial" w:eastAsia="Arial" w:hAnsi="Arial"/>
          <w:sz w:val="13"/>
          <w:szCs w:val="13"/>
          <w:b w:val="1"/>
          <w:bCs w:val="1"/>
          <w:color w:val="105EAB"/>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68210" cy="209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b w:val="1"/>
          <w:bCs w:val="1"/>
          <w:color w:val="105EAB"/>
        </w:rPr>
        <w:t xml:space="preserve">Other Information | </w:t>
      </w:r>
      <w:r>
        <w:rPr>
          <w:rFonts w:ascii="Arial" w:cs="Arial" w:eastAsia="Arial" w:hAnsi="Arial"/>
          <w:sz w:val="13"/>
          <w:szCs w:val="13"/>
          <w:b w:val="1"/>
          <w:bCs w:val="1"/>
          <w:color w:val="000000"/>
        </w:rPr>
        <w:t>Appendix D – 2019 Equity Incentive Plan</w:t>
      </w:r>
    </w:p>
    <w:p>
      <w:pPr>
        <w:spacing w:after="0" w:line="235"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 xml:space="preserve">Persons to receive Awards; to determine when Awards may be granted and to grant Awards under the Plan; to determine the size and types of Awards; to determine all terms and conditions of such Awards; to assess whether Performance Goals have been met; to construe and interpret the Plan and any agreement or instrument entered into under the Plan; to establish, amend, or waive rules and regulations for the Plan’s administration; to amend the terms and conditions of any outstanding Award, including but not limited to amendments with respect to exercisability and non-forfeitability of Awards upon a Termination of Employment; to make such adjustments or modifications to Awards to Participants working outside the United States as are necessary or advisable to fulfill the purposes of the Plan; to accelerate the exercisability of, and to accelerate or waive any or all of the restrictions and conditions applicable to, any Award; and to authorize any action of or make any determination by the Company as the Committee shall deem necessary or advisable for carrying out the purposes of the Plan;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Committee may not amend the terms and conditions of any outstanding Award so as to adversely affect in any material way such Award without the written consent of the Participant holding such Award (or if the Participant is not then living, the Participant’s Beneficiary, personal representative or estate, as applicable), unless such amendment is required by applicable law;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any discretion exercised by the Committee pursuant to Section 4.2 shall not be deemed to adversely affect in any material way an Award. The Committee may designate which employees of Subsidiaries participate in the Plan and may authorize the adoption of foreign sub-plans as provided in Article 14. Further, the Committee shall interpret and make all other determinations which may be necessary or advisable for the administration of the Plan. As permitted by law, the Committee may delegate its authorities as identified hereunder.</w:t>
      </w:r>
    </w:p>
    <w:p>
      <w:pPr>
        <w:spacing w:after="0" w:line="193" w:lineRule="exact"/>
        <w:rPr>
          <w:sz w:val="20"/>
          <w:szCs w:val="20"/>
          <w:color w:val="auto"/>
        </w:rPr>
      </w:pPr>
    </w:p>
    <w:p>
      <w:pPr>
        <w:ind w:right="60" w:firstLine="270"/>
        <w:spacing w:after="0" w:line="238"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i w:val="1"/>
          <w:iCs w:val="1"/>
          <w:color w:val="auto"/>
        </w:rPr>
        <w:t>Delegation of Authority.</w:t>
      </w:r>
      <w:r>
        <w:rPr>
          <w:rFonts w:ascii="Arial" w:cs="Arial" w:eastAsia="Arial" w:hAnsi="Arial"/>
          <w:sz w:val="18"/>
          <w:szCs w:val="18"/>
          <w:color w:val="auto"/>
        </w:rPr>
        <w:t xml:space="preserve"> Notwithstanding the general authority of the Committee to grant Awards under the Plan, the Board may, by resolution, expressly delegate to another committee, established by the Board and consisting of one or more employee or non-employee directors, the authority, within parameters specified by the Board, to determine the Eligible Persons to receive Awards; to determine when Awards may be granted and to grant Awards under the Plan; to determine the size and types of Awards; and to determine the terms and conditions of such Awards;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such committee may not grant Awards to Eligible Persons who (i) are subject to Section 16 of the Exchange Act at the time of grant, or (ii) are at the time of grant, or are anticipated to become during the term of the Award, Covered Employees. Such committee shall report regularly to the Committee, who shall report to the Board, regarding any Awards so granted.</w:t>
      </w:r>
    </w:p>
    <w:p>
      <w:pPr>
        <w:spacing w:after="0" w:line="195" w:lineRule="exact"/>
        <w:rPr>
          <w:sz w:val="20"/>
          <w:szCs w:val="20"/>
          <w:color w:val="auto"/>
        </w:rPr>
      </w:pPr>
    </w:p>
    <w:p>
      <w:pPr>
        <w:ind w:firstLine="270"/>
        <w:spacing w:after="0"/>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i w:val="1"/>
          <w:iCs w:val="1"/>
          <w:color w:val="auto"/>
        </w:rPr>
        <w:t>Delivery of Stock by Company; Restrictions on Stock</w:t>
      </w:r>
      <w:r>
        <w:rPr>
          <w:rFonts w:ascii="Arial" w:cs="Arial" w:eastAsia="Arial" w:hAnsi="Arial"/>
          <w:sz w:val="18"/>
          <w:szCs w:val="18"/>
          <w:color w:val="auto"/>
        </w:rPr>
        <w:t>. Notwithstanding any other provision of the Plan, the Company shall have no liability to deliver any Stock or benefits under the Plan unless the Participant’s tax obligations have been satisfied as set forth in Article 16 and unless such delivery would comply with all applicable laws (including, without limitation, the Code, the Securities Act, and the Exchange Act) and applicable requirements of any securities exchange or similar entity; provided, however, that if the Company cannot deliver any Stock or benefits under the Plan due to such laws or requirements, the Company shall provide equivalent value to any affected Participant.</w:t>
      </w:r>
    </w:p>
    <w:p>
      <w:pPr>
        <w:spacing w:after="0" w:line="211" w:lineRule="exact"/>
        <w:rPr>
          <w:sz w:val="20"/>
          <w:szCs w:val="20"/>
          <w:color w:val="auto"/>
        </w:rPr>
      </w:pPr>
    </w:p>
    <w:p>
      <w:pPr>
        <w:ind w:right="40" w:firstLine="270"/>
        <w:spacing w:after="0" w:line="237" w:lineRule="auto"/>
        <w:rPr>
          <w:sz w:val="20"/>
          <w:szCs w:val="20"/>
          <w:color w:val="auto"/>
        </w:rPr>
      </w:pPr>
      <w:r>
        <w:rPr>
          <w:rFonts w:ascii="Arial" w:cs="Arial" w:eastAsia="Arial" w:hAnsi="Arial"/>
          <w:sz w:val="18"/>
          <w:szCs w:val="18"/>
          <w:color w:val="auto"/>
        </w:rPr>
        <w:t>The Committee may impose such restrictions on any Stock acquired pursuant to Awards under the Plan as it may deem advisable, including, without limitation, restrictions to comply with applicable Federal securities laws, with the requirements of any stock exchange or market upon which such Stock is then listed and/or traded, and with any blue sky or state securities laws applicable to such Stock.</w:t>
      </w:r>
    </w:p>
    <w:p>
      <w:pPr>
        <w:spacing w:after="0" w:line="192" w:lineRule="exact"/>
        <w:rPr>
          <w:sz w:val="20"/>
          <w:szCs w:val="20"/>
          <w:color w:val="auto"/>
        </w:rPr>
      </w:pPr>
    </w:p>
    <w:p>
      <w:pPr>
        <w:ind w:right="20" w:firstLine="270"/>
        <w:spacing w:after="0" w:line="238"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i w:val="1"/>
          <w:iCs w:val="1"/>
          <w:color w:val="auto"/>
        </w:rPr>
        <w:t>Vesting and Post-Vesting Holding Requirements.</w:t>
      </w:r>
      <w:r>
        <w:rPr>
          <w:rFonts w:ascii="Arial" w:cs="Arial" w:eastAsia="Arial" w:hAnsi="Arial"/>
          <w:sz w:val="18"/>
          <w:szCs w:val="18"/>
          <w:color w:val="auto"/>
        </w:rPr>
        <w:t xml:space="preserve"> Notwithstanding anything in the Plan to the contrary, no portion of any Full-Value Awards, Options and SARs granted after July 24, 2018, shall vest based on employment with the Company or its Subsidiaries prior to the first anniversary of the date on which such Award is granted, except in connection with death, Disability, Retirement, Termination of Employment without cause or a Change in Control, and except that up to five percent (5%) of the aggregate number of shares of Stock authorized for issuance under the Plan may be issued pursuant to Full-Value Awards, Options and SARs without regard to the employment vesting requirements of this Section 3.5. In addition, the Committee may impose a mandatory post-vesting holding period on any Awards or shares of Stock received pursuant to Awards made under the Plan, according to the terms and conditions it determines in its sole discretion, and sets forth in the applicable Award Agreement. Any post-vesting holding periods shall lapse in the event of the Participant’s death, Disability, Termination of Employment without cause or a Change in Control.</w:t>
      </w:r>
    </w:p>
    <w:p>
      <w:pPr>
        <w:spacing w:after="0" w:line="190" w:lineRule="exact"/>
        <w:rPr>
          <w:sz w:val="20"/>
          <w:szCs w:val="20"/>
          <w:color w:val="auto"/>
        </w:rPr>
      </w:pPr>
    </w:p>
    <w:p>
      <w:pPr>
        <w:ind w:firstLine="270"/>
        <w:spacing w:after="0" w:line="247"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i w:val="1"/>
          <w:iCs w:val="1"/>
          <w:color w:val="auto"/>
        </w:rPr>
        <w:t>No Repricing or Reload Options.</w:t>
      </w:r>
      <w:r>
        <w:rPr>
          <w:rFonts w:ascii="Arial" w:cs="Arial" w:eastAsia="Arial" w:hAnsi="Arial"/>
          <w:sz w:val="18"/>
          <w:szCs w:val="18"/>
          <w:color w:val="auto"/>
        </w:rPr>
        <w:t xml:space="preserve"> Notwithstanding any provision of the Plan to the contrary, except in connection with a corporate transaction involving the Company (including, without limitation, a Change in Control or the transactions or events described in Section 4.2) the Committee shall not, without the approval of the</w:t>
      </w:r>
    </w:p>
    <w:p>
      <w:pPr>
        <w:spacing w:after="0" w:line="198" w:lineRule="exact"/>
        <w:rPr>
          <w:sz w:val="20"/>
          <w:szCs w:val="20"/>
          <w:color w:val="auto"/>
        </w:rPr>
      </w:pPr>
    </w:p>
    <w:p>
      <w:pPr>
        <w:ind w:left="460" w:hanging="452"/>
        <w:spacing w:after="0"/>
        <w:tabs>
          <w:tab w:leader="none" w:pos="460" w:val="left"/>
        </w:tabs>
        <w:numPr>
          <w:ilvl w:val="0"/>
          <w:numId w:val="262"/>
        </w:numPr>
        <w:rPr>
          <w:rFonts w:ascii="Arial" w:cs="Arial" w:eastAsia="Arial" w:hAnsi="Arial"/>
          <w:sz w:val="13"/>
          <w:szCs w:val="13"/>
          <w:b w:val="1"/>
          <w:bCs w:val="1"/>
          <w:color w:val="105EAB"/>
        </w:rPr>
      </w:pPr>
      <w:r>
        <w:rPr>
          <w:rFonts w:ascii="Arial" w:cs="Arial" w:eastAsia="Arial" w:hAnsi="Arial"/>
          <w:sz w:val="13"/>
          <w:szCs w:val="13"/>
          <w:color w:val="105EAB"/>
        </w:rPr>
        <w:t>www.allstateproxy.com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134620</wp:posOffset>
            </wp:positionV>
            <wp:extent cx="7268210" cy="209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 xml:space="preserve">Appendix D – 2019 Equity Incentive Plan </w:t>
      </w:r>
      <w:r>
        <w:rPr>
          <w:rFonts w:ascii="Arial" w:cs="Arial" w:eastAsia="Arial" w:hAnsi="Arial"/>
          <w:sz w:val="13"/>
          <w:szCs w:val="13"/>
          <w:b w:val="1"/>
          <w:bCs w:val="1"/>
          <w:color w:val="105EAB"/>
        </w:rPr>
        <w:t>| Other Information</w:t>
      </w:r>
    </w:p>
    <w:p>
      <w:pPr>
        <w:spacing w:after="0" w:line="235" w:lineRule="exact"/>
        <w:rPr>
          <w:sz w:val="20"/>
          <w:szCs w:val="20"/>
          <w:color w:val="auto"/>
        </w:rPr>
      </w:pPr>
    </w:p>
    <w:p>
      <w:pPr>
        <w:ind w:right="100"/>
        <w:spacing w:after="0" w:line="270" w:lineRule="auto"/>
        <w:rPr>
          <w:sz w:val="20"/>
          <w:szCs w:val="20"/>
          <w:color w:val="auto"/>
        </w:rPr>
      </w:pPr>
      <w:r>
        <w:rPr>
          <w:rFonts w:ascii="Arial" w:cs="Arial" w:eastAsia="Arial" w:hAnsi="Arial"/>
          <w:sz w:val="16"/>
          <w:szCs w:val="16"/>
          <w:color w:val="auto"/>
        </w:rPr>
        <w:t>Company’s stockholders, (i) reduce the Option Exercise Price of an Option or reduce the Base Value of a SAR after it is granted, (ii) cancel outstanding Options or SARs in exchange for other Awards or Options or SARs with an Option Exercise Price or Base Value, as applicable, that is less than the Option Exercise Price or Base Value of the original Options or SARs, (iii) cancel an outstanding Option or SAR when the Option Exercise Price or Base Value, as applicable, exceeds the Fair Market Value of a share of the Stock in exchange for cash or other securities, or (iv) take any other action with respect to an Option or SAR that would be treated as a repricing under the rules and regulations of the New York Stock Exchange. No Option may be granted to any Participant on account of the use of Stock by the Participant to exercise a prior Option.</w:t>
      </w:r>
    </w:p>
    <w:p>
      <w:pPr>
        <w:spacing w:after="0" w:line="170" w:lineRule="exact"/>
        <w:rPr>
          <w:sz w:val="20"/>
          <w:szCs w:val="20"/>
          <w:color w:val="auto"/>
        </w:rPr>
      </w:pPr>
    </w:p>
    <w:p>
      <w:pPr>
        <w:ind w:right="60" w:firstLine="270"/>
        <w:spacing w:after="0" w:line="238"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i w:val="1"/>
          <w:iCs w:val="1"/>
          <w:color w:val="auto"/>
        </w:rPr>
        <w:t>Change in Control.</w:t>
      </w:r>
      <w:r>
        <w:rPr>
          <w:rFonts w:ascii="Arial" w:cs="Arial" w:eastAsia="Arial" w:hAnsi="Arial"/>
          <w:sz w:val="18"/>
          <w:szCs w:val="18"/>
          <w:color w:val="auto"/>
        </w:rPr>
        <w:t xml:space="preserve"> The Committee may provide in any Award Agreement for provisions relating to a Change in Control, including, without limitation, the acceleration of the exercisability of, or the lapse of restrictions or deemed satisfaction of performance goals with respect to, any outstanding Awards;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with respect to any Award that is continued, assumed or substituted with a substantially equivalent award in connection with a Change in Control, in addition to any conditions provided for in the Award Agreement, any acceleration of the vesting, exercisability of, or the lapse of restrictions or deemed satisfaction of performance goals with respect to any outstanding Awards in connection with a Change in Control may occur only if during the Post-Change Period, (i) the Participant has a Termination of Employment initiated by the Company or any of its Subsidiaries other than for “cause” (as defined in the Award Agreement), death or Disability or (ii) the Participant is a participant in the CIC Plan and the Participant’s Termination of Employment is initiated by the Participant for “good reason” (as defined in the CIC Plan).</w:t>
      </w:r>
    </w:p>
    <w:p>
      <w:pPr>
        <w:spacing w:after="0" w:line="190" w:lineRule="exact"/>
        <w:rPr>
          <w:sz w:val="20"/>
          <w:szCs w:val="20"/>
          <w:color w:val="auto"/>
        </w:rPr>
      </w:pPr>
    </w:p>
    <w:p>
      <w:pPr>
        <w:ind w:right="80" w:firstLine="270"/>
        <w:spacing w:after="0" w:line="243" w:lineRule="auto"/>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i w:val="1"/>
          <w:iCs w:val="1"/>
          <w:color w:val="auto"/>
        </w:rPr>
        <w:t>Decisions Binding</w:t>
      </w:r>
      <w:r>
        <w:rPr>
          <w:rFonts w:ascii="Arial" w:cs="Arial" w:eastAsia="Arial" w:hAnsi="Arial"/>
          <w:sz w:val="18"/>
          <w:szCs w:val="18"/>
          <w:color w:val="auto"/>
        </w:rPr>
        <w:t>. All determinations and decisions made by the Committee pursuant to the provisions of the Plan and all related orders or resolutions of the Board shall be final, conclusive, and binding on all persons, including the Company, its stockholders, Eligible Persons, Employees, Participants, and their Beneficiaries and estates. No member of the Committee shall be liable for any action or determination made in good faith with respect to the Plan or any Award.</w:t>
      </w:r>
    </w:p>
    <w:p>
      <w:pPr>
        <w:spacing w:after="0" w:line="18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i w:val="1"/>
          <w:iCs w:val="1"/>
          <w:color w:val="auto"/>
        </w:rPr>
        <w:t>Costs</w:t>
      </w:r>
      <w:r>
        <w:rPr>
          <w:rFonts w:ascii="Arial" w:cs="Arial" w:eastAsia="Arial" w:hAnsi="Arial"/>
          <w:sz w:val="18"/>
          <w:szCs w:val="18"/>
          <w:color w:val="auto"/>
        </w:rPr>
        <w:t>. The Company shall pay all costs of administration of the Plan.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4. Stock Subject to the Plan</w:t>
      </w:r>
    </w:p>
    <w:p>
      <w:pPr>
        <w:spacing w:after="0" w:line="215" w:lineRule="exact"/>
        <w:rPr>
          <w:sz w:val="20"/>
          <w:szCs w:val="20"/>
          <w:color w:val="auto"/>
        </w:rPr>
      </w:pPr>
    </w:p>
    <w:p>
      <w:pPr>
        <w:ind w:right="60" w:firstLine="270"/>
        <w:spacing w:after="0" w:line="236"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i w:val="1"/>
          <w:iCs w:val="1"/>
          <w:color w:val="auto"/>
        </w:rPr>
        <w:t>Number of Shares</w:t>
      </w:r>
      <w:r>
        <w:rPr>
          <w:rFonts w:ascii="Arial" w:cs="Arial" w:eastAsia="Arial" w:hAnsi="Arial"/>
          <w:sz w:val="18"/>
          <w:szCs w:val="18"/>
          <w:color w:val="auto"/>
        </w:rPr>
        <w:t>. Subject to Section 4.2 herein, the maximum number of shares of Stock available for awards under the Plan shall be 103,630,000 shares (which includes 37,000,000 shares originally provided in the Plan as approved by stockholders in 2001, 12,000,000 shares as approved by stockholders in 2006, 21,380,000 shares as approved by stockholders in 2009, 19,850,000 shares as approved by stockholders in 2013, and 13,400,000 additional shares as approved by stockholders in 2019), plus 6,815,597 shares of Stock remaining for awards pursuant to the terms of The Allstate Corporation Equity Incentive Plan. The number of shares of Stock to which an Award pertains shall be counted against the maximum share limitation of this Section 4.1 as two and one-tenth (2.1) shares of Stock for each Full-Value Award and as one (1) share of Stock for each other type of Award. Shares of Stock underlying lapsed or forfeited Awards of Restricted Stock shall not be treated as having been issued pursuant to an Award under the Plan. Shares of Stock that are potentially deliverable under an Award that expires or is cancelled, forfeited, settled in cash or otherwise settled without delivery of shares of Stock shall not be treated as having been issued under the Plan. With respect to an SAR that is settled in Stock, the full number of shares underlying the exercised portion of the SAR shall be treated as having been issued under the Plan, regardless of the number of shares used to settle the SAR upon exercise. Shares of Stock that are tendered or withheld to satisfy tax withholding obligations related to an Award or to satisfy the Option Exercise Price related to an Option or other Award shall be deemed to be shares of Stock issued under the Plan. If, before June 30, 2003, the Option Exercise Price was satisfied by tendering Stock, only the number of shares issued net of the shares tendered shall be deemed issued under the Plan. For avoidance of doubt, if a share of Stock that underlies an Award other than a Full-Value Award was counted against the maximum share limitation of this Section 4.1 and pursuant to this Section 4.1 subsequently is treated as having not been issued under the Plan, the maximum share limitation of this Section 4.1 shall be credited with one share of Stock, and if a share of Stock pertaining to a Full-Value Award was counted against the maximum share limitation of this Section 4.1 and pursuant to this Section 4.1 subsequently is treated as having not been issued under the Plan, the maximum share limitation of this Section 4.1 shall be credited with 2.1 shares of Stock. Stock granted pursuant to the Plan may be (i) authorized but unissued shares of common stock or (ii) treasury stock.</w:t>
      </w:r>
    </w:p>
    <w:p>
      <w:pPr>
        <w:spacing w:after="0" w:line="190" w:lineRule="exact"/>
        <w:rPr>
          <w:sz w:val="20"/>
          <w:szCs w:val="20"/>
          <w:color w:val="auto"/>
        </w:rPr>
      </w:pPr>
    </w:p>
    <w:p>
      <w:pPr>
        <w:ind w:left="9640"/>
        <w:spacing w:after="0"/>
        <w:tabs>
          <w:tab w:leader="none" w:pos="11180" w:val="left"/>
        </w:tabs>
        <w:rPr>
          <w:sz w:val="20"/>
          <w:szCs w:val="20"/>
          <w:color w:val="auto"/>
        </w:rPr>
      </w:pPr>
      <w:r>
        <w:rPr>
          <w:rFonts w:ascii="Arial" w:cs="Arial" w:eastAsia="Arial" w:hAnsi="Arial"/>
          <w:sz w:val="13"/>
          <w:szCs w:val="13"/>
          <w:color w:val="105EAB"/>
        </w:rPr>
        <w:t>2019 Proxy Statement</w:t>
      </w:r>
      <w:r>
        <w:rPr>
          <w:sz w:val="20"/>
          <w:szCs w:val="20"/>
          <w:color w:val="auto"/>
        </w:rPr>
        <w:tab/>
      </w:r>
      <w:r>
        <w:rPr>
          <w:rFonts w:ascii="Arial" w:cs="Arial" w:eastAsia="Arial" w:hAnsi="Arial"/>
          <w:sz w:val="13"/>
          <w:szCs w:val="13"/>
          <w:b w:val="1"/>
          <w:bCs w:val="1"/>
          <w:color w:val="105EAB"/>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68210" cy="209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b w:val="1"/>
          <w:bCs w:val="1"/>
          <w:color w:val="105EAB"/>
        </w:rPr>
        <w:t xml:space="preserve">Other Information | </w:t>
      </w:r>
      <w:r>
        <w:rPr>
          <w:rFonts w:ascii="Arial" w:cs="Arial" w:eastAsia="Arial" w:hAnsi="Arial"/>
          <w:sz w:val="13"/>
          <w:szCs w:val="13"/>
          <w:b w:val="1"/>
          <w:bCs w:val="1"/>
          <w:color w:val="000000"/>
        </w:rPr>
        <w:t>Appendix D – 2019 Equity Incentive Plan</w:t>
      </w:r>
    </w:p>
    <w:p>
      <w:pPr>
        <w:spacing w:after="0" w:line="217" w:lineRule="exact"/>
        <w:rPr>
          <w:sz w:val="20"/>
          <w:szCs w:val="20"/>
          <w:color w:val="auto"/>
        </w:rPr>
      </w:pPr>
    </w:p>
    <w:p>
      <w:pPr>
        <w:ind w:right="100" w:firstLine="270"/>
        <w:spacing w:after="0" w:line="236"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i w:val="1"/>
          <w:iCs w:val="1"/>
          <w:color w:val="auto"/>
        </w:rPr>
        <w:t>Adjustments in Authorized Stock and Awards</w:t>
      </w:r>
      <w:r>
        <w:rPr>
          <w:rFonts w:ascii="Arial" w:cs="Arial" w:eastAsia="Arial" w:hAnsi="Arial"/>
          <w:sz w:val="18"/>
          <w:szCs w:val="18"/>
          <w:color w:val="auto"/>
        </w:rPr>
        <w:t>. In the event of any equity restructuring (within the meaning of Financial Accounting Standards Board Accounting Standards Codification (ASC) Topic 718) that causes the per share value of shares of Stock to change, such as a stock dividend, stock split, spin off, rights offering, or recapitalization through a large, nonrecurring cash dividend, the Committee shall cause there to be made an equitable adjustment to (i) the number and kind of shares of Stock available for grant under the Plan, (ii) the number of shares of Stock or Awards that may be granted to any individual under the Plan or that may be granted pursuant to the Plan, any Articles or any type of Award, and (iii) the number and kind of shares of Stock or units subject to and the Option Exercise Price or Base Value (if applicable) of any then outstanding Awards of or related to shares of Stock. In the event of any other change in corporate capitalization, such as a merger, consolidation, any reorganization (whether or not such reorganization comes within the definition of such term in Section 368 of the Code) or any partial or complete liquidation of the Company, such equitable adjustments described in the foregoing sentence shall be made as may be determined to be appropriate and equitable by the Committee, in its sole discretion, to prevent dilution or enlargement of rights. In either case, any such adjustment shall be final, conclusive and binding for all purposes of the Plan. Unless otherwise determined by the Board upon recommendation of the Committee, the number of shares of Stock subject to an Award shall always be a whole number. Notwithstanding the foregoing, (i) each such adjustment with respect to an Incentive Stock Option shall comply with the rules of Section 424(a) of the Code and (ii) in no event shall any adjustment be made which would render any Incentive Stock Option granted hereunder to be other than an incentive stock option for purposes of Section 422 of the Code.</w:t>
      </w:r>
    </w:p>
    <w:p>
      <w:pPr>
        <w:spacing w:after="0" w:line="198" w:lineRule="exact"/>
        <w:rPr>
          <w:sz w:val="20"/>
          <w:szCs w:val="20"/>
          <w:color w:val="auto"/>
        </w:rPr>
      </w:pPr>
    </w:p>
    <w:p>
      <w:pPr>
        <w:ind w:firstLine="270"/>
        <w:spacing w:after="0" w:line="237"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i w:val="1"/>
          <w:iCs w:val="1"/>
          <w:color w:val="auto"/>
        </w:rPr>
        <w:t>Award Limitations</w:t>
      </w:r>
      <w:r>
        <w:rPr>
          <w:rFonts w:ascii="Arial" w:cs="Arial" w:eastAsia="Arial" w:hAnsi="Arial"/>
          <w:sz w:val="18"/>
          <w:szCs w:val="18"/>
          <w:color w:val="auto"/>
        </w:rPr>
        <w:t>. Subject to Section 4.2 above, the following limitations shall apply to Awards intended to qualify as Performance-Based Compensation: (i) the total number of shares of Stock with respect to which Options or SARs may be granted in any calendar year to any Eligible Person shall not exceed 4,000,000 shares; (ii) the total number of shares of Qualified Restricted Stock or Qualified Restricted Stock Units that may be granted in any calendar year to any Eligible Person shall not exceed 3,000,000 shares or Units, as the case may be; (iii) the total number of shares of Performance Stock that may be granted in any calendar year to any Eligible Person shall not exceed 4,000,000 shares and the maximum amount that may be paid pursuant to Performance Units granted in any one calendar year to any Eligible Person shall not exceed $10,000,000; (iv) the total number of shares of Stock granted pursuant to Article 10 herein in any calendar year to any Eligible Person shall not exceed 4,000,000 shares; (v) the total cash Award that may be paid pursuant to an Award granted under Article 10 herein in any calendar year to any Eligible Person shall not exceed $10,000,000; and (vi) the aggregate value of cash dividends (other than large, nonrecurring cash dividends) or Dividend Equivalents that a Participant may receive in any calendar year shall not exceed $11,500,000.</w:t>
      </w:r>
    </w:p>
    <w:p>
      <w:pPr>
        <w:spacing w:after="0" w:line="213" w:lineRule="exact"/>
        <w:rPr>
          <w:sz w:val="20"/>
          <w:szCs w:val="20"/>
          <w:color w:val="auto"/>
        </w:rPr>
      </w:pPr>
    </w:p>
    <w:p>
      <w:pPr>
        <w:ind w:right="680" w:firstLine="270"/>
        <w:spacing w:after="0" w:line="239" w:lineRule="auto"/>
        <w:rPr>
          <w:sz w:val="20"/>
          <w:szCs w:val="20"/>
          <w:color w:val="auto"/>
        </w:rPr>
      </w:pPr>
      <w:r>
        <w:rPr>
          <w:rFonts w:ascii="Arial" w:cs="Arial" w:eastAsia="Arial" w:hAnsi="Arial"/>
          <w:sz w:val="18"/>
          <w:szCs w:val="18"/>
          <w:color w:val="auto"/>
        </w:rPr>
        <w:t>Subject to Section 4.2 above, the maximum number of shares of Stock that may be issued pursuant to Incentive Stock Options shall be 5,500,000 shares.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5. Eligibility and Participation</w:t>
      </w:r>
    </w:p>
    <w:p>
      <w:pPr>
        <w:spacing w:after="0" w:line="215" w:lineRule="exact"/>
        <w:rPr>
          <w:sz w:val="20"/>
          <w:szCs w:val="20"/>
          <w:color w:val="auto"/>
        </w:rPr>
      </w:pPr>
    </w:p>
    <w:p>
      <w:pPr>
        <w:ind w:right="780" w:firstLine="270"/>
        <w:spacing w:after="0" w:line="259"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i w:val="1"/>
          <w:iCs w:val="1"/>
          <w:color w:val="auto"/>
        </w:rPr>
        <w:t>Eligibility</w:t>
      </w:r>
      <w:r>
        <w:rPr>
          <w:rFonts w:ascii="Arial" w:cs="Arial" w:eastAsia="Arial" w:hAnsi="Arial"/>
          <w:sz w:val="18"/>
          <w:szCs w:val="18"/>
          <w:color w:val="auto"/>
        </w:rPr>
        <w:t>. Persons eligible to participate in the Plan (“Eligible Persons”) are all Employees of the Company and its Subsidiaries, as determined by the Committee.</w:t>
      </w:r>
    </w:p>
    <w:p>
      <w:pPr>
        <w:spacing w:after="0" w:line="174" w:lineRule="exact"/>
        <w:rPr>
          <w:sz w:val="20"/>
          <w:szCs w:val="20"/>
          <w:color w:val="auto"/>
        </w:rPr>
      </w:pPr>
    </w:p>
    <w:p>
      <w:pPr>
        <w:ind w:right="280" w:firstLine="270"/>
        <w:spacing w:after="0" w:line="259"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i w:val="1"/>
          <w:iCs w:val="1"/>
          <w:color w:val="auto"/>
        </w:rPr>
        <w:t>Actual Participation</w:t>
      </w:r>
      <w:r>
        <w:rPr>
          <w:rFonts w:ascii="Arial" w:cs="Arial" w:eastAsia="Arial" w:hAnsi="Arial"/>
          <w:sz w:val="18"/>
          <w:szCs w:val="18"/>
          <w:color w:val="auto"/>
        </w:rPr>
        <w:t>. Subject to the provisions of the Plan, the Committee may, from time to time, select from all Eligible Persons those to whom Awards shall be granted.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6. Stock Options</w:t>
      </w:r>
    </w:p>
    <w:p>
      <w:pPr>
        <w:spacing w:after="0" w:line="215" w:lineRule="exact"/>
        <w:rPr>
          <w:sz w:val="20"/>
          <w:szCs w:val="20"/>
          <w:color w:val="auto"/>
        </w:rPr>
      </w:pPr>
    </w:p>
    <w:p>
      <w:pPr>
        <w:ind w:right="180" w:firstLine="270"/>
        <w:spacing w:after="0" w:line="259"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i w:val="1"/>
          <w:iCs w:val="1"/>
          <w:color w:val="auto"/>
        </w:rPr>
        <w:t>Grant of Options</w:t>
      </w:r>
      <w:r>
        <w:rPr>
          <w:rFonts w:ascii="Arial" w:cs="Arial" w:eastAsia="Arial" w:hAnsi="Arial"/>
          <w:sz w:val="18"/>
          <w:szCs w:val="18"/>
          <w:color w:val="auto"/>
        </w:rPr>
        <w:t>. Subject to the terms and conditions of the Plan, Options may be granted to an Eligible Person at any time and from time to time, as shall be determined by the Committee.</w:t>
      </w:r>
    </w:p>
    <w:p>
      <w:pPr>
        <w:spacing w:after="0" w:line="192" w:lineRule="exact"/>
        <w:rPr>
          <w:sz w:val="20"/>
          <w:szCs w:val="20"/>
          <w:color w:val="auto"/>
        </w:rPr>
      </w:pPr>
    </w:p>
    <w:p>
      <w:pPr>
        <w:jc w:val="both"/>
        <w:ind w:right="60" w:firstLine="270"/>
        <w:spacing w:after="0" w:line="237" w:lineRule="auto"/>
        <w:rPr>
          <w:sz w:val="20"/>
          <w:szCs w:val="20"/>
          <w:color w:val="auto"/>
        </w:rPr>
      </w:pPr>
      <w:r>
        <w:rPr>
          <w:rFonts w:ascii="Arial" w:cs="Arial" w:eastAsia="Arial" w:hAnsi="Arial"/>
          <w:sz w:val="18"/>
          <w:szCs w:val="18"/>
          <w:color w:val="auto"/>
        </w:rPr>
        <w:t>The Committee shall have complete discretion in determining the number of shares of Stock subject to Options granted to each Eligible Person (subject to Article 4 herein) and, consistent with the provisions of the Plan, in determining the terms and conditions pertaining to such Options. The Committee may grant ISOs, NQSOs, or a combination thereof.</w:t>
      </w:r>
    </w:p>
    <w:p>
      <w:pPr>
        <w:spacing w:after="0" w:line="192" w:lineRule="exact"/>
        <w:rPr>
          <w:sz w:val="20"/>
          <w:szCs w:val="20"/>
          <w:color w:val="auto"/>
        </w:rPr>
      </w:pPr>
    </w:p>
    <w:p>
      <w:pPr>
        <w:jc w:val="both"/>
        <w:ind w:right="460" w:firstLine="270"/>
        <w:spacing w:after="0" w:line="24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i w:val="1"/>
          <w:iCs w:val="1"/>
          <w:color w:val="auto"/>
        </w:rPr>
        <w:t>Option Award Agreement</w:t>
      </w:r>
      <w:r>
        <w:rPr>
          <w:rFonts w:ascii="Arial" w:cs="Arial" w:eastAsia="Arial" w:hAnsi="Arial"/>
          <w:sz w:val="18"/>
          <w:szCs w:val="18"/>
          <w:color w:val="auto"/>
        </w:rPr>
        <w:t>. Each Option grant shall be evidenced by an Option Award Agreement that shall specify the Option Exercise Price, the term of the Option (which shall not be greater than ten (10) years), the number of shares of Stock to which the Option pertains, the Exercise Period, and such other provisions as the</w:t>
      </w:r>
    </w:p>
    <w:p>
      <w:pPr>
        <w:spacing w:after="0" w:line="198" w:lineRule="exact"/>
        <w:rPr>
          <w:sz w:val="20"/>
          <w:szCs w:val="20"/>
          <w:color w:val="auto"/>
        </w:rPr>
      </w:pPr>
    </w:p>
    <w:p>
      <w:pPr>
        <w:ind w:left="460" w:hanging="452"/>
        <w:spacing w:after="0"/>
        <w:tabs>
          <w:tab w:leader="none" w:pos="460" w:val="left"/>
        </w:tabs>
        <w:numPr>
          <w:ilvl w:val="0"/>
          <w:numId w:val="263"/>
        </w:numPr>
        <w:rPr>
          <w:rFonts w:ascii="Arial" w:cs="Arial" w:eastAsia="Arial" w:hAnsi="Arial"/>
          <w:sz w:val="13"/>
          <w:szCs w:val="13"/>
          <w:b w:val="1"/>
          <w:bCs w:val="1"/>
          <w:color w:val="105EAB"/>
        </w:rPr>
      </w:pPr>
      <w:r>
        <w:rPr>
          <w:rFonts w:ascii="Arial" w:cs="Arial" w:eastAsia="Arial" w:hAnsi="Arial"/>
          <w:sz w:val="13"/>
          <w:szCs w:val="13"/>
          <w:color w:val="105EAB"/>
        </w:rPr>
        <w:t>www.allstateproxy.com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134620</wp:posOffset>
            </wp:positionV>
            <wp:extent cx="7268210" cy="209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 xml:space="preserve">Appendix D – 2019 Equity Incentive Plan </w:t>
      </w:r>
      <w:r>
        <w:rPr>
          <w:rFonts w:ascii="Arial" w:cs="Arial" w:eastAsia="Arial" w:hAnsi="Arial"/>
          <w:sz w:val="13"/>
          <w:szCs w:val="13"/>
          <w:b w:val="1"/>
          <w:bCs w:val="1"/>
          <w:color w:val="105EAB"/>
        </w:rPr>
        <w:t>| Other Information</w:t>
      </w:r>
    </w:p>
    <w:p>
      <w:pPr>
        <w:spacing w:after="0" w:line="235" w:lineRule="exact"/>
        <w:rPr>
          <w:sz w:val="20"/>
          <w:szCs w:val="20"/>
          <w:color w:val="auto"/>
        </w:rPr>
      </w:pPr>
    </w:p>
    <w:p>
      <w:pPr>
        <w:jc w:val="both"/>
        <w:ind w:right="140"/>
        <w:spacing w:after="0" w:line="237" w:lineRule="auto"/>
        <w:rPr>
          <w:sz w:val="20"/>
          <w:szCs w:val="20"/>
          <w:color w:val="auto"/>
        </w:rPr>
      </w:pPr>
      <w:r>
        <w:rPr>
          <w:rFonts w:ascii="Arial" w:cs="Arial" w:eastAsia="Arial" w:hAnsi="Arial"/>
          <w:sz w:val="18"/>
          <w:szCs w:val="18"/>
          <w:color w:val="auto"/>
        </w:rPr>
        <w:t>Committee shall determine, including but not limited to special provisions relating to a Change in Control. The Option Award Agreement shall also specify whether the Option is intended to be an ISO or NQSO. The Option Exercise Price shall not be less than 100% of the Fair Market Value of the Stock on the date of grant. No Dividend Equivalents shall be provided with respect to Options.</w:t>
      </w:r>
    </w:p>
    <w:p>
      <w:pPr>
        <w:spacing w:after="0" w:line="192" w:lineRule="exact"/>
        <w:rPr>
          <w:sz w:val="20"/>
          <w:szCs w:val="20"/>
          <w:color w:val="auto"/>
        </w:rPr>
      </w:pPr>
    </w:p>
    <w:p>
      <w:pPr>
        <w:ind w:right="580" w:firstLine="270"/>
        <w:spacing w:after="0" w:line="259"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i w:val="1"/>
          <w:iCs w:val="1"/>
          <w:color w:val="auto"/>
        </w:rPr>
        <w:t>Exercise of and Payment for Options</w:t>
      </w:r>
      <w:r>
        <w:rPr>
          <w:rFonts w:ascii="Arial" w:cs="Arial" w:eastAsia="Arial" w:hAnsi="Arial"/>
          <w:sz w:val="18"/>
          <w:szCs w:val="18"/>
          <w:color w:val="auto"/>
        </w:rPr>
        <w:t>. Options granted under the Plan shall be exercisable at such times and shall be subject to such restrictions and conditions as the Committee shall in each instance approve.</w:t>
      </w:r>
    </w:p>
    <w:p>
      <w:pPr>
        <w:spacing w:after="0" w:line="192" w:lineRule="exact"/>
        <w:rPr>
          <w:sz w:val="20"/>
          <w:szCs w:val="20"/>
          <w:color w:val="auto"/>
        </w:rPr>
      </w:pPr>
    </w:p>
    <w:p>
      <w:pPr>
        <w:ind w:right="80" w:firstLine="270"/>
        <w:spacing w:after="0" w:line="236" w:lineRule="auto"/>
        <w:rPr>
          <w:sz w:val="20"/>
          <w:szCs w:val="20"/>
          <w:color w:val="auto"/>
        </w:rPr>
      </w:pPr>
      <w:r>
        <w:rPr>
          <w:rFonts w:ascii="Arial" w:cs="Arial" w:eastAsia="Arial" w:hAnsi="Arial"/>
          <w:sz w:val="18"/>
          <w:szCs w:val="18"/>
          <w:color w:val="auto"/>
        </w:rPr>
        <w:t>A Participant may exercise an Option at any time during the Exercise Period. Options shall be exercised by the delivery of a written notice of exercise to the Company, or such method acceptable to the Company, setting forth the number of shares of Stock with respect to which the Option is to be exercised, accompanied by provision for full payment of the Stock. Notwithstanding anything to the contrary herein, in the event that the final date on which any Option would otherwise be exercisable in accordance with the provisions of this Plan is not a Business Day, the day on which such Option may be exercised is the last Business Day immediately preceding such date.</w:t>
      </w:r>
    </w:p>
    <w:p>
      <w:pPr>
        <w:spacing w:after="0" w:line="210" w:lineRule="exact"/>
        <w:rPr>
          <w:sz w:val="20"/>
          <w:szCs w:val="20"/>
          <w:color w:val="auto"/>
        </w:rPr>
      </w:pPr>
    </w:p>
    <w:p>
      <w:pPr>
        <w:ind w:right="40" w:firstLine="270"/>
        <w:spacing w:after="0" w:line="237" w:lineRule="auto"/>
        <w:rPr>
          <w:sz w:val="20"/>
          <w:szCs w:val="20"/>
          <w:color w:val="auto"/>
        </w:rPr>
      </w:pPr>
      <w:r>
        <w:rPr>
          <w:rFonts w:ascii="Arial" w:cs="Arial" w:eastAsia="Arial" w:hAnsi="Arial"/>
          <w:sz w:val="18"/>
          <w:szCs w:val="18"/>
          <w:color w:val="auto"/>
        </w:rPr>
        <w:t>The Option Exercise Price shall be payable in the discretion of the Committee: (i) in cash or its equivalent, (ii) by tendering (by actual delivery of shares or by attestation) previously acquired Stock (owned for at least six months) having an aggregate Fair Market Value at the time of exercise equal to the total Option Exercise Price, (iii) by broker-assisted cashless exercise, (iv) with respect to Options granted on and after May 16, 2006, by share withholding, or (v) by a combination of (i), (ii), (iii) and/or (iv).</w:t>
      </w:r>
    </w:p>
    <w:p>
      <w:pPr>
        <w:spacing w:after="0" w:line="20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Options may not be exercised for less than 25 shares of Stock unless the exercise represents the entire remaining balance of the Award.</w:t>
      </w:r>
    </w:p>
    <w:p>
      <w:pPr>
        <w:spacing w:after="0" w:line="21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Stock received upon exercise of an Option may be granted subject to restrictions deemed appropriate by the Committee.</w:t>
      </w:r>
    </w:p>
    <w:p>
      <w:pPr>
        <w:spacing w:after="0" w:line="193" w:lineRule="exact"/>
        <w:rPr>
          <w:sz w:val="20"/>
          <w:szCs w:val="20"/>
          <w:color w:val="auto"/>
        </w:rPr>
      </w:pPr>
    </w:p>
    <w:p>
      <w:pPr>
        <w:ind w:right="140" w:firstLine="270"/>
        <w:spacing w:after="0" w:line="243"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i w:val="1"/>
          <w:iCs w:val="1"/>
          <w:color w:val="auto"/>
        </w:rPr>
        <w:t>Termination</w:t>
      </w:r>
      <w:r>
        <w:rPr>
          <w:rFonts w:ascii="Arial" w:cs="Arial" w:eastAsia="Arial" w:hAnsi="Arial"/>
          <w:sz w:val="18"/>
          <w:szCs w:val="18"/>
          <w:color w:val="auto"/>
        </w:rPr>
        <w:t>. Each Option Award Agreement shall set forth the extent to which the Participant shall have the right to exercise the Option upon Termination of Employment. Such provisions shall be determined in the sole discretion of the Committee (subject to applicable law), shall be included in the Option Award Agreement entered into with Participants, need not be uniform among all Options granted pursuant to the Plan or among Participants and may reflect distinctions based on the reasons for termination.</w:t>
      </w:r>
    </w:p>
    <w:p>
      <w:pPr>
        <w:spacing w:after="0" w:line="20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To the extent the Option Award Agreement does not set forth termination provisions, the provisions of Article 13 shall control.</w:t>
      </w:r>
    </w:p>
    <w:p>
      <w:pPr>
        <w:spacing w:after="0" w:line="193" w:lineRule="exact"/>
        <w:rPr>
          <w:sz w:val="20"/>
          <w:szCs w:val="20"/>
          <w:color w:val="auto"/>
        </w:rPr>
      </w:pPr>
    </w:p>
    <w:p>
      <w:pPr>
        <w:ind w:right="60" w:firstLine="270"/>
        <w:spacing w:after="0" w:line="237"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i w:val="1"/>
          <w:iCs w:val="1"/>
          <w:color w:val="auto"/>
        </w:rPr>
        <w:t>Transferability of Options</w:t>
      </w:r>
      <w:r>
        <w:rPr>
          <w:rFonts w:ascii="Arial" w:cs="Arial" w:eastAsia="Arial" w:hAnsi="Arial"/>
          <w:sz w:val="18"/>
          <w:szCs w:val="18"/>
          <w:color w:val="auto"/>
        </w:rPr>
        <w:t>. Except as otherwise determined by the Committee, all Options granted to a Participant under the Plan shall be exercisable during his or her lifetime only by such Participant or his or her legal representative, and no Option granted under the Plan may be sold, transferred, pledged, assigned, or otherwise alienated or hypothecated, other than by will or by the laws of descent and distribution. ISOs are not transferable other than by will or by the laws of descent and distribution. The Committee shall have the authority, in its discretion, to grant (or to sanction by way of amendment to an existing Award) Nonqualified Stock Options, the vested portions of which may be transferred by the Participant during his lifetime to any Family Member or pursuant to a domestic relations order. A transfer of an Option pursuant hereto may only be effected by the Company at the written request of a Participant and shall become effective only when recorded in the Company’s record of outstanding Options. A transferred Option shall continue to be governed by and subject to the terms and limitations of the Plan and the relevant Award Agreement, and the transferee shall be entitled to the same rights as the Participant, as if no transfer had taken place. In no event shall an Option be transferred for consideration or transferred to a third-party financial institution.</w:t>
      </w:r>
    </w:p>
    <w:p>
      <w:pPr>
        <w:spacing w:after="0" w:line="19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i w:val="1"/>
          <w:iCs w:val="1"/>
          <w:color w:val="auto"/>
        </w:rPr>
        <w:t>Designation of Beneficiary.</w:t>
      </w:r>
    </w:p>
    <w:p>
      <w:pPr>
        <w:spacing w:after="0" w:line="225" w:lineRule="exact"/>
        <w:rPr>
          <w:sz w:val="20"/>
          <w:szCs w:val="20"/>
          <w:color w:val="auto"/>
        </w:rPr>
      </w:pPr>
    </w:p>
    <w:p>
      <w:pPr>
        <w:ind w:left="540" w:hanging="262"/>
        <w:spacing w:after="0"/>
        <w:tabs>
          <w:tab w:leader="none" w:pos="54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Each Participant may designate a Beneficiary who shall have the right to exercise the Option in the event of the Participant’s death.</w:t>
      </w:r>
    </w:p>
    <w:p>
      <w:pPr>
        <w:jc w:val="both"/>
        <w:ind w:right="200"/>
        <w:spacing w:after="0" w:line="237" w:lineRule="auto"/>
        <w:rPr>
          <w:rFonts w:ascii="Arial" w:cs="Arial" w:eastAsia="Arial" w:hAnsi="Arial"/>
          <w:sz w:val="18"/>
          <w:szCs w:val="18"/>
          <w:color w:val="auto"/>
        </w:rPr>
      </w:pPr>
      <w:r>
        <w:rPr>
          <w:rFonts w:ascii="Arial" w:cs="Arial" w:eastAsia="Arial" w:hAnsi="Arial"/>
          <w:sz w:val="18"/>
          <w:szCs w:val="18"/>
          <w:color w:val="auto"/>
        </w:rPr>
        <w:t>Participants shall designate a Beneficiary by executing a Beneficiary Designation Form. A Beneficiary designation is not binding on the Company unless it receives a properly completed Beneficiary Designation Form prior to the Participant’s death. If no designation is made or no designated Beneficiary is alive (or in the case of an entity designated as a Beneficiary, in existence) at the time of the</w:t>
      </w:r>
    </w:p>
    <w:p>
      <w:pPr>
        <w:spacing w:after="0" w:line="190" w:lineRule="exact"/>
        <w:rPr>
          <w:sz w:val="20"/>
          <w:szCs w:val="20"/>
          <w:color w:val="auto"/>
        </w:rPr>
      </w:pPr>
    </w:p>
    <w:p>
      <w:pPr>
        <w:ind w:left="9640"/>
        <w:spacing w:after="0"/>
        <w:tabs>
          <w:tab w:leader="none" w:pos="11180" w:val="left"/>
        </w:tabs>
        <w:rPr>
          <w:sz w:val="20"/>
          <w:szCs w:val="20"/>
          <w:color w:val="auto"/>
        </w:rPr>
      </w:pPr>
      <w:r>
        <w:rPr>
          <w:rFonts w:ascii="Arial" w:cs="Arial" w:eastAsia="Arial" w:hAnsi="Arial"/>
          <w:sz w:val="13"/>
          <w:szCs w:val="13"/>
          <w:color w:val="105EAB"/>
        </w:rPr>
        <w:t>2019 Proxy Statement</w:t>
      </w:r>
      <w:r>
        <w:rPr>
          <w:sz w:val="20"/>
          <w:szCs w:val="20"/>
          <w:color w:val="auto"/>
        </w:rPr>
        <w:tab/>
      </w:r>
      <w:r>
        <w:rPr>
          <w:rFonts w:ascii="Arial" w:cs="Arial" w:eastAsia="Arial" w:hAnsi="Arial"/>
          <w:sz w:val="13"/>
          <w:szCs w:val="13"/>
          <w:b w:val="1"/>
          <w:bCs w:val="1"/>
          <w:color w:val="105EAB"/>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68210" cy="209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b w:val="1"/>
          <w:bCs w:val="1"/>
          <w:color w:val="105EAB"/>
        </w:rPr>
        <w:t xml:space="preserve">Other Information | </w:t>
      </w:r>
      <w:r>
        <w:rPr>
          <w:rFonts w:ascii="Arial" w:cs="Arial" w:eastAsia="Arial" w:hAnsi="Arial"/>
          <w:sz w:val="13"/>
          <w:szCs w:val="13"/>
          <w:b w:val="1"/>
          <w:bCs w:val="1"/>
          <w:color w:val="000000"/>
        </w:rPr>
        <w:t>Appendix D – 2019 Equity Incentive Plan</w:t>
      </w:r>
    </w:p>
    <w:p>
      <w:pPr>
        <w:spacing w:after="0" w:line="235"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Participant’s death, the Participant’s spouse or, if no spouse exists, the executor or personal representative of the Participant’s estate shall have the right to exercise the Option. If there is any question as to the legal right of any Beneficiary to exercise the Option under the Plan, the Company may determine in its sole discretion whether to provide the right of exercise to the executor or personal representative of the Participant’s estate. The Company’s determination shall be binding and conclusive on all persons, and it will have no further liability to anyone with respect to such Option.</w:t>
      </w:r>
    </w:p>
    <w:p>
      <w:pPr>
        <w:spacing w:after="0" w:line="210" w:lineRule="exact"/>
        <w:rPr>
          <w:sz w:val="20"/>
          <w:szCs w:val="20"/>
          <w:color w:val="auto"/>
        </w:rPr>
      </w:pPr>
    </w:p>
    <w:p>
      <w:pPr>
        <w:ind w:right="720" w:firstLine="278"/>
        <w:spacing w:after="0" w:line="239" w:lineRule="auto"/>
        <w:tabs>
          <w:tab w:leader="none" w:pos="533" w:val="left"/>
        </w:tabs>
        <w:numPr>
          <w:ilvl w:val="0"/>
          <w:numId w:val="265"/>
        </w:numPr>
        <w:rPr>
          <w:rFonts w:ascii="Arial" w:cs="Arial" w:eastAsia="Arial" w:hAnsi="Arial"/>
          <w:sz w:val="18"/>
          <w:szCs w:val="18"/>
          <w:color w:val="auto"/>
        </w:rPr>
      </w:pPr>
      <w:r>
        <w:rPr>
          <w:rFonts w:ascii="Arial" w:cs="Arial" w:eastAsia="Arial" w:hAnsi="Arial"/>
          <w:sz w:val="18"/>
          <w:szCs w:val="18"/>
          <w:color w:val="auto"/>
        </w:rPr>
        <w:t>A Participant may change an earlier Beneficiary designation by executing a later Beneficiary Designation Form. The execution of a Beneficiary Designation Form revokes and rescinds any prior Beneficiary Designation Form.</w:t>
      </w:r>
    </w:p>
    <w:p>
      <w:pPr>
        <w:spacing w:after="0" w:line="190" w:lineRule="exact"/>
        <w:rPr>
          <w:sz w:val="20"/>
          <w:szCs w:val="20"/>
          <w:color w:val="auto"/>
        </w:rPr>
      </w:pPr>
    </w:p>
    <w:p>
      <w:pPr>
        <w:ind w:right="420" w:firstLine="270"/>
        <w:spacing w:after="0" w:line="243"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i w:val="1"/>
          <w:iCs w:val="1"/>
          <w:color w:val="auto"/>
        </w:rPr>
        <w:t>Automatic Exercise.</w:t>
      </w:r>
      <w:r>
        <w:rPr>
          <w:rFonts w:ascii="Arial" w:cs="Arial" w:eastAsia="Arial" w:hAnsi="Arial"/>
          <w:sz w:val="18"/>
          <w:szCs w:val="18"/>
          <w:color w:val="auto"/>
        </w:rPr>
        <w:t xml:space="preserve"> Any unexercised Option granted on or after May 21, 2013, and before February 19, 2014 will be exercised automatically on behalf of the Participant using broker-assisted cashless exercise or other payment method provided under the Plan at the discretion of the Committee on the Business Day immediately preceding the expiration date of the original term as stated in the Option Award Agreement if:</w:t>
      </w:r>
    </w:p>
    <w:p>
      <w:pPr>
        <w:spacing w:after="0" w:line="205" w:lineRule="exact"/>
        <w:rPr>
          <w:sz w:val="20"/>
          <w:szCs w:val="20"/>
          <w:color w:val="auto"/>
        </w:rPr>
      </w:pPr>
    </w:p>
    <w:p>
      <w:pPr>
        <w:ind w:left="280" w:right="20" w:firstLine="267"/>
        <w:spacing w:after="0" w:line="239" w:lineRule="auto"/>
        <w:tabs>
          <w:tab w:leader="none" w:pos="754" w:val="left"/>
        </w:tabs>
        <w:numPr>
          <w:ilvl w:val="0"/>
          <w:numId w:val="266"/>
        </w:numPr>
        <w:rPr>
          <w:rFonts w:ascii="Arial" w:cs="Arial" w:eastAsia="Arial" w:hAnsi="Arial"/>
          <w:sz w:val="18"/>
          <w:szCs w:val="18"/>
          <w:color w:val="auto"/>
        </w:rPr>
      </w:pPr>
      <w:r>
        <w:rPr>
          <w:rFonts w:ascii="Arial" w:cs="Arial" w:eastAsia="Arial" w:hAnsi="Arial"/>
          <w:sz w:val="18"/>
          <w:szCs w:val="18"/>
          <w:color w:val="auto"/>
        </w:rPr>
        <w:t>the Fair Market Value of a share of Stock exceeds the Option Exercise Price in the applicable Option Award Agreement on that Business Day, and</w:t>
      </w:r>
    </w:p>
    <w:p>
      <w:pPr>
        <w:spacing w:after="0" w:line="208" w:lineRule="exact"/>
        <w:rPr>
          <w:rFonts w:ascii="Arial" w:cs="Arial" w:eastAsia="Arial" w:hAnsi="Arial"/>
          <w:sz w:val="18"/>
          <w:szCs w:val="18"/>
          <w:color w:val="auto"/>
        </w:rPr>
      </w:pPr>
    </w:p>
    <w:p>
      <w:pPr>
        <w:ind w:left="280" w:right="380" w:firstLine="267"/>
        <w:spacing w:after="0" w:line="237" w:lineRule="auto"/>
        <w:tabs>
          <w:tab w:leader="none" w:pos="793" w:val="left"/>
        </w:tabs>
        <w:numPr>
          <w:ilvl w:val="0"/>
          <w:numId w:val="266"/>
        </w:numPr>
        <w:rPr>
          <w:rFonts w:ascii="Arial" w:cs="Arial" w:eastAsia="Arial" w:hAnsi="Arial"/>
          <w:sz w:val="18"/>
          <w:szCs w:val="18"/>
          <w:color w:val="auto"/>
        </w:rPr>
      </w:pPr>
      <w:r>
        <w:rPr>
          <w:rFonts w:ascii="Arial" w:cs="Arial" w:eastAsia="Arial" w:hAnsi="Arial"/>
          <w:sz w:val="18"/>
          <w:szCs w:val="18"/>
          <w:color w:val="auto"/>
        </w:rPr>
        <w:t>the exercise would result in the payment to Participant of at least $.01 or delivery of at least one share of Stock after payment of the exercise price, any applicable fees and commissions, and all applicable withholding taxes (assuming the appropriate minimum statutory withholding rate).</w:t>
      </w:r>
    </w:p>
    <w:p>
      <w:pPr>
        <w:spacing w:after="0" w:line="210" w:lineRule="exact"/>
        <w:rPr>
          <w:sz w:val="20"/>
          <w:szCs w:val="20"/>
          <w:color w:val="auto"/>
        </w:rPr>
      </w:pPr>
    </w:p>
    <w:p>
      <w:pPr>
        <w:jc w:val="both"/>
        <w:ind w:right="80"/>
        <w:spacing w:after="0" w:line="239" w:lineRule="auto"/>
        <w:rPr>
          <w:sz w:val="20"/>
          <w:szCs w:val="20"/>
          <w:color w:val="auto"/>
        </w:rPr>
      </w:pPr>
      <w:r>
        <w:rPr>
          <w:rFonts w:ascii="Arial" w:cs="Arial" w:eastAsia="Arial" w:hAnsi="Arial"/>
          <w:sz w:val="18"/>
          <w:szCs w:val="18"/>
          <w:color w:val="auto"/>
        </w:rPr>
        <w:t>A Participant may elect not to have automatic exercise apply by written notice to the Committee at any time within the six-month period before the automatic exercise day above.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7. Stock Appreciation Rights</w:t>
      </w:r>
    </w:p>
    <w:p>
      <w:pPr>
        <w:spacing w:after="0" w:line="215" w:lineRule="exact"/>
        <w:rPr>
          <w:sz w:val="20"/>
          <w:szCs w:val="20"/>
          <w:color w:val="auto"/>
        </w:rPr>
      </w:pPr>
    </w:p>
    <w:p>
      <w:pPr>
        <w:jc w:val="both"/>
        <w:ind w:right="80" w:firstLine="270"/>
        <w:spacing w:after="0" w:line="247"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i w:val="1"/>
          <w:iCs w:val="1"/>
          <w:color w:val="auto"/>
        </w:rPr>
        <w:t>Grant of SARs</w:t>
      </w:r>
      <w:r>
        <w:rPr>
          <w:rFonts w:ascii="Arial" w:cs="Arial" w:eastAsia="Arial" w:hAnsi="Arial"/>
          <w:sz w:val="18"/>
          <w:szCs w:val="18"/>
          <w:color w:val="auto"/>
        </w:rPr>
        <w:t>. Subject to the terms and conditions of the Plan, an SAR may be granted to an Eligible Person at any time and from time to time as shall be determined by the Committee. The Committee may grant Freestanding SARs, Tandem SARs, or any combination of these forms of SARs.</w:t>
      </w:r>
    </w:p>
    <w:p>
      <w:pPr>
        <w:spacing w:after="0" w:line="202" w:lineRule="exact"/>
        <w:rPr>
          <w:sz w:val="20"/>
          <w:szCs w:val="20"/>
          <w:color w:val="auto"/>
        </w:rPr>
      </w:pPr>
    </w:p>
    <w:p>
      <w:pPr>
        <w:jc w:val="both"/>
        <w:ind w:right="80" w:firstLine="270"/>
        <w:spacing w:after="0" w:line="239" w:lineRule="auto"/>
        <w:rPr>
          <w:sz w:val="20"/>
          <w:szCs w:val="20"/>
          <w:color w:val="auto"/>
        </w:rPr>
      </w:pPr>
      <w:r>
        <w:rPr>
          <w:rFonts w:ascii="Arial" w:cs="Arial" w:eastAsia="Arial" w:hAnsi="Arial"/>
          <w:sz w:val="18"/>
          <w:szCs w:val="18"/>
          <w:color w:val="auto"/>
        </w:rPr>
        <w:t>The Committee shall have complete discretion in determining the number of SARs granted to each Eligible Person (subject to Article 4 herein) and, consistent with the provisions of the Plan, in determining the terms and conditions pertaining to such SARs.</w:t>
      </w:r>
    </w:p>
    <w:p>
      <w:pPr>
        <w:spacing w:after="0" w:line="190" w:lineRule="exact"/>
        <w:rPr>
          <w:sz w:val="20"/>
          <w:szCs w:val="20"/>
          <w:color w:val="auto"/>
        </w:rPr>
      </w:pPr>
    </w:p>
    <w:p>
      <w:pPr>
        <w:ind w:firstLine="270"/>
        <w:spacing w:after="0" w:line="283"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i w:val="1"/>
          <w:iCs w:val="1"/>
          <w:color w:val="auto"/>
        </w:rPr>
        <w:t>SAR Award Agreement</w:t>
      </w:r>
      <w:r>
        <w:rPr>
          <w:rFonts w:ascii="Arial" w:cs="Arial" w:eastAsia="Arial" w:hAnsi="Arial"/>
          <w:sz w:val="16"/>
          <w:szCs w:val="16"/>
          <w:color w:val="auto"/>
        </w:rPr>
        <w:t>. Each SAR award shall be evidenced by an SAR Award Agreement that shall specify the number of SARs granted, the Base Value (which shall not be less than one hundred percent (100%) of the Fair Market Value of a share of Stock on the date of grant), the term of the SAR (which shall not be greater than ten (10) years), the Exercise Period, and such other provisions as the Committee shall determine, including but not limited to special provisions relating to a Change in Control. No Dividend Equivalents shall be provided with respect to SARs.</w:t>
      </w:r>
    </w:p>
    <w:p>
      <w:pPr>
        <w:spacing w:after="0" w:line="157" w:lineRule="exact"/>
        <w:rPr>
          <w:sz w:val="20"/>
          <w:szCs w:val="20"/>
          <w:color w:val="auto"/>
        </w:rPr>
      </w:pPr>
    </w:p>
    <w:p>
      <w:pPr>
        <w:ind w:right="140" w:firstLine="270"/>
        <w:spacing w:after="0" w:line="247"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i w:val="1"/>
          <w:iCs w:val="1"/>
          <w:color w:val="auto"/>
        </w:rPr>
        <w:t>Exercise and Payment of SARs</w:t>
      </w:r>
      <w:r>
        <w:rPr>
          <w:rFonts w:ascii="Arial" w:cs="Arial" w:eastAsia="Arial" w:hAnsi="Arial"/>
          <w:sz w:val="18"/>
          <w:szCs w:val="18"/>
          <w:color w:val="auto"/>
        </w:rPr>
        <w:t>. Tandem SARs may be exercised for all or part of the Stock subject to the related Option upon the surrender of the right to exercise the equivalent portion of the related Option. A Tandem SAR may be exercised only with respect to the shares of Stock for which its related Option is then exercisable.</w:t>
      </w:r>
    </w:p>
    <w:p>
      <w:pPr>
        <w:spacing w:after="0" w:line="202" w:lineRule="exact"/>
        <w:rPr>
          <w:sz w:val="20"/>
          <w:szCs w:val="20"/>
          <w:color w:val="auto"/>
        </w:rPr>
      </w:pPr>
    </w:p>
    <w:p>
      <w:pPr>
        <w:ind w:right="60" w:firstLine="270"/>
        <w:spacing w:after="0" w:line="236" w:lineRule="auto"/>
        <w:rPr>
          <w:sz w:val="20"/>
          <w:szCs w:val="20"/>
          <w:color w:val="auto"/>
        </w:rPr>
      </w:pPr>
      <w:r>
        <w:rPr>
          <w:rFonts w:ascii="Arial" w:cs="Arial" w:eastAsia="Arial" w:hAnsi="Arial"/>
          <w:sz w:val="18"/>
          <w:szCs w:val="18"/>
          <w:color w:val="auto"/>
        </w:rPr>
        <w:t>Notwithstanding any other provision of the Plan to the contrary, with respect to a Tandem SAR granted in connection with an ISO: (i) the Tandem SAR will expire no later than the expiration of the underlying ISO; (ii) the value of the payout with respect to the Tandem SAR may be for no more than one hundred percent (100%) of the difference between the Option Exercise Price of the underlying ISO and the Fair Market Value of the shares of Stock subject to the underlying ISO at the time the Tandem SAR is exercised; (iii) the Tandem SAR may be exercised only when the Fair Market Value of the shares of Stock subject to the ISO exceeds the Option Exercise Price of the ISO; and (iv) the Tandem SAR may be transferred only when the underlying ISO is transferable, and under the same conditions.</w:t>
      </w:r>
    </w:p>
    <w:p>
      <w:pPr>
        <w:spacing w:after="0" w:line="20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Freestanding SARs may be exercised upon whatever terms and conditions the Committee, in its sole discretion, imposes upon them.</w:t>
      </w:r>
    </w:p>
    <w:p>
      <w:pPr>
        <w:spacing w:after="0" w:line="207" w:lineRule="exact"/>
        <w:rPr>
          <w:sz w:val="20"/>
          <w:szCs w:val="20"/>
          <w:color w:val="auto"/>
        </w:rPr>
      </w:pPr>
    </w:p>
    <w:p>
      <w:pPr>
        <w:ind w:left="460" w:hanging="452"/>
        <w:spacing w:after="0"/>
        <w:tabs>
          <w:tab w:leader="none" w:pos="460" w:val="left"/>
        </w:tabs>
        <w:numPr>
          <w:ilvl w:val="0"/>
          <w:numId w:val="267"/>
        </w:numPr>
        <w:rPr>
          <w:rFonts w:ascii="Arial" w:cs="Arial" w:eastAsia="Arial" w:hAnsi="Arial"/>
          <w:sz w:val="13"/>
          <w:szCs w:val="13"/>
          <w:b w:val="1"/>
          <w:bCs w:val="1"/>
          <w:color w:val="105EAB"/>
        </w:rPr>
      </w:pPr>
      <w:r>
        <w:rPr>
          <w:rFonts w:ascii="Arial" w:cs="Arial" w:eastAsia="Arial" w:hAnsi="Arial"/>
          <w:sz w:val="13"/>
          <w:szCs w:val="13"/>
          <w:color w:val="105EAB"/>
        </w:rPr>
        <w:t>www.allstateproxy.com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134620</wp:posOffset>
            </wp:positionV>
            <wp:extent cx="7268210" cy="209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 xml:space="preserve">Appendix D – 2019 Equity Incentive Plan </w:t>
      </w:r>
      <w:r>
        <w:rPr>
          <w:rFonts w:ascii="Arial" w:cs="Arial" w:eastAsia="Arial" w:hAnsi="Arial"/>
          <w:sz w:val="13"/>
          <w:szCs w:val="13"/>
          <w:b w:val="1"/>
          <w:bCs w:val="1"/>
          <w:color w:val="105EAB"/>
        </w:rPr>
        <w:t>| Other Information</w:t>
      </w:r>
    </w:p>
    <w:p>
      <w:pPr>
        <w:spacing w:after="0" w:line="235" w:lineRule="exact"/>
        <w:rPr>
          <w:sz w:val="20"/>
          <w:szCs w:val="20"/>
          <w:color w:val="auto"/>
        </w:rPr>
      </w:pPr>
    </w:p>
    <w:p>
      <w:pPr>
        <w:ind w:right="440" w:firstLine="270"/>
        <w:spacing w:after="0" w:line="237" w:lineRule="auto"/>
        <w:rPr>
          <w:sz w:val="20"/>
          <w:szCs w:val="20"/>
          <w:color w:val="auto"/>
        </w:rPr>
      </w:pPr>
      <w:r>
        <w:rPr>
          <w:rFonts w:ascii="Arial" w:cs="Arial" w:eastAsia="Arial" w:hAnsi="Arial"/>
          <w:sz w:val="18"/>
          <w:szCs w:val="18"/>
          <w:color w:val="auto"/>
        </w:rPr>
        <w:t>A Participant may exercise an SAR at any time during the Exercise Period. SARs shall be exercised by the delivery of a written notice of exercise to the Company, or such method acceptable to the Company, setting forth the number of SARs being exercised. Upon exercise of an SAR, a Participant shall be entitled to receive payment from the Company in an amount equal to the product of:</w:t>
      </w:r>
    </w:p>
    <w:p>
      <w:pPr>
        <w:spacing w:after="0" w:line="210" w:lineRule="exact"/>
        <w:rPr>
          <w:sz w:val="20"/>
          <w:szCs w:val="20"/>
          <w:color w:val="auto"/>
        </w:rPr>
      </w:pPr>
    </w:p>
    <w:p>
      <w:pPr>
        <w:ind w:left="820" w:hanging="273"/>
        <w:spacing w:after="0"/>
        <w:tabs>
          <w:tab w:leader="none" w:pos="82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the excess of (i) the Fair Market Value of a share of Stock on the date of exercise over (ii) the Base Value multiplied by</w:t>
      </w:r>
    </w:p>
    <w:p>
      <w:pPr>
        <w:spacing w:after="0" w:line="211" w:lineRule="exact"/>
        <w:rPr>
          <w:rFonts w:ascii="Arial" w:cs="Arial" w:eastAsia="Arial" w:hAnsi="Arial"/>
          <w:sz w:val="18"/>
          <w:szCs w:val="18"/>
          <w:color w:val="auto"/>
        </w:rPr>
      </w:pPr>
    </w:p>
    <w:p>
      <w:pPr>
        <w:ind w:left="820" w:hanging="273"/>
        <w:spacing w:after="0"/>
        <w:tabs>
          <w:tab w:leader="none" w:pos="82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the number of shares of Stock with respect to which the SAR is exercised.</w:t>
      </w:r>
    </w:p>
    <w:p>
      <w:pPr>
        <w:spacing w:after="0" w:line="211"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Notwithstanding anything to the contrary herein, in the event that the final date on which any SAR would otherwise be exercisable in accordance with the provisions of this Plan is not a Business Day, the day on which such SAR may be exercised is the last Business Day immediately preceding such date.</w:t>
      </w:r>
    </w:p>
    <w:p>
      <w:pPr>
        <w:spacing w:after="0" w:line="210" w:lineRule="exact"/>
        <w:rPr>
          <w:sz w:val="20"/>
          <w:szCs w:val="20"/>
          <w:color w:val="auto"/>
        </w:rPr>
      </w:pPr>
    </w:p>
    <w:p>
      <w:pPr>
        <w:ind w:right="400" w:firstLine="270"/>
        <w:spacing w:after="0" w:line="239" w:lineRule="auto"/>
        <w:rPr>
          <w:sz w:val="20"/>
          <w:szCs w:val="20"/>
          <w:color w:val="auto"/>
        </w:rPr>
      </w:pPr>
      <w:r>
        <w:rPr>
          <w:rFonts w:ascii="Arial" w:cs="Arial" w:eastAsia="Arial" w:hAnsi="Arial"/>
          <w:sz w:val="18"/>
          <w:szCs w:val="18"/>
          <w:color w:val="auto"/>
        </w:rPr>
        <w:t>At the sole discretion of the Committee, the payment to the Participant upon SAR exercise may be in cash, in shares of Stock of equivalent value, or in some combination thereof.</w:t>
      </w:r>
    </w:p>
    <w:p>
      <w:pPr>
        <w:spacing w:after="0" w:line="190" w:lineRule="exact"/>
        <w:rPr>
          <w:sz w:val="20"/>
          <w:szCs w:val="20"/>
          <w:color w:val="auto"/>
        </w:rPr>
      </w:pPr>
    </w:p>
    <w:p>
      <w:pPr>
        <w:ind w:right="100" w:firstLine="270"/>
        <w:spacing w:after="0" w:line="243"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i w:val="1"/>
          <w:iCs w:val="1"/>
          <w:color w:val="auto"/>
        </w:rPr>
        <w:t>Termination</w:t>
      </w:r>
      <w:r>
        <w:rPr>
          <w:rFonts w:ascii="Arial" w:cs="Arial" w:eastAsia="Arial" w:hAnsi="Arial"/>
          <w:sz w:val="18"/>
          <w:szCs w:val="18"/>
          <w:color w:val="auto"/>
        </w:rPr>
        <w:t>. Each SAR Award Agreement shall set forth the extent to which the Participant shall have the right to exercise the SAR upon Termination of Employment. Such provisions shall be determined in the sole discretion of the Committee (subject to applicable law), shall be included in the SAR Award Agreement entered into with Participants, need not be uniform among all SARs granted pursuant to the Plan or among Participants, and may reflect distinctions based on the reasons for termination.</w:t>
      </w:r>
    </w:p>
    <w:p>
      <w:pPr>
        <w:spacing w:after="0" w:line="20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To the extent the SAR Award Agreement does not set forth termination provisions, the provisions of Article 13 shall control.</w:t>
      </w:r>
    </w:p>
    <w:p>
      <w:pPr>
        <w:spacing w:after="0" w:line="193" w:lineRule="exact"/>
        <w:rPr>
          <w:sz w:val="20"/>
          <w:szCs w:val="20"/>
          <w:color w:val="auto"/>
        </w:rPr>
      </w:pPr>
    </w:p>
    <w:p>
      <w:pPr>
        <w:ind w:right="180" w:firstLine="270"/>
        <w:spacing w:after="0"/>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i w:val="1"/>
          <w:iCs w:val="1"/>
          <w:color w:val="auto"/>
        </w:rPr>
        <w:t>Transferability of SARs</w:t>
      </w:r>
      <w:r>
        <w:rPr>
          <w:rFonts w:ascii="Arial" w:cs="Arial" w:eastAsia="Arial" w:hAnsi="Arial"/>
          <w:sz w:val="18"/>
          <w:szCs w:val="18"/>
          <w:color w:val="auto"/>
        </w:rPr>
        <w:t>. Except as otherwise determined by the Committee, all SARs granted to a Participant under the Plan shall be exercisable during his or her lifetime only by such Participant or his or her legal representative, and no SAR granted under the Plan may be sold, transferred, pledged, assigned, or otherwise alienated or hypothecated, other than by will or by the laws of descent and distribution. To the extent the Committee permits the transfer of an SAR, in no event shall an SAR be transferred for consideration or transferred to a third-party financial institution.</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i w:val="1"/>
          <w:iCs w:val="1"/>
          <w:color w:val="auto"/>
        </w:rPr>
        <w:t>Designation of Beneficiary.</w:t>
      </w:r>
    </w:p>
    <w:p>
      <w:pPr>
        <w:spacing w:after="0" w:line="229" w:lineRule="exact"/>
        <w:rPr>
          <w:sz w:val="20"/>
          <w:szCs w:val="20"/>
          <w:color w:val="auto"/>
        </w:rPr>
      </w:pPr>
    </w:p>
    <w:p>
      <w:pPr>
        <w:ind w:right="80" w:firstLine="278"/>
        <w:spacing w:after="0" w:line="268" w:lineRule="auto"/>
        <w:tabs>
          <w:tab w:leader="none" w:pos="533" w:val="left"/>
        </w:tabs>
        <w:numPr>
          <w:ilvl w:val="0"/>
          <w:numId w:val="269"/>
        </w:numPr>
        <w:rPr>
          <w:rFonts w:ascii="Arial" w:cs="Arial" w:eastAsia="Arial" w:hAnsi="Arial"/>
          <w:sz w:val="16"/>
          <w:szCs w:val="16"/>
          <w:color w:val="auto"/>
        </w:rPr>
      </w:pPr>
      <w:r>
        <w:rPr>
          <w:rFonts w:ascii="Arial" w:cs="Arial" w:eastAsia="Arial" w:hAnsi="Arial"/>
          <w:sz w:val="16"/>
          <w:szCs w:val="16"/>
          <w:color w:val="auto"/>
        </w:rPr>
        <w:t>Each Participant may designate a Beneficiary who shall have the right to exercise the SARs in the event of the Participant’s death. Participants shall designate a Beneficiary by executing a Beneficiary Designation Form. A Beneficiary designation is not binding on the Company unless it receives a properly completed Beneficiary Designation Form prior to the Participant’s death. If no designation is made or no designated Beneficiary is alive (or in the case of an entity designated as a Beneficiary, in existence) at the time of the Participant’s death, the Participant’s spouse, or if no spouse exists, the executor or personal representative of the Participant’s estate shall have the right to exercise the SARs. If there is any question as to the legal right of any Beneficiary to exercise the SARs under the Plan, the Company may determine in its sole discretion whether to provide the right of exercise to the executor or personal representative of the Participant’s estate. The Company’s determination shall be binding and conclusive on all persons, and it will have no further liability to anyone with respect to such SARs.</w:t>
      </w:r>
    </w:p>
    <w:p>
      <w:pPr>
        <w:spacing w:after="0" w:line="190" w:lineRule="exact"/>
        <w:rPr>
          <w:rFonts w:ascii="Arial" w:cs="Arial" w:eastAsia="Arial" w:hAnsi="Arial"/>
          <w:sz w:val="16"/>
          <w:szCs w:val="16"/>
          <w:color w:val="auto"/>
        </w:rPr>
      </w:pPr>
    </w:p>
    <w:p>
      <w:pPr>
        <w:ind w:right="780" w:firstLine="278"/>
        <w:spacing w:after="0" w:line="239" w:lineRule="auto"/>
        <w:tabs>
          <w:tab w:leader="none" w:pos="533" w:val="left"/>
        </w:tabs>
        <w:numPr>
          <w:ilvl w:val="0"/>
          <w:numId w:val="269"/>
        </w:numPr>
        <w:rPr>
          <w:rFonts w:ascii="Arial" w:cs="Arial" w:eastAsia="Arial" w:hAnsi="Arial"/>
          <w:sz w:val="18"/>
          <w:szCs w:val="18"/>
          <w:color w:val="auto"/>
        </w:rPr>
      </w:pPr>
      <w:r>
        <w:rPr>
          <w:rFonts w:ascii="Arial" w:cs="Arial" w:eastAsia="Arial" w:hAnsi="Arial"/>
          <w:sz w:val="18"/>
          <w:szCs w:val="18"/>
          <w:color w:val="auto"/>
        </w:rPr>
        <w:t>A Participant may change an earlier Beneficiary designation by executing a later Beneficiary Designation Form. The execution of a Beneficiary Designation Form revokes and rescinds any prior Beneficiary Designation Form.</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8. Unrestricted Stock, Restricted Stock, and Restricted Stock Units</w:t>
      </w:r>
    </w:p>
    <w:p>
      <w:pPr>
        <w:spacing w:after="0" w:line="215" w:lineRule="exact"/>
        <w:rPr>
          <w:sz w:val="20"/>
          <w:szCs w:val="20"/>
          <w:color w:val="auto"/>
        </w:rPr>
      </w:pPr>
    </w:p>
    <w:p>
      <w:pPr>
        <w:ind w:right="440" w:firstLine="270"/>
        <w:spacing w:after="0" w:line="247"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i w:val="1"/>
          <w:iCs w:val="1"/>
          <w:color w:val="auto"/>
        </w:rPr>
        <w:t>Grant of Unrestricted Stock, Restricted Stock, and Restricted Stock Units</w:t>
      </w:r>
      <w:r>
        <w:rPr>
          <w:rFonts w:ascii="Arial" w:cs="Arial" w:eastAsia="Arial" w:hAnsi="Arial"/>
          <w:sz w:val="18"/>
          <w:szCs w:val="18"/>
          <w:color w:val="auto"/>
        </w:rPr>
        <w:t>. Subject to the terms and conditions of the Plan, Unrestricted Stock, Restricted Stock, and/or Restricted Stock Units may be granted to an Eligible Person at any time and from time to time, as shall be determined by the Committee.</w:t>
      </w:r>
    </w:p>
    <w:p>
      <w:pPr>
        <w:spacing w:after="0" w:line="202" w:lineRule="exact"/>
        <w:rPr>
          <w:sz w:val="20"/>
          <w:szCs w:val="20"/>
          <w:color w:val="auto"/>
        </w:rPr>
      </w:pPr>
    </w:p>
    <w:p>
      <w:pPr>
        <w:ind w:right="200" w:firstLine="270"/>
        <w:spacing w:after="0" w:line="237" w:lineRule="auto"/>
        <w:rPr>
          <w:sz w:val="20"/>
          <w:szCs w:val="20"/>
          <w:color w:val="auto"/>
        </w:rPr>
      </w:pPr>
      <w:r>
        <w:rPr>
          <w:rFonts w:ascii="Arial" w:cs="Arial" w:eastAsia="Arial" w:hAnsi="Arial"/>
          <w:sz w:val="18"/>
          <w:szCs w:val="18"/>
          <w:color w:val="auto"/>
        </w:rPr>
        <w:t>The Committee shall have complete discretion in determining the number of shares of Unrestricted Stock, Restricted Stock, and/or Restricted Stock Units granted to each Eligible Person (subject to Article 4 herein) and, consistent with the provisions of the Plan, in determining the terms and conditions pertaining to such Awards.</w:t>
      </w:r>
    </w:p>
    <w:p>
      <w:pPr>
        <w:spacing w:after="0" w:line="190" w:lineRule="exact"/>
        <w:rPr>
          <w:sz w:val="20"/>
          <w:szCs w:val="20"/>
          <w:color w:val="auto"/>
        </w:rPr>
      </w:pPr>
    </w:p>
    <w:p>
      <w:pPr>
        <w:ind w:left="9640"/>
        <w:spacing w:after="0"/>
        <w:tabs>
          <w:tab w:leader="none" w:pos="11180" w:val="left"/>
        </w:tabs>
        <w:rPr>
          <w:sz w:val="20"/>
          <w:szCs w:val="20"/>
          <w:color w:val="auto"/>
        </w:rPr>
      </w:pPr>
      <w:r>
        <w:rPr>
          <w:rFonts w:ascii="Arial" w:cs="Arial" w:eastAsia="Arial" w:hAnsi="Arial"/>
          <w:sz w:val="13"/>
          <w:szCs w:val="13"/>
          <w:color w:val="105EAB"/>
        </w:rPr>
        <w:t>2019 Proxy Statement</w:t>
      </w:r>
      <w:r>
        <w:rPr>
          <w:sz w:val="20"/>
          <w:szCs w:val="20"/>
          <w:color w:val="auto"/>
        </w:rPr>
        <w:tab/>
      </w:r>
      <w:r>
        <w:rPr>
          <w:rFonts w:ascii="Arial" w:cs="Arial" w:eastAsia="Arial" w:hAnsi="Arial"/>
          <w:sz w:val="13"/>
          <w:szCs w:val="13"/>
          <w:b w:val="1"/>
          <w:bCs w:val="1"/>
          <w:color w:val="105EAB"/>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68210" cy="209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b w:val="1"/>
          <w:bCs w:val="1"/>
          <w:color w:val="105EAB"/>
        </w:rPr>
        <w:t xml:space="preserve">Other Information | </w:t>
      </w:r>
      <w:r>
        <w:rPr>
          <w:rFonts w:ascii="Arial" w:cs="Arial" w:eastAsia="Arial" w:hAnsi="Arial"/>
          <w:sz w:val="13"/>
          <w:szCs w:val="13"/>
          <w:b w:val="1"/>
          <w:bCs w:val="1"/>
          <w:color w:val="000000"/>
        </w:rPr>
        <w:t>Appendix D – 2019 Equity Incentive Plan</w:t>
      </w:r>
    </w:p>
    <w:p>
      <w:pPr>
        <w:spacing w:after="0" w:line="235" w:lineRule="exact"/>
        <w:rPr>
          <w:sz w:val="20"/>
          <w:szCs w:val="20"/>
          <w:color w:val="auto"/>
        </w:rPr>
      </w:pPr>
    </w:p>
    <w:p>
      <w:pPr>
        <w:ind w:firstLine="270"/>
        <w:spacing w:after="0" w:line="275" w:lineRule="auto"/>
        <w:rPr>
          <w:sz w:val="20"/>
          <w:szCs w:val="20"/>
          <w:color w:val="auto"/>
        </w:rPr>
      </w:pPr>
      <w:r>
        <w:rPr>
          <w:rFonts w:ascii="Arial" w:cs="Arial" w:eastAsia="Arial" w:hAnsi="Arial"/>
          <w:sz w:val="16"/>
          <w:szCs w:val="16"/>
          <w:color w:val="auto"/>
        </w:rPr>
        <w:t>In addition, the Committee may, prior to or at the time of grant, designate an Award of Restricted Stock or Restricted Stock Units as Qualified Restricted Stock or Qualified Restricted Stock Units, as the case may be, in which event it will condition the granting or vesting, as applicable, of such Qualified Restricted Stock or Qualified Restricted Stock Units, as the case may be, upon the attainment of the Performance Goals selected by the Committee and such other conditions as the Committee may determine based on employment with the Company and its Subsidiaries.</w:t>
      </w:r>
    </w:p>
    <w:p>
      <w:pPr>
        <w:spacing w:after="0" w:line="164" w:lineRule="exact"/>
        <w:rPr>
          <w:sz w:val="20"/>
          <w:szCs w:val="20"/>
          <w:color w:val="auto"/>
        </w:rPr>
      </w:pPr>
    </w:p>
    <w:p>
      <w:pPr>
        <w:ind w:right="100" w:firstLine="270"/>
        <w:spacing w:after="0" w:line="243"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i w:val="1"/>
          <w:iCs w:val="1"/>
          <w:color w:val="auto"/>
        </w:rPr>
        <w:t>Unrestricted Stock, Restricted Stock/Restricted Stock Unit Award Agreement</w:t>
      </w:r>
      <w:r>
        <w:rPr>
          <w:rFonts w:ascii="Arial" w:cs="Arial" w:eastAsia="Arial" w:hAnsi="Arial"/>
          <w:sz w:val="18"/>
          <w:szCs w:val="18"/>
          <w:color w:val="auto"/>
        </w:rPr>
        <w:t>. Each grant of Unrestricted Stock, Restricted Stock, and/or Restricted Stock Units shall be evidenced by an Award Agreement that shall specify the number of shares of Unrestricted Stock, Restricted Stock, and/or Restricted Stock Units granted, the initial value (if applicable), the Period or Periods of Restriction (if applicable), and such other provisions as the Committee shall determine, including but not limited to special provisions relating to a Change in Control.</w:t>
      </w:r>
    </w:p>
    <w:p>
      <w:pPr>
        <w:spacing w:after="0" w:line="187" w:lineRule="exact"/>
        <w:rPr>
          <w:sz w:val="20"/>
          <w:szCs w:val="20"/>
          <w:color w:val="auto"/>
        </w:rPr>
      </w:pPr>
    </w:p>
    <w:p>
      <w:pPr>
        <w:ind w:right="120" w:firstLine="270"/>
        <w:spacing w:after="0"/>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i w:val="1"/>
          <w:iCs w:val="1"/>
          <w:color w:val="auto"/>
        </w:rPr>
        <w:t>Transferability</w:t>
      </w:r>
      <w:r>
        <w:rPr>
          <w:rFonts w:ascii="Arial" w:cs="Arial" w:eastAsia="Arial" w:hAnsi="Arial"/>
          <w:sz w:val="18"/>
          <w:szCs w:val="18"/>
          <w:color w:val="auto"/>
        </w:rPr>
        <w:t>. Except pursuant to a domestic relations order or as otherwise determined by the Committee, Restricted Stock and Restricted Stock Units granted hereunder may not be sold, transferred, pledged, assigned, or otherwise alienated or hypothecated until the end of the applicable Period of Restriction established by the Committee and specified in the Award Agreement. During the applicable Period of Restriction, all rights with respect to the Restricted Stock and Restricted Stock Units granted to a Participant under the Plan shall be available during his or her lifetime only to such Participant or his or her legal representative.</w:t>
      </w:r>
    </w:p>
    <w:p>
      <w:pPr>
        <w:spacing w:after="0" w:line="193" w:lineRule="exact"/>
        <w:rPr>
          <w:sz w:val="20"/>
          <w:szCs w:val="20"/>
          <w:color w:val="auto"/>
        </w:rPr>
      </w:pPr>
    </w:p>
    <w:p>
      <w:pPr>
        <w:ind w:right="420" w:firstLine="270"/>
        <w:spacing w:after="0" w:line="259"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i w:val="1"/>
          <w:iCs w:val="1"/>
          <w:color w:val="auto"/>
        </w:rPr>
        <w:t>Certificates</w:t>
      </w:r>
      <w:r>
        <w:rPr>
          <w:rFonts w:ascii="Arial" w:cs="Arial" w:eastAsia="Arial" w:hAnsi="Arial"/>
          <w:sz w:val="18"/>
          <w:szCs w:val="18"/>
          <w:color w:val="auto"/>
        </w:rPr>
        <w:t>. No certificates representing Stock shall be delivered to a Participant, and no book entry representing delivery of Stock to a Participant shall be made, until such time as all restrictions applicable to such shares have been satisfied.</w:t>
      </w:r>
    </w:p>
    <w:p>
      <w:pPr>
        <w:spacing w:after="0" w:line="174" w:lineRule="exact"/>
        <w:rPr>
          <w:sz w:val="20"/>
          <w:szCs w:val="20"/>
          <w:color w:val="auto"/>
        </w:rPr>
      </w:pPr>
    </w:p>
    <w:p>
      <w:pPr>
        <w:ind w:right="20" w:firstLine="270"/>
        <w:spacing w:after="0" w:line="247"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i w:val="1"/>
          <w:iCs w:val="1"/>
          <w:color w:val="auto"/>
        </w:rPr>
        <w:t>Removal of Restrictions</w:t>
      </w:r>
      <w:r>
        <w:rPr>
          <w:rFonts w:ascii="Arial" w:cs="Arial" w:eastAsia="Arial" w:hAnsi="Arial"/>
          <w:sz w:val="18"/>
          <w:szCs w:val="18"/>
          <w:color w:val="auto"/>
        </w:rPr>
        <w:t>. Restricted Stock shall become freely transferable by the Participant after the last day of the Period of Restriction applicable thereto. Once Restricted Stock is released from the restrictions, the Participant shall be entitled to receive a certificate representing such Stock or shall be entitled to book entry delivery of such Stock.</w:t>
      </w:r>
    </w:p>
    <w:p>
      <w:pPr>
        <w:spacing w:after="0" w:line="202" w:lineRule="exact"/>
        <w:rPr>
          <w:sz w:val="20"/>
          <w:szCs w:val="20"/>
          <w:color w:val="auto"/>
        </w:rPr>
      </w:pPr>
    </w:p>
    <w:p>
      <w:pPr>
        <w:ind w:right="320" w:firstLine="270"/>
        <w:spacing w:after="0" w:line="237" w:lineRule="auto"/>
        <w:rPr>
          <w:sz w:val="20"/>
          <w:szCs w:val="20"/>
          <w:color w:val="auto"/>
        </w:rPr>
      </w:pPr>
      <w:r>
        <w:rPr>
          <w:rFonts w:ascii="Arial" w:cs="Arial" w:eastAsia="Arial" w:hAnsi="Arial"/>
          <w:sz w:val="18"/>
          <w:szCs w:val="18"/>
          <w:color w:val="auto"/>
        </w:rPr>
        <w:t>Payment of Restricted Stock Units shall be made after the last day of the Period of Restriction applicable thereto. The Committee, in its sole discretion, may pay Restricted Stock Units in cash or in shares of Stock of equivalent value (or in some combination thereof) which have an aggregate Fair Market Value equal to the value of the Restricted Stock Units at the close of the applicable Period of Restriction.</w:t>
      </w:r>
    </w:p>
    <w:p>
      <w:pPr>
        <w:spacing w:after="0" w:line="19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i w:val="1"/>
          <w:iCs w:val="1"/>
          <w:color w:val="auto"/>
        </w:rPr>
        <w:t>Voting Rights</w:t>
      </w:r>
      <w:r>
        <w:rPr>
          <w:rFonts w:ascii="Arial" w:cs="Arial" w:eastAsia="Arial" w:hAnsi="Arial"/>
          <w:sz w:val="18"/>
          <w:szCs w:val="18"/>
          <w:color w:val="auto"/>
        </w:rPr>
        <w:t>. During the Period of Restriction, Participants may exercise full voting rights with respect to the Restricted Stock.</w:t>
      </w:r>
    </w:p>
    <w:p>
      <w:pPr>
        <w:spacing w:after="0" w:line="211" w:lineRule="exact"/>
        <w:rPr>
          <w:sz w:val="20"/>
          <w:szCs w:val="20"/>
          <w:color w:val="auto"/>
        </w:rPr>
      </w:pPr>
    </w:p>
    <w:p>
      <w:pPr>
        <w:ind w:right="40" w:firstLine="270"/>
        <w:spacing w:after="0" w:line="278" w:lineRule="auto"/>
        <w:rPr>
          <w:sz w:val="20"/>
          <w:szCs w:val="20"/>
          <w:color w:val="auto"/>
        </w:rPr>
      </w:pPr>
      <w:r>
        <w:rPr>
          <w:rFonts w:ascii="Arial" w:cs="Arial" w:eastAsia="Arial" w:hAnsi="Arial"/>
          <w:sz w:val="16"/>
          <w:szCs w:val="16"/>
          <w:color w:val="auto"/>
        </w:rPr>
        <w:t xml:space="preserve">8.7 </w:t>
      </w:r>
      <w:r>
        <w:rPr>
          <w:rFonts w:ascii="Arial" w:cs="Arial" w:eastAsia="Arial" w:hAnsi="Arial"/>
          <w:sz w:val="16"/>
          <w:szCs w:val="16"/>
          <w:i w:val="1"/>
          <w:iCs w:val="1"/>
          <w:color w:val="auto"/>
        </w:rPr>
        <w:t>Dividends and Other Distributions</w:t>
      </w:r>
      <w:r>
        <w:rPr>
          <w:rFonts w:ascii="Arial" w:cs="Arial" w:eastAsia="Arial" w:hAnsi="Arial"/>
          <w:sz w:val="16"/>
          <w:szCs w:val="16"/>
          <w:color w:val="auto"/>
        </w:rPr>
        <w:t>. Subject to the Committee’s right to determine otherwise at the time of grant, during the Period of Restriction, Participants shall receive all cash dividends, other than large, nonrecurring cash dividends, paid promptly with respect to the Restricted Stock while they are so held, after the vesting of the Restricted Stock. All other distributions paid with respect to such Restricted Stock shall be credited to Participants subject to the same restrictions on transferability and forfeitability as the Restricted Stock with respect to which they were paid and shall be paid to the Participant promptly after the full vesting of the Restricted Stock with respect to which such distributions were made.</w:t>
      </w:r>
    </w:p>
    <w:p>
      <w:pPr>
        <w:spacing w:after="0" w:line="180" w:lineRule="exact"/>
        <w:rPr>
          <w:sz w:val="20"/>
          <w:szCs w:val="20"/>
          <w:color w:val="auto"/>
        </w:rPr>
      </w:pPr>
    </w:p>
    <w:p>
      <w:pPr>
        <w:ind w:right="20" w:firstLine="270"/>
        <w:spacing w:after="0" w:line="236" w:lineRule="auto"/>
        <w:rPr>
          <w:sz w:val="20"/>
          <w:szCs w:val="20"/>
          <w:color w:val="auto"/>
        </w:rPr>
      </w:pPr>
      <w:r>
        <w:rPr>
          <w:rFonts w:ascii="Arial" w:cs="Arial" w:eastAsia="Arial" w:hAnsi="Arial"/>
          <w:sz w:val="18"/>
          <w:szCs w:val="18"/>
          <w:color w:val="auto"/>
        </w:rPr>
        <w:t>Rights, if any, to Dividend Equivalents on Restricted Stock Units shall be established by the Committee at the time of grant and set forth in the Award Agreement, but in no event shall Participants receive any Dividend Equivalents prior to the vesting of the Restricted Stock Units with respect to which they are paid. In addition, with respect to both Restricted Stock or Restricted Stock Units with performance-based vesting, any dividends or Dividend Equivalents that are based on dividends paid prior to the vesting of such Restricted Stock or Restricted Stock Units, as applicable, shall only be paid out to the Participant to the extent that the performance-based vesting conditions are subsequently satisfied and the Restricted Stock or Restricted Stock Units vest.</w:t>
      </w:r>
    </w:p>
    <w:p>
      <w:pPr>
        <w:spacing w:after="0" w:line="191" w:lineRule="exact"/>
        <w:rPr>
          <w:sz w:val="20"/>
          <w:szCs w:val="20"/>
          <w:color w:val="auto"/>
        </w:rPr>
      </w:pPr>
    </w:p>
    <w:p>
      <w:pPr>
        <w:ind w:right="80" w:firstLine="270"/>
        <w:spacing w:after="0"/>
        <w:rPr>
          <w:sz w:val="20"/>
          <w:szCs w:val="20"/>
          <w:color w:val="auto"/>
        </w:rPr>
      </w:pPr>
      <w:r>
        <w:rPr>
          <w:rFonts w:ascii="Arial" w:cs="Arial" w:eastAsia="Arial" w:hAnsi="Arial"/>
          <w:sz w:val="18"/>
          <w:szCs w:val="18"/>
          <w:color w:val="auto"/>
        </w:rPr>
        <w:t xml:space="preserve">8.8 </w:t>
      </w:r>
      <w:r>
        <w:rPr>
          <w:rFonts w:ascii="Arial" w:cs="Arial" w:eastAsia="Arial" w:hAnsi="Arial"/>
          <w:sz w:val="18"/>
          <w:szCs w:val="18"/>
          <w:i w:val="1"/>
          <w:iCs w:val="1"/>
          <w:color w:val="auto"/>
        </w:rPr>
        <w:t>Termination</w:t>
      </w:r>
      <w:r>
        <w:rPr>
          <w:rFonts w:ascii="Arial" w:cs="Arial" w:eastAsia="Arial" w:hAnsi="Arial"/>
          <w:sz w:val="18"/>
          <w:szCs w:val="18"/>
          <w:color w:val="auto"/>
        </w:rPr>
        <w:t>. Each Restricted Stock/Restricted Stock Unit Award Agreement shall set forth the extent to which the Participant shall have the right to receive Restricted Stock and/or a Restricted Stock Unit payment following termination of the Participant’s employment with the Company and its Subsidiaries. Such provisions shall be determined in the sole discretion of the Committee, shall be included in the Award Agreement entered into with Participants, need not be uniform among all grants of Restricted Stock/Restricted Stock Units or among Participants and may reflect distinctions based on the reasons for termination.</w:t>
      </w:r>
    </w:p>
    <w:p>
      <w:pPr>
        <w:spacing w:after="0" w:line="207" w:lineRule="exact"/>
        <w:rPr>
          <w:sz w:val="20"/>
          <w:szCs w:val="20"/>
          <w:color w:val="auto"/>
        </w:rPr>
      </w:pPr>
    </w:p>
    <w:p>
      <w:pPr>
        <w:ind w:left="460" w:hanging="452"/>
        <w:spacing w:after="0"/>
        <w:tabs>
          <w:tab w:leader="none" w:pos="460" w:val="left"/>
        </w:tabs>
        <w:numPr>
          <w:ilvl w:val="0"/>
          <w:numId w:val="270"/>
        </w:numPr>
        <w:rPr>
          <w:rFonts w:ascii="Arial" w:cs="Arial" w:eastAsia="Arial" w:hAnsi="Arial"/>
          <w:sz w:val="13"/>
          <w:szCs w:val="13"/>
          <w:b w:val="1"/>
          <w:bCs w:val="1"/>
          <w:color w:val="105EAB"/>
        </w:rPr>
      </w:pPr>
      <w:r>
        <w:rPr>
          <w:rFonts w:ascii="Arial" w:cs="Arial" w:eastAsia="Arial" w:hAnsi="Arial"/>
          <w:sz w:val="13"/>
          <w:szCs w:val="13"/>
          <w:color w:val="105EAB"/>
        </w:rPr>
        <w:t>www.allstateproxy.com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134620</wp:posOffset>
            </wp:positionV>
            <wp:extent cx="7268210" cy="209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 xml:space="preserve">Appendix D – 2019 Equity Incentive Plan </w:t>
      </w:r>
      <w:r>
        <w:rPr>
          <w:rFonts w:ascii="Arial" w:cs="Arial" w:eastAsia="Arial" w:hAnsi="Arial"/>
          <w:sz w:val="13"/>
          <w:szCs w:val="13"/>
          <w:b w:val="1"/>
          <w:bCs w:val="1"/>
          <w:color w:val="105EAB"/>
        </w:rPr>
        <w:t>| Other Information</w:t>
      </w:r>
    </w:p>
    <w:p>
      <w:pPr>
        <w:spacing w:after="0" w:line="235" w:lineRule="exact"/>
        <w:rPr>
          <w:sz w:val="20"/>
          <w:szCs w:val="20"/>
          <w:color w:val="auto"/>
        </w:rPr>
      </w:pPr>
    </w:p>
    <w:p>
      <w:pPr>
        <w:jc w:val="both"/>
        <w:ind w:right="80" w:firstLine="270"/>
        <w:spacing w:after="0" w:line="239" w:lineRule="auto"/>
        <w:rPr>
          <w:sz w:val="20"/>
          <w:szCs w:val="20"/>
          <w:color w:val="auto"/>
        </w:rPr>
      </w:pPr>
      <w:r>
        <w:rPr>
          <w:rFonts w:ascii="Arial" w:cs="Arial" w:eastAsia="Arial" w:hAnsi="Arial"/>
          <w:sz w:val="18"/>
          <w:szCs w:val="18"/>
          <w:color w:val="auto"/>
        </w:rPr>
        <w:t>To the extent the Restricted Stock/Restricted Stock Unit Award Agreement does not set forth termination provisions, the provisions of Article 13 shall control.</w:t>
      </w:r>
    </w:p>
    <w:p>
      <w:pPr>
        <w:spacing w:after="0" w:line="190" w:lineRule="exact"/>
        <w:rPr>
          <w:sz w:val="20"/>
          <w:szCs w:val="20"/>
          <w:color w:val="auto"/>
        </w:rPr>
      </w:pPr>
    </w:p>
    <w:p>
      <w:pPr>
        <w:ind w:right="20" w:firstLine="270"/>
        <w:spacing w:after="0" w:line="259" w:lineRule="auto"/>
        <w:rPr>
          <w:sz w:val="20"/>
          <w:szCs w:val="20"/>
          <w:color w:val="auto"/>
        </w:rPr>
      </w:pPr>
      <w:r>
        <w:rPr>
          <w:rFonts w:ascii="Arial" w:cs="Arial" w:eastAsia="Arial" w:hAnsi="Arial"/>
          <w:sz w:val="18"/>
          <w:szCs w:val="18"/>
          <w:color w:val="auto"/>
        </w:rPr>
        <w:t xml:space="preserve">8.9 </w:t>
      </w:r>
      <w:r>
        <w:rPr>
          <w:rFonts w:ascii="Arial" w:cs="Arial" w:eastAsia="Arial" w:hAnsi="Arial"/>
          <w:sz w:val="18"/>
          <w:szCs w:val="18"/>
          <w:i w:val="1"/>
          <w:iCs w:val="1"/>
          <w:color w:val="auto"/>
        </w:rPr>
        <w:t>Participant’s Death</w:t>
      </w:r>
      <w:r>
        <w:rPr>
          <w:rFonts w:ascii="Arial" w:cs="Arial" w:eastAsia="Arial" w:hAnsi="Arial"/>
          <w:sz w:val="18"/>
          <w:szCs w:val="18"/>
          <w:color w:val="auto"/>
        </w:rPr>
        <w:t>. In the event of the Participant’s death, any vested Restricted Stock or Restricted Stock Units, including Restricted Stock or Restricted Stock Units that vest because of the Participant’s death, shall be paid or delivered on behalf of the Participant.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9. Performance Units and Performance Stock</w:t>
      </w:r>
    </w:p>
    <w:p>
      <w:pPr>
        <w:spacing w:after="0" w:line="215" w:lineRule="exact"/>
        <w:rPr>
          <w:sz w:val="20"/>
          <w:szCs w:val="20"/>
          <w:color w:val="auto"/>
        </w:rPr>
      </w:pPr>
    </w:p>
    <w:p>
      <w:pPr>
        <w:jc w:val="both"/>
        <w:ind w:right="1020" w:firstLine="270"/>
        <w:spacing w:after="0" w:line="322"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i w:val="1"/>
          <w:iCs w:val="1"/>
          <w:color w:val="auto"/>
        </w:rPr>
        <w:t>Grant of Performance Units and Performance Stock</w:t>
      </w:r>
      <w:r>
        <w:rPr>
          <w:rFonts w:ascii="Arial" w:cs="Arial" w:eastAsia="Arial" w:hAnsi="Arial"/>
          <w:sz w:val="16"/>
          <w:szCs w:val="16"/>
          <w:color w:val="auto"/>
        </w:rPr>
        <w:t>. Subject to the terms and conditions of the Plan, Performance Units and/or Performance Stock may be granted to an Eligible Person at any time and from time to time, as shall be determined by the Committee.</w:t>
      </w:r>
    </w:p>
    <w:p>
      <w:pPr>
        <w:spacing w:after="0" w:line="145" w:lineRule="exact"/>
        <w:rPr>
          <w:sz w:val="20"/>
          <w:szCs w:val="20"/>
          <w:color w:val="auto"/>
        </w:rPr>
      </w:pPr>
    </w:p>
    <w:p>
      <w:pPr>
        <w:jc w:val="both"/>
        <w:ind w:right="80" w:firstLine="270"/>
        <w:spacing w:after="0" w:line="237" w:lineRule="auto"/>
        <w:rPr>
          <w:sz w:val="20"/>
          <w:szCs w:val="20"/>
          <w:color w:val="auto"/>
        </w:rPr>
      </w:pPr>
      <w:r>
        <w:rPr>
          <w:rFonts w:ascii="Arial" w:cs="Arial" w:eastAsia="Arial" w:hAnsi="Arial"/>
          <w:sz w:val="18"/>
          <w:szCs w:val="18"/>
          <w:color w:val="auto"/>
        </w:rPr>
        <w:t>The Committee shall have complete discretion in determining the number of Performance Units and/or shares of Performance Stock granted to each Eligible Person (subject to Article 4 herein) and, consistent with the provisions of the Plan, in determining the terms and conditions pertaining to such Awards.</w:t>
      </w:r>
    </w:p>
    <w:p>
      <w:pPr>
        <w:spacing w:after="0" w:line="192" w:lineRule="exact"/>
        <w:rPr>
          <w:sz w:val="20"/>
          <w:szCs w:val="20"/>
          <w:color w:val="auto"/>
        </w:rPr>
      </w:pPr>
    </w:p>
    <w:p>
      <w:pPr>
        <w:ind w:right="180" w:firstLine="270"/>
        <w:spacing w:after="0" w:line="283"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i w:val="1"/>
          <w:iCs w:val="1"/>
          <w:color w:val="auto"/>
        </w:rPr>
        <w:t>Performance Unit/Performance Stock Award Agreement</w:t>
      </w:r>
      <w:r>
        <w:rPr>
          <w:rFonts w:ascii="Arial" w:cs="Arial" w:eastAsia="Arial" w:hAnsi="Arial"/>
          <w:sz w:val="16"/>
          <w:szCs w:val="16"/>
          <w:color w:val="auto"/>
        </w:rPr>
        <w:t>. Each grant of Performance Units and/ or shares of Performance Stock shall be evidenced by a Performance Unit and/or Performance Stock Award Agreement that shall specify the number of Performance Units and/or shares of Performance Stock granted, the initial value (if applicable), the Performance Period, the Performance Goals, and such other provisions as the Committee shall determine, including but not limited to special provisions relating to a Change in Control and any rights to Dividend Equivalents.</w:t>
      </w:r>
    </w:p>
    <w:p>
      <w:pPr>
        <w:spacing w:after="0" w:line="157" w:lineRule="exact"/>
        <w:rPr>
          <w:sz w:val="20"/>
          <w:szCs w:val="20"/>
          <w:color w:val="auto"/>
        </w:rPr>
      </w:pPr>
    </w:p>
    <w:p>
      <w:pPr>
        <w:ind w:right="140" w:firstLine="270"/>
        <w:spacing w:after="0" w:line="243"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i w:val="1"/>
          <w:iCs w:val="1"/>
          <w:color w:val="auto"/>
        </w:rPr>
        <w:t>Value of Performance Units/Performance Stock</w:t>
      </w:r>
      <w:r>
        <w:rPr>
          <w:rFonts w:ascii="Arial" w:cs="Arial" w:eastAsia="Arial" w:hAnsi="Arial"/>
          <w:sz w:val="18"/>
          <w:szCs w:val="18"/>
          <w:color w:val="auto"/>
        </w:rPr>
        <w:t>. Each Performance Unit shall have an initial value that is established by the Committee at the time of grant. The value of a share of Performance Stock shall be equal to the Fair Market Value of the Stock. The Committee shall set Performance Goals in its discretion which, depending on the extent to which they are met, will determine the number and/or value of Performance Units/ Performance Stock that will be paid out to the Participants.</w:t>
      </w:r>
    </w:p>
    <w:p>
      <w:pPr>
        <w:spacing w:after="0" w:line="187" w:lineRule="exact"/>
        <w:rPr>
          <w:sz w:val="20"/>
          <w:szCs w:val="20"/>
          <w:color w:val="auto"/>
        </w:rPr>
      </w:pPr>
    </w:p>
    <w:p>
      <w:pPr>
        <w:ind w:right="240" w:firstLine="270"/>
        <w:spacing w:after="0" w:line="243"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i w:val="1"/>
          <w:iCs w:val="1"/>
          <w:color w:val="auto"/>
        </w:rPr>
        <w:t>Earning of Performance Units/Performance Stock</w:t>
      </w:r>
      <w:r>
        <w:rPr>
          <w:rFonts w:ascii="Arial" w:cs="Arial" w:eastAsia="Arial" w:hAnsi="Arial"/>
          <w:sz w:val="18"/>
          <w:szCs w:val="18"/>
          <w:color w:val="auto"/>
        </w:rPr>
        <w:t>. After the applicable Performance Period has ended, the Participant shall be entitled to receive a payout with respect to the Performance Units/Performance Stock and any Dividend Equivalents earned by the Participant over the Performance Period, to be determined as a function of the extent to which the Committee determines that the corresponding Performance Goals have been achieved.</w:t>
      </w:r>
    </w:p>
    <w:p>
      <w:pPr>
        <w:spacing w:after="0" w:line="187" w:lineRule="exact"/>
        <w:rPr>
          <w:sz w:val="20"/>
          <w:szCs w:val="20"/>
          <w:color w:val="auto"/>
        </w:rPr>
      </w:pPr>
    </w:p>
    <w:p>
      <w:pPr>
        <w:ind w:right="80" w:firstLine="270"/>
        <w:spacing w:after="0"/>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i w:val="1"/>
          <w:iCs w:val="1"/>
          <w:color w:val="auto"/>
        </w:rPr>
        <w:t>Form and Timing of Payment of Performance Units/Performance Stock</w:t>
      </w:r>
      <w:r>
        <w:rPr>
          <w:rFonts w:ascii="Arial" w:cs="Arial" w:eastAsia="Arial" w:hAnsi="Arial"/>
          <w:sz w:val="18"/>
          <w:szCs w:val="18"/>
          <w:color w:val="auto"/>
        </w:rPr>
        <w:t>. Payment of earned Performance Units/Performance Stock shall be made following the close of the applicable Performance Period. The Committee, in its sole discretion, may pay earned Performance Units/Performance Stock in cash or in Stock (or in a combination thereof), which has an aggregate Fair Market Value equal to the value of the earned Performance Units/Performance Stock at the close of the applicable Performance Period. Such Stock may be granted subject to any restrictions deemed appropriate by the Committee.</w:t>
      </w:r>
    </w:p>
    <w:p>
      <w:pPr>
        <w:spacing w:after="0" w:line="193" w:lineRule="exact"/>
        <w:rPr>
          <w:sz w:val="20"/>
          <w:szCs w:val="20"/>
          <w:color w:val="auto"/>
        </w:rPr>
      </w:pPr>
    </w:p>
    <w:p>
      <w:pPr>
        <w:ind w:right="280" w:firstLine="270"/>
        <w:spacing w:after="0"/>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i w:val="1"/>
          <w:iCs w:val="1"/>
          <w:color w:val="auto"/>
        </w:rPr>
        <w:t>Termination</w:t>
      </w:r>
      <w:r>
        <w:rPr>
          <w:rFonts w:ascii="Arial" w:cs="Arial" w:eastAsia="Arial" w:hAnsi="Arial"/>
          <w:sz w:val="18"/>
          <w:szCs w:val="18"/>
          <w:color w:val="auto"/>
        </w:rPr>
        <w:t>. Each Performance Unit/Performance Stock Award Agreement shall set forth the extent (if any) to which the Participant shall have the right to receive a Performance Unit/Performance Stock payment upon Termination of Employment during a Performance Period. Such provisions shall be determined in the sole discretion of the Committee (subject to applicable law), shall be included in the Award Agreement entered into with Participants, need not be uniform among all grants of Performance Units/Performance Stock or among Participants, and may reflect distinctions based on reasons for termination.</w:t>
      </w:r>
    </w:p>
    <w:p>
      <w:pPr>
        <w:spacing w:after="0" w:line="211" w:lineRule="exact"/>
        <w:rPr>
          <w:sz w:val="20"/>
          <w:szCs w:val="20"/>
          <w:color w:val="auto"/>
        </w:rPr>
      </w:pPr>
    </w:p>
    <w:p>
      <w:pPr>
        <w:ind w:right="140" w:firstLine="270"/>
        <w:spacing w:after="0" w:line="239" w:lineRule="auto"/>
        <w:rPr>
          <w:sz w:val="20"/>
          <w:szCs w:val="20"/>
          <w:color w:val="auto"/>
        </w:rPr>
      </w:pPr>
      <w:r>
        <w:rPr>
          <w:rFonts w:ascii="Arial" w:cs="Arial" w:eastAsia="Arial" w:hAnsi="Arial"/>
          <w:sz w:val="18"/>
          <w:szCs w:val="18"/>
          <w:color w:val="auto"/>
        </w:rPr>
        <w:t>To the extent the Performance Unit/Performance Stock Award Agreement does not set forth termination provisions, the provisions of Article 13 shall control.</w:t>
      </w:r>
    </w:p>
    <w:p>
      <w:pPr>
        <w:spacing w:after="0" w:line="190" w:lineRule="exact"/>
        <w:rPr>
          <w:sz w:val="20"/>
          <w:szCs w:val="20"/>
          <w:color w:val="auto"/>
        </w:rPr>
      </w:pPr>
    </w:p>
    <w:p>
      <w:pPr>
        <w:ind w:right="80" w:firstLine="270"/>
        <w:spacing w:after="0" w:line="278" w:lineRule="auto"/>
        <w:rPr>
          <w:sz w:val="20"/>
          <w:szCs w:val="20"/>
          <w:color w:val="auto"/>
        </w:rPr>
      </w:pPr>
      <w:r>
        <w:rPr>
          <w:rFonts w:ascii="Arial" w:cs="Arial" w:eastAsia="Arial" w:hAnsi="Arial"/>
          <w:sz w:val="16"/>
          <w:szCs w:val="16"/>
          <w:color w:val="auto"/>
        </w:rPr>
        <w:t xml:space="preserve">9.7 </w:t>
      </w:r>
      <w:r>
        <w:rPr>
          <w:rFonts w:ascii="Arial" w:cs="Arial" w:eastAsia="Arial" w:hAnsi="Arial"/>
          <w:sz w:val="16"/>
          <w:szCs w:val="16"/>
          <w:i w:val="1"/>
          <w:iCs w:val="1"/>
          <w:color w:val="auto"/>
        </w:rPr>
        <w:t>Transferability</w:t>
      </w:r>
      <w:r>
        <w:rPr>
          <w:rFonts w:ascii="Arial" w:cs="Arial" w:eastAsia="Arial" w:hAnsi="Arial"/>
          <w:sz w:val="16"/>
          <w:szCs w:val="16"/>
          <w:color w:val="auto"/>
        </w:rPr>
        <w:t>. Except pursuant to a domestic relations order or as otherwise determined by the Committee, a Participant’s rights with respect to Performance Units/Performance Stock granted under the Plan shall be available during the Participant’s lifetime only to such Participant or the Participant’s legal representative and Performance Units/Performance Stock may not be sold, transferred, pledged, assigned, or otherwise alienated or hypothecated, other than by will or by the laws of descent and distribution. To the extent the Committee permits the transfer of Performance Units/Performance Stock, in no event shall Performance Units/ Performance Stock be transferred for consideration.</w:t>
      </w:r>
    </w:p>
    <w:p>
      <w:pPr>
        <w:spacing w:after="0" w:line="160" w:lineRule="exact"/>
        <w:rPr>
          <w:sz w:val="20"/>
          <w:szCs w:val="20"/>
          <w:color w:val="auto"/>
        </w:rPr>
      </w:pPr>
    </w:p>
    <w:p>
      <w:pPr>
        <w:ind w:left="9640"/>
        <w:spacing w:after="0"/>
        <w:tabs>
          <w:tab w:leader="none" w:pos="11180" w:val="left"/>
        </w:tabs>
        <w:rPr>
          <w:sz w:val="20"/>
          <w:szCs w:val="20"/>
          <w:color w:val="auto"/>
        </w:rPr>
      </w:pPr>
      <w:r>
        <w:rPr>
          <w:rFonts w:ascii="Arial" w:cs="Arial" w:eastAsia="Arial" w:hAnsi="Arial"/>
          <w:sz w:val="13"/>
          <w:szCs w:val="13"/>
          <w:color w:val="105EAB"/>
        </w:rPr>
        <w:t>2019 Proxy Statement</w:t>
      </w:r>
      <w:r>
        <w:rPr>
          <w:sz w:val="20"/>
          <w:szCs w:val="20"/>
          <w:color w:val="auto"/>
        </w:rPr>
        <w:tab/>
      </w:r>
      <w:r>
        <w:rPr>
          <w:rFonts w:ascii="Arial" w:cs="Arial" w:eastAsia="Arial" w:hAnsi="Arial"/>
          <w:sz w:val="13"/>
          <w:szCs w:val="13"/>
          <w:b w:val="1"/>
          <w:bCs w:val="1"/>
          <w:color w:val="105EAB"/>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68210" cy="209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b w:val="1"/>
          <w:bCs w:val="1"/>
          <w:color w:val="105EAB"/>
        </w:rPr>
        <w:t xml:space="preserve">Other Information | </w:t>
      </w:r>
      <w:r>
        <w:rPr>
          <w:rFonts w:ascii="Arial" w:cs="Arial" w:eastAsia="Arial" w:hAnsi="Arial"/>
          <w:sz w:val="13"/>
          <w:szCs w:val="13"/>
          <w:b w:val="1"/>
          <w:bCs w:val="1"/>
          <w:color w:val="000000"/>
        </w:rPr>
        <w:t>Appendix D – 2019 Equity Incentive Plan</w:t>
      </w:r>
    </w:p>
    <w:p>
      <w:pPr>
        <w:spacing w:after="0" w:line="217" w:lineRule="exact"/>
        <w:rPr>
          <w:sz w:val="20"/>
          <w:szCs w:val="20"/>
          <w:color w:val="auto"/>
        </w:rPr>
      </w:pPr>
    </w:p>
    <w:p>
      <w:pPr>
        <w:ind w:right="520" w:firstLine="270"/>
        <w:spacing w:after="0" w:line="259" w:lineRule="auto"/>
        <w:rPr>
          <w:sz w:val="20"/>
          <w:szCs w:val="20"/>
          <w:color w:val="auto"/>
        </w:rPr>
      </w:pPr>
      <w:r>
        <w:rPr>
          <w:rFonts w:ascii="Arial" w:cs="Arial" w:eastAsia="Arial" w:hAnsi="Arial"/>
          <w:sz w:val="18"/>
          <w:szCs w:val="18"/>
          <w:color w:val="auto"/>
        </w:rPr>
        <w:t xml:space="preserve">9.8 </w:t>
      </w:r>
      <w:r>
        <w:rPr>
          <w:rFonts w:ascii="Arial" w:cs="Arial" w:eastAsia="Arial" w:hAnsi="Arial"/>
          <w:sz w:val="18"/>
          <w:szCs w:val="18"/>
          <w:i w:val="1"/>
          <w:iCs w:val="1"/>
          <w:color w:val="auto"/>
        </w:rPr>
        <w:t>Participant’s Death</w:t>
      </w:r>
      <w:r>
        <w:rPr>
          <w:rFonts w:ascii="Arial" w:cs="Arial" w:eastAsia="Arial" w:hAnsi="Arial"/>
          <w:sz w:val="18"/>
          <w:szCs w:val="18"/>
          <w:color w:val="auto"/>
        </w:rPr>
        <w:t>. In the event of the Participant’s death, any vested Performance Units/ Performance Stock, including Performance Units/Performance Stock that vest, shall be paid or delivered on behalf of the Participant.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10. Other Awards</w:t>
      </w:r>
    </w:p>
    <w:p>
      <w:pPr>
        <w:spacing w:after="0" w:line="233" w:lineRule="exact"/>
        <w:rPr>
          <w:sz w:val="20"/>
          <w:szCs w:val="20"/>
          <w:color w:val="auto"/>
        </w:rPr>
      </w:pPr>
    </w:p>
    <w:p>
      <w:pPr>
        <w:ind w:right="140" w:firstLine="270"/>
        <w:spacing w:after="0" w:line="237" w:lineRule="auto"/>
        <w:rPr>
          <w:sz w:val="20"/>
          <w:szCs w:val="20"/>
          <w:color w:val="auto"/>
        </w:rPr>
      </w:pPr>
      <w:r>
        <w:rPr>
          <w:rFonts w:ascii="Arial" w:cs="Arial" w:eastAsia="Arial" w:hAnsi="Arial"/>
          <w:sz w:val="18"/>
          <w:szCs w:val="18"/>
          <w:color w:val="auto"/>
        </w:rPr>
        <w:t>The Committee shall have the right to grant other Awards which may include, without limitation, the payment of Stock in lieu of cash, the payment of cash based on attainment of Performance Goals established by the Committee, and the payment of Stock in lieu of cash under other Company incentive or bonus programs. Payment under or settlement of any such Awards shall be made in such manner and at such times as the Committee may determine.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11. Deferrals</w:t>
      </w:r>
    </w:p>
    <w:p>
      <w:pPr>
        <w:spacing w:after="0" w:line="233" w:lineRule="exact"/>
        <w:rPr>
          <w:sz w:val="20"/>
          <w:szCs w:val="20"/>
          <w:color w:val="auto"/>
        </w:rPr>
      </w:pPr>
    </w:p>
    <w:p>
      <w:pPr>
        <w:ind w:right="20" w:firstLine="270"/>
        <w:spacing w:after="0" w:line="237" w:lineRule="auto"/>
        <w:rPr>
          <w:sz w:val="20"/>
          <w:szCs w:val="20"/>
          <w:color w:val="auto"/>
        </w:rPr>
      </w:pPr>
      <w:r>
        <w:rPr>
          <w:rFonts w:ascii="Arial" w:cs="Arial" w:eastAsia="Arial" w:hAnsi="Arial"/>
          <w:sz w:val="18"/>
          <w:szCs w:val="18"/>
          <w:color w:val="auto"/>
        </w:rPr>
        <w:t>The Committee may, in its sole discretion, permit a Participant to defer the Participant’s receipt of the payment of cash or the delivery of Stock that would otherwise be due to such Participant under the Plan. If any such deferral election is permitted, the Committee shall, in its sole discretion, establish rules and procedures for such payment deferrals consistent with Section 409A to the extent applicable.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12. Rights of Participants</w:t>
      </w:r>
    </w:p>
    <w:p>
      <w:pPr>
        <w:spacing w:after="0" w:line="215" w:lineRule="exact"/>
        <w:rPr>
          <w:sz w:val="20"/>
          <w:szCs w:val="20"/>
          <w:color w:val="auto"/>
        </w:rPr>
      </w:pPr>
    </w:p>
    <w:p>
      <w:pPr>
        <w:ind w:right="240" w:firstLine="270"/>
        <w:spacing w:after="0" w:line="243"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i w:val="1"/>
          <w:iCs w:val="1"/>
          <w:color w:val="auto"/>
        </w:rPr>
        <w:t>Termination</w:t>
      </w:r>
      <w:r>
        <w:rPr>
          <w:rFonts w:ascii="Arial" w:cs="Arial" w:eastAsia="Arial" w:hAnsi="Arial"/>
          <w:sz w:val="18"/>
          <w:szCs w:val="18"/>
          <w:color w:val="auto"/>
        </w:rPr>
        <w:t>. Nothing in the Plan shall interfere with or limit in any way the right of the Company or any Subsidiary to terminate any Participant’s employment or other relationship with the Company or any Subsidiary at any time, for any reason or no reason in the Company’s or the Subsidiary’s sole discretion, nor confer upon any Participant any right to continue in the employ of, or otherwise in any relationship with, the Company or any Subsidiary.</w:t>
      </w:r>
    </w:p>
    <w:p>
      <w:pPr>
        <w:spacing w:after="0" w:line="187" w:lineRule="exact"/>
        <w:rPr>
          <w:sz w:val="20"/>
          <w:szCs w:val="20"/>
          <w:color w:val="auto"/>
        </w:rPr>
      </w:pPr>
    </w:p>
    <w:p>
      <w:pPr>
        <w:ind w:right="80" w:firstLine="270"/>
        <w:spacing w:after="0" w:line="259"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i w:val="1"/>
          <w:iCs w:val="1"/>
          <w:color w:val="auto"/>
        </w:rPr>
        <w:t>Participation</w:t>
      </w:r>
      <w:r>
        <w:rPr>
          <w:rFonts w:ascii="Arial" w:cs="Arial" w:eastAsia="Arial" w:hAnsi="Arial"/>
          <w:sz w:val="18"/>
          <w:szCs w:val="18"/>
          <w:color w:val="auto"/>
        </w:rPr>
        <w:t xml:space="preserve"> . No Eligible Person shall have the right to be selected to receive an Award under the Plan, or, having been so selected, to be selected to receive a future Award.</w:t>
      </w:r>
    </w:p>
    <w:p>
      <w:pPr>
        <w:spacing w:after="0" w:line="174" w:lineRule="exact"/>
        <w:rPr>
          <w:sz w:val="20"/>
          <w:szCs w:val="20"/>
          <w:color w:val="auto"/>
        </w:rPr>
      </w:pPr>
    </w:p>
    <w:p>
      <w:pPr>
        <w:ind w:firstLine="270"/>
        <w:spacing w:after="0" w:line="278" w:lineRule="auto"/>
        <w:rPr>
          <w:sz w:val="20"/>
          <w:szCs w:val="20"/>
          <w:color w:val="auto"/>
        </w:rPr>
      </w:pPr>
      <w:r>
        <w:rPr>
          <w:rFonts w:ascii="Arial" w:cs="Arial" w:eastAsia="Arial" w:hAnsi="Arial"/>
          <w:sz w:val="16"/>
          <w:szCs w:val="16"/>
          <w:color w:val="auto"/>
        </w:rPr>
        <w:t xml:space="preserve">12.3 </w:t>
      </w:r>
      <w:r>
        <w:rPr>
          <w:rFonts w:ascii="Arial" w:cs="Arial" w:eastAsia="Arial" w:hAnsi="Arial"/>
          <w:sz w:val="16"/>
          <w:szCs w:val="16"/>
          <w:i w:val="1"/>
          <w:iCs w:val="1"/>
          <w:color w:val="auto"/>
        </w:rPr>
        <w:t>Limitation of Implied Rights</w:t>
      </w:r>
      <w:r>
        <w:rPr>
          <w:rFonts w:ascii="Arial" w:cs="Arial" w:eastAsia="Arial" w:hAnsi="Arial"/>
          <w:sz w:val="16"/>
          <w:szCs w:val="16"/>
          <w:color w:val="auto"/>
        </w:rPr>
        <w:t>. Neither a Participant nor any other Person shall, by reason of the Plan, acquire any right in or title to any assets, funds or property of the Company or any Subsidiary whatsoever, including, without limitation, any specific funds, assets or other property which the Company or any Subsidiary, in its sole discretion, may set aside in anticipation of a liability under the Plan. A Participant shall have only a contractual right to the Stock or amounts, if any, payable under the Plan, unsecured by any assets of the Company or any Subsidiary. Nothing contained in the Plan shall constitute a guarantee that the assets of such companies shall be sufficient to pay any benefits to any Person.</w:t>
      </w:r>
    </w:p>
    <w:p>
      <w:pPr>
        <w:spacing w:after="0" w:line="180" w:lineRule="exact"/>
        <w:rPr>
          <w:sz w:val="20"/>
          <w:szCs w:val="20"/>
          <w:color w:val="auto"/>
        </w:rPr>
      </w:pPr>
    </w:p>
    <w:p>
      <w:pPr>
        <w:ind w:right="600" w:firstLine="270"/>
        <w:spacing w:after="0" w:line="239" w:lineRule="auto"/>
        <w:rPr>
          <w:sz w:val="20"/>
          <w:szCs w:val="20"/>
          <w:color w:val="auto"/>
        </w:rPr>
      </w:pPr>
      <w:r>
        <w:rPr>
          <w:rFonts w:ascii="Arial" w:cs="Arial" w:eastAsia="Arial" w:hAnsi="Arial"/>
          <w:sz w:val="18"/>
          <w:szCs w:val="18"/>
          <w:color w:val="auto"/>
        </w:rPr>
        <w:t>Except as otherwise provided in the Plan, no Award under the Plan shall confer upon the holder thereof any right as a stockholder of the Company prior to the date on which the individual fulfills all conditions for receipt of such rights.</w:t>
      </w:r>
    </w:p>
    <w:p>
      <w:pPr>
        <w:spacing w:after="0" w:line="190" w:lineRule="exact"/>
        <w:rPr>
          <w:sz w:val="20"/>
          <w:szCs w:val="20"/>
          <w:color w:val="auto"/>
        </w:rPr>
      </w:pPr>
    </w:p>
    <w:p>
      <w:pPr>
        <w:ind w:right="260" w:firstLine="270"/>
        <w:spacing w:after="0" w:line="259" w:lineRule="auto"/>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i w:val="1"/>
          <w:iCs w:val="1"/>
          <w:color w:val="auto"/>
        </w:rPr>
        <w:t>Waiver.</w:t>
      </w:r>
      <w:r>
        <w:rPr>
          <w:rFonts w:ascii="Arial" w:cs="Arial" w:eastAsia="Arial" w:hAnsi="Arial"/>
          <w:sz w:val="18"/>
          <w:szCs w:val="18"/>
          <w:color w:val="auto"/>
        </w:rPr>
        <w:t xml:space="preserve"> Each Participant, by acceptance of an Award, waives all rights to specific performance or injunctive or other equitable relief and acknowledges that he has an adequate remedy at law in the form of damages.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13. Termination of Employment</w:t>
      </w:r>
    </w:p>
    <w:p>
      <w:pPr>
        <w:spacing w:after="0" w:line="233" w:lineRule="exact"/>
        <w:rPr>
          <w:sz w:val="20"/>
          <w:szCs w:val="20"/>
          <w:color w:val="auto"/>
        </w:rPr>
      </w:pPr>
    </w:p>
    <w:p>
      <w:pPr>
        <w:ind w:right="340" w:firstLine="270"/>
        <w:spacing w:after="0" w:line="239" w:lineRule="auto"/>
        <w:rPr>
          <w:sz w:val="20"/>
          <w:szCs w:val="20"/>
          <w:color w:val="auto"/>
        </w:rPr>
      </w:pPr>
      <w:r>
        <w:rPr>
          <w:rFonts w:ascii="Arial" w:cs="Arial" w:eastAsia="Arial" w:hAnsi="Arial"/>
          <w:sz w:val="18"/>
          <w:szCs w:val="18"/>
          <w:color w:val="auto"/>
        </w:rPr>
        <w:t>If a Participant has a Termination of Employment, then, unless otherwise provided by the Committee or in the Award Agreement, all Awards shall terminate and be forfeited on the date of such Termination of Employment.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14. Sub-Plans for Employees of Foreign Subsidiaries</w:t>
      </w:r>
    </w:p>
    <w:p>
      <w:pPr>
        <w:spacing w:after="0" w:line="233" w:lineRule="exact"/>
        <w:rPr>
          <w:sz w:val="20"/>
          <w:szCs w:val="20"/>
          <w:color w:val="auto"/>
        </w:rPr>
      </w:pPr>
    </w:p>
    <w:p>
      <w:pPr>
        <w:jc w:val="center"/>
        <w:ind w:right="280"/>
        <w:spacing w:after="0" w:line="281" w:lineRule="auto"/>
        <w:rPr>
          <w:sz w:val="20"/>
          <w:szCs w:val="20"/>
          <w:color w:val="auto"/>
        </w:rPr>
      </w:pPr>
      <w:r>
        <w:rPr>
          <w:rFonts w:ascii="Arial" w:cs="Arial" w:eastAsia="Arial" w:hAnsi="Arial"/>
          <w:sz w:val="16"/>
          <w:szCs w:val="16"/>
          <w:color w:val="auto"/>
        </w:rPr>
        <w:t>The Committee may authorize the adoption of sub-plans of the Plan, including, without limitation, as the Committee deems necessary or desirable to comply with the laws of, or to accommodate the tax policy, accounting principles or custom of, foreign jurisdictions whose residents may be granted Awards (“Foreign Sub-Plans”), and Awards granted under such Foreign Sub-Plans may be treated as Awards under the Plan, if</w:t>
      </w:r>
    </w:p>
    <w:p>
      <w:pPr>
        <w:spacing w:after="0" w:line="173" w:lineRule="exact"/>
        <w:rPr>
          <w:sz w:val="20"/>
          <w:szCs w:val="20"/>
          <w:color w:val="auto"/>
        </w:rPr>
      </w:pPr>
    </w:p>
    <w:p>
      <w:pPr>
        <w:ind w:left="460" w:hanging="452"/>
        <w:spacing w:after="0"/>
        <w:tabs>
          <w:tab w:leader="none" w:pos="460" w:val="left"/>
        </w:tabs>
        <w:numPr>
          <w:ilvl w:val="0"/>
          <w:numId w:val="271"/>
        </w:numPr>
        <w:rPr>
          <w:rFonts w:ascii="Arial" w:cs="Arial" w:eastAsia="Arial" w:hAnsi="Arial"/>
          <w:sz w:val="13"/>
          <w:szCs w:val="13"/>
          <w:b w:val="1"/>
          <w:bCs w:val="1"/>
          <w:color w:val="105EAB"/>
        </w:rPr>
      </w:pPr>
      <w:r>
        <w:rPr>
          <w:rFonts w:ascii="Arial" w:cs="Arial" w:eastAsia="Arial" w:hAnsi="Arial"/>
          <w:sz w:val="13"/>
          <w:szCs w:val="13"/>
          <w:color w:val="105EAB"/>
        </w:rPr>
        <w:t>www.allstateproxy.com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134620</wp:posOffset>
            </wp:positionV>
            <wp:extent cx="7268210" cy="209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 xml:space="preserve">Appendix D – 2019 Equity Incentive Plan </w:t>
      </w:r>
      <w:r>
        <w:rPr>
          <w:rFonts w:ascii="Arial" w:cs="Arial" w:eastAsia="Arial" w:hAnsi="Arial"/>
          <w:sz w:val="13"/>
          <w:szCs w:val="13"/>
          <w:b w:val="1"/>
          <w:bCs w:val="1"/>
          <w:color w:val="105EAB"/>
        </w:rPr>
        <w:t>| Other Information</w:t>
      </w:r>
    </w:p>
    <w:p>
      <w:pPr>
        <w:spacing w:after="0" w:line="235"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the Committee so determines. Such Foreign Sub- Plans shall have such terms and provisions as the Committee permits not inconsistent with the provisions of the Plan and which may be more restrictive than those contained in the Plan. Awards granted under such Foreign Sub-Plans shall be governed by the terms of the Plan except to the extent that the provisions of the Foreign Sub-Plans are more restrictive than the terms of the Plan, in which case such terms of the Foreign Sub-Plans shall control.</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15. Amendment, Modification, and Termination</w:t>
      </w:r>
    </w:p>
    <w:p>
      <w:pPr>
        <w:spacing w:after="0" w:line="233" w:lineRule="exact"/>
        <w:rPr>
          <w:sz w:val="20"/>
          <w:szCs w:val="20"/>
          <w:color w:val="auto"/>
        </w:rPr>
      </w:pPr>
    </w:p>
    <w:p>
      <w:pPr>
        <w:ind w:right="420" w:firstLine="270"/>
        <w:spacing w:after="0" w:line="237" w:lineRule="auto"/>
        <w:rPr>
          <w:sz w:val="20"/>
          <w:szCs w:val="20"/>
          <w:color w:val="auto"/>
        </w:rPr>
      </w:pPr>
      <w:r>
        <w:rPr>
          <w:rFonts w:ascii="Arial" w:cs="Arial" w:eastAsia="Arial" w:hAnsi="Arial"/>
          <w:sz w:val="18"/>
          <w:szCs w:val="18"/>
          <w:color w:val="auto"/>
        </w:rPr>
        <w:t>The Board may, at any time and from time to time, alter, amend, suspend, or terminate the Plan in whole or in part, provided that no amendment shall be made which shall increase the total number of shares of Stock that may be issued under the Plan, materially modify the requirements for participation in the Plan, or materially increase the benefits accruing to Participants under the Plan, in each case unless such amendment is approved by the stockholders of the Company.</w:t>
      </w:r>
    </w:p>
    <w:p>
      <w:pPr>
        <w:spacing w:after="0" w:line="208" w:lineRule="exact"/>
        <w:rPr>
          <w:sz w:val="20"/>
          <w:szCs w:val="20"/>
          <w:color w:val="auto"/>
        </w:rPr>
      </w:pPr>
    </w:p>
    <w:p>
      <w:pPr>
        <w:ind w:right="20" w:firstLine="270"/>
        <w:spacing w:after="0" w:line="237" w:lineRule="auto"/>
        <w:rPr>
          <w:sz w:val="20"/>
          <w:szCs w:val="20"/>
          <w:color w:val="auto"/>
        </w:rPr>
      </w:pPr>
      <w:r>
        <w:rPr>
          <w:rFonts w:ascii="Arial" w:cs="Arial" w:eastAsia="Arial" w:hAnsi="Arial"/>
          <w:sz w:val="18"/>
          <w:szCs w:val="18"/>
          <w:color w:val="auto"/>
        </w:rPr>
        <w:t>No termination, amendment, or modification of the Plan shall adversely affect in any material way any Award previously granted under the Plan, without the written consent of the Participant holding such Award, unless such termination, modification, or amendment is required by applicable law and except as otherwise provided herein.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16. Payment for Awards and Withholding</w:t>
      </w:r>
    </w:p>
    <w:p>
      <w:pPr>
        <w:spacing w:after="0" w:line="215" w:lineRule="exact"/>
        <w:rPr>
          <w:sz w:val="20"/>
          <w:szCs w:val="20"/>
          <w:color w:val="auto"/>
        </w:rPr>
      </w:pPr>
    </w:p>
    <w:p>
      <w:pPr>
        <w:ind w:right="20" w:firstLine="270"/>
        <w:spacing w:after="0" w:line="238" w:lineRule="auto"/>
        <w:rPr>
          <w:sz w:val="20"/>
          <w:szCs w:val="20"/>
          <w:color w:val="auto"/>
        </w:rPr>
      </w:pPr>
      <w:r>
        <w:rPr>
          <w:rFonts w:ascii="Arial" w:cs="Arial" w:eastAsia="Arial" w:hAnsi="Arial"/>
          <w:sz w:val="18"/>
          <w:szCs w:val="18"/>
          <w:color w:val="auto"/>
        </w:rPr>
        <w:t xml:space="preserve">16.1 </w:t>
      </w:r>
      <w:r>
        <w:rPr>
          <w:rFonts w:ascii="Arial" w:cs="Arial" w:eastAsia="Arial" w:hAnsi="Arial"/>
          <w:sz w:val="18"/>
          <w:szCs w:val="18"/>
          <w:i w:val="1"/>
          <w:iCs w:val="1"/>
          <w:color w:val="auto"/>
        </w:rPr>
        <w:t>Payment for Awards</w:t>
      </w:r>
      <w:r>
        <w:rPr>
          <w:rFonts w:ascii="Arial" w:cs="Arial" w:eastAsia="Arial" w:hAnsi="Arial"/>
          <w:sz w:val="18"/>
          <w:szCs w:val="18"/>
          <w:color w:val="auto"/>
        </w:rPr>
        <w:t>. In the event a Participant is permitted to elect to pay the Option Exercise Price or make payment for any other Award through tender of previously acquired Stock, (i) only a whole number of share(s) of Stock (and not fractional shares of Stock) may be tendered in payment, (ii) such Participant must present evidence acceptable to the Company that he has owned any such shares of Stock tendered in payment (and that such shares of Stock tendered have not been subject to any substantial risk of forfeiture) for at least six months prior to the date of exercise, and (iii) Stock must be tendered to the Company, either by actual delivery of the shares or by attestation. When payment is made by tender of Stock, the difference, if any, between the aggregate amount payable and the Fair Market Value of the share(s) of Stock tendered in payment (plus any applicable taxes) shall be paid by check. No Participant may tender shares of Stock having a Fair Market Value exceeding the aggregate Option Exercise Price or other payment due.</w:t>
      </w:r>
    </w:p>
    <w:p>
      <w:pPr>
        <w:spacing w:after="0" w:line="193" w:lineRule="exact"/>
        <w:rPr>
          <w:sz w:val="20"/>
          <w:szCs w:val="20"/>
          <w:color w:val="auto"/>
        </w:rPr>
      </w:pPr>
    </w:p>
    <w:p>
      <w:pPr>
        <w:ind w:right="200" w:firstLine="270"/>
        <w:spacing w:after="0"/>
        <w:rPr>
          <w:sz w:val="20"/>
          <w:szCs w:val="20"/>
          <w:color w:val="auto"/>
        </w:rPr>
      </w:pPr>
      <w:r>
        <w:rPr>
          <w:rFonts w:ascii="Arial" w:cs="Arial" w:eastAsia="Arial" w:hAnsi="Arial"/>
          <w:sz w:val="18"/>
          <w:szCs w:val="18"/>
          <w:color w:val="auto"/>
        </w:rPr>
        <w:t xml:space="preserve">16.2 </w:t>
      </w:r>
      <w:r>
        <w:rPr>
          <w:rFonts w:ascii="Arial" w:cs="Arial" w:eastAsia="Arial" w:hAnsi="Arial"/>
          <w:sz w:val="18"/>
          <w:szCs w:val="18"/>
          <w:i w:val="1"/>
          <w:iCs w:val="1"/>
          <w:color w:val="auto"/>
        </w:rPr>
        <w:t>Notification under Section 83(b).</w:t>
      </w:r>
      <w:r>
        <w:rPr>
          <w:rFonts w:ascii="Arial" w:cs="Arial" w:eastAsia="Arial" w:hAnsi="Arial"/>
          <w:sz w:val="18"/>
          <w:szCs w:val="18"/>
          <w:color w:val="auto"/>
        </w:rPr>
        <w:t xml:space="preserve"> If the Participant, in connection with the exercise of any Option, or the grant of any share of Restricted Stock, makes the election permitted under Section 83(b) of the Code (i.e., an election to include in such Participant’s gross income in the year of transfer the amounts specified in Section 83(b) of the Code), such Participant shall notify the Company of such election within 10 days of filing notice of the election with the Internal Revenue Service, in addition to any filing and notification required pursuant to regulations issued under the authority of Section 83(b) of the Code.</w:t>
      </w:r>
    </w:p>
    <w:p>
      <w:pPr>
        <w:spacing w:after="0" w:line="193" w:lineRule="exact"/>
        <w:rPr>
          <w:sz w:val="20"/>
          <w:szCs w:val="20"/>
          <w:color w:val="auto"/>
        </w:rPr>
      </w:pPr>
    </w:p>
    <w:p>
      <w:pPr>
        <w:ind w:right="140" w:firstLine="270"/>
        <w:spacing w:after="0" w:line="247" w:lineRule="auto"/>
        <w:rPr>
          <w:sz w:val="20"/>
          <w:szCs w:val="20"/>
          <w:color w:val="auto"/>
        </w:rPr>
      </w:pPr>
      <w:r>
        <w:rPr>
          <w:rFonts w:ascii="Arial" w:cs="Arial" w:eastAsia="Arial" w:hAnsi="Arial"/>
          <w:sz w:val="18"/>
          <w:szCs w:val="18"/>
          <w:color w:val="auto"/>
        </w:rPr>
        <w:t xml:space="preserve">16.3 </w:t>
      </w:r>
      <w:r>
        <w:rPr>
          <w:rFonts w:ascii="Arial" w:cs="Arial" w:eastAsia="Arial" w:hAnsi="Arial"/>
          <w:sz w:val="18"/>
          <w:szCs w:val="18"/>
          <w:i w:val="1"/>
          <w:iCs w:val="1"/>
          <w:color w:val="auto"/>
        </w:rPr>
        <w:t>Tax Withholding</w:t>
      </w:r>
      <w:r>
        <w:rPr>
          <w:rFonts w:ascii="Arial" w:cs="Arial" w:eastAsia="Arial" w:hAnsi="Arial"/>
          <w:sz w:val="18"/>
          <w:szCs w:val="18"/>
          <w:color w:val="auto"/>
        </w:rPr>
        <w:t>. The Company shall have the power and the right to deduct or withhold, or require a Participant to remit to the Company, an amount (including any Stock withheld as provided below) sufficient to satisfy Federal, state, and local taxes (including the Participant’s FICA obligation) required by law to be withheld with respect to an Award made under the Plan.</w:t>
      </w:r>
    </w:p>
    <w:p>
      <w:pPr>
        <w:spacing w:after="0" w:line="184" w:lineRule="exact"/>
        <w:rPr>
          <w:sz w:val="20"/>
          <w:szCs w:val="20"/>
          <w:color w:val="auto"/>
        </w:rPr>
      </w:pPr>
    </w:p>
    <w:p>
      <w:pPr>
        <w:ind w:right="20" w:firstLine="270"/>
        <w:spacing w:after="0" w:line="237" w:lineRule="auto"/>
        <w:rPr>
          <w:sz w:val="20"/>
          <w:szCs w:val="20"/>
          <w:color w:val="auto"/>
        </w:rPr>
      </w:pPr>
      <w:r>
        <w:rPr>
          <w:rFonts w:ascii="Arial" w:cs="Arial" w:eastAsia="Arial" w:hAnsi="Arial"/>
          <w:sz w:val="18"/>
          <w:szCs w:val="18"/>
          <w:color w:val="auto"/>
        </w:rPr>
        <w:t xml:space="preserve">16.4 </w:t>
      </w:r>
      <w:r>
        <w:rPr>
          <w:rFonts w:ascii="Arial" w:cs="Arial" w:eastAsia="Arial" w:hAnsi="Arial"/>
          <w:sz w:val="18"/>
          <w:szCs w:val="18"/>
          <w:i w:val="1"/>
          <w:iCs w:val="1"/>
          <w:color w:val="auto"/>
        </w:rPr>
        <w:t>Stock Withholding</w:t>
      </w:r>
      <w:r>
        <w:rPr>
          <w:rFonts w:ascii="Arial" w:cs="Arial" w:eastAsia="Arial" w:hAnsi="Arial"/>
          <w:sz w:val="18"/>
          <w:szCs w:val="18"/>
          <w:color w:val="auto"/>
        </w:rPr>
        <w:t>. With respect to tax withholding required upon the exercise of Options or SARs, upon the lapse of restrictions on Restricted Stock or Restricted Stock Units, or upon any other taxable event arising out of or as a result of Awards granted hereunder, Participants may elect to satisfy the withholding requirement, in whole or in part, by tendering Stock held by the Participant (by actual delivery of the shares or by attestation) or by having the Company withhold Stock having a Fair Market Value equal to the minimum statutory total withholding tax which could be imposed on the transaction, or such other limitations as will not cause adverse accounting consequences or cost, except as otherwise specifically provided in any Award Agreement with respect to a Participant subject to tax withholding in any foreign jurisdiction in which there is no minimum statutory withholding rates. All elections shall be irrevocable, made in writing (or other method acceptable to the Company) and signed by the Participant. In the event a Participant fails to make an election by the date required, the Participant will be deemed to have made an election to have the Company withhold Stock having a Fair Market Value equal to the minimum statutory total withholding tax which could be imposed on the transaction.</w:t>
      </w:r>
    </w:p>
    <w:p>
      <w:pPr>
        <w:spacing w:after="0" w:line="193" w:lineRule="exact"/>
        <w:rPr>
          <w:sz w:val="20"/>
          <w:szCs w:val="20"/>
          <w:color w:val="auto"/>
        </w:rPr>
      </w:pPr>
    </w:p>
    <w:p>
      <w:pPr>
        <w:ind w:left="9640"/>
        <w:spacing w:after="0"/>
        <w:tabs>
          <w:tab w:leader="none" w:pos="11180" w:val="left"/>
        </w:tabs>
        <w:rPr>
          <w:sz w:val="20"/>
          <w:szCs w:val="20"/>
          <w:color w:val="auto"/>
        </w:rPr>
      </w:pPr>
      <w:r>
        <w:rPr>
          <w:rFonts w:ascii="Arial" w:cs="Arial" w:eastAsia="Arial" w:hAnsi="Arial"/>
          <w:sz w:val="13"/>
          <w:szCs w:val="13"/>
          <w:color w:val="105EAB"/>
        </w:rPr>
        <w:t>2019 Proxy Statement</w:t>
      </w:r>
      <w:r>
        <w:rPr>
          <w:sz w:val="20"/>
          <w:szCs w:val="20"/>
          <w:color w:val="auto"/>
        </w:rPr>
        <w:tab/>
      </w:r>
      <w:r>
        <w:rPr>
          <w:rFonts w:ascii="Arial" w:cs="Arial" w:eastAsia="Arial" w:hAnsi="Arial"/>
          <w:sz w:val="13"/>
          <w:szCs w:val="13"/>
          <w:b w:val="1"/>
          <w:bCs w:val="1"/>
          <w:color w:val="105EAB"/>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68210" cy="209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b w:val="1"/>
          <w:bCs w:val="1"/>
          <w:color w:val="105EAB"/>
        </w:rPr>
        <w:t xml:space="preserve">Other Information | </w:t>
      </w:r>
      <w:r>
        <w:rPr>
          <w:rFonts w:ascii="Arial" w:cs="Arial" w:eastAsia="Arial" w:hAnsi="Arial"/>
          <w:sz w:val="13"/>
          <w:szCs w:val="13"/>
          <w:b w:val="1"/>
          <w:bCs w:val="1"/>
          <w:color w:val="000000"/>
        </w:rPr>
        <w:t>Appendix D – 2019 Equity Incentive Plan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17. Repayment of Awards</w:t>
      </w:r>
    </w:p>
    <w:p>
      <w:pPr>
        <w:spacing w:after="0" w:line="215" w:lineRule="exact"/>
        <w:rPr>
          <w:sz w:val="20"/>
          <w:szCs w:val="20"/>
          <w:color w:val="auto"/>
        </w:rPr>
      </w:pPr>
    </w:p>
    <w:p>
      <w:pPr>
        <w:jc w:val="both"/>
        <w:ind w:right="160" w:firstLine="270"/>
        <w:spacing w:after="0" w:line="247" w:lineRule="auto"/>
        <w:rPr>
          <w:sz w:val="20"/>
          <w:szCs w:val="20"/>
          <w:color w:val="auto"/>
        </w:rPr>
      </w:pPr>
      <w:r>
        <w:rPr>
          <w:rFonts w:ascii="Arial" w:cs="Arial" w:eastAsia="Arial" w:hAnsi="Arial"/>
          <w:sz w:val="18"/>
          <w:szCs w:val="18"/>
          <w:color w:val="auto"/>
        </w:rPr>
        <w:t xml:space="preserve">17.1 </w:t>
      </w:r>
      <w:r>
        <w:rPr>
          <w:rFonts w:ascii="Arial" w:cs="Arial" w:eastAsia="Arial" w:hAnsi="Arial"/>
          <w:sz w:val="18"/>
          <w:szCs w:val="18"/>
          <w:i w:val="1"/>
          <w:iCs w:val="1"/>
          <w:color w:val="auto"/>
        </w:rPr>
        <w:t>Restatements</w:t>
      </w:r>
      <w:r>
        <w:rPr>
          <w:rFonts w:ascii="Arial" w:cs="Arial" w:eastAsia="Arial" w:hAnsi="Arial"/>
          <w:sz w:val="18"/>
          <w:szCs w:val="18"/>
          <w:color w:val="auto"/>
        </w:rPr>
        <w:t>. In the event of a restatement of the Company’s financial results to correct a material error or inaccuracy resulting in whole or in part from the fraud or intentional misconduct of a Section 16 Officer, as determined by the Board or a committee thereof, the Company shall have the authority, to the extent permitted by applicable law, to</w:t>
      </w:r>
    </w:p>
    <w:p>
      <w:pPr>
        <w:spacing w:after="0" w:line="202" w:lineRule="exact"/>
        <w:rPr>
          <w:sz w:val="20"/>
          <w:szCs w:val="20"/>
          <w:color w:val="auto"/>
        </w:rPr>
      </w:pPr>
    </w:p>
    <w:p>
      <w:pPr>
        <w:ind w:left="760" w:hanging="213"/>
        <w:spacing w:after="0"/>
        <w:tabs>
          <w:tab w:leader="none" w:pos="76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cancel or cause to be cancelled any or all of such Section 16 Officer’s outstanding Awards granted after May 19, 2009;</w:t>
      </w:r>
    </w:p>
    <w:p>
      <w:pPr>
        <w:spacing w:after="0" w:line="211" w:lineRule="exact"/>
        <w:rPr>
          <w:rFonts w:ascii="Arial" w:cs="Arial" w:eastAsia="Arial" w:hAnsi="Arial"/>
          <w:sz w:val="18"/>
          <w:szCs w:val="18"/>
          <w:color w:val="auto"/>
        </w:rPr>
      </w:pPr>
    </w:p>
    <w:p>
      <w:pPr>
        <w:ind w:left="280" w:right="280" w:firstLine="267"/>
        <w:spacing w:after="0" w:line="237" w:lineRule="auto"/>
        <w:tabs>
          <w:tab w:leader="none" w:pos="793" w:val="left"/>
        </w:tabs>
        <w:numPr>
          <w:ilvl w:val="0"/>
          <w:numId w:val="272"/>
        </w:numPr>
        <w:rPr>
          <w:rFonts w:ascii="Arial" w:cs="Arial" w:eastAsia="Arial" w:hAnsi="Arial"/>
          <w:sz w:val="18"/>
          <w:szCs w:val="18"/>
          <w:color w:val="auto"/>
        </w:rPr>
      </w:pPr>
      <w:r>
        <w:rPr>
          <w:rFonts w:ascii="Arial" w:cs="Arial" w:eastAsia="Arial" w:hAnsi="Arial"/>
          <w:sz w:val="18"/>
          <w:szCs w:val="18"/>
          <w:color w:val="auto"/>
        </w:rPr>
        <w:t>recover or cause to be recovered any or all “Proceeds” (as defined below) resulting from any sale or other disposition (including to the Company) of shares of Stock issued or issuable upon vesting, settlement, or exercise, as the case may be, of any Award granted to such Section 16 Officer after May 19, 2009, plus a reasonable rate of interest; and/or</w:t>
      </w:r>
    </w:p>
    <w:p>
      <w:pPr>
        <w:spacing w:after="0" w:line="209" w:lineRule="exact"/>
        <w:rPr>
          <w:rFonts w:ascii="Arial" w:cs="Arial" w:eastAsia="Arial" w:hAnsi="Arial"/>
          <w:sz w:val="18"/>
          <w:szCs w:val="18"/>
          <w:color w:val="auto"/>
        </w:rPr>
      </w:pPr>
    </w:p>
    <w:p>
      <w:pPr>
        <w:ind w:left="280" w:right="380" w:firstLine="267"/>
        <w:spacing w:after="0" w:line="239" w:lineRule="auto"/>
        <w:tabs>
          <w:tab w:leader="none" w:pos="832" w:val="left"/>
        </w:tabs>
        <w:numPr>
          <w:ilvl w:val="0"/>
          <w:numId w:val="272"/>
        </w:numPr>
        <w:rPr>
          <w:rFonts w:ascii="Arial" w:cs="Arial" w:eastAsia="Arial" w:hAnsi="Arial"/>
          <w:sz w:val="18"/>
          <w:szCs w:val="18"/>
          <w:color w:val="auto"/>
        </w:rPr>
      </w:pPr>
      <w:r>
        <w:rPr>
          <w:rFonts w:ascii="Arial" w:cs="Arial" w:eastAsia="Arial" w:hAnsi="Arial"/>
          <w:sz w:val="18"/>
          <w:szCs w:val="18"/>
          <w:color w:val="auto"/>
        </w:rPr>
        <w:t>recover or cause to be recovered any cash paid or shares of Stock issued to such Section 16 Officer in connection with any vesting, settlement, or exercise of an Award granted after May 19, 2009, plus a reasonable rate of interest.</w:t>
      </w:r>
    </w:p>
    <w:p>
      <w:pPr>
        <w:spacing w:after="0" w:line="208" w:lineRule="exact"/>
        <w:rPr>
          <w:sz w:val="20"/>
          <w:szCs w:val="20"/>
          <w:color w:val="auto"/>
        </w:rPr>
      </w:pPr>
    </w:p>
    <w:p>
      <w:pPr>
        <w:ind w:firstLine="270"/>
        <w:spacing w:after="0" w:line="269" w:lineRule="auto"/>
        <w:rPr>
          <w:sz w:val="20"/>
          <w:szCs w:val="20"/>
          <w:color w:val="auto"/>
        </w:rPr>
      </w:pPr>
      <w:r>
        <w:rPr>
          <w:rFonts w:ascii="Arial" w:cs="Arial" w:eastAsia="Arial" w:hAnsi="Arial"/>
          <w:sz w:val="16"/>
          <w:szCs w:val="16"/>
          <w:color w:val="auto"/>
        </w:rPr>
        <w:t>The term “Proceeds” means, with respect to any sale or other disposition (including to the Company) of shares of Stock acquired pursuant to an Award, an amount determined by the Committee, (a) in the case of an Award other than an Option or SAR, up to the amount equal to the Fair Market Value per share of Stock at the time of such sale or other disposition multiplied by the number of shares sold or disposed of, or (b) in the case of an Option or SAR, up to the amount equal to the number of shares of Stock sold or disposed of multiplied by the excess of the Fair Market Value per share of Stock at the time of such sale or disposition over the Option Exercise Price or Base Value, as applicable. The return of Proceeds is in addition to and separate from any other relief available to the Company or any other actions as may be taken by the Committee in its sole discretion. Any determination by the Committee with respect to the foregoing shall be final, conclusive, and binding on all interested parties.</w:t>
      </w:r>
    </w:p>
    <w:p>
      <w:pPr>
        <w:spacing w:after="0" w:line="171" w:lineRule="exact"/>
        <w:rPr>
          <w:sz w:val="20"/>
          <w:szCs w:val="20"/>
          <w:color w:val="auto"/>
        </w:rPr>
      </w:pPr>
    </w:p>
    <w:p>
      <w:pPr>
        <w:jc w:val="both"/>
        <w:ind w:right="540" w:firstLine="270"/>
        <w:spacing w:after="0" w:line="293" w:lineRule="auto"/>
        <w:rPr>
          <w:sz w:val="20"/>
          <w:szCs w:val="20"/>
          <w:color w:val="auto"/>
        </w:rPr>
      </w:pPr>
      <w:r>
        <w:rPr>
          <w:rFonts w:ascii="Arial" w:cs="Arial" w:eastAsia="Arial" w:hAnsi="Arial"/>
          <w:sz w:val="16"/>
          <w:szCs w:val="16"/>
          <w:color w:val="auto"/>
        </w:rPr>
        <w:t xml:space="preserve">17.2 </w:t>
      </w:r>
      <w:r>
        <w:rPr>
          <w:rFonts w:ascii="Arial" w:cs="Arial" w:eastAsia="Arial" w:hAnsi="Arial"/>
          <w:sz w:val="16"/>
          <w:szCs w:val="16"/>
          <w:i w:val="1"/>
          <w:iCs w:val="1"/>
          <w:color w:val="auto"/>
        </w:rPr>
        <w:t>No Limitation on Other Rights</w:t>
      </w:r>
      <w:r>
        <w:rPr>
          <w:rFonts w:ascii="Arial" w:cs="Arial" w:eastAsia="Arial" w:hAnsi="Arial"/>
          <w:sz w:val="16"/>
          <w:szCs w:val="16"/>
          <w:color w:val="auto"/>
        </w:rPr>
        <w:t>. Nothing contained in this Article 17 shall be deemed to limit any additional legal or equitable rights or remedies the Company may have under applicable law, any policy adopted by the Company, or the terms of any Award Agreement or other agreement with the Participant, to seek cancellation of any Award or repayment of any Stock or other amounts paid pursuant to such Award.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18. Successors</w:t>
      </w:r>
    </w:p>
    <w:p>
      <w:pPr>
        <w:spacing w:after="0" w:line="233" w:lineRule="exact"/>
        <w:rPr>
          <w:sz w:val="20"/>
          <w:szCs w:val="20"/>
          <w:color w:val="auto"/>
        </w:rPr>
      </w:pPr>
    </w:p>
    <w:p>
      <w:pPr>
        <w:ind w:right="20" w:firstLine="270"/>
        <w:spacing w:after="0" w:line="237" w:lineRule="auto"/>
        <w:rPr>
          <w:sz w:val="20"/>
          <w:szCs w:val="20"/>
          <w:color w:val="auto"/>
        </w:rPr>
      </w:pPr>
      <w:r>
        <w:rPr>
          <w:rFonts w:ascii="Arial" w:cs="Arial" w:eastAsia="Arial" w:hAnsi="Arial"/>
          <w:sz w:val="18"/>
          <w:szCs w:val="18"/>
          <w:color w:val="auto"/>
        </w:rPr>
        <w:t>All obligations of the Company under the Plan, with respect to Awards granted hereunder, shall be binding on any successor to the Company, whether the existence of such successor is the result of a direct or indirect purchase, merger, consolidation, or otherwise of all or substantially all of the business and/or assets of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19. Legal Construction</w:t>
      </w:r>
    </w:p>
    <w:p>
      <w:pPr>
        <w:spacing w:after="0" w:line="215" w:lineRule="exact"/>
        <w:rPr>
          <w:sz w:val="20"/>
          <w:szCs w:val="20"/>
          <w:color w:val="auto"/>
        </w:rPr>
      </w:pPr>
    </w:p>
    <w:p>
      <w:pPr>
        <w:ind w:right="280" w:firstLine="270"/>
        <w:spacing w:after="0" w:line="259" w:lineRule="auto"/>
        <w:rPr>
          <w:sz w:val="20"/>
          <w:szCs w:val="20"/>
          <w:color w:val="auto"/>
        </w:rPr>
      </w:pPr>
      <w:r>
        <w:rPr>
          <w:rFonts w:ascii="Arial" w:cs="Arial" w:eastAsia="Arial" w:hAnsi="Arial"/>
          <w:sz w:val="18"/>
          <w:szCs w:val="18"/>
          <w:color w:val="auto"/>
        </w:rPr>
        <w:t xml:space="preserve">19.1 </w:t>
      </w:r>
      <w:r>
        <w:rPr>
          <w:rFonts w:ascii="Arial" w:cs="Arial" w:eastAsia="Arial" w:hAnsi="Arial"/>
          <w:sz w:val="18"/>
          <w:szCs w:val="18"/>
          <w:i w:val="1"/>
          <w:iCs w:val="1"/>
          <w:color w:val="auto"/>
        </w:rPr>
        <w:t>Gender and Number</w:t>
      </w:r>
      <w:r>
        <w:rPr>
          <w:rFonts w:ascii="Arial" w:cs="Arial" w:eastAsia="Arial" w:hAnsi="Arial"/>
          <w:sz w:val="18"/>
          <w:szCs w:val="18"/>
          <w:color w:val="auto"/>
        </w:rPr>
        <w:t>. Except where otherwise indicated by the context, any masculine term used herein also shall include the feminine, the plural shall include the singular and the singular shall include the plural.</w:t>
      </w:r>
    </w:p>
    <w:p>
      <w:pPr>
        <w:spacing w:after="0" w:line="174" w:lineRule="exact"/>
        <w:rPr>
          <w:sz w:val="20"/>
          <w:szCs w:val="20"/>
          <w:color w:val="auto"/>
        </w:rPr>
      </w:pPr>
    </w:p>
    <w:p>
      <w:pPr>
        <w:ind w:firstLine="270"/>
        <w:spacing w:after="0" w:line="259" w:lineRule="auto"/>
        <w:rPr>
          <w:sz w:val="20"/>
          <w:szCs w:val="20"/>
          <w:color w:val="auto"/>
        </w:rPr>
      </w:pPr>
      <w:r>
        <w:rPr>
          <w:rFonts w:ascii="Arial" w:cs="Arial" w:eastAsia="Arial" w:hAnsi="Arial"/>
          <w:sz w:val="18"/>
          <w:szCs w:val="18"/>
          <w:color w:val="auto"/>
        </w:rPr>
        <w:t xml:space="preserve">19.2 </w:t>
      </w:r>
      <w:r>
        <w:rPr>
          <w:rFonts w:ascii="Arial" w:cs="Arial" w:eastAsia="Arial" w:hAnsi="Arial"/>
          <w:sz w:val="18"/>
          <w:szCs w:val="18"/>
          <w:i w:val="1"/>
          <w:iCs w:val="1"/>
          <w:color w:val="auto"/>
        </w:rPr>
        <w:t>Severability</w:t>
      </w:r>
      <w:r>
        <w:rPr>
          <w:rFonts w:ascii="Arial" w:cs="Arial" w:eastAsia="Arial" w:hAnsi="Arial"/>
          <w:sz w:val="18"/>
          <w:szCs w:val="18"/>
          <w:color w:val="auto"/>
        </w:rPr>
        <w:t>. In the event any provision of the Plan shall be held illegal or invalid for any reason, the illegality or invalidity shall not affect the remaining parts of the Plan, and the Plan shall be construed and enforced as if the illegal or invalid provision had not been included.</w:t>
      </w:r>
    </w:p>
    <w:p>
      <w:pPr>
        <w:spacing w:after="0" w:line="174" w:lineRule="exact"/>
        <w:rPr>
          <w:sz w:val="20"/>
          <w:szCs w:val="20"/>
          <w:color w:val="auto"/>
        </w:rPr>
      </w:pPr>
    </w:p>
    <w:p>
      <w:pPr>
        <w:ind w:right="160" w:firstLine="270"/>
        <w:spacing w:after="0" w:line="259" w:lineRule="auto"/>
        <w:rPr>
          <w:sz w:val="20"/>
          <w:szCs w:val="20"/>
          <w:color w:val="auto"/>
        </w:rPr>
      </w:pPr>
      <w:r>
        <w:rPr>
          <w:rFonts w:ascii="Arial" w:cs="Arial" w:eastAsia="Arial" w:hAnsi="Arial"/>
          <w:sz w:val="18"/>
          <w:szCs w:val="18"/>
          <w:color w:val="auto"/>
        </w:rPr>
        <w:t xml:space="preserve">19.3 </w:t>
      </w:r>
      <w:r>
        <w:rPr>
          <w:rFonts w:ascii="Arial" w:cs="Arial" w:eastAsia="Arial" w:hAnsi="Arial"/>
          <w:sz w:val="18"/>
          <w:szCs w:val="18"/>
          <w:i w:val="1"/>
          <w:iCs w:val="1"/>
          <w:color w:val="auto"/>
        </w:rPr>
        <w:t>Requirements of Law</w:t>
      </w:r>
      <w:r>
        <w:rPr>
          <w:rFonts w:ascii="Arial" w:cs="Arial" w:eastAsia="Arial" w:hAnsi="Arial"/>
          <w:sz w:val="18"/>
          <w:szCs w:val="18"/>
          <w:color w:val="auto"/>
        </w:rPr>
        <w:t>. The granting of Awards and the issuance of Stock under the Plan shall be subject to all applicable laws, rules, and regulations, and to such approvals by any governmental agencies or national securities exchanges as may be required.</w:t>
      </w:r>
    </w:p>
    <w:p>
      <w:pPr>
        <w:spacing w:after="0" w:line="174" w:lineRule="exact"/>
        <w:rPr>
          <w:sz w:val="20"/>
          <w:szCs w:val="20"/>
          <w:color w:val="auto"/>
        </w:rPr>
      </w:pPr>
    </w:p>
    <w:p>
      <w:pPr>
        <w:ind w:right="280" w:firstLine="270"/>
        <w:spacing w:after="0" w:line="259" w:lineRule="auto"/>
        <w:rPr>
          <w:sz w:val="20"/>
          <w:szCs w:val="20"/>
          <w:color w:val="auto"/>
        </w:rPr>
      </w:pPr>
      <w:r>
        <w:rPr>
          <w:rFonts w:ascii="Arial" w:cs="Arial" w:eastAsia="Arial" w:hAnsi="Arial"/>
          <w:sz w:val="18"/>
          <w:szCs w:val="18"/>
          <w:color w:val="auto"/>
        </w:rPr>
        <w:t xml:space="preserve">19.4 </w:t>
      </w:r>
      <w:r>
        <w:rPr>
          <w:rFonts w:ascii="Arial" w:cs="Arial" w:eastAsia="Arial" w:hAnsi="Arial"/>
          <w:sz w:val="18"/>
          <w:szCs w:val="18"/>
          <w:i w:val="1"/>
          <w:iCs w:val="1"/>
          <w:color w:val="auto"/>
        </w:rPr>
        <w:t>Governing Law</w:t>
      </w:r>
      <w:r>
        <w:rPr>
          <w:rFonts w:ascii="Arial" w:cs="Arial" w:eastAsia="Arial" w:hAnsi="Arial"/>
          <w:sz w:val="18"/>
          <w:szCs w:val="18"/>
          <w:color w:val="auto"/>
        </w:rPr>
        <w:t>. To the extent not preempted by Federal law, the Plan, and all agreements hereunder, shall be construed in accordance with, and governed by, the laws of the State of Delaware, except with regard to conflicts of law provisions.</w:t>
      </w:r>
    </w:p>
    <w:p>
      <w:pPr>
        <w:spacing w:after="0" w:line="188" w:lineRule="exact"/>
        <w:rPr>
          <w:sz w:val="20"/>
          <w:szCs w:val="20"/>
          <w:color w:val="auto"/>
        </w:rPr>
      </w:pPr>
    </w:p>
    <w:p>
      <w:pPr>
        <w:ind w:left="460" w:hanging="452"/>
        <w:spacing w:after="0"/>
        <w:tabs>
          <w:tab w:leader="none" w:pos="460" w:val="left"/>
        </w:tabs>
        <w:numPr>
          <w:ilvl w:val="0"/>
          <w:numId w:val="273"/>
        </w:numPr>
        <w:rPr>
          <w:rFonts w:ascii="Arial" w:cs="Arial" w:eastAsia="Arial" w:hAnsi="Arial"/>
          <w:sz w:val="13"/>
          <w:szCs w:val="13"/>
          <w:b w:val="1"/>
          <w:bCs w:val="1"/>
          <w:color w:val="105EAB"/>
        </w:rPr>
      </w:pPr>
      <w:r>
        <w:rPr>
          <w:rFonts w:ascii="Arial" w:cs="Arial" w:eastAsia="Arial" w:hAnsi="Arial"/>
          <w:sz w:val="13"/>
          <w:szCs w:val="13"/>
          <w:color w:val="105EAB"/>
        </w:rPr>
        <w:t>www.allstateproxy.com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134620</wp:posOffset>
            </wp:positionV>
            <wp:extent cx="7268210" cy="209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3"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 xml:space="preserve">Appendix D – 2019 Equity Incentive Plan </w:t>
      </w:r>
      <w:r>
        <w:rPr>
          <w:rFonts w:ascii="Arial" w:cs="Arial" w:eastAsia="Arial" w:hAnsi="Arial"/>
          <w:sz w:val="13"/>
          <w:szCs w:val="13"/>
          <w:b w:val="1"/>
          <w:bCs w:val="1"/>
          <w:color w:val="105EAB"/>
        </w:rPr>
        <w:t>| Other Information</w:t>
      </w:r>
    </w:p>
    <w:p>
      <w:pPr>
        <w:spacing w:after="0" w:line="217" w:lineRule="exact"/>
        <w:rPr>
          <w:sz w:val="20"/>
          <w:szCs w:val="20"/>
          <w:color w:val="auto"/>
        </w:rPr>
      </w:pPr>
    </w:p>
    <w:p>
      <w:pPr>
        <w:ind w:firstLine="270"/>
        <w:spacing w:after="0" w:line="267" w:lineRule="auto"/>
        <w:rPr>
          <w:sz w:val="20"/>
          <w:szCs w:val="20"/>
          <w:color w:val="auto"/>
        </w:rPr>
      </w:pPr>
      <w:r>
        <w:rPr>
          <w:rFonts w:ascii="Arial" w:cs="Arial" w:eastAsia="Arial" w:hAnsi="Arial"/>
          <w:sz w:val="16"/>
          <w:szCs w:val="16"/>
          <w:color w:val="auto"/>
        </w:rPr>
        <w:t xml:space="preserve">19.5 </w:t>
      </w:r>
      <w:r>
        <w:rPr>
          <w:rFonts w:ascii="Arial" w:cs="Arial" w:eastAsia="Arial" w:hAnsi="Arial"/>
          <w:sz w:val="16"/>
          <w:szCs w:val="16"/>
          <w:i w:val="1"/>
          <w:iCs w:val="1"/>
          <w:color w:val="auto"/>
        </w:rPr>
        <w:t>Code Section 409A Compliance</w:t>
      </w:r>
      <w:r>
        <w:rPr>
          <w:rFonts w:ascii="Arial" w:cs="Arial" w:eastAsia="Arial" w:hAnsi="Arial"/>
          <w:sz w:val="16"/>
          <w:szCs w:val="16"/>
          <w:color w:val="auto"/>
        </w:rPr>
        <w:t>. To the extent applicable, it is intended that this Plan and any Awards granted hereunder comply with or be exempt from the requirements of Section 409A of the Code and any related regulations or other guidance promulgated with respect to such Section by the U.S. Department of the Treasury or the Internal Revenue Service (“Section 409A”), and the Plan and any Awards granted under the Plan shall be interpreted and construed in a manner consistent with such intent. Notwithstanding any provision of the Plan to the contrary, in the event that following the Effective Date the Committee determines that any Award may be subject to Section 409A, the Committee may adopt such amendments to the Plan and the applicable Award Agreement or adopt other policies and procedures (including amendments, policies, and procedures with retroactive effect), or take any other actions, that the Committee determines are necessary or appropriate to (i) exempt the Award from Section 409A and/or preserve the intended tax treatment of the benefits provided with respect to the Award, or (ii) comply with the requirements of Section 409A and thereby avoid the application of any penalty taxes under such Section. In the event that it is reasonably determined by the Committee that, as a result of Section 409A, payments in respect of any Award under the Plan may not be made at the time contemplated by the terms of the Plan or the applicable Award Agreement, as the case may be, without causing the Participant holding such Award to be subject to taxation under Section 409A, the Company will make such payment on the first day that would not result in the Participant incurring any tax liability under Section 409A, which action may include, but is not limited to, delaying payment to a Participant who is a “specified employee” within the meaning of Section 409A until the first day following the six-month period beginning on the date of the Participant’s Termination of Employment. No action or failure by the Committee or the Company in good faith to act, pursuant to this Section 19.5 shall subject the Committee, the Company, or any of the Company’s employees, directors, or representatives to any claim, liability, or expense, and the Company shall not have any obligation to indemnify or otherwise protect any Participant from the obligation to pay any taxes pursuant to Section 409A.</w:t>
      </w:r>
    </w:p>
    <w:p>
      <w:pPr>
        <w:spacing w:after="0" w:line="379" w:lineRule="exact"/>
        <w:rPr>
          <w:sz w:val="20"/>
          <w:szCs w:val="20"/>
          <w:color w:val="auto"/>
        </w:rPr>
      </w:pPr>
    </w:p>
    <w:p>
      <w:pPr>
        <w:ind w:left="9640"/>
        <w:spacing w:after="0"/>
        <w:tabs>
          <w:tab w:leader="none" w:pos="11180" w:val="left"/>
        </w:tabs>
        <w:rPr>
          <w:sz w:val="20"/>
          <w:szCs w:val="20"/>
          <w:color w:val="auto"/>
        </w:rPr>
      </w:pPr>
      <w:r>
        <w:rPr>
          <w:rFonts w:ascii="Arial" w:cs="Arial" w:eastAsia="Arial" w:hAnsi="Arial"/>
          <w:sz w:val="13"/>
          <w:szCs w:val="13"/>
          <w:color w:val="105EAB"/>
        </w:rPr>
        <w:t>2019 Proxy Statement</w:t>
      </w:r>
      <w:r>
        <w:rPr>
          <w:sz w:val="20"/>
          <w:szCs w:val="20"/>
          <w:color w:val="auto"/>
        </w:rPr>
        <w:tab/>
      </w:r>
      <w:r>
        <w:rPr>
          <w:rFonts w:ascii="Arial" w:cs="Arial" w:eastAsia="Arial" w:hAnsi="Arial"/>
          <w:sz w:val="13"/>
          <w:szCs w:val="13"/>
          <w:b w:val="1"/>
          <w:bCs w:val="1"/>
          <w:color w:val="105EAB"/>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68210" cy="209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146050</wp:posOffset>
            </wp:positionV>
            <wp:extent cx="745490" cy="53975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45490" cy="53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THE ALLSTATE CORPORATION</w:t>
      </w:r>
    </w:p>
    <w:p>
      <w:pPr>
        <w:spacing w:after="0" w:line="1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 EQ SHAREOWNER SERVICES</w:t>
      </w:r>
    </w:p>
    <w:p>
      <w:pPr>
        <w:ind w:left="180"/>
        <w:spacing w:after="0" w:line="234" w:lineRule="auto"/>
        <w:rPr>
          <w:sz w:val="20"/>
          <w:szCs w:val="20"/>
          <w:color w:val="auto"/>
        </w:rPr>
      </w:pPr>
      <w:r>
        <w:rPr>
          <w:rFonts w:ascii="Arial" w:cs="Arial" w:eastAsia="Arial" w:hAnsi="Arial"/>
          <w:sz w:val="18"/>
          <w:szCs w:val="18"/>
          <w:b w:val="1"/>
          <w:bCs w:val="1"/>
          <w:i w:val="1"/>
          <w:iCs w:val="1"/>
          <w:color w:val="auto"/>
        </w:rPr>
        <w:t>P.O. BOX 64945</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ST. PAUL, MN 55164-0945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3"/>
          <w:szCs w:val="13"/>
          <w:color w:val="auto"/>
        </w:rPr>
        <w:t>TO VOTE, MARK BLOCKS BELOW IN BLUE OR BLACK INK AS FOLLOWS: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jc w:val="center"/>
        <w:ind w:right="2340"/>
        <w:spacing w:after="0"/>
        <w:rPr>
          <w:sz w:val="20"/>
          <w:szCs w:val="20"/>
          <w:color w:val="auto"/>
        </w:rPr>
      </w:pPr>
      <w:r>
        <w:rPr>
          <w:rFonts w:ascii="Arial" w:cs="Arial" w:eastAsia="Arial" w:hAnsi="Arial"/>
          <w:sz w:val="24"/>
          <w:szCs w:val="24"/>
          <w:b w:val="1"/>
          <w:bCs w:val="1"/>
          <w:color w:val="auto"/>
        </w:rPr>
        <w:t>SCAN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-264160</wp:posOffset>
            </wp:positionV>
            <wp:extent cx="274320" cy="44513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274320" cy="445135"/>
                    </a:xfrm>
                    <a:prstGeom prst="rect">
                      <a:avLst/>
                    </a:prstGeom>
                    <a:noFill/>
                  </pic:spPr>
                </pic:pic>
              </a:graphicData>
            </a:graphic>
          </wp:anchor>
        </w:drawing>
        <w:drawing>
          <wp:anchor simplePos="0" relativeHeight="251657728" behindDoc="1" locked="0" layoutInCell="0" allowOverlap="1">
            <wp:simplePos x="0" y="0"/>
            <wp:positionH relativeFrom="column">
              <wp:posOffset>1675130</wp:posOffset>
            </wp:positionH>
            <wp:positionV relativeFrom="paragraph">
              <wp:posOffset>-187325</wp:posOffset>
            </wp:positionV>
            <wp:extent cx="248285" cy="28257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248285" cy="282575"/>
                    </a:xfrm>
                    <a:prstGeom prst="rect">
                      <a:avLst/>
                    </a:prstGeom>
                    <a:noFill/>
                  </pic:spPr>
                </pic:pic>
              </a:graphicData>
            </a:graphic>
          </wp:anchor>
        </w:drawing>
      </w:r>
    </w:p>
    <w:p>
      <w:pPr>
        <w:spacing w:after="0" w:line="21" w:lineRule="exact"/>
        <w:rPr>
          <w:sz w:val="20"/>
          <w:szCs w:val="20"/>
          <w:color w:val="auto"/>
        </w:rPr>
      </w:pPr>
    </w:p>
    <w:p>
      <w:pPr>
        <w:ind w:left="820"/>
        <w:spacing w:after="0"/>
        <w:rPr>
          <w:sz w:val="20"/>
          <w:szCs w:val="20"/>
          <w:color w:val="auto"/>
        </w:rPr>
      </w:pPr>
      <w:r>
        <w:rPr>
          <w:rFonts w:ascii="Arial" w:cs="Arial" w:eastAsia="Arial" w:hAnsi="Arial"/>
          <w:sz w:val="13"/>
          <w:szCs w:val="13"/>
          <w:b w:val="1"/>
          <w:bCs w:val="1"/>
          <w:color w:val="auto"/>
        </w:rPr>
        <w:t>VIEW MATERIALS &amp; VOTE</w:t>
      </w:r>
    </w:p>
    <w:p>
      <w:pPr>
        <w:spacing w:after="0" w:line="11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VOTE BY INTERNET - </w:t>
      </w:r>
      <w:r>
        <w:rPr>
          <w:rFonts w:ascii="Arial" w:cs="Arial" w:eastAsia="Arial" w:hAnsi="Arial"/>
          <w:sz w:val="13"/>
          <w:szCs w:val="13"/>
          <w:b w:val="1"/>
          <w:bCs w:val="1"/>
          <w:u w:val="single" w:color="auto"/>
          <w:color w:val="auto"/>
        </w:rPr>
        <w:t>www.proxyvote.com</w:t>
      </w:r>
      <w:r>
        <w:rPr>
          <w:rFonts w:ascii="Arial" w:cs="Arial" w:eastAsia="Arial" w:hAnsi="Arial"/>
          <w:sz w:val="13"/>
          <w:szCs w:val="13"/>
          <w:b w:val="1"/>
          <w:bCs w:val="1"/>
          <w:color w:val="auto"/>
        </w:rPr>
        <w:t xml:space="preserve"> or scan the QR Barcode above</w:t>
      </w:r>
    </w:p>
    <w:p>
      <w:pPr>
        <w:spacing w:after="0" w:line="15" w:lineRule="exact"/>
        <w:rPr>
          <w:sz w:val="20"/>
          <w:szCs w:val="20"/>
          <w:color w:val="auto"/>
        </w:rPr>
      </w:pPr>
    </w:p>
    <w:p>
      <w:pPr>
        <w:jc w:val="both"/>
        <w:ind w:right="200"/>
        <w:spacing w:after="0" w:line="244" w:lineRule="auto"/>
        <w:rPr>
          <w:sz w:val="20"/>
          <w:szCs w:val="20"/>
          <w:color w:val="auto"/>
        </w:rPr>
      </w:pPr>
      <w:r>
        <w:rPr>
          <w:rFonts w:ascii="Arial" w:cs="Arial" w:eastAsia="Arial" w:hAnsi="Arial"/>
          <w:sz w:val="13"/>
          <w:szCs w:val="13"/>
          <w:color w:val="auto"/>
        </w:rPr>
        <w:t>Use the Internet to transmit your voting instructions and for electronic delivery of information up until 11:59 p.m. Eastern time on May 20, 2019*. Have this Proxy Card/Voting Instruction Form in hand when you access the web site and follow the instructions to obtain your records and to create an electronic voting instruction form.</w:t>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VOTE BY PHONE - 1-800-690-6903</w:t>
      </w:r>
    </w:p>
    <w:p>
      <w:pPr>
        <w:spacing w:after="0" w:line="15" w:lineRule="exact"/>
        <w:rPr>
          <w:sz w:val="20"/>
          <w:szCs w:val="20"/>
          <w:color w:val="auto"/>
        </w:rPr>
      </w:pPr>
    </w:p>
    <w:p>
      <w:pPr>
        <w:jc w:val="both"/>
        <w:ind w:right="200"/>
        <w:spacing w:after="0" w:line="248" w:lineRule="auto"/>
        <w:rPr>
          <w:sz w:val="20"/>
          <w:szCs w:val="20"/>
          <w:color w:val="auto"/>
        </w:rPr>
      </w:pPr>
      <w:r>
        <w:rPr>
          <w:rFonts w:ascii="Arial" w:cs="Arial" w:eastAsia="Arial" w:hAnsi="Arial"/>
          <w:sz w:val="13"/>
          <w:szCs w:val="13"/>
          <w:color w:val="auto"/>
        </w:rPr>
        <w:t>Use any touch-tone telephone to transmit your voting instructions up until 11:59 p.m. Eastern time on May 20, 2019*. Have this Proxy Card/Voting Instruction Form in hand when you call and then follow the instructions.</w:t>
      </w:r>
    </w:p>
    <w:p>
      <w:pPr>
        <w:spacing w:after="0" w:line="11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VOTE BY MAIL</w:t>
      </w:r>
    </w:p>
    <w:p>
      <w:pPr>
        <w:spacing w:after="0" w:line="15" w:lineRule="exact"/>
        <w:rPr>
          <w:sz w:val="20"/>
          <w:szCs w:val="20"/>
          <w:color w:val="auto"/>
        </w:rPr>
      </w:pPr>
    </w:p>
    <w:p>
      <w:pPr>
        <w:jc w:val="both"/>
        <w:ind w:right="200"/>
        <w:spacing w:after="0" w:line="248" w:lineRule="auto"/>
        <w:rPr>
          <w:sz w:val="20"/>
          <w:szCs w:val="20"/>
          <w:color w:val="auto"/>
        </w:rPr>
      </w:pPr>
      <w:r>
        <w:rPr>
          <w:rFonts w:ascii="Arial" w:cs="Arial" w:eastAsia="Arial" w:hAnsi="Arial"/>
          <w:sz w:val="13"/>
          <w:szCs w:val="13"/>
          <w:color w:val="auto"/>
        </w:rPr>
        <w:t>Mark, sign and date this Proxy Card/Voting Instruction Form and return it in the postage-paid envelope we have provided or return it to Vote Processing, c/o Broadridge, 51 Mercedes Way, Edgewood, NY 11717 for receipt no later than May 20, 2019*.</w:t>
      </w:r>
    </w:p>
    <w:p>
      <w:pPr>
        <w:spacing w:after="0" w:line="11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*Allstate 401(k) Savings Plan</w:t>
      </w:r>
    </w:p>
    <w:p>
      <w:pPr>
        <w:spacing w:after="0" w:line="15" w:lineRule="exact"/>
        <w:rPr>
          <w:sz w:val="20"/>
          <w:szCs w:val="20"/>
          <w:color w:val="auto"/>
        </w:rPr>
      </w:pPr>
    </w:p>
    <w:p>
      <w:pPr>
        <w:jc w:val="both"/>
        <w:ind w:right="200"/>
        <w:spacing w:after="0" w:line="248" w:lineRule="auto"/>
        <w:rPr>
          <w:sz w:val="20"/>
          <w:szCs w:val="20"/>
          <w:color w:val="auto"/>
        </w:rPr>
      </w:pPr>
      <w:r>
        <w:rPr>
          <w:rFonts w:ascii="Arial" w:cs="Arial" w:eastAsia="Arial" w:hAnsi="Arial"/>
          <w:sz w:val="13"/>
          <w:szCs w:val="13"/>
          <w:color w:val="auto"/>
        </w:rPr>
        <w:t>With respect to any shares represented by this Proxy Card/Voting Instruction Form held in the Allstate 401(k) Savings Plan, your voting instructions must be received no later than 11:59 p.m. Eastern time on May 16, 2019.</w:t>
      </w:r>
    </w:p>
    <w:p>
      <w:pPr>
        <w:spacing w:after="0" w:line="10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ELECTRONIC DELIVERY OF FUTURE PROXY MATERIALS</w:t>
      </w:r>
    </w:p>
    <w:p>
      <w:pPr>
        <w:spacing w:after="0" w:line="15" w:lineRule="exact"/>
        <w:rPr>
          <w:sz w:val="20"/>
          <w:szCs w:val="20"/>
          <w:color w:val="auto"/>
        </w:rPr>
      </w:pPr>
    </w:p>
    <w:p>
      <w:pPr>
        <w:jc w:val="both"/>
        <w:ind w:right="200"/>
        <w:spacing w:after="0" w:line="242" w:lineRule="auto"/>
        <w:rPr>
          <w:sz w:val="20"/>
          <w:szCs w:val="20"/>
          <w:color w:val="auto"/>
        </w:rPr>
      </w:pPr>
      <w:r>
        <w:rPr>
          <w:rFonts w:ascii="Arial" w:cs="Arial" w:eastAsia="Arial" w:hAnsi="Arial"/>
          <w:sz w:val="13"/>
          <w:szCs w:val="13"/>
          <w:color w:val="auto"/>
        </w:rPr>
        <w:t>If you would like to reduce the costs incurred by our company in mailing proxy materials, you can consent to receiving all future proxy statements, Proxy Cards/Voting Instruction Forms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26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STOCKHOLDER MEETING REGISTRATION:</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To vote and/or attend the meeting, go to "Register for Meeting" link at </w:t>
      </w:r>
      <w:r>
        <w:rPr>
          <w:rFonts w:ascii="Arial" w:cs="Arial" w:eastAsia="Arial" w:hAnsi="Arial"/>
          <w:sz w:val="13"/>
          <w:szCs w:val="13"/>
          <w:u w:val="single" w:color="auto"/>
          <w:color w:val="auto"/>
        </w:rPr>
        <w:t>www.proxyvote.com</w:t>
      </w:r>
      <w:r>
        <w:rPr>
          <w:rFonts w:ascii="Arial" w:cs="Arial" w:eastAsia="Arial" w:hAnsi="Arial"/>
          <w:sz w:val="13"/>
          <w:szCs w:val="13"/>
          <w:color w:val="auto"/>
        </w:rPr>
        <w:t>.</w:t>
      </w:r>
    </w:p>
    <w:p>
      <w:pPr>
        <w:spacing w:after="0"/>
        <w:rPr>
          <w:sz w:val="20"/>
          <w:szCs w:val="20"/>
          <w:color w:val="auto"/>
        </w:rPr>
      </w:pPr>
      <w:r>
        <w:rPr>
          <w:rFonts w:ascii="Arial" w:cs="Arial" w:eastAsia="Arial" w:hAnsi="Arial"/>
          <w:sz w:val="13"/>
          <w:szCs w:val="13"/>
          <w:color w:val="auto"/>
        </w:rPr>
        <w:t>If you do not have access to the Internet, you can register by phone at 1-888-247-6053.</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20"/>
        <w:spacing w:after="0"/>
        <w:tabs>
          <w:tab w:leader="none" w:pos="2800" w:val="left"/>
        </w:tabs>
        <w:rPr>
          <w:sz w:val="20"/>
          <w:szCs w:val="20"/>
          <w:color w:val="auto"/>
        </w:rPr>
      </w:pPr>
      <w:r>
        <w:rPr>
          <w:rFonts w:ascii="Arial" w:cs="Arial" w:eastAsia="Arial" w:hAnsi="Arial"/>
          <w:sz w:val="13"/>
          <w:szCs w:val="13"/>
          <w:color w:val="auto"/>
        </w:rPr>
        <w:t>E58394-P19750</w:t>
      </w:r>
      <w:r>
        <w:rPr>
          <w:sz w:val="20"/>
          <w:szCs w:val="20"/>
          <w:color w:val="auto"/>
        </w:rPr>
        <w:tab/>
      </w:r>
      <w:r>
        <w:rPr>
          <w:rFonts w:ascii="Arial" w:cs="Arial" w:eastAsia="Arial" w:hAnsi="Arial"/>
          <w:sz w:val="13"/>
          <w:szCs w:val="13"/>
          <w:color w:val="auto"/>
        </w:rPr>
        <w:t>KEEP THIS PORTION FOR YOUR RECORDS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-3664585</wp:posOffset>
            </wp:positionH>
            <wp:positionV relativeFrom="paragraph">
              <wp:posOffset>-12065</wp:posOffset>
            </wp:positionV>
            <wp:extent cx="7272020" cy="336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72020" cy="33655"/>
                    </a:xfrm>
                    <a:prstGeom prst="rect">
                      <a:avLst/>
                    </a:prstGeom>
                    <a:noFill/>
                  </pic:spPr>
                </pic:pic>
              </a:graphicData>
            </a:graphic>
          </wp:anchor>
        </w:drawing>
      </w:r>
    </w:p>
    <w:p>
      <w:pPr>
        <w:spacing w:after="0" w:line="11" w:lineRule="exact"/>
        <w:rPr>
          <w:sz w:val="20"/>
          <w:szCs w:val="20"/>
          <w:color w:val="auto"/>
        </w:rPr>
      </w:pPr>
    </w:p>
    <w:p>
      <w:pPr>
        <w:sectPr>
          <w:pgSz w:w="11900" w:h="16838" w:orient="portrait"/>
          <w:cols w:equalWidth="0" w:num="2">
            <w:col w:w="5040" w:space="720"/>
            <w:col w:w="5680"/>
          </w:cols>
          <w:pgMar w:left="240" w:top="121" w:right="219" w:bottom="1440" w:gutter="0" w:footer="0" w:header="0"/>
        </w:sectPr>
      </w:pPr>
    </w:p>
    <w:p>
      <w:pPr>
        <w:ind w:left="8560"/>
        <w:spacing w:after="0"/>
        <w:rPr>
          <w:sz w:val="20"/>
          <w:szCs w:val="20"/>
          <w:color w:val="auto"/>
        </w:rPr>
      </w:pPr>
      <w:r>
        <w:rPr>
          <w:rFonts w:ascii="Arial" w:cs="Arial" w:eastAsia="Arial" w:hAnsi="Arial"/>
          <w:sz w:val="13"/>
          <w:szCs w:val="13"/>
          <w:color w:val="auto"/>
        </w:rPr>
        <w:t>DETACH AND RETURN THIS PORTION ONLY</w:t>
      </w:r>
    </w:p>
    <w:p>
      <w:pPr>
        <w:ind w:left="2680"/>
        <w:spacing w:after="0"/>
        <w:rPr>
          <w:sz w:val="20"/>
          <w:szCs w:val="20"/>
          <w:color w:val="auto"/>
        </w:rPr>
      </w:pPr>
      <w:r>
        <w:rPr>
          <w:rFonts w:ascii="Arial" w:cs="Arial" w:eastAsia="Arial" w:hAnsi="Arial"/>
          <w:sz w:val="13"/>
          <w:szCs w:val="13"/>
          <w:b w:val="1"/>
          <w:bCs w:val="1"/>
          <w:color w:val="auto"/>
        </w:rPr>
        <w:t>THIS PROXY CARD/VOTING INSTRUCTION FORM IS VALID ONLY WHEN SIGNED AND DATED.</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0" w:type="dxa"/>
            <w:vAlign w:val="bottom"/>
            <w:tcBorders>
              <w:right w:val="single" w:sz="8" w:color="auto"/>
            </w:tcBorders>
          </w:tcPr>
          <w:p>
            <w:pPr>
              <w:spacing w:after="0"/>
              <w:rPr>
                <w:sz w:val="19"/>
                <w:szCs w:val="19"/>
                <w:color w:val="auto"/>
              </w:rPr>
            </w:pPr>
          </w:p>
        </w:tc>
        <w:tc>
          <w:tcPr>
            <w:tcW w:w="3120" w:type="dxa"/>
            <w:vAlign w:val="bottom"/>
            <w:tcBorders>
              <w:top w:val="single" w:sz="8" w:color="auto"/>
            </w:tcBorders>
            <w:gridSpan w:val="3"/>
          </w:tcPr>
          <w:p>
            <w:pPr>
              <w:ind w:left="180"/>
              <w:spacing w:after="0"/>
              <w:rPr>
                <w:sz w:val="20"/>
                <w:szCs w:val="20"/>
                <w:color w:val="auto"/>
              </w:rPr>
            </w:pPr>
            <w:r>
              <w:rPr>
                <w:rFonts w:ascii="Arial" w:cs="Arial" w:eastAsia="Arial" w:hAnsi="Arial"/>
                <w:sz w:val="13"/>
                <w:szCs w:val="13"/>
                <w:b w:val="1"/>
                <w:bCs w:val="1"/>
                <w:color w:val="auto"/>
              </w:rPr>
              <w:t>THE ALLSTATE CORPORATION</w:t>
            </w:r>
          </w:p>
        </w:tc>
        <w:tc>
          <w:tcPr>
            <w:tcW w:w="4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00" w:type="dxa"/>
            <w:vAlign w:val="bottom"/>
            <w:tcBorders>
              <w:top w:val="single" w:sz="8" w:color="auto"/>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40" w:type="dxa"/>
            <w:vAlign w:val="bottom"/>
            <w:tcBorders>
              <w:right w:val="single" w:sz="8" w:color="auto"/>
            </w:tcBorders>
          </w:tcPr>
          <w:p>
            <w:pPr>
              <w:spacing w:after="0"/>
              <w:rPr>
                <w:sz w:val="11"/>
                <w:szCs w:val="11"/>
                <w:color w:val="auto"/>
              </w:rPr>
            </w:pPr>
          </w:p>
        </w:tc>
        <w:tc>
          <w:tcPr>
            <w:tcW w:w="3940" w:type="dxa"/>
            <w:vAlign w:val="bottom"/>
            <w:gridSpan w:val="5"/>
            <w:vMerge w:val="restart"/>
          </w:tcPr>
          <w:p>
            <w:pPr>
              <w:ind w:left="180"/>
              <w:spacing w:after="0"/>
              <w:rPr>
                <w:sz w:val="20"/>
                <w:szCs w:val="20"/>
                <w:color w:val="auto"/>
              </w:rPr>
            </w:pPr>
            <w:r>
              <w:rPr>
                <w:rFonts w:ascii="Arial" w:cs="Arial" w:eastAsia="Arial" w:hAnsi="Arial"/>
                <w:sz w:val="13"/>
                <w:szCs w:val="13"/>
                <w:b w:val="1"/>
                <w:bCs w:val="1"/>
                <w:color w:val="auto"/>
              </w:rPr>
              <w:t>The Board of Directors recommends you vote "FOR" all</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40" w:type="dxa"/>
            <w:vAlign w:val="bottom"/>
            <w:tcBorders>
              <w:right w:val="single" w:sz="8" w:color="auto"/>
            </w:tcBorders>
          </w:tcPr>
          <w:p>
            <w:pPr>
              <w:spacing w:after="0"/>
              <w:rPr>
                <w:sz w:val="10"/>
                <w:szCs w:val="10"/>
                <w:color w:val="auto"/>
              </w:rPr>
            </w:pPr>
          </w:p>
        </w:tc>
        <w:tc>
          <w:tcPr>
            <w:tcW w:w="3940" w:type="dxa"/>
            <w:vAlign w:val="bottom"/>
            <w:gridSpan w:val="5"/>
            <w:vMerge w:val="continue"/>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40" w:type="dxa"/>
            <w:vAlign w:val="bottom"/>
            <w:tcBorders>
              <w:right w:val="single" w:sz="8" w:color="auto"/>
            </w:tcBorders>
          </w:tcPr>
          <w:p>
            <w:pPr>
              <w:spacing w:after="0"/>
              <w:rPr>
                <w:sz w:val="15"/>
                <w:szCs w:val="15"/>
                <w:color w:val="auto"/>
              </w:rPr>
            </w:pPr>
          </w:p>
        </w:tc>
        <w:tc>
          <w:tcPr>
            <w:tcW w:w="3120" w:type="dxa"/>
            <w:vAlign w:val="bottom"/>
            <w:gridSpan w:val="3"/>
          </w:tcPr>
          <w:p>
            <w:pPr>
              <w:ind w:left="180"/>
              <w:spacing w:after="0"/>
              <w:rPr>
                <w:sz w:val="20"/>
                <w:szCs w:val="20"/>
                <w:color w:val="auto"/>
              </w:rPr>
            </w:pPr>
            <w:r>
              <w:rPr>
                <w:rFonts w:ascii="Arial" w:cs="Arial" w:eastAsia="Arial" w:hAnsi="Arial"/>
                <w:sz w:val="13"/>
                <w:szCs w:val="13"/>
                <w:b w:val="1"/>
                <w:bCs w:val="1"/>
                <w:color w:val="auto"/>
              </w:rPr>
              <w:t>nominees for Director.</w:t>
            </w: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3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0" w:type="dxa"/>
            <w:vAlign w:val="bottom"/>
            <w:tcBorders>
              <w:right w:val="single" w:sz="8" w:color="auto"/>
            </w:tcBorders>
          </w:tcPr>
          <w:p>
            <w:pPr>
              <w:spacing w:after="0"/>
              <w:rPr>
                <w:sz w:val="12"/>
                <w:szCs w:val="12"/>
                <w:color w:val="auto"/>
              </w:rPr>
            </w:pPr>
          </w:p>
        </w:tc>
        <w:tc>
          <w:tcPr>
            <w:tcW w:w="3120" w:type="dxa"/>
            <w:vAlign w:val="bottom"/>
            <w:gridSpan w:val="3"/>
            <w:vMerge w:val="restart"/>
          </w:tcPr>
          <w:p>
            <w:pPr>
              <w:ind w:left="180"/>
              <w:spacing w:after="0"/>
              <w:rPr>
                <w:sz w:val="20"/>
                <w:szCs w:val="20"/>
                <w:color w:val="auto"/>
              </w:rPr>
            </w:pPr>
            <w:r>
              <w:rPr>
                <w:rFonts w:ascii="Arial" w:cs="Arial" w:eastAsia="Arial" w:hAnsi="Arial"/>
                <w:sz w:val="13"/>
                <w:szCs w:val="13"/>
                <w:color w:val="auto"/>
              </w:rPr>
              <w:t>1. Election of Directors</w:t>
            </w: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0" w:type="dxa"/>
            <w:vAlign w:val="bottom"/>
            <w:tcBorders>
              <w:right w:val="single" w:sz="8" w:color="auto"/>
            </w:tcBorders>
          </w:tcPr>
          <w:p>
            <w:pPr>
              <w:spacing w:after="0"/>
              <w:rPr>
                <w:sz w:val="14"/>
                <w:szCs w:val="14"/>
                <w:color w:val="auto"/>
              </w:rPr>
            </w:pPr>
          </w:p>
        </w:tc>
        <w:tc>
          <w:tcPr>
            <w:tcW w:w="312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760" w:type="dxa"/>
            <w:vAlign w:val="bottom"/>
            <w:gridSpan w:val="7"/>
            <w:vMerge w:val="restart"/>
          </w:tcPr>
          <w:p>
            <w:pPr>
              <w:ind w:left="80"/>
              <w:spacing w:after="0"/>
              <w:rPr>
                <w:sz w:val="20"/>
                <w:szCs w:val="20"/>
                <w:color w:val="auto"/>
              </w:rPr>
            </w:pPr>
            <w:r>
              <w:rPr>
                <w:rFonts w:ascii="Arial" w:cs="Arial" w:eastAsia="Arial" w:hAnsi="Arial"/>
                <w:sz w:val="13"/>
                <w:szCs w:val="13"/>
                <w:b w:val="1"/>
                <w:bCs w:val="1"/>
                <w:color w:val="auto"/>
              </w:rPr>
              <w:t>The Board of Directors recommends you vote "FOR"</w:t>
            </w:r>
          </w:p>
        </w:tc>
        <w:tc>
          <w:tcPr>
            <w:tcW w:w="36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rPr>
              <w:t>For</w:t>
            </w:r>
          </w:p>
        </w:tc>
        <w:tc>
          <w:tcPr>
            <w:tcW w:w="58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Against</w:t>
            </w:r>
          </w:p>
        </w:tc>
        <w:tc>
          <w:tcPr>
            <w:tcW w:w="840" w:type="dxa"/>
            <w:vAlign w:val="bottom"/>
            <w:tcBorders>
              <w:right w:val="single" w:sz="8" w:color="auto"/>
            </w:tcBorders>
            <w:gridSpan w:val="2"/>
            <w:vMerge w:val="restart"/>
          </w:tcPr>
          <w:p>
            <w:pPr>
              <w:jc w:val="center"/>
              <w:ind w:right="180"/>
              <w:spacing w:after="0"/>
              <w:rPr>
                <w:sz w:val="20"/>
                <w:szCs w:val="20"/>
                <w:color w:val="auto"/>
              </w:rPr>
            </w:pPr>
            <w:r>
              <w:rPr>
                <w:rFonts w:ascii="Arial" w:cs="Arial" w:eastAsia="Arial" w:hAnsi="Arial"/>
                <w:sz w:val="13"/>
                <w:szCs w:val="13"/>
                <w:b w:val="1"/>
                <w:bCs w:val="1"/>
                <w:color w:val="auto"/>
              </w:rPr>
              <w:t>Abstain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0" w:type="dxa"/>
            <w:vAlign w:val="bottom"/>
            <w:tcBorders>
              <w:right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760" w:type="dxa"/>
            <w:vAlign w:val="bottom"/>
            <w:gridSpan w:val="7"/>
            <w:vMerge w:val="continue"/>
          </w:tcPr>
          <w:p>
            <w:pPr>
              <w:spacing w:after="0"/>
              <w:rPr>
                <w:sz w:val="10"/>
                <w:szCs w:val="10"/>
                <w:color w:val="auto"/>
              </w:rPr>
            </w:pPr>
          </w:p>
        </w:tc>
        <w:tc>
          <w:tcPr>
            <w:tcW w:w="360" w:type="dxa"/>
            <w:vAlign w:val="bottom"/>
            <w:gridSpan w:val="2"/>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840" w:type="dxa"/>
            <w:vAlign w:val="bottom"/>
            <w:tcBorders>
              <w:right w:val="single" w:sz="8" w:color="auto"/>
            </w:tcBorders>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40" w:type="dxa"/>
            <w:vAlign w:val="bottom"/>
            <w:tcBorders>
              <w:righ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82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Nominees:</w:t>
            </w: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gridSpan w:val="2"/>
            <w:vMerge w:val="restart"/>
          </w:tcPr>
          <w:p>
            <w:pPr>
              <w:jc w:val="center"/>
              <w:ind w:left="13"/>
              <w:spacing w:after="0"/>
              <w:rPr>
                <w:sz w:val="20"/>
                <w:szCs w:val="20"/>
                <w:color w:val="auto"/>
              </w:rPr>
            </w:pPr>
            <w:r>
              <w:rPr>
                <w:rFonts w:ascii="Arial" w:cs="Arial" w:eastAsia="Arial" w:hAnsi="Arial"/>
                <w:sz w:val="13"/>
                <w:szCs w:val="13"/>
                <w:b w:val="1"/>
                <w:bCs w:val="1"/>
                <w:color w:val="auto"/>
              </w:rPr>
              <w:t>For</w:t>
            </w:r>
          </w:p>
        </w:tc>
        <w:tc>
          <w:tcPr>
            <w:tcW w:w="58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Against</w:t>
            </w:r>
          </w:p>
        </w:tc>
        <w:tc>
          <w:tcPr>
            <w:tcW w:w="720" w:type="dxa"/>
            <w:vAlign w:val="bottom"/>
            <w:vMerge w:val="restart"/>
          </w:tcPr>
          <w:p>
            <w:pPr>
              <w:jc w:val="center"/>
              <w:ind w:right="73"/>
              <w:spacing w:after="0"/>
              <w:rPr>
                <w:sz w:val="20"/>
                <w:szCs w:val="20"/>
                <w:color w:val="auto"/>
              </w:rPr>
            </w:pPr>
            <w:r>
              <w:rPr>
                <w:rFonts w:ascii="Arial" w:cs="Arial" w:eastAsia="Arial" w:hAnsi="Arial"/>
                <w:sz w:val="13"/>
                <w:szCs w:val="13"/>
                <w:b w:val="1"/>
                <w:bCs w:val="1"/>
                <w:color w:val="auto"/>
              </w:rPr>
              <w:t>Abstain</w:t>
            </w:r>
          </w:p>
        </w:tc>
        <w:tc>
          <w:tcPr>
            <w:tcW w:w="200" w:type="dxa"/>
            <w:vAlign w:val="bottom"/>
          </w:tcPr>
          <w:p>
            <w:pPr>
              <w:spacing w:after="0"/>
              <w:rPr>
                <w:sz w:val="15"/>
                <w:szCs w:val="15"/>
                <w:color w:val="auto"/>
              </w:rPr>
            </w:pPr>
          </w:p>
        </w:tc>
        <w:tc>
          <w:tcPr>
            <w:tcW w:w="1960" w:type="dxa"/>
            <w:vAlign w:val="bottom"/>
            <w:gridSpan w:val="4"/>
          </w:tcPr>
          <w:p>
            <w:pPr>
              <w:ind w:left="80"/>
              <w:spacing w:after="0"/>
              <w:rPr>
                <w:sz w:val="20"/>
                <w:szCs w:val="20"/>
                <w:color w:val="auto"/>
              </w:rPr>
            </w:pPr>
            <w:r>
              <w:rPr>
                <w:rFonts w:ascii="Arial" w:cs="Arial" w:eastAsia="Arial" w:hAnsi="Arial"/>
                <w:sz w:val="13"/>
                <w:szCs w:val="13"/>
                <w:b w:val="1"/>
                <w:bCs w:val="1"/>
                <w:color w:val="auto"/>
              </w:rPr>
              <w:t>Proposals 2, 3, and 4.</w:t>
            </w:r>
          </w:p>
        </w:tc>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7"/>
        </w:trPr>
        <w:tc>
          <w:tcPr>
            <w:tcW w:w="40" w:type="dxa"/>
            <w:vAlign w:val="bottom"/>
            <w:tcBorders>
              <w:right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2820" w:type="dxa"/>
            <w:vAlign w:val="bottom"/>
            <w:gridSpan w:val="2"/>
            <w:vMerge w:val="continue"/>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38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3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vMerge w:val="restart"/>
          </w:tcPr>
          <w:p>
            <w:pPr>
              <w:jc w:val="right"/>
              <w:spacing w:after="0"/>
              <w:rPr>
                <w:sz w:val="20"/>
                <w:szCs w:val="20"/>
                <w:color w:val="auto"/>
              </w:rPr>
            </w:pPr>
            <w:r>
              <w:rPr>
                <w:rFonts w:ascii="Arial" w:cs="Arial" w:eastAsia="Arial" w:hAnsi="Arial"/>
                <w:sz w:val="13"/>
                <w:szCs w:val="13"/>
                <w:color w:val="auto"/>
              </w:rPr>
              <w:t>1a.</w:t>
            </w:r>
          </w:p>
        </w:tc>
        <w:tc>
          <w:tcPr>
            <w:tcW w:w="2520" w:type="dxa"/>
            <w:vAlign w:val="bottom"/>
            <w:vMerge w:val="restart"/>
          </w:tcPr>
          <w:p>
            <w:pPr>
              <w:ind w:left="40"/>
              <w:spacing w:after="0"/>
              <w:rPr>
                <w:sz w:val="20"/>
                <w:szCs w:val="20"/>
                <w:color w:val="auto"/>
              </w:rPr>
            </w:pPr>
            <w:r>
              <w:rPr>
                <w:rFonts w:ascii="Arial" w:cs="Arial" w:eastAsia="Arial" w:hAnsi="Arial"/>
                <w:sz w:val="13"/>
                <w:szCs w:val="13"/>
                <w:color w:val="auto"/>
              </w:rPr>
              <w:t>Kermit R. Crawford</w:t>
            </w: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gridSpan w:val="2"/>
            <w:vMerge w:val="restart"/>
          </w:tcPr>
          <w:p>
            <w:pPr>
              <w:jc w:val="center"/>
              <w:spacing w:after="0" w:line="131" w:lineRule="exact"/>
              <w:rPr>
                <w:sz w:val="20"/>
                <w:szCs w:val="20"/>
                <w:color w:val="auto"/>
              </w:rPr>
            </w:pPr>
            <w:r>
              <w:rPr>
                <w:rFonts w:ascii="MS PGothic" w:cs="MS PGothic" w:eastAsia="MS PGothic" w:hAnsi="MS PGothic"/>
                <w:sz w:val="13"/>
                <w:szCs w:val="13"/>
                <w:color w:val="auto"/>
                <w:highlight w:val="black"/>
                <w:w w:val="91"/>
              </w:rPr>
              <w:t>☐</w:t>
            </w:r>
          </w:p>
        </w:tc>
        <w:tc>
          <w:tcPr>
            <w:tcW w:w="580" w:type="dxa"/>
            <w:vAlign w:val="bottom"/>
            <w:vMerge w:val="restart"/>
          </w:tcPr>
          <w:p>
            <w:pPr>
              <w:jc w:val="center"/>
              <w:spacing w:after="0" w:line="131" w:lineRule="exact"/>
              <w:rPr>
                <w:sz w:val="20"/>
                <w:szCs w:val="20"/>
                <w:color w:val="auto"/>
              </w:rPr>
            </w:pPr>
            <w:r>
              <w:rPr>
                <w:rFonts w:ascii="MS PGothic" w:cs="MS PGothic" w:eastAsia="MS PGothic" w:hAnsi="MS PGothic"/>
                <w:sz w:val="13"/>
                <w:szCs w:val="13"/>
                <w:color w:val="auto"/>
                <w:highlight w:val="black"/>
                <w:w w:val="91"/>
              </w:rPr>
              <w:t>☐</w:t>
            </w:r>
          </w:p>
        </w:tc>
        <w:tc>
          <w:tcPr>
            <w:tcW w:w="720" w:type="dxa"/>
            <w:vAlign w:val="bottom"/>
            <w:vMerge w:val="restart"/>
          </w:tcPr>
          <w:p>
            <w:pPr>
              <w:jc w:val="center"/>
              <w:ind w:right="53"/>
              <w:spacing w:after="0" w:line="131" w:lineRule="exact"/>
              <w:rPr>
                <w:sz w:val="20"/>
                <w:szCs w:val="20"/>
                <w:color w:val="auto"/>
              </w:rPr>
            </w:pPr>
            <w:r>
              <w:rPr>
                <w:rFonts w:ascii="MS PGothic" w:cs="MS PGothic" w:eastAsia="MS PGothic" w:hAnsi="MS PGothic"/>
                <w:sz w:val="13"/>
                <w:szCs w:val="13"/>
                <w:color w:val="auto"/>
                <w:highlight w:val="black"/>
                <w:w w:val="91"/>
              </w:rPr>
              <w:t>☐</w:t>
            </w:r>
          </w:p>
        </w:tc>
        <w:tc>
          <w:tcPr>
            <w:tcW w:w="420" w:type="dxa"/>
            <w:vAlign w:val="bottom"/>
            <w:gridSpan w:val="2"/>
          </w:tcPr>
          <w:p>
            <w:pPr>
              <w:ind w:left="280"/>
              <w:spacing w:after="0"/>
              <w:rPr>
                <w:sz w:val="20"/>
                <w:szCs w:val="20"/>
                <w:color w:val="auto"/>
              </w:rPr>
            </w:pPr>
            <w:r>
              <w:rPr>
                <w:rFonts w:ascii="Arial" w:cs="Arial" w:eastAsia="Arial" w:hAnsi="Arial"/>
                <w:sz w:val="13"/>
                <w:szCs w:val="13"/>
                <w:color w:val="auto"/>
              </w:rPr>
              <w:t>2.</w:t>
            </w:r>
          </w:p>
        </w:tc>
        <w:tc>
          <w:tcPr>
            <w:tcW w:w="640" w:type="dxa"/>
            <w:vAlign w:val="bottom"/>
          </w:tcPr>
          <w:p>
            <w:pPr>
              <w:ind w:left="40"/>
              <w:spacing w:after="0"/>
              <w:rPr>
                <w:sz w:val="20"/>
                <w:szCs w:val="20"/>
                <w:color w:val="auto"/>
              </w:rPr>
            </w:pPr>
            <w:r>
              <w:rPr>
                <w:rFonts w:ascii="Arial" w:cs="Arial" w:eastAsia="Arial" w:hAnsi="Arial"/>
                <w:sz w:val="13"/>
                <w:szCs w:val="13"/>
                <w:color w:val="auto"/>
              </w:rPr>
              <w:t>Advisory</w:t>
            </w:r>
          </w:p>
        </w:tc>
        <w:tc>
          <w:tcPr>
            <w:tcW w:w="320" w:type="dxa"/>
            <w:vAlign w:val="bottom"/>
          </w:tcPr>
          <w:p>
            <w:pPr>
              <w:ind w:left="20"/>
              <w:spacing w:after="0"/>
              <w:rPr>
                <w:sz w:val="20"/>
                <w:szCs w:val="20"/>
                <w:color w:val="auto"/>
              </w:rPr>
            </w:pPr>
            <w:r>
              <w:rPr>
                <w:rFonts w:ascii="Arial" w:cs="Arial" w:eastAsia="Arial" w:hAnsi="Arial"/>
                <w:sz w:val="13"/>
                <w:szCs w:val="13"/>
                <w:color w:val="auto"/>
              </w:rPr>
              <w:t>vote</w:t>
            </w:r>
          </w:p>
        </w:tc>
        <w:tc>
          <w:tcPr>
            <w:tcW w:w="780" w:type="dxa"/>
            <w:vAlign w:val="bottom"/>
          </w:tcPr>
          <w:p>
            <w:pPr>
              <w:jc w:val="center"/>
              <w:spacing w:after="0"/>
              <w:rPr>
                <w:sz w:val="20"/>
                <w:szCs w:val="20"/>
                <w:color w:val="auto"/>
              </w:rPr>
            </w:pPr>
            <w:r>
              <w:rPr>
                <w:rFonts w:ascii="Arial" w:cs="Arial" w:eastAsia="Arial" w:hAnsi="Arial"/>
                <w:sz w:val="13"/>
                <w:szCs w:val="13"/>
                <w:color w:val="auto"/>
              </w:rPr>
              <w:t>to  approve</w:t>
            </w:r>
          </w:p>
        </w:tc>
        <w:tc>
          <w:tcPr>
            <w:tcW w:w="1280" w:type="dxa"/>
            <w:vAlign w:val="bottom"/>
            <w:gridSpan w:val="2"/>
          </w:tcPr>
          <w:p>
            <w:pPr>
              <w:ind w:left="80"/>
              <w:spacing w:after="0"/>
              <w:rPr>
                <w:sz w:val="20"/>
                <w:szCs w:val="20"/>
                <w:color w:val="auto"/>
              </w:rPr>
            </w:pPr>
            <w:r>
              <w:rPr>
                <w:rFonts w:ascii="Arial" w:cs="Arial" w:eastAsia="Arial" w:hAnsi="Arial"/>
                <w:sz w:val="13"/>
                <w:szCs w:val="13"/>
                <w:color w:val="auto"/>
              </w:rPr>
              <w:t>the  compensation</w:t>
            </w:r>
          </w:p>
        </w:tc>
        <w:tc>
          <w:tcPr>
            <w:tcW w:w="520" w:type="dxa"/>
            <w:vAlign w:val="bottom"/>
          </w:tcPr>
          <w:p>
            <w:pPr>
              <w:jc w:val="right"/>
              <w:ind w:right="33"/>
              <w:spacing w:after="0"/>
              <w:rPr>
                <w:sz w:val="20"/>
                <w:szCs w:val="20"/>
                <w:color w:val="auto"/>
              </w:rPr>
            </w:pPr>
            <w:r>
              <w:rPr>
                <w:rFonts w:ascii="Arial" w:cs="Arial" w:eastAsia="Arial" w:hAnsi="Arial"/>
                <w:sz w:val="13"/>
                <w:szCs w:val="13"/>
                <w:color w:val="auto"/>
              </w:rPr>
              <w:t>of  the</w:t>
            </w:r>
          </w:p>
        </w:tc>
        <w:tc>
          <w:tcPr>
            <w:tcW w:w="140" w:type="dxa"/>
            <w:vAlign w:val="bottom"/>
          </w:tcPr>
          <w:p>
            <w:pPr>
              <w:spacing w:after="0"/>
              <w:rPr>
                <w:sz w:val="18"/>
                <w:szCs w:val="18"/>
                <w:color w:val="auto"/>
              </w:rPr>
            </w:pPr>
          </w:p>
        </w:tc>
        <w:tc>
          <w:tcPr>
            <w:tcW w:w="220" w:type="dxa"/>
            <w:vAlign w:val="bottom"/>
          </w:tcPr>
          <w:p>
            <w:pPr>
              <w:jc w:val="center"/>
              <w:ind w:right="33"/>
              <w:spacing w:after="0" w:line="131" w:lineRule="exact"/>
              <w:rPr>
                <w:sz w:val="20"/>
                <w:szCs w:val="20"/>
                <w:color w:val="auto"/>
              </w:rPr>
            </w:pPr>
            <w:r>
              <w:rPr>
                <w:rFonts w:ascii="MS PGothic" w:cs="MS PGothic" w:eastAsia="MS PGothic" w:hAnsi="MS PGothic"/>
                <w:sz w:val="13"/>
                <w:szCs w:val="13"/>
                <w:color w:val="auto"/>
                <w:highlight w:val="black"/>
                <w:w w:val="91"/>
              </w:rPr>
              <w:t>☐</w:t>
            </w:r>
          </w:p>
        </w:tc>
        <w:tc>
          <w:tcPr>
            <w:tcW w:w="58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highlight w:val="black"/>
                <w:w w:val="91"/>
              </w:rPr>
              <w:t>☐</w:t>
            </w:r>
          </w:p>
        </w:tc>
        <w:tc>
          <w:tcPr>
            <w:tcW w:w="840" w:type="dxa"/>
            <w:vAlign w:val="bottom"/>
            <w:tcBorders>
              <w:right w:val="single" w:sz="8" w:color="auto"/>
            </w:tcBorders>
            <w:gridSpan w:val="2"/>
          </w:tcPr>
          <w:p>
            <w:pPr>
              <w:jc w:val="center"/>
              <w:ind w:right="160"/>
              <w:spacing w:after="0" w:line="131" w:lineRule="exact"/>
              <w:rPr>
                <w:sz w:val="20"/>
                <w:szCs w:val="20"/>
                <w:color w:val="auto"/>
              </w:rPr>
            </w:pPr>
            <w:r>
              <w:rPr>
                <w:rFonts w:ascii="MS PGothic" w:cs="MS PGothic" w:eastAsia="MS PGothic" w:hAnsi="MS PGothic"/>
                <w:sz w:val="13"/>
                <w:szCs w:val="13"/>
                <w:color w:val="auto"/>
                <w:highlight w:val="black"/>
                <w:w w:val="91"/>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40" w:type="dxa"/>
            <w:vAlign w:val="bottom"/>
            <w:tcBorders>
              <w:right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252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740" w:type="dxa"/>
            <w:vAlign w:val="bottom"/>
            <w:gridSpan w:val="3"/>
            <w:vMerge w:val="restart"/>
          </w:tcPr>
          <w:p>
            <w:pPr>
              <w:ind w:left="40"/>
              <w:spacing w:after="0"/>
              <w:rPr>
                <w:sz w:val="20"/>
                <w:szCs w:val="20"/>
                <w:color w:val="auto"/>
              </w:rPr>
            </w:pPr>
            <w:r>
              <w:rPr>
                <w:rFonts w:ascii="Arial" w:cs="Arial" w:eastAsia="Arial" w:hAnsi="Arial"/>
                <w:sz w:val="13"/>
                <w:szCs w:val="13"/>
                <w:color w:val="auto"/>
              </w:rPr>
              <w:t>named executives.</w:t>
            </w:r>
          </w:p>
        </w:tc>
        <w:tc>
          <w:tcPr>
            <w:tcW w:w="12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Borders>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40" w:type="dxa"/>
            <w:vAlign w:val="bottom"/>
            <w:tcBorders>
              <w:right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5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740" w:type="dxa"/>
            <w:vAlign w:val="bottom"/>
            <w:gridSpan w:val="3"/>
            <w:vMerge w:val="continue"/>
          </w:tcPr>
          <w:p>
            <w:pPr>
              <w:spacing w:after="0"/>
              <w:rPr>
                <w:sz w:val="5"/>
                <w:szCs w:val="5"/>
                <w:color w:val="auto"/>
              </w:rPr>
            </w:pPr>
          </w:p>
        </w:tc>
        <w:tc>
          <w:tcPr>
            <w:tcW w:w="1240" w:type="dxa"/>
            <w:vAlign w:val="bottom"/>
          </w:tcPr>
          <w:p>
            <w:pPr>
              <w:spacing w:after="0"/>
              <w:rPr>
                <w:sz w:val="5"/>
                <w:szCs w:val="5"/>
                <w:color w:val="auto"/>
              </w:rPr>
            </w:pPr>
          </w:p>
        </w:tc>
        <w:tc>
          <w:tcPr>
            <w:tcW w:w="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1b.</w:t>
            </w:r>
          </w:p>
        </w:tc>
        <w:tc>
          <w:tcPr>
            <w:tcW w:w="2520" w:type="dxa"/>
            <w:vAlign w:val="bottom"/>
          </w:tcPr>
          <w:p>
            <w:pPr>
              <w:ind w:left="40"/>
              <w:spacing w:after="0"/>
              <w:rPr>
                <w:sz w:val="20"/>
                <w:szCs w:val="20"/>
                <w:color w:val="auto"/>
              </w:rPr>
            </w:pPr>
            <w:r>
              <w:rPr>
                <w:rFonts w:ascii="Arial" w:cs="Arial" w:eastAsia="Arial" w:hAnsi="Arial"/>
                <w:sz w:val="13"/>
                <w:szCs w:val="13"/>
                <w:color w:val="auto"/>
              </w:rPr>
              <w:t>Michael L. Eskew</w:t>
            </w: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gridSpan w:val="2"/>
          </w:tcPr>
          <w:p>
            <w:pPr>
              <w:jc w:val="center"/>
              <w:spacing w:after="0" w:line="131" w:lineRule="exact"/>
              <w:rPr>
                <w:sz w:val="20"/>
                <w:szCs w:val="20"/>
                <w:color w:val="auto"/>
              </w:rPr>
            </w:pPr>
            <w:r>
              <w:rPr>
                <w:rFonts w:ascii="MS PGothic" w:cs="MS PGothic" w:eastAsia="MS PGothic" w:hAnsi="MS PGothic"/>
                <w:sz w:val="13"/>
                <w:szCs w:val="13"/>
                <w:color w:val="auto"/>
                <w:highlight w:val="black"/>
                <w:w w:val="91"/>
              </w:rPr>
              <w:t>☐</w:t>
            </w:r>
          </w:p>
        </w:tc>
        <w:tc>
          <w:tcPr>
            <w:tcW w:w="58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highlight w:val="black"/>
                <w:w w:val="91"/>
              </w:rPr>
              <w:t>☐</w:t>
            </w:r>
          </w:p>
        </w:tc>
        <w:tc>
          <w:tcPr>
            <w:tcW w:w="720" w:type="dxa"/>
            <w:vAlign w:val="bottom"/>
          </w:tcPr>
          <w:p>
            <w:pPr>
              <w:jc w:val="center"/>
              <w:ind w:right="53"/>
              <w:spacing w:after="0" w:line="131" w:lineRule="exact"/>
              <w:rPr>
                <w:sz w:val="20"/>
                <w:szCs w:val="20"/>
                <w:color w:val="auto"/>
              </w:rPr>
            </w:pPr>
            <w:r>
              <w:rPr>
                <w:rFonts w:ascii="MS PGothic" w:cs="MS PGothic" w:eastAsia="MS PGothic" w:hAnsi="MS PGothic"/>
                <w:sz w:val="13"/>
                <w:szCs w:val="13"/>
                <w:color w:val="auto"/>
                <w:highlight w:val="black"/>
                <w:w w:val="91"/>
              </w:rPr>
              <w:t>☐</w:t>
            </w:r>
          </w:p>
        </w:tc>
        <w:tc>
          <w:tcPr>
            <w:tcW w:w="420" w:type="dxa"/>
            <w:vAlign w:val="bottom"/>
            <w:gridSpan w:val="2"/>
            <w:vMerge w:val="restart"/>
          </w:tcPr>
          <w:p>
            <w:pPr>
              <w:ind w:left="280"/>
              <w:spacing w:after="0"/>
              <w:rPr>
                <w:sz w:val="20"/>
                <w:szCs w:val="20"/>
                <w:color w:val="auto"/>
              </w:rPr>
            </w:pPr>
            <w:r>
              <w:rPr>
                <w:rFonts w:ascii="Arial" w:cs="Arial" w:eastAsia="Arial" w:hAnsi="Arial"/>
                <w:sz w:val="13"/>
                <w:szCs w:val="13"/>
                <w:color w:val="auto"/>
              </w:rPr>
              <w:t>3.</w:t>
            </w:r>
          </w:p>
        </w:tc>
        <w:tc>
          <w:tcPr>
            <w:tcW w:w="3020" w:type="dxa"/>
            <w:vAlign w:val="bottom"/>
            <w:gridSpan w:val="5"/>
            <w:vMerge w:val="restart"/>
          </w:tcPr>
          <w:p>
            <w:pPr>
              <w:ind w:left="40"/>
              <w:spacing w:after="0"/>
              <w:rPr>
                <w:sz w:val="20"/>
                <w:szCs w:val="20"/>
                <w:color w:val="auto"/>
              </w:rPr>
            </w:pPr>
            <w:r>
              <w:rPr>
                <w:rFonts w:ascii="Arial" w:cs="Arial" w:eastAsia="Arial" w:hAnsi="Arial"/>
                <w:sz w:val="13"/>
                <w:szCs w:val="13"/>
                <w:color w:val="auto"/>
              </w:rPr>
              <w:t>Approval of the 2019 Equity Incentive Plan.</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vMerge w:val="restart"/>
          </w:tcPr>
          <w:p>
            <w:pPr>
              <w:jc w:val="center"/>
              <w:ind w:right="33"/>
              <w:spacing w:after="0" w:line="131" w:lineRule="exact"/>
              <w:rPr>
                <w:sz w:val="20"/>
                <w:szCs w:val="20"/>
                <w:color w:val="auto"/>
              </w:rPr>
            </w:pPr>
            <w:r>
              <w:rPr>
                <w:rFonts w:ascii="MS PGothic" w:cs="MS PGothic" w:eastAsia="MS PGothic" w:hAnsi="MS PGothic"/>
                <w:sz w:val="13"/>
                <w:szCs w:val="13"/>
                <w:color w:val="auto"/>
                <w:highlight w:val="black"/>
                <w:w w:val="91"/>
              </w:rPr>
              <w:t>☐</w:t>
            </w:r>
          </w:p>
        </w:tc>
        <w:tc>
          <w:tcPr>
            <w:tcW w:w="580" w:type="dxa"/>
            <w:vAlign w:val="bottom"/>
            <w:vMerge w:val="restart"/>
          </w:tcPr>
          <w:p>
            <w:pPr>
              <w:jc w:val="center"/>
              <w:spacing w:after="0" w:line="131" w:lineRule="exact"/>
              <w:rPr>
                <w:sz w:val="20"/>
                <w:szCs w:val="20"/>
                <w:color w:val="auto"/>
              </w:rPr>
            </w:pPr>
            <w:r>
              <w:rPr>
                <w:rFonts w:ascii="MS PGothic" w:cs="MS PGothic" w:eastAsia="MS PGothic" w:hAnsi="MS PGothic"/>
                <w:sz w:val="13"/>
                <w:szCs w:val="13"/>
                <w:color w:val="auto"/>
                <w:highlight w:val="black"/>
                <w:w w:val="91"/>
              </w:rPr>
              <w:t>☐</w:t>
            </w:r>
          </w:p>
        </w:tc>
        <w:tc>
          <w:tcPr>
            <w:tcW w:w="840" w:type="dxa"/>
            <w:vAlign w:val="bottom"/>
            <w:tcBorders>
              <w:right w:val="single" w:sz="8" w:color="auto"/>
            </w:tcBorders>
            <w:gridSpan w:val="2"/>
            <w:vMerge w:val="restart"/>
          </w:tcPr>
          <w:p>
            <w:pPr>
              <w:jc w:val="center"/>
              <w:ind w:right="160"/>
              <w:spacing w:after="0" w:line="131" w:lineRule="exact"/>
              <w:rPr>
                <w:sz w:val="20"/>
                <w:szCs w:val="20"/>
                <w:color w:val="auto"/>
              </w:rPr>
            </w:pPr>
            <w:r>
              <w:rPr>
                <w:rFonts w:ascii="MS PGothic" w:cs="MS PGothic" w:eastAsia="MS PGothic" w:hAnsi="MS PGothic"/>
                <w:sz w:val="13"/>
                <w:szCs w:val="13"/>
                <w:color w:val="auto"/>
                <w:highlight w:val="black"/>
                <w:w w:val="91"/>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40" w:type="dxa"/>
            <w:vAlign w:val="bottom"/>
            <w:tcBorders>
              <w:right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5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3020" w:type="dxa"/>
            <w:vAlign w:val="bottom"/>
            <w:gridSpan w:val="5"/>
            <w:vMerge w:val="continue"/>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840" w:type="dxa"/>
            <w:vAlign w:val="bottom"/>
            <w:tcBorders>
              <w:right w:val="single" w:sz="8" w:color="auto"/>
            </w:tcBorders>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1c.</w:t>
            </w:r>
          </w:p>
        </w:tc>
        <w:tc>
          <w:tcPr>
            <w:tcW w:w="2520" w:type="dxa"/>
            <w:vAlign w:val="bottom"/>
          </w:tcPr>
          <w:p>
            <w:pPr>
              <w:ind w:left="40"/>
              <w:spacing w:after="0"/>
              <w:rPr>
                <w:sz w:val="20"/>
                <w:szCs w:val="20"/>
                <w:color w:val="auto"/>
              </w:rPr>
            </w:pPr>
            <w:r>
              <w:rPr>
                <w:rFonts w:ascii="Arial" w:cs="Arial" w:eastAsia="Arial" w:hAnsi="Arial"/>
                <w:sz w:val="13"/>
                <w:szCs w:val="13"/>
                <w:color w:val="auto"/>
              </w:rPr>
              <w:t>Margaret M. Keane</w:t>
            </w: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gridSpan w:val="2"/>
          </w:tcPr>
          <w:p>
            <w:pPr>
              <w:jc w:val="center"/>
              <w:spacing w:after="0" w:line="131" w:lineRule="exact"/>
              <w:rPr>
                <w:sz w:val="20"/>
                <w:szCs w:val="20"/>
                <w:color w:val="auto"/>
              </w:rPr>
            </w:pPr>
            <w:r>
              <w:rPr>
                <w:rFonts w:ascii="MS PGothic" w:cs="MS PGothic" w:eastAsia="MS PGothic" w:hAnsi="MS PGothic"/>
                <w:sz w:val="13"/>
                <w:szCs w:val="13"/>
                <w:color w:val="auto"/>
                <w:highlight w:val="black"/>
                <w:w w:val="91"/>
              </w:rPr>
              <w:t>☐</w:t>
            </w:r>
          </w:p>
        </w:tc>
        <w:tc>
          <w:tcPr>
            <w:tcW w:w="58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highlight w:val="black"/>
                <w:w w:val="91"/>
              </w:rPr>
              <w:t>☐</w:t>
            </w:r>
          </w:p>
        </w:tc>
        <w:tc>
          <w:tcPr>
            <w:tcW w:w="720" w:type="dxa"/>
            <w:vAlign w:val="bottom"/>
          </w:tcPr>
          <w:p>
            <w:pPr>
              <w:jc w:val="center"/>
              <w:ind w:right="53"/>
              <w:spacing w:after="0" w:line="131" w:lineRule="exact"/>
              <w:rPr>
                <w:sz w:val="20"/>
                <w:szCs w:val="20"/>
                <w:color w:val="auto"/>
              </w:rPr>
            </w:pPr>
            <w:r>
              <w:rPr>
                <w:rFonts w:ascii="MS PGothic" w:cs="MS PGothic" w:eastAsia="MS PGothic" w:hAnsi="MS PGothic"/>
                <w:sz w:val="13"/>
                <w:szCs w:val="13"/>
                <w:color w:val="auto"/>
                <w:highlight w:val="black"/>
                <w:w w:val="91"/>
              </w:rPr>
              <w:t>☐</w:t>
            </w:r>
          </w:p>
        </w:tc>
        <w:tc>
          <w:tcPr>
            <w:tcW w:w="420" w:type="dxa"/>
            <w:vAlign w:val="bottom"/>
            <w:gridSpan w:val="2"/>
            <w:vMerge w:val="restart"/>
          </w:tcPr>
          <w:p>
            <w:pPr>
              <w:ind w:left="280"/>
              <w:spacing w:after="0"/>
              <w:rPr>
                <w:sz w:val="20"/>
                <w:szCs w:val="20"/>
                <w:color w:val="auto"/>
              </w:rPr>
            </w:pPr>
            <w:r>
              <w:rPr>
                <w:rFonts w:ascii="Arial" w:cs="Arial" w:eastAsia="Arial" w:hAnsi="Arial"/>
                <w:sz w:val="13"/>
                <w:szCs w:val="13"/>
                <w:color w:val="auto"/>
              </w:rPr>
              <w:t>4.</w:t>
            </w:r>
          </w:p>
        </w:tc>
        <w:tc>
          <w:tcPr>
            <w:tcW w:w="3540" w:type="dxa"/>
            <w:vAlign w:val="bottom"/>
            <w:gridSpan w:val="6"/>
            <w:vMerge w:val="restart"/>
          </w:tcPr>
          <w:p>
            <w:pPr>
              <w:ind w:left="40"/>
              <w:spacing w:after="0"/>
              <w:rPr>
                <w:sz w:val="20"/>
                <w:szCs w:val="20"/>
                <w:color w:val="auto"/>
              </w:rPr>
            </w:pPr>
            <w:r>
              <w:rPr>
                <w:rFonts w:ascii="Arial" w:cs="Arial" w:eastAsia="Arial" w:hAnsi="Arial"/>
                <w:sz w:val="13"/>
                <w:szCs w:val="13"/>
                <w:color w:val="auto"/>
              </w:rPr>
              <w:t>Ratification of the appointment of Deloitte &amp; Touche LLP</w:t>
            </w:r>
          </w:p>
        </w:tc>
        <w:tc>
          <w:tcPr>
            <w:tcW w:w="140" w:type="dxa"/>
            <w:vAlign w:val="bottom"/>
          </w:tcPr>
          <w:p>
            <w:pPr>
              <w:spacing w:after="0"/>
              <w:rPr>
                <w:sz w:val="18"/>
                <w:szCs w:val="18"/>
                <w:color w:val="auto"/>
              </w:rPr>
            </w:pPr>
          </w:p>
        </w:tc>
        <w:tc>
          <w:tcPr>
            <w:tcW w:w="220" w:type="dxa"/>
            <w:vAlign w:val="bottom"/>
            <w:vMerge w:val="restart"/>
          </w:tcPr>
          <w:p>
            <w:pPr>
              <w:jc w:val="center"/>
              <w:ind w:right="33"/>
              <w:spacing w:after="0" w:line="131" w:lineRule="exact"/>
              <w:rPr>
                <w:sz w:val="20"/>
                <w:szCs w:val="20"/>
                <w:color w:val="auto"/>
              </w:rPr>
            </w:pPr>
            <w:r>
              <w:rPr>
                <w:rFonts w:ascii="MS PGothic" w:cs="MS PGothic" w:eastAsia="MS PGothic" w:hAnsi="MS PGothic"/>
                <w:sz w:val="13"/>
                <w:szCs w:val="13"/>
                <w:color w:val="auto"/>
                <w:highlight w:val="black"/>
                <w:w w:val="91"/>
              </w:rPr>
              <w:t>☐</w:t>
            </w:r>
          </w:p>
        </w:tc>
        <w:tc>
          <w:tcPr>
            <w:tcW w:w="580" w:type="dxa"/>
            <w:vAlign w:val="bottom"/>
            <w:vMerge w:val="restart"/>
          </w:tcPr>
          <w:p>
            <w:pPr>
              <w:jc w:val="center"/>
              <w:spacing w:after="0" w:line="131" w:lineRule="exact"/>
              <w:rPr>
                <w:sz w:val="20"/>
                <w:szCs w:val="20"/>
                <w:color w:val="auto"/>
              </w:rPr>
            </w:pPr>
            <w:r>
              <w:rPr>
                <w:rFonts w:ascii="MS PGothic" w:cs="MS PGothic" w:eastAsia="MS PGothic" w:hAnsi="MS PGothic"/>
                <w:sz w:val="13"/>
                <w:szCs w:val="13"/>
                <w:color w:val="auto"/>
                <w:highlight w:val="black"/>
                <w:w w:val="91"/>
              </w:rPr>
              <w:t>☐</w:t>
            </w:r>
          </w:p>
        </w:tc>
        <w:tc>
          <w:tcPr>
            <w:tcW w:w="840" w:type="dxa"/>
            <w:vAlign w:val="bottom"/>
            <w:tcBorders>
              <w:right w:val="single" w:sz="8" w:color="auto"/>
            </w:tcBorders>
            <w:gridSpan w:val="2"/>
            <w:vMerge w:val="restart"/>
          </w:tcPr>
          <w:p>
            <w:pPr>
              <w:jc w:val="center"/>
              <w:ind w:right="160"/>
              <w:spacing w:after="0" w:line="131" w:lineRule="exact"/>
              <w:rPr>
                <w:sz w:val="20"/>
                <w:szCs w:val="20"/>
                <w:color w:val="auto"/>
              </w:rPr>
            </w:pPr>
            <w:r>
              <w:rPr>
                <w:rFonts w:ascii="MS PGothic" w:cs="MS PGothic" w:eastAsia="MS PGothic" w:hAnsi="MS PGothic"/>
                <w:sz w:val="13"/>
                <w:szCs w:val="13"/>
                <w:color w:val="auto"/>
                <w:highlight w:val="black"/>
                <w:w w:val="91"/>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4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vMerge w:val="restart"/>
          </w:tcPr>
          <w:p>
            <w:pPr>
              <w:jc w:val="right"/>
              <w:spacing w:after="0"/>
              <w:rPr>
                <w:sz w:val="20"/>
                <w:szCs w:val="20"/>
                <w:color w:val="auto"/>
              </w:rPr>
            </w:pPr>
            <w:r>
              <w:rPr>
                <w:rFonts w:ascii="Arial" w:cs="Arial" w:eastAsia="Arial" w:hAnsi="Arial"/>
                <w:sz w:val="13"/>
                <w:szCs w:val="13"/>
                <w:color w:val="auto"/>
              </w:rPr>
              <w:t>1d.</w:t>
            </w:r>
          </w:p>
        </w:tc>
        <w:tc>
          <w:tcPr>
            <w:tcW w:w="2520" w:type="dxa"/>
            <w:vAlign w:val="bottom"/>
            <w:vMerge w:val="restart"/>
          </w:tcPr>
          <w:p>
            <w:pPr>
              <w:ind w:left="40"/>
              <w:spacing w:after="0"/>
              <w:rPr>
                <w:sz w:val="20"/>
                <w:szCs w:val="20"/>
                <w:color w:val="auto"/>
              </w:rPr>
            </w:pPr>
            <w:r>
              <w:rPr>
                <w:rFonts w:ascii="Arial" w:cs="Arial" w:eastAsia="Arial" w:hAnsi="Arial"/>
                <w:sz w:val="13"/>
                <w:szCs w:val="13"/>
                <w:color w:val="auto"/>
              </w:rPr>
              <w:t>Siddharth N. Mehta</w:t>
            </w: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gridSpan w:val="2"/>
            <w:vMerge w:val="restart"/>
          </w:tcPr>
          <w:p>
            <w:pPr>
              <w:jc w:val="center"/>
              <w:spacing w:after="0" w:line="131" w:lineRule="exact"/>
              <w:rPr>
                <w:sz w:val="20"/>
                <w:szCs w:val="20"/>
                <w:color w:val="auto"/>
              </w:rPr>
            </w:pPr>
            <w:r>
              <w:rPr>
                <w:rFonts w:ascii="MS PGothic" w:cs="MS PGothic" w:eastAsia="MS PGothic" w:hAnsi="MS PGothic"/>
                <w:sz w:val="13"/>
                <w:szCs w:val="13"/>
                <w:color w:val="auto"/>
                <w:highlight w:val="black"/>
                <w:w w:val="91"/>
              </w:rPr>
              <w:t>☐</w:t>
            </w:r>
          </w:p>
        </w:tc>
        <w:tc>
          <w:tcPr>
            <w:tcW w:w="580" w:type="dxa"/>
            <w:vAlign w:val="bottom"/>
            <w:vMerge w:val="restart"/>
          </w:tcPr>
          <w:p>
            <w:pPr>
              <w:jc w:val="center"/>
              <w:spacing w:after="0" w:line="131" w:lineRule="exact"/>
              <w:rPr>
                <w:sz w:val="20"/>
                <w:szCs w:val="20"/>
                <w:color w:val="auto"/>
              </w:rPr>
            </w:pPr>
            <w:r>
              <w:rPr>
                <w:rFonts w:ascii="MS PGothic" w:cs="MS PGothic" w:eastAsia="MS PGothic" w:hAnsi="MS PGothic"/>
                <w:sz w:val="13"/>
                <w:szCs w:val="13"/>
                <w:color w:val="auto"/>
                <w:highlight w:val="black"/>
                <w:w w:val="91"/>
              </w:rPr>
              <w:t>☐</w:t>
            </w:r>
          </w:p>
        </w:tc>
        <w:tc>
          <w:tcPr>
            <w:tcW w:w="720" w:type="dxa"/>
            <w:vAlign w:val="bottom"/>
            <w:vMerge w:val="restart"/>
          </w:tcPr>
          <w:p>
            <w:pPr>
              <w:jc w:val="center"/>
              <w:ind w:right="53"/>
              <w:spacing w:after="0" w:line="131" w:lineRule="exact"/>
              <w:rPr>
                <w:sz w:val="20"/>
                <w:szCs w:val="20"/>
                <w:color w:val="auto"/>
              </w:rPr>
            </w:pPr>
            <w:r>
              <w:rPr>
                <w:rFonts w:ascii="MS PGothic" w:cs="MS PGothic" w:eastAsia="MS PGothic" w:hAnsi="MS PGothic"/>
                <w:sz w:val="13"/>
                <w:szCs w:val="13"/>
                <w:color w:val="auto"/>
                <w:highlight w:val="black"/>
                <w:w w:val="91"/>
              </w:rPr>
              <w:t>☐</w:t>
            </w:r>
          </w:p>
        </w:tc>
        <w:tc>
          <w:tcPr>
            <w:tcW w:w="420" w:type="dxa"/>
            <w:vAlign w:val="bottom"/>
            <w:gridSpan w:val="2"/>
            <w:vMerge w:val="continue"/>
          </w:tcPr>
          <w:p>
            <w:pPr>
              <w:spacing w:after="0"/>
              <w:rPr>
                <w:sz w:val="12"/>
                <w:szCs w:val="12"/>
                <w:color w:val="auto"/>
              </w:rPr>
            </w:pPr>
          </w:p>
        </w:tc>
        <w:tc>
          <w:tcPr>
            <w:tcW w:w="3540" w:type="dxa"/>
            <w:vAlign w:val="bottom"/>
            <w:gridSpan w:val="6"/>
            <w:vMerge w:val="continue"/>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840" w:type="dxa"/>
            <w:vAlign w:val="bottom"/>
            <w:tcBorders>
              <w:right w:val="single" w:sz="8" w:color="auto"/>
            </w:tcBorders>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vMerge w:val="continue"/>
          </w:tcPr>
          <w:p>
            <w:pPr>
              <w:spacing w:after="0"/>
              <w:rPr>
                <w:sz w:val="12"/>
                <w:szCs w:val="12"/>
                <w:color w:val="auto"/>
              </w:rPr>
            </w:pPr>
          </w:p>
        </w:tc>
        <w:tc>
          <w:tcPr>
            <w:tcW w:w="252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540" w:type="dxa"/>
            <w:vAlign w:val="bottom"/>
            <w:gridSpan w:val="6"/>
          </w:tcPr>
          <w:p>
            <w:pPr>
              <w:ind w:left="40"/>
              <w:spacing w:after="0" w:line="149" w:lineRule="exact"/>
              <w:rPr>
                <w:sz w:val="20"/>
                <w:szCs w:val="20"/>
                <w:color w:val="auto"/>
              </w:rPr>
            </w:pPr>
            <w:r>
              <w:rPr>
                <w:rFonts w:ascii="Arial" w:cs="Arial" w:eastAsia="Arial" w:hAnsi="Arial"/>
                <w:sz w:val="13"/>
                <w:szCs w:val="13"/>
                <w:color w:val="auto"/>
              </w:rPr>
              <w:t>as Allstate's independent registered public accountant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0" w:type="dxa"/>
            <w:vAlign w:val="bottom"/>
            <w:tcBorders>
              <w:right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vMerge w:val="restart"/>
          </w:tcPr>
          <w:p>
            <w:pPr>
              <w:jc w:val="right"/>
              <w:spacing w:after="0"/>
              <w:rPr>
                <w:sz w:val="20"/>
                <w:szCs w:val="20"/>
                <w:color w:val="auto"/>
              </w:rPr>
            </w:pPr>
            <w:r>
              <w:rPr>
                <w:rFonts w:ascii="Arial" w:cs="Arial" w:eastAsia="Arial" w:hAnsi="Arial"/>
                <w:sz w:val="13"/>
                <w:szCs w:val="13"/>
                <w:color w:val="auto"/>
              </w:rPr>
              <w:t>1e.</w:t>
            </w:r>
          </w:p>
        </w:tc>
        <w:tc>
          <w:tcPr>
            <w:tcW w:w="2520" w:type="dxa"/>
            <w:vAlign w:val="bottom"/>
            <w:vMerge w:val="restart"/>
          </w:tcPr>
          <w:p>
            <w:pPr>
              <w:ind w:left="40"/>
              <w:spacing w:after="0"/>
              <w:rPr>
                <w:sz w:val="20"/>
                <w:szCs w:val="20"/>
                <w:color w:val="auto"/>
              </w:rPr>
            </w:pPr>
            <w:r>
              <w:rPr>
                <w:rFonts w:ascii="Arial" w:cs="Arial" w:eastAsia="Arial" w:hAnsi="Arial"/>
                <w:sz w:val="13"/>
                <w:szCs w:val="13"/>
                <w:color w:val="auto"/>
              </w:rPr>
              <w:t>Jacques P. Perold</w:t>
            </w: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gridSpan w:val="2"/>
            <w:vMerge w:val="restart"/>
          </w:tcPr>
          <w:p>
            <w:pPr>
              <w:jc w:val="center"/>
              <w:spacing w:after="0" w:line="131" w:lineRule="exact"/>
              <w:rPr>
                <w:sz w:val="20"/>
                <w:szCs w:val="20"/>
                <w:color w:val="auto"/>
              </w:rPr>
            </w:pPr>
            <w:r>
              <w:rPr>
                <w:rFonts w:ascii="MS PGothic" w:cs="MS PGothic" w:eastAsia="MS PGothic" w:hAnsi="MS PGothic"/>
                <w:sz w:val="13"/>
                <w:szCs w:val="13"/>
                <w:color w:val="auto"/>
                <w:highlight w:val="black"/>
                <w:w w:val="91"/>
              </w:rPr>
              <w:t>☐</w:t>
            </w:r>
          </w:p>
        </w:tc>
        <w:tc>
          <w:tcPr>
            <w:tcW w:w="580" w:type="dxa"/>
            <w:vAlign w:val="bottom"/>
            <w:vMerge w:val="restart"/>
          </w:tcPr>
          <w:p>
            <w:pPr>
              <w:jc w:val="center"/>
              <w:spacing w:after="0" w:line="131" w:lineRule="exact"/>
              <w:rPr>
                <w:sz w:val="20"/>
                <w:szCs w:val="20"/>
                <w:color w:val="auto"/>
              </w:rPr>
            </w:pPr>
            <w:r>
              <w:rPr>
                <w:rFonts w:ascii="MS PGothic" w:cs="MS PGothic" w:eastAsia="MS PGothic" w:hAnsi="MS PGothic"/>
                <w:sz w:val="13"/>
                <w:szCs w:val="13"/>
                <w:color w:val="auto"/>
                <w:highlight w:val="black"/>
                <w:w w:val="91"/>
              </w:rPr>
              <w:t>☐</w:t>
            </w:r>
          </w:p>
        </w:tc>
        <w:tc>
          <w:tcPr>
            <w:tcW w:w="720" w:type="dxa"/>
            <w:vAlign w:val="bottom"/>
            <w:vMerge w:val="restart"/>
          </w:tcPr>
          <w:p>
            <w:pPr>
              <w:jc w:val="center"/>
              <w:ind w:right="53"/>
              <w:spacing w:after="0" w:line="131" w:lineRule="exact"/>
              <w:rPr>
                <w:sz w:val="20"/>
                <w:szCs w:val="20"/>
                <w:color w:val="auto"/>
              </w:rPr>
            </w:pPr>
            <w:r>
              <w:rPr>
                <w:rFonts w:ascii="MS PGothic" w:cs="MS PGothic" w:eastAsia="MS PGothic" w:hAnsi="MS PGothic"/>
                <w:sz w:val="13"/>
                <w:szCs w:val="13"/>
                <w:color w:val="auto"/>
                <w:highlight w:val="black"/>
                <w:w w:val="91"/>
              </w:rPr>
              <w:t>☐</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ind w:left="40"/>
              <w:spacing w:after="0"/>
              <w:rPr>
                <w:sz w:val="20"/>
                <w:szCs w:val="20"/>
                <w:color w:val="auto"/>
              </w:rPr>
            </w:pPr>
            <w:r>
              <w:rPr>
                <w:rFonts w:ascii="Arial" w:cs="Arial" w:eastAsia="Arial" w:hAnsi="Arial"/>
                <w:sz w:val="13"/>
                <w:szCs w:val="13"/>
                <w:color w:val="auto"/>
              </w:rPr>
              <w:t>for 2019.</w:t>
            </w: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0" w:type="dxa"/>
            <w:vAlign w:val="bottom"/>
            <w:tcBorders>
              <w:right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vMerge w:val="continue"/>
          </w:tcPr>
          <w:p>
            <w:pPr>
              <w:spacing w:after="0"/>
              <w:rPr>
                <w:sz w:val="11"/>
                <w:szCs w:val="11"/>
                <w:color w:val="auto"/>
              </w:rPr>
            </w:pPr>
          </w:p>
        </w:tc>
        <w:tc>
          <w:tcPr>
            <w:tcW w:w="252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gridSpan w:val="2"/>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The  Board</w:t>
            </w:r>
          </w:p>
        </w:tc>
        <w:tc>
          <w:tcPr>
            <w:tcW w:w="320" w:type="dxa"/>
            <w:vAlign w:val="bottom"/>
            <w:vMerge w:val="restart"/>
          </w:tcPr>
          <w:p>
            <w:pPr>
              <w:ind w:left="140"/>
              <w:spacing w:after="0"/>
              <w:rPr>
                <w:sz w:val="20"/>
                <w:szCs w:val="20"/>
                <w:color w:val="auto"/>
              </w:rPr>
            </w:pPr>
            <w:r>
              <w:rPr>
                <w:rFonts w:ascii="Arial" w:cs="Arial" w:eastAsia="Arial" w:hAnsi="Arial"/>
                <w:sz w:val="13"/>
                <w:szCs w:val="13"/>
                <w:b w:val="1"/>
                <w:bCs w:val="1"/>
                <w:color w:val="auto"/>
              </w:rPr>
              <w:t>of</w:t>
            </w:r>
          </w:p>
        </w:tc>
        <w:tc>
          <w:tcPr>
            <w:tcW w:w="78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Directors</w:t>
            </w:r>
          </w:p>
        </w:tc>
        <w:tc>
          <w:tcPr>
            <w:tcW w:w="128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recommends  you</w:t>
            </w:r>
          </w:p>
        </w:tc>
        <w:tc>
          <w:tcPr>
            <w:tcW w:w="520" w:type="dxa"/>
            <w:vAlign w:val="bottom"/>
            <w:vMerge w:val="restart"/>
          </w:tcPr>
          <w:p>
            <w:pPr>
              <w:jc w:val="right"/>
              <w:ind w:right="33"/>
              <w:spacing w:after="0"/>
              <w:rPr>
                <w:sz w:val="20"/>
                <w:szCs w:val="20"/>
                <w:color w:val="auto"/>
              </w:rPr>
            </w:pPr>
            <w:r>
              <w:rPr>
                <w:rFonts w:ascii="Arial" w:cs="Arial" w:eastAsia="Arial" w:hAnsi="Arial"/>
                <w:sz w:val="13"/>
                <w:szCs w:val="13"/>
                <w:b w:val="1"/>
                <w:bCs w:val="1"/>
                <w:color w:val="auto"/>
              </w:rPr>
              <w:t>vote</w:t>
            </w:r>
          </w:p>
        </w:tc>
        <w:tc>
          <w:tcPr>
            <w:tcW w:w="36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rPr>
              <w:t>For</w:t>
            </w:r>
          </w:p>
        </w:tc>
        <w:tc>
          <w:tcPr>
            <w:tcW w:w="58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Against</w:t>
            </w:r>
          </w:p>
        </w:tc>
        <w:tc>
          <w:tcPr>
            <w:tcW w:w="840" w:type="dxa"/>
            <w:vAlign w:val="bottom"/>
            <w:tcBorders>
              <w:right w:val="single" w:sz="8" w:color="auto"/>
            </w:tcBorders>
            <w:gridSpan w:val="2"/>
            <w:vMerge w:val="restart"/>
          </w:tcPr>
          <w:p>
            <w:pPr>
              <w:jc w:val="center"/>
              <w:ind w:right="180"/>
              <w:spacing w:after="0"/>
              <w:rPr>
                <w:sz w:val="20"/>
                <w:szCs w:val="20"/>
                <w:color w:val="auto"/>
              </w:rPr>
            </w:pPr>
            <w:r>
              <w:rPr>
                <w:rFonts w:ascii="Arial" w:cs="Arial" w:eastAsia="Arial" w:hAnsi="Arial"/>
                <w:sz w:val="13"/>
                <w:szCs w:val="13"/>
                <w:b w:val="1"/>
                <w:bCs w:val="1"/>
                <w:color w:val="auto"/>
              </w:rPr>
              <w:t>Abstain</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40" w:type="dxa"/>
            <w:vAlign w:val="bottom"/>
            <w:tcBorders>
              <w:right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vMerge w:val="restart"/>
          </w:tcPr>
          <w:p>
            <w:pPr>
              <w:jc w:val="right"/>
              <w:spacing w:after="0"/>
              <w:rPr>
                <w:sz w:val="20"/>
                <w:szCs w:val="20"/>
                <w:color w:val="auto"/>
              </w:rPr>
            </w:pPr>
            <w:r>
              <w:rPr>
                <w:rFonts w:ascii="Arial" w:cs="Arial" w:eastAsia="Arial" w:hAnsi="Arial"/>
                <w:sz w:val="13"/>
                <w:szCs w:val="13"/>
                <w:color w:val="auto"/>
              </w:rPr>
              <w:t>1f.</w:t>
            </w:r>
          </w:p>
        </w:tc>
        <w:tc>
          <w:tcPr>
            <w:tcW w:w="2520" w:type="dxa"/>
            <w:vAlign w:val="bottom"/>
            <w:vMerge w:val="restart"/>
          </w:tcPr>
          <w:p>
            <w:pPr>
              <w:ind w:left="40"/>
              <w:spacing w:after="0"/>
              <w:rPr>
                <w:sz w:val="20"/>
                <w:szCs w:val="20"/>
                <w:color w:val="auto"/>
              </w:rPr>
            </w:pPr>
            <w:r>
              <w:rPr>
                <w:rFonts w:ascii="Arial" w:cs="Arial" w:eastAsia="Arial" w:hAnsi="Arial"/>
                <w:sz w:val="13"/>
                <w:szCs w:val="13"/>
                <w:color w:val="auto"/>
              </w:rPr>
              <w:t>Andrea Redmond</w:t>
            </w: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gridSpan w:val="2"/>
            <w:vMerge w:val="restart"/>
          </w:tcPr>
          <w:p>
            <w:pPr>
              <w:jc w:val="center"/>
              <w:spacing w:after="0" w:line="131" w:lineRule="exact"/>
              <w:rPr>
                <w:sz w:val="20"/>
                <w:szCs w:val="20"/>
                <w:color w:val="auto"/>
              </w:rPr>
            </w:pPr>
            <w:r>
              <w:rPr>
                <w:rFonts w:ascii="MS PGothic" w:cs="MS PGothic" w:eastAsia="MS PGothic" w:hAnsi="MS PGothic"/>
                <w:sz w:val="13"/>
                <w:szCs w:val="13"/>
                <w:color w:val="auto"/>
                <w:highlight w:val="black"/>
                <w:w w:val="91"/>
              </w:rPr>
              <w:t>☐</w:t>
            </w:r>
          </w:p>
        </w:tc>
        <w:tc>
          <w:tcPr>
            <w:tcW w:w="580" w:type="dxa"/>
            <w:vAlign w:val="bottom"/>
            <w:vMerge w:val="restart"/>
          </w:tcPr>
          <w:p>
            <w:pPr>
              <w:jc w:val="center"/>
              <w:spacing w:after="0" w:line="131" w:lineRule="exact"/>
              <w:rPr>
                <w:sz w:val="20"/>
                <w:szCs w:val="20"/>
                <w:color w:val="auto"/>
              </w:rPr>
            </w:pPr>
            <w:r>
              <w:rPr>
                <w:rFonts w:ascii="MS PGothic" w:cs="MS PGothic" w:eastAsia="MS PGothic" w:hAnsi="MS PGothic"/>
                <w:sz w:val="13"/>
                <w:szCs w:val="13"/>
                <w:color w:val="auto"/>
                <w:highlight w:val="black"/>
                <w:w w:val="91"/>
              </w:rPr>
              <w:t>☐</w:t>
            </w:r>
          </w:p>
        </w:tc>
        <w:tc>
          <w:tcPr>
            <w:tcW w:w="720" w:type="dxa"/>
            <w:vAlign w:val="bottom"/>
            <w:vMerge w:val="restart"/>
          </w:tcPr>
          <w:p>
            <w:pPr>
              <w:jc w:val="center"/>
              <w:ind w:right="53"/>
              <w:spacing w:after="0" w:line="131" w:lineRule="exact"/>
              <w:rPr>
                <w:sz w:val="20"/>
                <w:szCs w:val="20"/>
                <w:color w:val="auto"/>
              </w:rPr>
            </w:pPr>
            <w:r>
              <w:rPr>
                <w:rFonts w:ascii="MS PGothic" w:cs="MS PGothic" w:eastAsia="MS PGothic" w:hAnsi="MS PGothic"/>
                <w:sz w:val="13"/>
                <w:szCs w:val="13"/>
                <w:color w:val="auto"/>
                <w:highlight w:val="black"/>
                <w:w w:val="91"/>
              </w:rPr>
              <w:t>☐</w:t>
            </w:r>
          </w:p>
        </w:tc>
        <w:tc>
          <w:tcPr>
            <w:tcW w:w="2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32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360" w:type="dxa"/>
            <w:vAlign w:val="bottom"/>
            <w:gridSpan w:val="2"/>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840" w:type="dxa"/>
            <w:vAlign w:val="bottom"/>
            <w:tcBorders>
              <w:right w:val="single" w:sz="8" w:color="auto"/>
            </w:tcBorders>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40" w:type="dxa"/>
            <w:vAlign w:val="bottom"/>
            <w:tcBorders>
              <w:righ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252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gridSpan w:val="2"/>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960" w:type="dxa"/>
            <w:vAlign w:val="bottom"/>
            <w:gridSpan w:val="4"/>
          </w:tcPr>
          <w:p>
            <w:pPr>
              <w:ind w:left="80"/>
              <w:spacing w:after="0"/>
              <w:rPr>
                <w:sz w:val="20"/>
                <w:szCs w:val="20"/>
                <w:color w:val="auto"/>
              </w:rPr>
            </w:pPr>
            <w:r>
              <w:rPr>
                <w:rFonts w:ascii="Arial" w:cs="Arial" w:eastAsia="Arial" w:hAnsi="Arial"/>
                <w:sz w:val="13"/>
                <w:szCs w:val="13"/>
                <w:b w:val="1"/>
                <w:bCs w:val="1"/>
                <w:color w:val="auto"/>
              </w:rPr>
              <w:t>"AGAINST" Proposals 5.</w:t>
            </w:r>
          </w:p>
        </w:tc>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1"/>
        </w:trPr>
        <w:tc>
          <w:tcPr>
            <w:tcW w:w="40" w:type="dxa"/>
            <w:vAlign w:val="bottom"/>
            <w:tcBorders>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1g.</w:t>
            </w:r>
          </w:p>
        </w:tc>
        <w:tc>
          <w:tcPr>
            <w:tcW w:w="2520" w:type="dxa"/>
            <w:vAlign w:val="bottom"/>
          </w:tcPr>
          <w:p>
            <w:pPr>
              <w:ind w:left="40"/>
              <w:spacing w:after="0"/>
              <w:rPr>
                <w:sz w:val="20"/>
                <w:szCs w:val="20"/>
                <w:color w:val="auto"/>
              </w:rPr>
            </w:pPr>
            <w:r>
              <w:rPr>
                <w:rFonts w:ascii="Arial" w:cs="Arial" w:eastAsia="Arial" w:hAnsi="Arial"/>
                <w:sz w:val="13"/>
                <w:szCs w:val="13"/>
                <w:color w:val="auto"/>
              </w:rPr>
              <w:t>Gregg M. Sherrill</w:t>
            </w: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gridSpan w:val="2"/>
          </w:tcPr>
          <w:p>
            <w:pPr>
              <w:jc w:val="center"/>
              <w:spacing w:after="0" w:line="131" w:lineRule="exact"/>
              <w:rPr>
                <w:sz w:val="20"/>
                <w:szCs w:val="20"/>
                <w:color w:val="auto"/>
              </w:rPr>
            </w:pPr>
            <w:r>
              <w:rPr>
                <w:rFonts w:ascii="MS PGothic" w:cs="MS PGothic" w:eastAsia="MS PGothic" w:hAnsi="MS PGothic"/>
                <w:sz w:val="13"/>
                <w:szCs w:val="13"/>
                <w:color w:val="auto"/>
                <w:highlight w:val="black"/>
                <w:w w:val="91"/>
              </w:rPr>
              <w:t>☐</w:t>
            </w:r>
          </w:p>
        </w:tc>
        <w:tc>
          <w:tcPr>
            <w:tcW w:w="58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highlight w:val="black"/>
                <w:w w:val="91"/>
              </w:rPr>
              <w:t>☐</w:t>
            </w:r>
          </w:p>
        </w:tc>
        <w:tc>
          <w:tcPr>
            <w:tcW w:w="720" w:type="dxa"/>
            <w:vAlign w:val="bottom"/>
          </w:tcPr>
          <w:p>
            <w:pPr>
              <w:jc w:val="center"/>
              <w:ind w:right="53"/>
              <w:spacing w:after="0" w:line="131" w:lineRule="exact"/>
              <w:rPr>
                <w:sz w:val="20"/>
                <w:szCs w:val="20"/>
                <w:color w:val="auto"/>
              </w:rPr>
            </w:pPr>
            <w:r>
              <w:rPr>
                <w:rFonts w:ascii="MS PGothic" w:cs="MS PGothic" w:eastAsia="MS PGothic" w:hAnsi="MS PGothic"/>
                <w:sz w:val="13"/>
                <w:szCs w:val="13"/>
                <w:color w:val="auto"/>
                <w:highlight w:val="black"/>
                <w:w w:val="91"/>
              </w:rPr>
              <w:t>☐</w:t>
            </w:r>
          </w:p>
        </w:tc>
        <w:tc>
          <w:tcPr>
            <w:tcW w:w="420" w:type="dxa"/>
            <w:vAlign w:val="bottom"/>
            <w:gridSpan w:val="2"/>
          </w:tcPr>
          <w:p>
            <w:pPr>
              <w:ind w:left="280"/>
              <w:spacing w:after="0"/>
              <w:rPr>
                <w:sz w:val="20"/>
                <w:szCs w:val="20"/>
                <w:color w:val="auto"/>
              </w:rPr>
            </w:pPr>
            <w:r>
              <w:rPr>
                <w:rFonts w:ascii="Arial" w:cs="Arial" w:eastAsia="Arial" w:hAnsi="Arial"/>
                <w:sz w:val="13"/>
                <w:szCs w:val="13"/>
                <w:color w:val="auto"/>
              </w:rPr>
              <w:t>5.</w:t>
            </w:r>
          </w:p>
        </w:tc>
        <w:tc>
          <w:tcPr>
            <w:tcW w:w="3540" w:type="dxa"/>
            <w:vAlign w:val="bottom"/>
            <w:gridSpan w:val="6"/>
          </w:tcPr>
          <w:p>
            <w:pPr>
              <w:ind w:left="40"/>
              <w:spacing w:after="0"/>
              <w:rPr>
                <w:sz w:val="20"/>
                <w:szCs w:val="20"/>
                <w:color w:val="auto"/>
              </w:rPr>
            </w:pPr>
            <w:r>
              <w:rPr>
                <w:rFonts w:ascii="Arial" w:cs="Arial" w:eastAsia="Arial" w:hAnsi="Arial"/>
                <w:sz w:val="13"/>
                <w:szCs w:val="13"/>
                <w:color w:val="auto"/>
              </w:rPr>
              <w:t>Stockholder proposal on reporting political contributions.</w:t>
            </w:r>
          </w:p>
        </w:tc>
        <w:tc>
          <w:tcPr>
            <w:tcW w:w="140" w:type="dxa"/>
            <w:vAlign w:val="bottom"/>
          </w:tcPr>
          <w:p>
            <w:pPr>
              <w:spacing w:after="0"/>
              <w:rPr>
                <w:sz w:val="24"/>
                <w:szCs w:val="24"/>
                <w:color w:val="auto"/>
              </w:rPr>
            </w:pPr>
          </w:p>
        </w:tc>
        <w:tc>
          <w:tcPr>
            <w:tcW w:w="220" w:type="dxa"/>
            <w:vAlign w:val="bottom"/>
          </w:tcPr>
          <w:p>
            <w:pPr>
              <w:jc w:val="center"/>
              <w:ind w:right="33"/>
              <w:spacing w:after="0" w:line="131" w:lineRule="exact"/>
              <w:rPr>
                <w:sz w:val="20"/>
                <w:szCs w:val="20"/>
                <w:color w:val="auto"/>
              </w:rPr>
            </w:pPr>
            <w:r>
              <w:rPr>
                <w:rFonts w:ascii="MS PGothic" w:cs="MS PGothic" w:eastAsia="MS PGothic" w:hAnsi="MS PGothic"/>
                <w:sz w:val="13"/>
                <w:szCs w:val="13"/>
                <w:color w:val="auto"/>
                <w:highlight w:val="black"/>
                <w:w w:val="91"/>
              </w:rPr>
              <w:t>☐</w:t>
            </w:r>
          </w:p>
        </w:tc>
        <w:tc>
          <w:tcPr>
            <w:tcW w:w="58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highlight w:val="black"/>
                <w:w w:val="91"/>
              </w:rPr>
              <w:t>☐</w:t>
            </w:r>
          </w:p>
        </w:tc>
        <w:tc>
          <w:tcPr>
            <w:tcW w:w="840" w:type="dxa"/>
            <w:vAlign w:val="bottom"/>
            <w:tcBorders>
              <w:right w:val="single" w:sz="8" w:color="auto"/>
            </w:tcBorders>
            <w:gridSpan w:val="2"/>
          </w:tcPr>
          <w:p>
            <w:pPr>
              <w:jc w:val="center"/>
              <w:ind w:right="160"/>
              <w:spacing w:after="0" w:line="131" w:lineRule="exact"/>
              <w:rPr>
                <w:sz w:val="20"/>
                <w:szCs w:val="20"/>
                <w:color w:val="auto"/>
              </w:rPr>
            </w:pPr>
            <w:r>
              <w:rPr>
                <w:rFonts w:ascii="MS PGothic" w:cs="MS PGothic" w:eastAsia="MS PGothic" w:hAnsi="MS PGothic"/>
                <w:sz w:val="13"/>
                <w:szCs w:val="13"/>
                <w:color w:val="auto"/>
                <w:highlight w:val="black"/>
                <w:w w:val="91"/>
              </w:rPr>
              <w: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40" w:type="dxa"/>
            <w:vAlign w:val="bottom"/>
            <w:tcBorders>
              <w:right w:val="single" w:sz="8" w:color="auto"/>
            </w:tcBorders>
          </w:tcPr>
          <w:p>
            <w:pPr>
              <w:spacing w:after="0"/>
              <w:rPr>
                <w:sz w:val="23"/>
                <w:szCs w:val="23"/>
                <w:color w:val="auto"/>
              </w:rPr>
            </w:pPr>
          </w:p>
        </w:tc>
        <w:tc>
          <w:tcPr>
            <w:tcW w:w="300" w:type="dxa"/>
            <w:vAlign w:val="bottom"/>
          </w:tcPr>
          <w:p>
            <w:pPr>
              <w:spacing w:after="0"/>
              <w:rPr>
                <w:sz w:val="23"/>
                <w:szCs w:val="2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1h.</w:t>
            </w:r>
          </w:p>
        </w:tc>
        <w:tc>
          <w:tcPr>
            <w:tcW w:w="2520" w:type="dxa"/>
            <w:vAlign w:val="bottom"/>
          </w:tcPr>
          <w:p>
            <w:pPr>
              <w:ind w:left="40"/>
              <w:spacing w:after="0"/>
              <w:rPr>
                <w:sz w:val="20"/>
                <w:szCs w:val="20"/>
                <w:color w:val="auto"/>
              </w:rPr>
            </w:pPr>
            <w:r>
              <w:rPr>
                <w:rFonts w:ascii="Arial" w:cs="Arial" w:eastAsia="Arial" w:hAnsi="Arial"/>
                <w:sz w:val="13"/>
                <w:szCs w:val="13"/>
                <w:color w:val="auto"/>
              </w:rPr>
              <w:t>Judith A. Sprieser</w:t>
            </w:r>
          </w:p>
        </w:tc>
        <w:tc>
          <w:tcPr>
            <w:tcW w:w="4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80" w:type="dxa"/>
            <w:vAlign w:val="bottom"/>
            <w:gridSpan w:val="2"/>
          </w:tcPr>
          <w:p>
            <w:pPr>
              <w:jc w:val="center"/>
              <w:spacing w:after="0" w:line="131" w:lineRule="exact"/>
              <w:rPr>
                <w:sz w:val="20"/>
                <w:szCs w:val="20"/>
                <w:color w:val="auto"/>
              </w:rPr>
            </w:pPr>
            <w:r>
              <w:rPr>
                <w:rFonts w:ascii="MS PGothic" w:cs="MS PGothic" w:eastAsia="MS PGothic" w:hAnsi="MS PGothic"/>
                <w:sz w:val="13"/>
                <w:szCs w:val="13"/>
                <w:color w:val="auto"/>
                <w:highlight w:val="black"/>
                <w:w w:val="91"/>
              </w:rPr>
              <w:t>☐</w:t>
            </w:r>
          </w:p>
        </w:tc>
        <w:tc>
          <w:tcPr>
            <w:tcW w:w="58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highlight w:val="black"/>
                <w:w w:val="91"/>
              </w:rPr>
              <w:t>☐</w:t>
            </w:r>
          </w:p>
        </w:tc>
        <w:tc>
          <w:tcPr>
            <w:tcW w:w="720" w:type="dxa"/>
            <w:vAlign w:val="bottom"/>
          </w:tcPr>
          <w:p>
            <w:pPr>
              <w:jc w:val="center"/>
              <w:ind w:right="53"/>
              <w:spacing w:after="0" w:line="131" w:lineRule="exact"/>
              <w:rPr>
                <w:sz w:val="20"/>
                <w:szCs w:val="20"/>
                <w:color w:val="auto"/>
              </w:rPr>
            </w:pPr>
            <w:r>
              <w:rPr>
                <w:rFonts w:ascii="MS PGothic" w:cs="MS PGothic" w:eastAsia="MS PGothic" w:hAnsi="MS PGothic"/>
                <w:sz w:val="13"/>
                <w:szCs w:val="13"/>
                <w:color w:val="auto"/>
                <w:highlight w:val="black"/>
                <w:w w:val="91"/>
              </w:rPr>
              <w:t>☐</w:t>
            </w:r>
          </w:p>
        </w:tc>
        <w:tc>
          <w:tcPr>
            <w:tcW w:w="200" w:type="dxa"/>
            <w:vAlign w:val="bottom"/>
          </w:tcPr>
          <w:p>
            <w:pPr>
              <w:spacing w:after="0"/>
              <w:rPr>
                <w:sz w:val="23"/>
                <w:szCs w:val="23"/>
                <w:color w:val="auto"/>
              </w:rPr>
            </w:pPr>
          </w:p>
        </w:tc>
        <w:tc>
          <w:tcPr>
            <w:tcW w:w="3760" w:type="dxa"/>
            <w:vAlign w:val="bottom"/>
            <w:gridSpan w:val="7"/>
          </w:tcPr>
          <w:p>
            <w:pPr>
              <w:ind w:left="80"/>
              <w:spacing w:after="0"/>
              <w:rPr>
                <w:sz w:val="20"/>
                <w:szCs w:val="20"/>
                <w:color w:val="auto"/>
              </w:rPr>
            </w:pPr>
            <w:r>
              <w:rPr>
                <w:rFonts w:ascii="Arial" w:cs="Arial" w:eastAsia="Arial" w:hAnsi="Arial"/>
                <w:sz w:val="13"/>
                <w:szCs w:val="13"/>
                <w:b w:val="1"/>
                <w:bCs w:val="1"/>
                <w:color w:val="auto"/>
              </w:rPr>
              <w:t xml:space="preserve">NOTE: </w:t>
            </w:r>
            <w:r>
              <w:rPr>
                <w:rFonts w:ascii="Arial" w:cs="Arial" w:eastAsia="Arial" w:hAnsi="Arial"/>
                <w:sz w:val="13"/>
                <w:szCs w:val="13"/>
                <w:color w:val="auto"/>
              </w:rPr>
              <w:t>Such other business as may properly come before</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40" w:type="dxa"/>
            <w:vAlign w:val="bottom"/>
            <w:tcBorders>
              <w:right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vMerge w:val="restart"/>
          </w:tcPr>
          <w:p>
            <w:pPr>
              <w:jc w:val="right"/>
              <w:spacing w:after="0"/>
              <w:rPr>
                <w:sz w:val="20"/>
                <w:szCs w:val="20"/>
                <w:color w:val="auto"/>
              </w:rPr>
            </w:pPr>
            <w:r>
              <w:rPr>
                <w:rFonts w:ascii="Arial" w:cs="Arial" w:eastAsia="Arial" w:hAnsi="Arial"/>
                <w:sz w:val="13"/>
                <w:szCs w:val="13"/>
                <w:color w:val="auto"/>
              </w:rPr>
              <w:t>1i.</w:t>
            </w:r>
          </w:p>
        </w:tc>
        <w:tc>
          <w:tcPr>
            <w:tcW w:w="2520" w:type="dxa"/>
            <w:vAlign w:val="bottom"/>
            <w:vMerge w:val="restart"/>
          </w:tcPr>
          <w:p>
            <w:pPr>
              <w:ind w:left="40"/>
              <w:spacing w:after="0"/>
              <w:rPr>
                <w:sz w:val="20"/>
                <w:szCs w:val="20"/>
                <w:color w:val="auto"/>
              </w:rPr>
            </w:pPr>
            <w:r>
              <w:rPr>
                <w:rFonts w:ascii="Arial" w:cs="Arial" w:eastAsia="Arial" w:hAnsi="Arial"/>
                <w:sz w:val="13"/>
                <w:szCs w:val="13"/>
                <w:color w:val="auto"/>
              </w:rPr>
              <w:t>Perry M. Traquina</w:t>
            </w: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gridSpan w:val="2"/>
            <w:vMerge w:val="restart"/>
          </w:tcPr>
          <w:p>
            <w:pPr>
              <w:jc w:val="center"/>
              <w:spacing w:after="0" w:line="131" w:lineRule="exact"/>
              <w:rPr>
                <w:sz w:val="20"/>
                <w:szCs w:val="20"/>
                <w:color w:val="auto"/>
              </w:rPr>
            </w:pPr>
            <w:r>
              <w:rPr>
                <w:rFonts w:ascii="MS PGothic" w:cs="MS PGothic" w:eastAsia="MS PGothic" w:hAnsi="MS PGothic"/>
                <w:sz w:val="13"/>
                <w:szCs w:val="13"/>
                <w:color w:val="auto"/>
                <w:highlight w:val="black"/>
                <w:w w:val="91"/>
              </w:rPr>
              <w:t>☐</w:t>
            </w:r>
          </w:p>
        </w:tc>
        <w:tc>
          <w:tcPr>
            <w:tcW w:w="580" w:type="dxa"/>
            <w:vAlign w:val="bottom"/>
            <w:vMerge w:val="restart"/>
          </w:tcPr>
          <w:p>
            <w:pPr>
              <w:jc w:val="center"/>
              <w:spacing w:after="0" w:line="131" w:lineRule="exact"/>
              <w:rPr>
                <w:sz w:val="20"/>
                <w:szCs w:val="20"/>
                <w:color w:val="auto"/>
              </w:rPr>
            </w:pPr>
            <w:r>
              <w:rPr>
                <w:rFonts w:ascii="MS PGothic" w:cs="MS PGothic" w:eastAsia="MS PGothic" w:hAnsi="MS PGothic"/>
                <w:sz w:val="13"/>
                <w:szCs w:val="13"/>
                <w:color w:val="auto"/>
                <w:highlight w:val="black"/>
                <w:w w:val="91"/>
              </w:rPr>
              <w:t>☐</w:t>
            </w:r>
          </w:p>
        </w:tc>
        <w:tc>
          <w:tcPr>
            <w:tcW w:w="720" w:type="dxa"/>
            <w:vAlign w:val="bottom"/>
            <w:vMerge w:val="restart"/>
          </w:tcPr>
          <w:p>
            <w:pPr>
              <w:jc w:val="center"/>
              <w:ind w:right="53"/>
              <w:spacing w:after="0" w:line="131" w:lineRule="exact"/>
              <w:rPr>
                <w:sz w:val="20"/>
                <w:szCs w:val="20"/>
                <w:color w:val="auto"/>
              </w:rPr>
            </w:pPr>
            <w:r>
              <w:rPr>
                <w:rFonts w:ascii="MS PGothic" w:cs="MS PGothic" w:eastAsia="MS PGothic" w:hAnsi="MS PGothic"/>
                <w:sz w:val="13"/>
                <w:szCs w:val="13"/>
                <w:color w:val="auto"/>
                <w:highlight w:val="black"/>
                <w:w w:val="91"/>
              </w:rPr>
              <w:t>☐</w:t>
            </w:r>
          </w:p>
        </w:tc>
        <w:tc>
          <w:tcPr>
            <w:tcW w:w="200" w:type="dxa"/>
            <w:vAlign w:val="bottom"/>
          </w:tcPr>
          <w:p>
            <w:pPr>
              <w:spacing w:after="0"/>
              <w:rPr>
                <w:sz w:val="14"/>
                <w:szCs w:val="14"/>
                <w:color w:val="auto"/>
              </w:rPr>
            </w:pPr>
          </w:p>
        </w:tc>
        <w:tc>
          <w:tcPr>
            <w:tcW w:w="3760" w:type="dxa"/>
            <w:vAlign w:val="bottom"/>
            <w:gridSpan w:val="7"/>
          </w:tcPr>
          <w:p>
            <w:pPr>
              <w:ind w:left="80"/>
              <w:spacing w:after="0"/>
              <w:rPr>
                <w:sz w:val="20"/>
                <w:szCs w:val="20"/>
                <w:color w:val="auto"/>
              </w:rPr>
            </w:pPr>
            <w:r>
              <w:rPr>
                <w:rFonts w:ascii="Arial" w:cs="Arial" w:eastAsia="Arial" w:hAnsi="Arial"/>
                <w:sz w:val="13"/>
                <w:szCs w:val="13"/>
                <w:color w:val="auto"/>
              </w:rPr>
              <w:t>the meeting or any postponement or adjournment thereof.</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0" w:type="dxa"/>
            <w:vAlign w:val="bottom"/>
            <w:tcBorders>
              <w:right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vMerge w:val="continue"/>
          </w:tcPr>
          <w:p>
            <w:pPr>
              <w:spacing w:after="0"/>
              <w:rPr>
                <w:sz w:val="11"/>
                <w:szCs w:val="11"/>
                <w:color w:val="auto"/>
              </w:rPr>
            </w:pPr>
          </w:p>
        </w:tc>
        <w:tc>
          <w:tcPr>
            <w:tcW w:w="252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gridSpan w:val="2"/>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7"/>
        </w:trPr>
        <w:tc>
          <w:tcPr>
            <w:tcW w:w="40" w:type="dxa"/>
            <w:vAlign w:val="bottom"/>
            <w:tcBorders>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1j.</w:t>
            </w:r>
          </w:p>
        </w:tc>
        <w:tc>
          <w:tcPr>
            <w:tcW w:w="2520" w:type="dxa"/>
            <w:vAlign w:val="bottom"/>
          </w:tcPr>
          <w:p>
            <w:pPr>
              <w:ind w:left="40"/>
              <w:spacing w:after="0"/>
              <w:rPr>
                <w:sz w:val="20"/>
                <w:szCs w:val="20"/>
                <w:color w:val="auto"/>
              </w:rPr>
            </w:pPr>
            <w:r>
              <w:rPr>
                <w:rFonts w:ascii="Arial" w:cs="Arial" w:eastAsia="Arial" w:hAnsi="Arial"/>
                <w:sz w:val="13"/>
                <w:szCs w:val="13"/>
                <w:color w:val="auto"/>
              </w:rPr>
              <w:t>Thomas J. Wilson</w:t>
            </w: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gridSpan w:val="2"/>
          </w:tcPr>
          <w:p>
            <w:pPr>
              <w:jc w:val="center"/>
              <w:spacing w:after="0" w:line="131" w:lineRule="exact"/>
              <w:rPr>
                <w:sz w:val="20"/>
                <w:szCs w:val="20"/>
                <w:color w:val="auto"/>
              </w:rPr>
            </w:pPr>
            <w:r>
              <w:rPr>
                <w:rFonts w:ascii="MS PGothic" w:cs="MS PGothic" w:eastAsia="MS PGothic" w:hAnsi="MS PGothic"/>
                <w:sz w:val="13"/>
                <w:szCs w:val="13"/>
                <w:color w:val="auto"/>
                <w:highlight w:val="black"/>
                <w:w w:val="91"/>
              </w:rPr>
              <w:t>☐</w:t>
            </w:r>
          </w:p>
        </w:tc>
        <w:tc>
          <w:tcPr>
            <w:tcW w:w="58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highlight w:val="black"/>
                <w:w w:val="91"/>
              </w:rPr>
              <w:t>☐</w:t>
            </w:r>
          </w:p>
        </w:tc>
        <w:tc>
          <w:tcPr>
            <w:tcW w:w="720" w:type="dxa"/>
            <w:vAlign w:val="bottom"/>
          </w:tcPr>
          <w:p>
            <w:pPr>
              <w:jc w:val="center"/>
              <w:ind w:right="53"/>
              <w:spacing w:after="0" w:line="131" w:lineRule="exact"/>
              <w:rPr>
                <w:sz w:val="20"/>
                <w:szCs w:val="20"/>
                <w:color w:val="auto"/>
              </w:rPr>
            </w:pPr>
            <w:r>
              <w:rPr>
                <w:rFonts w:ascii="MS PGothic" w:cs="MS PGothic" w:eastAsia="MS PGothic" w:hAnsi="MS PGothic"/>
                <w:sz w:val="13"/>
                <w:szCs w:val="13"/>
                <w:color w:val="auto"/>
                <w:highlight w:val="black"/>
                <w:w w:val="91"/>
              </w:rPr>
              <w:t>☐</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40" w:type="dxa"/>
            <w:vAlign w:val="bottom"/>
            <w:tcBorders>
              <w:right w:val="single" w:sz="8" w:color="auto"/>
            </w:tcBorders>
          </w:tcPr>
          <w:p>
            <w:pPr>
              <w:spacing w:after="0"/>
              <w:rPr>
                <w:sz w:val="24"/>
                <w:szCs w:val="24"/>
                <w:color w:val="auto"/>
              </w:rPr>
            </w:pPr>
          </w:p>
        </w:tc>
        <w:tc>
          <w:tcPr>
            <w:tcW w:w="9940" w:type="dxa"/>
            <w:vAlign w:val="bottom"/>
            <w:gridSpan w:val="19"/>
          </w:tcPr>
          <w:p>
            <w:pPr>
              <w:ind w:left="280"/>
              <w:spacing w:after="0"/>
              <w:rPr>
                <w:sz w:val="20"/>
                <w:szCs w:val="20"/>
                <w:color w:val="auto"/>
              </w:rPr>
            </w:pPr>
            <w:r>
              <w:rPr>
                <w:rFonts w:ascii="Arial" w:cs="Arial" w:eastAsia="Arial" w:hAnsi="Arial"/>
                <w:sz w:val="13"/>
                <w:szCs w:val="13"/>
                <w:color w:val="auto"/>
              </w:rPr>
              <w:t>Please sign exactly as your name(s) appear(s) hereon. When signing as attorney, executor, administrator, or other fiduciary, please give full title as such. Joint</w:t>
            </w: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0" w:type="dxa"/>
            <w:vAlign w:val="bottom"/>
            <w:tcBorders>
              <w:right w:val="single" w:sz="8" w:color="auto"/>
            </w:tcBorders>
          </w:tcPr>
          <w:p>
            <w:pPr>
              <w:spacing w:after="0"/>
              <w:rPr>
                <w:sz w:val="12"/>
                <w:szCs w:val="12"/>
                <w:color w:val="auto"/>
              </w:rPr>
            </w:pPr>
          </w:p>
        </w:tc>
        <w:tc>
          <w:tcPr>
            <w:tcW w:w="9940" w:type="dxa"/>
            <w:vAlign w:val="bottom"/>
            <w:gridSpan w:val="19"/>
          </w:tcPr>
          <w:p>
            <w:pPr>
              <w:ind w:left="280"/>
              <w:spacing w:after="0" w:line="149" w:lineRule="exact"/>
              <w:rPr>
                <w:sz w:val="20"/>
                <w:szCs w:val="20"/>
                <w:color w:val="auto"/>
              </w:rPr>
            </w:pPr>
            <w:r>
              <w:rPr>
                <w:rFonts w:ascii="Arial" w:cs="Arial" w:eastAsia="Arial" w:hAnsi="Arial"/>
                <w:sz w:val="13"/>
                <w:szCs w:val="13"/>
                <w:color w:val="auto"/>
              </w:rPr>
              <w:t>owners should each sign personally. All holders must sign. If a corporation or partnership, please sign in full corporate or partnership name by authorized</w:t>
            </w: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0" w:type="dxa"/>
            <w:vAlign w:val="bottom"/>
            <w:tcBorders>
              <w:right w:val="single" w:sz="8" w:color="auto"/>
            </w:tcBorders>
          </w:tcPr>
          <w:p>
            <w:pPr>
              <w:spacing w:after="0"/>
              <w:rPr>
                <w:sz w:val="14"/>
                <w:szCs w:val="14"/>
                <w:color w:val="auto"/>
              </w:rPr>
            </w:pPr>
          </w:p>
        </w:tc>
        <w:tc>
          <w:tcPr>
            <w:tcW w:w="3120" w:type="dxa"/>
            <w:vAlign w:val="bottom"/>
            <w:gridSpan w:val="3"/>
          </w:tcPr>
          <w:p>
            <w:pPr>
              <w:ind w:left="280"/>
              <w:spacing w:after="0"/>
              <w:rPr>
                <w:sz w:val="20"/>
                <w:szCs w:val="20"/>
                <w:color w:val="auto"/>
              </w:rPr>
            </w:pPr>
            <w:r>
              <w:rPr>
                <w:rFonts w:ascii="Arial" w:cs="Arial" w:eastAsia="Arial" w:hAnsi="Arial"/>
                <w:sz w:val="13"/>
                <w:szCs w:val="13"/>
                <w:color w:val="auto"/>
              </w:rPr>
              <w:t>officer.</w:t>
            </w: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820" w:type="dxa"/>
            <w:vAlign w:val="bottom"/>
            <w:tcBorders>
              <w:bottom w:val="single" w:sz="8" w:color="auto"/>
            </w:tcBorders>
            <w:gridSpan w:val="2"/>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60" w:type="dxa"/>
            <w:vAlign w:val="bottom"/>
            <w:tcBorders>
              <w:bottom w:val="single" w:sz="8" w:color="auto"/>
            </w:tcBorders>
            <w:gridSpan w:val="4"/>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40" w:type="dxa"/>
            <w:vAlign w:val="bottom"/>
            <w:tcBorders>
              <w:right w:val="single" w:sz="8" w:color="auto"/>
            </w:tcBorders>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4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tcPr>
          <w:p>
            <w:pPr>
              <w:spacing w:after="0"/>
              <w:rPr>
                <w:sz w:val="21"/>
                <w:szCs w:val="21"/>
                <w:color w:val="auto"/>
              </w:rPr>
            </w:pPr>
          </w:p>
        </w:tc>
        <w:tc>
          <w:tcPr>
            <w:tcW w:w="3120" w:type="dxa"/>
            <w:vAlign w:val="bottom"/>
            <w:gridSpan w:val="3"/>
          </w:tcPr>
          <w:p>
            <w:pPr>
              <w:ind w:left="280"/>
              <w:spacing w:after="0"/>
              <w:rPr>
                <w:sz w:val="20"/>
                <w:szCs w:val="20"/>
                <w:color w:val="auto"/>
              </w:rPr>
            </w:pPr>
            <w:r>
              <w:rPr>
                <w:rFonts w:ascii="Arial" w:cs="Arial" w:eastAsia="Arial" w:hAnsi="Arial"/>
                <w:sz w:val="13"/>
                <w:szCs w:val="13"/>
                <w:color w:val="auto"/>
              </w:rPr>
              <w:t>Signature [PLEASE SIGN WITHIN BOX]</w:t>
            </w:r>
          </w:p>
        </w:tc>
        <w:tc>
          <w:tcPr>
            <w:tcW w:w="820" w:type="dxa"/>
            <w:vAlign w:val="bottom"/>
            <w:gridSpan w:val="2"/>
          </w:tcPr>
          <w:p>
            <w:pPr>
              <w:ind w:left="400"/>
              <w:spacing w:after="0"/>
              <w:rPr>
                <w:sz w:val="20"/>
                <w:szCs w:val="20"/>
                <w:color w:val="auto"/>
              </w:rPr>
            </w:pPr>
            <w:r>
              <w:rPr>
                <w:rFonts w:ascii="Arial" w:cs="Arial" w:eastAsia="Arial" w:hAnsi="Arial"/>
                <w:sz w:val="13"/>
                <w:szCs w:val="13"/>
                <w:color w:val="auto"/>
              </w:rPr>
              <w:t>Date</w:t>
            </w: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160" w:type="dxa"/>
            <w:vAlign w:val="bottom"/>
            <w:gridSpan w:val="5"/>
          </w:tcPr>
          <w:p>
            <w:pPr>
              <w:ind w:left="180"/>
              <w:spacing w:after="0"/>
              <w:rPr>
                <w:sz w:val="20"/>
                <w:szCs w:val="20"/>
                <w:color w:val="auto"/>
              </w:rPr>
            </w:pPr>
            <w:r>
              <w:rPr>
                <w:rFonts w:ascii="Arial" w:cs="Arial" w:eastAsia="Arial" w:hAnsi="Arial"/>
                <w:sz w:val="13"/>
                <w:szCs w:val="13"/>
                <w:color w:val="auto"/>
              </w:rPr>
              <w:t>Signature (Joint Owners)</w:t>
            </w:r>
          </w:p>
        </w:tc>
        <w:tc>
          <w:tcPr>
            <w:tcW w:w="1800" w:type="dxa"/>
            <w:vAlign w:val="bottom"/>
            <w:gridSpan w:val="3"/>
          </w:tcPr>
          <w:p>
            <w:pPr>
              <w:jc w:val="right"/>
              <w:ind w:right="213"/>
              <w:spacing w:after="0"/>
              <w:rPr>
                <w:sz w:val="20"/>
                <w:szCs w:val="20"/>
                <w:color w:val="auto"/>
              </w:rPr>
            </w:pPr>
            <w:r>
              <w:rPr>
                <w:rFonts w:ascii="Arial" w:cs="Arial" w:eastAsia="Arial" w:hAnsi="Arial"/>
                <w:sz w:val="13"/>
                <w:szCs w:val="13"/>
                <w:color w:val="auto"/>
              </w:rPr>
              <w:t>Date</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0" w:type="dxa"/>
            <w:vAlign w:val="bottom"/>
            <w:tcBorders>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40" w:type="dxa"/>
            <w:vAlign w:val="bottom"/>
            <w:tcBorders>
              <w:right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5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30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1"/>
        </w:trPr>
        <w:tc>
          <w:tcPr>
            <w:tcW w:w="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252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-13970</wp:posOffset>
            </wp:positionV>
            <wp:extent cx="1270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type w:val="continuous"/>
        </w:sectPr>
      </w:pPr>
    </w:p>
    <w:bookmarkStart w:id="119" w:name="page120"/>
    <w:bookmarkEnd w:id="119"/>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33" w:lineRule="exact"/>
        <w:rPr>
          <w:sz w:val="20"/>
          <w:szCs w:val="20"/>
          <w:color w:val="auto"/>
        </w:rPr>
      </w:pPr>
    </w:p>
    <w:p>
      <w:pPr>
        <w:jc w:val="both"/>
        <w:ind w:left="540" w:right="280"/>
        <w:spacing w:after="0" w:line="266" w:lineRule="auto"/>
        <w:rPr>
          <w:sz w:val="20"/>
          <w:szCs w:val="20"/>
          <w:color w:val="auto"/>
        </w:rPr>
      </w:pPr>
      <w:r>
        <w:rPr>
          <w:rFonts w:ascii="Arial" w:cs="Arial" w:eastAsia="Arial" w:hAnsi="Arial"/>
          <w:sz w:val="16"/>
          <w:szCs w:val="16"/>
          <w:color w:val="auto"/>
        </w:rPr>
        <w:t>With respect to any shares represented by this Proxy Card/Voting Instruction Form which are votable and held in the Allstate 401(k) Savings Plan (the "Plan"), you may direct The Northern Trust Company, as Trustee of the Plan, to vote all such shares on the matters shown, and in the manner directed on the reverse hereof, unless to do so would be inconsistent with the Trustee's duties. If you wish to vote the Allstate shares allocated to the Plan account, you cannot do so in person. You must use this Proxy Card/Voting Instruction Form or submit your voting instructions via the telephone or Internet. If you do not return your signed Proxy Card/Voting Instruction Form or provide telephonic or Internet voting instructions on a timely basis for the shares allocated to the Plan account, those shares will be considered "unvoted." If you return a signed Proxy Card/Voting Instruction Form but do not indicate how the shares should be voted on a matter, the shares represented by your signed Proxy Card/Voting Instruction Form will be voted by the Trustee as the Board of Directors recommends. The Trustee will vote all unvoted and all unallocated shares held by the Plan as follows: If the Trustee receives instructions on a timely basis for at least 50% of the votable allocated shares in the Plan, then it will vote all unvoted shares and unallocated shares in the same proportion and in the same manner as the shares for which timely instructions have been received, unless to do so would be inconsistent with the Trustee's duties. If the Trustee receives instructions for less than 50% of the votable shares, the Trustee shall vote all unvoted and unallocated shares in its sole discretion. However, the Trustee will not use its discretionary authority to vote on adjournment of the meeting in order to solicit further proxies.</w:t>
      </w:r>
    </w:p>
    <w:p>
      <w:pPr>
        <w:spacing w:after="0" w:line="200" w:lineRule="exact"/>
        <w:rPr>
          <w:sz w:val="20"/>
          <w:szCs w:val="20"/>
          <w:color w:val="auto"/>
        </w:rPr>
      </w:pPr>
    </w:p>
    <w:p>
      <w:pPr>
        <w:spacing w:after="0" w:line="203" w:lineRule="exact"/>
        <w:rPr>
          <w:sz w:val="20"/>
          <w:szCs w:val="20"/>
          <w:color w:val="auto"/>
        </w:rPr>
      </w:pPr>
    </w:p>
    <w:p>
      <w:pPr>
        <w:jc w:val="center"/>
        <w:ind w:left="520" w:right="1600"/>
        <w:spacing w:after="0" w:line="257" w:lineRule="auto"/>
        <w:rPr>
          <w:sz w:val="20"/>
          <w:szCs w:val="20"/>
          <w:color w:val="auto"/>
        </w:rPr>
      </w:pPr>
      <w:r>
        <w:rPr>
          <w:rFonts w:ascii="Arial" w:cs="Arial" w:eastAsia="Arial" w:hAnsi="Arial"/>
          <w:sz w:val="18"/>
          <w:szCs w:val="18"/>
          <w:b w:val="1"/>
          <w:bCs w:val="1"/>
          <w:color w:val="auto"/>
        </w:rPr>
        <w:t xml:space="preserve">Important Notice Regarding the Availability of Proxy Materials for the Stockholder Meeting: </w:t>
      </w:r>
      <w:r>
        <w:rPr>
          <w:rFonts w:ascii="Arial" w:cs="Arial" w:eastAsia="Arial" w:hAnsi="Arial"/>
          <w:sz w:val="18"/>
          <w:szCs w:val="18"/>
          <w:color w:val="auto"/>
        </w:rPr>
        <w:t>The Allstate Corporation Notice of 2019 Annual Meeting, Proxy Statement and 2018 Annual Report are available at www.proxyvote.com.</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right"/>
        <w:spacing w:after="0"/>
        <w:rPr>
          <w:sz w:val="20"/>
          <w:szCs w:val="20"/>
          <w:color w:val="auto"/>
        </w:rPr>
      </w:pPr>
      <w:r>
        <w:rPr>
          <w:rFonts w:ascii="Arial" w:cs="Arial" w:eastAsia="Arial" w:hAnsi="Arial"/>
          <w:sz w:val="13"/>
          <w:szCs w:val="13"/>
          <w:color w:val="auto"/>
        </w:rPr>
        <w:t>E58395-P19750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40640</wp:posOffset>
            </wp:positionV>
            <wp:extent cx="7233920" cy="406463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33920" cy="406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279"/>
        <w:spacing w:after="0"/>
        <w:rPr>
          <w:sz w:val="20"/>
          <w:szCs w:val="20"/>
          <w:color w:val="auto"/>
        </w:rPr>
      </w:pPr>
      <w:r>
        <w:rPr>
          <w:rFonts w:ascii="Arial" w:cs="Arial" w:eastAsia="Arial" w:hAnsi="Arial"/>
          <w:sz w:val="22"/>
          <w:szCs w:val="22"/>
          <w:b w:val="1"/>
          <w:bCs w:val="1"/>
          <w:color w:val="auto"/>
        </w:rPr>
        <w:t>THE ALLSTATE CORPORATION</w:t>
      </w:r>
    </w:p>
    <w:p>
      <w:pPr>
        <w:spacing w:after="0" w:line="6" w:lineRule="exact"/>
        <w:rPr>
          <w:sz w:val="20"/>
          <w:szCs w:val="20"/>
          <w:color w:val="auto"/>
        </w:rPr>
      </w:pPr>
    </w:p>
    <w:p>
      <w:pPr>
        <w:jc w:val="center"/>
        <w:ind w:right="-279"/>
        <w:spacing w:after="0"/>
        <w:rPr>
          <w:sz w:val="20"/>
          <w:szCs w:val="20"/>
          <w:color w:val="auto"/>
        </w:rPr>
      </w:pPr>
      <w:r>
        <w:rPr>
          <w:rFonts w:ascii="Arial" w:cs="Arial" w:eastAsia="Arial" w:hAnsi="Arial"/>
          <w:sz w:val="22"/>
          <w:szCs w:val="22"/>
          <w:b w:val="1"/>
          <w:bCs w:val="1"/>
          <w:color w:val="auto"/>
        </w:rPr>
        <w:t>Annual Meeting of Stockholders</w:t>
      </w:r>
    </w:p>
    <w:p>
      <w:pPr>
        <w:jc w:val="center"/>
        <w:ind w:right="-259"/>
        <w:spacing w:after="0" w:line="230" w:lineRule="auto"/>
        <w:rPr>
          <w:sz w:val="20"/>
          <w:szCs w:val="20"/>
          <w:color w:val="auto"/>
        </w:rPr>
      </w:pPr>
      <w:r>
        <w:rPr>
          <w:rFonts w:ascii="Arial" w:cs="Arial" w:eastAsia="Arial" w:hAnsi="Arial"/>
          <w:sz w:val="22"/>
          <w:szCs w:val="22"/>
          <w:b w:val="1"/>
          <w:bCs w:val="1"/>
          <w:color w:val="auto"/>
        </w:rPr>
        <w:t>May 21, 2019 11:00 a.m., CDT</w:t>
      </w:r>
    </w:p>
    <w:p>
      <w:pPr>
        <w:jc w:val="center"/>
        <w:ind w:right="-279"/>
        <w:spacing w:after="0"/>
        <w:rPr>
          <w:sz w:val="20"/>
          <w:szCs w:val="20"/>
          <w:color w:val="auto"/>
        </w:rPr>
      </w:pPr>
      <w:r>
        <w:rPr>
          <w:rFonts w:ascii="Arial" w:cs="Arial" w:eastAsia="Arial" w:hAnsi="Arial"/>
          <w:sz w:val="22"/>
          <w:szCs w:val="22"/>
          <w:b w:val="1"/>
          <w:bCs w:val="1"/>
          <w:color w:val="auto"/>
        </w:rPr>
        <w:t>This Proxy Card/Voting Instruction Form is solicited on behalf of the Board of Directors</w:t>
      </w:r>
    </w:p>
    <w:p>
      <w:pPr>
        <w:spacing w:after="0" w:line="215" w:lineRule="exact"/>
        <w:rPr>
          <w:sz w:val="20"/>
          <w:szCs w:val="20"/>
          <w:color w:val="auto"/>
        </w:rPr>
      </w:pPr>
    </w:p>
    <w:p>
      <w:pPr>
        <w:jc w:val="both"/>
        <w:ind w:left="340" w:right="60"/>
        <w:spacing w:after="0" w:line="235" w:lineRule="auto"/>
        <w:rPr>
          <w:sz w:val="20"/>
          <w:szCs w:val="20"/>
          <w:color w:val="auto"/>
        </w:rPr>
      </w:pPr>
      <w:r>
        <w:rPr>
          <w:rFonts w:ascii="Arial" w:cs="Arial" w:eastAsia="Arial" w:hAnsi="Arial"/>
          <w:sz w:val="18"/>
          <w:szCs w:val="18"/>
          <w:color w:val="auto"/>
        </w:rPr>
        <w:t xml:space="preserve">You hereby authorize Susan L. Lees, Mario Rizzo, and Thomas J. Wilson to vote all shares of common stock of The Allstate Corporation that you would be entitled to vote if personally present at the Annual Meeting of Stockholders to be held on May 21, 2019, and at any adjournments thereof. The authority conferred by this Proxy Card/Voting Instruction Form shall be exercised by a majority of these persons present and acting at the meeting or, if only one of them is present, by that person. Each such person has the authority to designate a substitute to act for him or her. These persons are authorized to vote such shares on the matters shown, and in the manner directed, on the reverse hereof and in their discretion on any other matters that may properly come before the meeting. </w:t>
      </w:r>
      <w:r>
        <w:rPr>
          <w:rFonts w:ascii="Arial" w:cs="Arial" w:eastAsia="Arial" w:hAnsi="Arial"/>
          <w:sz w:val="18"/>
          <w:szCs w:val="18"/>
          <w:b w:val="1"/>
          <w:bCs w:val="1"/>
          <w:color w:val="auto"/>
        </w:rPr>
        <w:t>If you return a signed proxy</w:t>
      </w:r>
      <w:r>
        <w:rPr>
          <w:rFonts w:ascii="Arial" w:cs="Arial" w:eastAsia="Arial" w:hAnsi="Arial"/>
          <w:sz w:val="18"/>
          <w:szCs w:val="18"/>
          <w:color w:val="auto"/>
        </w:rPr>
        <w:t xml:space="preserve"> </w:t>
      </w:r>
      <w:r>
        <w:rPr>
          <w:rFonts w:ascii="Arial" w:cs="Arial" w:eastAsia="Arial" w:hAnsi="Arial"/>
          <w:sz w:val="18"/>
          <w:szCs w:val="18"/>
          <w:b w:val="1"/>
          <w:bCs w:val="1"/>
          <w:color w:val="auto"/>
        </w:rPr>
        <w:t>but do not indicate how the shares should be voted on a matter, the shares represented by your signed proxy will be voted as the Board of Directors recommends.</w:t>
      </w:r>
    </w:p>
    <w:p>
      <w:pPr>
        <w:spacing w:after="0" w:line="213" w:lineRule="exact"/>
        <w:rPr>
          <w:sz w:val="20"/>
          <w:szCs w:val="20"/>
          <w:color w:val="auto"/>
        </w:rPr>
      </w:pPr>
    </w:p>
    <w:p>
      <w:pPr>
        <w:jc w:val="both"/>
        <w:ind w:left="340" w:right="60"/>
        <w:spacing w:after="0" w:line="237" w:lineRule="auto"/>
        <w:rPr>
          <w:sz w:val="20"/>
          <w:szCs w:val="20"/>
          <w:color w:val="auto"/>
        </w:rPr>
      </w:pPr>
      <w:r>
        <w:rPr>
          <w:rFonts w:ascii="Arial" w:cs="Arial" w:eastAsia="Arial" w:hAnsi="Arial"/>
          <w:sz w:val="18"/>
          <w:szCs w:val="18"/>
          <w:color w:val="auto"/>
        </w:rPr>
        <w:t>You acknowledge receipt of The Allstate Corporation's Notice of 2019 Annual Meeting and Proxy Statement, dated April 8, 2019, and its 2018 Annual Report. You hereby revoke any instructions previously given to vote the shares represented by this Proxy Card/Voting Instruction Form.</w:t>
      </w:r>
    </w:p>
    <w:p>
      <w:pPr>
        <w:spacing w:after="0" w:line="2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Allstate and the Trustee have instructed the tabulation agent to keep your voting instructions strictly confidential.</w:t>
      </w:r>
    </w:p>
    <w:p>
      <w:pPr>
        <w:spacing w:after="0" w:line="18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Sign on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846455</wp:posOffset>
            </wp:positionV>
            <wp:extent cx="7268210" cy="209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sectPr>
      <w:pgSz w:w="11900" w:h="16838" w:orient="portrait"/>
      <w:cols w:equalWidth="0" w:num="1">
        <w:col w:w="11160"/>
      </w:cols>
      <w:pgMar w:left="240" w:top="121"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BEE5A5B"/>
    <w:multiLevelType w:val="hybridMultilevel"/>
    <w:lvl w:ilvl="0">
      <w:lvlJc w:val="left"/>
      <w:lvlText w:val="☐"/>
      <w:numFmt w:val="bullet"/>
      <w:start w:val="1"/>
    </w:lvl>
  </w:abstractNum>
  <w:abstractNum w:abstractNumId="1">
    <w:nsid w:val="5551B9F3"/>
    <w:multiLevelType w:val="hybridMultilevel"/>
    <w:lvl w:ilvl="0">
      <w:lvlJc w:val="left"/>
      <w:lvlText w:val="☑"/>
      <w:numFmt w:val="bullet"/>
      <w:start w:val="1"/>
    </w:lvl>
  </w:abstractNum>
  <w:abstractNum w:abstractNumId="2">
    <w:nsid w:val="24F6AB8E"/>
    <w:multiLevelType w:val="hybridMultilevel"/>
    <w:lvl w:ilvl="0">
      <w:lvlJc w:val="left"/>
      <w:lvlText w:val="☐"/>
      <w:numFmt w:val="bullet"/>
      <w:start w:val="1"/>
    </w:lvl>
    <w:lvl w:ilvl="1">
      <w:lvlJc w:val="left"/>
      <w:lvlText w:val="%2)"/>
      <w:numFmt w:val="decimal"/>
      <w:start w:val="1"/>
    </w:lvl>
  </w:abstractNum>
  <w:abstractNum w:abstractNumId="3">
    <w:nsid w:val="634C574C"/>
    <w:multiLevelType w:val="hybridMultilevel"/>
    <w:lvl w:ilvl="0">
      <w:lvlJc w:val="left"/>
      <w:lvlText w:val="►"/>
      <w:numFmt w:val="bullet"/>
      <w:start w:val="1"/>
    </w:lvl>
  </w:abstractNum>
  <w:abstractNum w:abstractNumId="4">
    <w:nsid w:val="24E99DD7"/>
    <w:multiLevelType w:val="hybridMultilevel"/>
    <w:lvl w:ilvl="0">
      <w:lvlJc w:val="left"/>
      <w:lvlText w:val="►"/>
      <w:numFmt w:val="bullet"/>
      <w:start w:val="1"/>
    </w:lvl>
  </w:abstractNum>
  <w:abstractNum w:abstractNumId="5">
    <w:nsid w:val="2A31B62D"/>
    <w:multiLevelType w:val="hybridMultilevel"/>
    <w:lvl w:ilvl="0">
      <w:lvlJc w:val="left"/>
      <w:lvlText w:val="►"/>
      <w:numFmt w:val="bullet"/>
      <w:start w:val="1"/>
    </w:lvl>
  </w:abstractNum>
  <w:abstractNum w:abstractNumId="6">
    <w:nsid w:val="1849C29B"/>
    <w:multiLevelType w:val="hybridMultilevel"/>
    <w:lvl w:ilvl="0">
      <w:lvlJc w:val="left"/>
      <w:lvlText w:val="2"/>
      <w:numFmt w:val="bullet"/>
      <w:start w:val="1"/>
    </w:lvl>
  </w:abstractNum>
  <w:abstractNum w:abstractNumId="7">
    <w:nsid w:val="7DFF9D09"/>
    <w:multiLevelType w:val="hybridMultilevel"/>
    <w:lvl w:ilvl="0">
      <w:lvlJc w:val="left"/>
      <w:lvlText w:val="►"/>
      <w:numFmt w:val="bullet"/>
      <w:start w:val="1"/>
    </w:lvl>
  </w:abstractNum>
  <w:abstractNum w:abstractNumId="8">
    <w:nsid w:val="754342"/>
    <w:multiLevelType w:val="hybridMultilevel"/>
    <w:lvl w:ilvl="0">
      <w:lvlJc w:val="left"/>
      <w:lvlText w:val="►"/>
      <w:numFmt w:val="bullet"/>
      <w:start w:val="1"/>
    </w:lvl>
  </w:abstractNum>
  <w:abstractNum w:abstractNumId="9">
    <w:nsid w:val="69E7F3E5"/>
    <w:multiLevelType w:val="hybridMultilevel"/>
    <w:lvl w:ilvl="0">
      <w:lvlJc w:val="left"/>
      <w:lvlText w:val="►"/>
      <w:numFmt w:val="bullet"/>
      <w:start w:val="1"/>
    </w:lvl>
  </w:abstractNum>
  <w:abstractNum w:abstractNumId="10">
    <w:nsid w:val="2A6DE806"/>
    <w:multiLevelType w:val="hybridMultilevel"/>
    <w:lvl w:ilvl="0">
      <w:lvlJc w:val="left"/>
      <w:lvlText w:val="4"/>
      <w:numFmt w:val="bullet"/>
      <w:start w:val="1"/>
    </w:lvl>
  </w:abstractNum>
  <w:abstractNum w:abstractNumId="11">
    <w:nsid w:val="1816F8C4"/>
    <w:multiLevelType w:val="hybridMultilevel"/>
    <w:lvl w:ilvl="0">
      <w:lvlJc w:val="left"/>
      <w:lvlText w:val="►"/>
      <w:numFmt w:val="bullet"/>
      <w:start w:val="1"/>
    </w:lvl>
  </w:abstractNum>
  <w:abstractNum w:abstractNumId="12">
    <w:nsid w:val="37DF2233"/>
    <w:multiLevelType w:val="hybridMultilevel"/>
    <w:lvl w:ilvl="0">
      <w:lvlJc w:val="left"/>
      <w:lvlText w:val="►"/>
      <w:numFmt w:val="bullet"/>
      <w:start w:val="1"/>
    </w:lvl>
  </w:abstractNum>
  <w:abstractNum w:abstractNumId="13">
    <w:nsid w:val="7AB49DAF"/>
    <w:multiLevelType w:val="hybridMultilevel"/>
    <w:lvl w:ilvl="0">
      <w:lvlJc w:val="left"/>
      <w:lvlText w:val="►"/>
      <w:numFmt w:val="bullet"/>
      <w:start w:val="1"/>
    </w:lvl>
    <w:lvl w:ilvl="1">
      <w:lvlJc w:val="left"/>
      <w:lvlText w:val="►"/>
      <w:numFmt w:val="bullet"/>
      <w:start w:val="1"/>
    </w:lvl>
  </w:abstractNum>
  <w:abstractNum w:abstractNumId="14">
    <w:nsid w:val="759F82CD"/>
    <w:multiLevelType w:val="hybridMultilevel"/>
    <w:lvl w:ilvl="0">
      <w:lvlJc w:val="left"/>
      <w:lvlText w:val="*"/>
      <w:numFmt w:val="bullet"/>
      <w:start w:val="1"/>
    </w:lvl>
  </w:abstractNum>
  <w:abstractNum w:abstractNumId="15">
    <w:nsid w:val="61E74EA3"/>
    <w:multiLevelType w:val="hybridMultilevel"/>
    <w:lvl w:ilvl="0">
      <w:lvlJc w:val="left"/>
      <w:lvlText w:val="6"/>
      <w:numFmt w:val="bullet"/>
      <w:start w:val="1"/>
    </w:lvl>
  </w:abstractNum>
  <w:abstractNum w:abstractNumId="16">
    <w:nsid w:val="597B4D84"/>
    <w:multiLevelType w:val="hybridMultilevel"/>
    <w:lvl w:ilvl="0">
      <w:lvlJc w:val="left"/>
      <w:lvlText w:val="►"/>
      <w:numFmt w:val="bullet"/>
      <w:start w:val="1"/>
    </w:lvl>
  </w:abstractNum>
  <w:abstractNum w:abstractNumId="17">
    <w:nsid w:val="F819E7F"/>
    <w:multiLevelType w:val="hybridMultilevel"/>
    <w:lvl w:ilvl="0">
      <w:lvlJc w:val="left"/>
      <w:lvlText w:val="(%1)"/>
      <w:numFmt w:val="decimal"/>
      <w:start w:val="1"/>
    </w:lvl>
  </w:abstractNum>
  <w:abstractNum w:abstractNumId="18">
    <w:nsid w:val="57C7D42D"/>
    <w:multiLevelType w:val="hybridMultilevel"/>
    <w:lvl w:ilvl="0">
      <w:lvlJc w:val="left"/>
      <w:lvlText w:val="►"/>
      <w:numFmt w:val="bullet"/>
      <w:start w:val="1"/>
    </w:lvl>
  </w:abstractNum>
  <w:abstractNum w:abstractNumId="19">
    <w:nsid w:val="312167AD"/>
    <w:multiLevelType w:val="hybridMultilevel"/>
    <w:lvl w:ilvl="0">
      <w:lvlJc w:val="left"/>
      <w:lvlText w:val="►"/>
      <w:numFmt w:val="bullet"/>
      <w:start w:val="1"/>
    </w:lvl>
  </w:abstractNum>
  <w:abstractNum w:abstractNumId="20">
    <w:nsid w:val="631B64D4"/>
    <w:multiLevelType w:val="hybridMultilevel"/>
    <w:lvl w:ilvl="0">
      <w:lvlJc w:val="left"/>
      <w:lvlText w:val="►"/>
      <w:numFmt w:val="bullet"/>
      <w:start w:val="1"/>
    </w:lvl>
  </w:abstractNum>
  <w:abstractNum w:abstractNumId="21">
    <w:nsid w:val="78B5E776"/>
    <w:multiLevelType w:val="hybridMultilevel"/>
    <w:lvl w:ilvl="0">
      <w:lvlJc w:val="left"/>
      <w:lvlText w:val="8"/>
      <w:numFmt w:val="bullet"/>
      <w:start w:val="1"/>
    </w:lvl>
  </w:abstractNum>
  <w:abstractNum w:abstractNumId="22">
    <w:nsid w:val="75486E47"/>
    <w:multiLevelType w:val="hybridMultilevel"/>
    <w:lvl w:ilvl="0">
      <w:lvlJc w:val="left"/>
      <w:lvlText w:val="2"/>
      <w:numFmt w:val="bullet"/>
      <w:start w:val="1"/>
    </w:lvl>
  </w:abstractNum>
  <w:abstractNum w:abstractNumId="23">
    <w:nsid w:val="6E534CDE"/>
    <w:multiLevelType w:val="hybridMultilevel"/>
    <w:lvl w:ilvl="0">
      <w:lvlJc w:val="left"/>
      <w:lvlText w:val="%1"/>
      <w:numFmt w:val="decimal"/>
      <w:start w:val="10"/>
    </w:lvl>
  </w:abstractNum>
  <w:abstractNum w:abstractNumId="24">
    <w:nsid w:val="1A0DDE32"/>
    <w:multiLevelType w:val="hybridMultilevel"/>
    <w:lvl w:ilvl="0">
      <w:lvlJc w:val="left"/>
      <w:lvlText w:val="%1"/>
      <w:numFmt w:val="decimal"/>
      <w:start w:val="10"/>
    </w:lvl>
  </w:abstractNum>
  <w:abstractNum w:abstractNumId="25">
    <w:nsid w:val="65968C1C"/>
    <w:multiLevelType w:val="hybridMultilevel"/>
    <w:lvl w:ilvl="0">
      <w:lvlJc w:val="left"/>
      <w:lvlText w:val="%1"/>
      <w:numFmt w:val="decimal"/>
      <w:start w:val="16"/>
    </w:lvl>
  </w:abstractNum>
  <w:abstractNum w:abstractNumId="26">
    <w:nsid w:val="46263DEC"/>
    <w:multiLevelType w:val="hybridMultilevel"/>
    <w:lvl w:ilvl="0">
      <w:lvlJc w:val="left"/>
      <w:lvlText w:val="%1"/>
      <w:numFmt w:val="decimal"/>
      <w:start w:val="19"/>
    </w:lvl>
  </w:abstractNum>
  <w:abstractNum w:abstractNumId="27">
    <w:nsid w:val="260D8C4A"/>
    <w:multiLevelType w:val="hybridMultilevel"/>
    <w:lvl w:ilvl="0">
      <w:lvlJc w:val="left"/>
      <w:lvlText w:val="%1"/>
      <w:numFmt w:val="decimal"/>
      <w:start w:val="25"/>
    </w:lvl>
  </w:abstractNum>
  <w:abstractNum w:abstractNumId="28">
    <w:nsid w:val="73D4D3C4"/>
    <w:multiLevelType w:val="hybridMultilevel"/>
    <w:lvl w:ilvl="0">
      <w:lvlJc w:val="left"/>
      <w:lvlText w:val="%1"/>
      <w:numFmt w:val="decimal"/>
      <w:start w:val="30"/>
    </w:lvl>
  </w:abstractNum>
  <w:abstractNum w:abstractNumId="29">
    <w:nsid w:val="746F2E30"/>
    <w:multiLevelType w:val="hybridMultilevel"/>
    <w:lvl w:ilvl="0">
      <w:lvlJc w:val="left"/>
      <w:lvlText w:val="%1"/>
      <w:numFmt w:val="decimal"/>
      <w:start w:val="30"/>
    </w:lvl>
  </w:abstractNum>
  <w:abstractNum w:abstractNumId="30">
    <w:nsid w:val="6FDE8AF6"/>
    <w:multiLevelType w:val="hybridMultilevel"/>
    <w:lvl w:ilvl="0">
      <w:lvlJc w:val="left"/>
      <w:lvlText w:val="%1"/>
      <w:numFmt w:val="decimal"/>
      <w:start w:val="34"/>
    </w:lvl>
  </w:abstractNum>
  <w:abstractNum w:abstractNumId="31">
    <w:nsid w:val="3FC32E20"/>
    <w:multiLevelType w:val="hybridMultilevel"/>
    <w:lvl w:ilvl="0">
      <w:lvlJc w:val="left"/>
      <w:lvlText w:val="%1"/>
      <w:numFmt w:val="decimal"/>
      <w:start w:val="34"/>
    </w:lvl>
  </w:abstractNum>
  <w:abstractNum w:abstractNumId="32">
    <w:nsid w:val="49C0E823"/>
    <w:multiLevelType w:val="hybridMultilevel"/>
    <w:lvl w:ilvl="0">
      <w:lvlJc w:val="left"/>
      <w:lvlText w:val="%1"/>
      <w:numFmt w:val="decimal"/>
      <w:start w:val="34"/>
    </w:lvl>
  </w:abstractNum>
  <w:abstractNum w:abstractNumId="33">
    <w:nsid w:val="14D53685"/>
    <w:multiLevelType w:val="hybridMultilevel"/>
    <w:lvl w:ilvl="0">
      <w:lvlJc w:val="left"/>
      <w:lvlText w:val="%1"/>
      <w:numFmt w:val="decimal"/>
      <w:start w:val="52"/>
    </w:lvl>
  </w:abstractNum>
  <w:abstractNum w:abstractNumId="34">
    <w:nsid w:val="230F856C"/>
    <w:multiLevelType w:val="hybridMultilevel"/>
    <w:lvl w:ilvl="0">
      <w:lvlJc w:val="left"/>
      <w:lvlText w:val="%1"/>
      <w:numFmt w:val="decimal"/>
      <w:start w:val="56"/>
    </w:lvl>
  </w:abstractNum>
  <w:abstractNum w:abstractNumId="35">
    <w:nsid w:val="6EAA85FB"/>
    <w:multiLevelType w:val="hybridMultilevel"/>
    <w:lvl w:ilvl="0">
      <w:lvlJc w:val="left"/>
      <w:lvlText w:val="%1"/>
      <w:numFmt w:val="decimal"/>
      <w:start w:val="58"/>
    </w:lvl>
  </w:abstractNum>
  <w:abstractNum w:abstractNumId="36">
    <w:nsid w:val="3F06ECB2"/>
    <w:multiLevelType w:val="hybridMultilevel"/>
    <w:lvl w:ilvl="0">
      <w:lvlJc w:val="left"/>
      <w:lvlText w:val="%1"/>
      <w:numFmt w:val="decimal"/>
      <w:start w:val="62"/>
    </w:lvl>
  </w:abstractNum>
  <w:abstractNum w:abstractNumId="37">
    <w:nsid w:val="3B594807"/>
    <w:multiLevelType w:val="hybridMultilevel"/>
    <w:lvl w:ilvl="0">
      <w:lvlJc w:val="left"/>
      <w:lvlText w:val="%1"/>
      <w:numFmt w:val="decimal"/>
      <w:start w:val="66"/>
    </w:lvl>
  </w:abstractNum>
  <w:abstractNum w:abstractNumId="38">
    <w:nsid w:val="6CAA2304"/>
    <w:multiLevelType w:val="hybridMultilevel"/>
    <w:lvl w:ilvl="0">
      <w:lvlJc w:val="left"/>
      <w:lvlText w:val="%1"/>
      <w:numFmt w:val="decimal"/>
      <w:start w:val="70"/>
    </w:lvl>
  </w:abstractNum>
  <w:abstractNum w:abstractNumId="39">
    <w:nsid w:val="3F7C2FF4"/>
    <w:multiLevelType w:val="hybridMultilevel"/>
    <w:lvl w:ilvl="0">
      <w:lvlJc w:val="left"/>
      <w:lvlText w:val="%1"/>
      <w:numFmt w:val="decimal"/>
      <w:start w:val="71"/>
    </w:lvl>
  </w:abstractNum>
  <w:abstractNum w:abstractNumId="40">
    <w:nsid w:val="25413BEC"/>
    <w:multiLevelType w:val="hybridMultilevel"/>
    <w:lvl w:ilvl="0">
      <w:lvlJc w:val="left"/>
      <w:lvlText w:val="%1"/>
      <w:numFmt w:val="decimal"/>
      <w:start w:val="71"/>
    </w:lvl>
  </w:abstractNum>
  <w:abstractNum w:abstractNumId="41">
    <w:nsid w:val="17180B0B"/>
    <w:multiLevelType w:val="hybridMultilevel"/>
    <w:lvl w:ilvl="0">
      <w:lvlJc w:val="left"/>
      <w:lvlText w:val="%1"/>
      <w:numFmt w:val="decimal"/>
      <w:start w:val="73"/>
    </w:lvl>
  </w:abstractNum>
  <w:abstractNum w:abstractNumId="42">
    <w:nsid w:val="579328B9"/>
    <w:multiLevelType w:val="hybridMultilevel"/>
    <w:lvl w:ilvl="0">
      <w:lvlJc w:val="left"/>
      <w:lvlText w:val="%1"/>
      <w:numFmt w:val="decimal"/>
      <w:start w:val="81"/>
    </w:lvl>
  </w:abstractNum>
  <w:abstractNum w:abstractNumId="43">
    <w:nsid w:val="5D205E20"/>
    <w:multiLevelType w:val="hybridMultilevel"/>
    <w:lvl w:ilvl="0">
      <w:lvlJc w:val="left"/>
      <w:lvlText w:val="%1"/>
      <w:numFmt w:val="decimal"/>
      <w:start w:val="83"/>
    </w:lvl>
  </w:abstractNum>
  <w:abstractNum w:abstractNumId="44">
    <w:nsid w:val="11CCA8BA"/>
    <w:multiLevelType w:val="hybridMultilevel"/>
    <w:lvl w:ilvl="0">
      <w:lvlJc w:val="left"/>
      <w:lvlText w:val="%1"/>
      <w:numFmt w:val="decimal"/>
      <w:start w:val="83"/>
    </w:lvl>
  </w:abstractNum>
  <w:abstractNum w:abstractNumId="45">
    <w:nsid w:val="4D32AB86"/>
    <w:multiLevelType w:val="hybridMultilevel"/>
    <w:lvl w:ilvl="0">
      <w:lvlJc w:val="left"/>
      <w:lvlText w:val="%1"/>
      <w:numFmt w:val="decimal"/>
      <w:start w:val="85"/>
    </w:lvl>
  </w:abstractNum>
  <w:abstractNum w:abstractNumId="46">
    <w:nsid w:val="3F07ACC3"/>
    <w:multiLevelType w:val="hybridMultilevel"/>
    <w:lvl w:ilvl="0">
      <w:lvlJc w:val="left"/>
      <w:lvlText w:val="%1"/>
      <w:numFmt w:val="decimal"/>
      <w:start w:val="86"/>
    </w:lvl>
  </w:abstractNum>
  <w:abstractNum w:abstractNumId="47">
    <w:nsid w:val="6B47F63E"/>
    <w:multiLevelType w:val="hybridMultilevel"/>
    <w:lvl w:ilvl="0">
      <w:lvlJc w:val="left"/>
      <w:lvlText w:val="%1"/>
      <w:numFmt w:val="decimal"/>
      <w:start w:val="86"/>
    </w:lvl>
  </w:abstractNum>
  <w:abstractNum w:abstractNumId="48">
    <w:nsid w:val="5CB44A05"/>
    <w:multiLevelType w:val="hybridMultilevel"/>
    <w:lvl w:ilvl="0">
      <w:lvlJc w:val="left"/>
      <w:lvlText w:val="%1"/>
      <w:numFmt w:val="decimal"/>
      <w:start w:val="89"/>
    </w:lvl>
  </w:abstractNum>
  <w:abstractNum w:abstractNumId="49">
    <w:nsid w:val="16CF80F1"/>
    <w:multiLevelType w:val="hybridMultilevel"/>
    <w:lvl w:ilvl="0">
      <w:lvlJc w:val="left"/>
      <w:lvlText w:val="%1"/>
      <w:numFmt w:val="decimal"/>
      <w:start w:val="90"/>
    </w:lvl>
  </w:abstractNum>
  <w:abstractNum w:abstractNumId="50">
    <w:nsid w:val="1C695DEC"/>
    <w:multiLevelType w:val="hybridMultilevel"/>
    <w:lvl w:ilvl="0">
      <w:lvlJc w:val="left"/>
      <w:lvlText w:val="%1"/>
      <w:numFmt w:val="decimal"/>
      <w:start w:val="99"/>
    </w:lvl>
  </w:abstractNum>
  <w:abstractNum w:abstractNumId="51">
    <w:nsid w:val="3FCFAED9"/>
    <w:multiLevelType w:val="hybridMultilevel"/>
    <w:lvl w:ilvl="0">
      <w:lvlJc w:val="left"/>
      <w:lvlText w:val="%1"/>
      <w:numFmt w:val="decimal"/>
      <w:start w:val="10"/>
    </w:lvl>
  </w:abstractNum>
  <w:abstractNum w:abstractNumId="52">
    <w:nsid w:val="F856867"/>
    <w:multiLevelType w:val="hybridMultilevel"/>
    <w:lvl w:ilvl="0">
      <w:lvlJc w:val="left"/>
      <w:lvlText w:val="►"/>
      <w:numFmt w:val="bullet"/>
      <w:start w:val="1"/>
    </w:lvl>
  </w:abstractNum>
  <w:abstractNum w:abstractNumId="53">
    <w:nsid w:val="11B1CC33"/>
    <w:multiLevelType w:val="hybridMultilevel"/>
    <w:lvl w:ilvl="0">
      <w:lvlJc w:val="left"/>
      <w:lvlText w:val="►"/>
      <w:numFmt w:val="bullet"/>
      <w:start w:val="1"/>
    </w:lvl>
  </w:abstractNum>
  <w:abstractNum w:abstractNumId="54">
    <w:nsid w:val="2E22FBB7"/>
    <w:multiLevelType w:val="hybridMultilevel"/>
    <w:lvl w:ilvl="0">
      <w:lvlJc w:val="left"/>
      <w:lvlText w:val="►"/>
      <w:numFmt w:val="bullet"/>
      <w:start w:val="1"/>
    </w:lvl>
  </w:abstractNum>
  <w:abstractNum w:abstractNumId="55">
    <w:nsid w:val="29934699"/>
    <w:multiLevelType w:val="hybridMultilevel"/>
    <w:lvl w:ilvl="0">
      <w:lvlJc w:val="left"/>
      <w:lvlText w:val="►"/>
      <w:numFmt w:val="bullet"/>
      <w:start w:val="1"/>
    </w:lvl>
  </w:abstractNum>
  <w:abstractNum w:abstractNumId="56">
    <w:nsid w:val="77485850"/>
    <w:multiLevelType w:val="hybridMultilevel"/>
    <w:lvl w:ilvl="0">
      <w:lvlJc w:val="left"/>
      <w:lvlText w:val="►"/>
      <w:numFmt w:val="bullet"/>
      <w:start w:val="1"/>
    </w:lvl>
  </w:abstractNum>
  <w:abstractNum w:abstractNumId="57">
    <w:nsid w:val="744939A3"/>
    <w:multiLevelType w:val="hybridMultilevel"/>
    <w:lvl w:ilvl="0">
      <w:lvlJc w:val="left"/>
      <w:lvlText w:val="►"/>
      <w:numFmt w:val="bullet"/>
      <w:start w:val="1"/>
    </w:lvl>
  </w:abstractNum>
  <w:abstractNum w:abstractNumId="58">
    <w:nsid w:val="4FA0D2E3"/>
    <w:multiLevelType w:val="hybridMultilevel"/>
    <w:lvl w:ilvl="0">
      <w:lvlJc w:val="left"/>
      <w:lvlText w:val="►"/>
      <w:numFmt w:val="bullet"/>
      <w:start w:val="1"/>
    </w:lvl>
  </w:abstractNum>
  <w:abstractNum w:abstractNumId="59">
    <w:nsid w:val="6B1D2C14"/>
    <w:multiLevelType w:val="hybridMultilevel"/>
    <w:lvl w:ilvl="0">
      <w:lvlJc w:val="left"/>
      <w:lvlText w:val="►"/>
      <w:numFmt w:val="bullet"/>
      <w:start w:val="1"/>
    </w:lvl>
  </w:abstractNum>
  <w:abstractNum w:abstractNumId="60">
    <w:nsid w:val="68B867D3"/>
    <w:multiLevelType w:val="hybridMultilevel"/>
    <w:lvl w:ilvl="0">
      <w:lvlJc w:val="left"/>
      <w:lvlText w:val="►"/>
      <w:numFmt w:val="bullet"/>
      <w:start w:val="1"/>
    </w:lvl>
  </w:abstractNum>
  <w:abstractNum w:abstractNumId="61">
    <w:nsid w:val="3F7F5DD9"/>
    <w:multiLevelType w:val="hybridMultilevel"/>
    <w:lvl w:ilvl="0">
      <w:lvlJc w:val="left"/>
      <w:lvlText w:val="►"/>
      <w:numFmt w:val="bullet"/>
      <w:start w:val="1"/>
    </w:lvl>
  </w:abstractNum>
  <w:abstractNum w:abstractNumId="62">
    <w:nsid w:val="2AE05A34"/>
    <w:multiLevelType w:val="hybridMultilevel"/>
    <w:lvl w:ilvl="0">
      <w:lvlJc w:val="left"/>
      <w:lvlText w:val="►"/>
      <w:numFmt w:val="bullet"/>
      <w:start w:val="1"/>
    </w:lvl>
  </w:abstractNum>
  <w:abstractNum w:abstractNumId="63">
    <w:nsid w:val="32794FF7"/>
    <w:multiLevelType w:val="hybridMultilevel"/>
    <w:lvl w:ilvl="0">
      <w:lvlJc w:val="left"/>
      <w:lvlText w:val="►"/>
      <w:numFmt w:val="bullet"/>
      <w:start w:val="1"/>
    </w:lvl>
  </w:abstractNum>
  <w:abstractNum w:abstractNumId="64">
    <w:nsid w:val="5454945E"/>
    <w:multiLevelType w:val="hybridMultilevel"/>
    <w:lvl w:ilvl="0">
      <w:lvlJc w:val="left"/>
      <w:lvlText w:val="►"/>
      <w:numFmt w:val="bullet"/>
      <w:start w:val="1"/>
    </w:lvl>
  </w:abstractNum>
  <w:abstractNum w:abstractNumId="65">
    <w:nsid w:val="4DEFDFA0"/>
    <w:multiLevelType w:val="hybridMultilevel"/>
    <w:lvl w:ilvl="0">
      <w:lvlJc w:val="left"/>
      <w:lvlText w:val="►"/>
      <w:numFmt w:val="bullet"/>
      <w:start w:val="1"/>
    </w:lvl>
  </w:abstractNum>
  <w:abstractNum w:abstractNumId="66">
    <w:nsid w:val="2123D5F2"/>
    <w:multiLevelType w:val="hybridMultilevel"/>
    <w:lvl w:ilvl="0">
      <w:lvlJc w:val="left"/>
      <w:lvlText w:val="►"/>
      <w:numFmt w:val="bullet"/>
      <w:start w:val="1"/>
    </w:lvl>
  </w:abstractNum>
  <w:abstractNum w:abstractNumId="67">
    <w:nsid w:val="135B8110"/>
    <w:multiLevelType w:val="hybridMultilevel"/>
    <w:lvl w:ilvl="0">
      <w:lvlJc w:val="left"/>
      <w:lvlText w:val="►"/>
      <w:numFmt w:val="bullet"/>
      <w:start w:val="1"/>
    </w:lvl>
  </w:abstractNum>
  <w:abstractNum w:abstractNumId="68">
    <w:nsid w:val="94927A8"/>
    <w:multiLevelType w:val="hybridMultilevel"/>
    <w:lvl w:ilvl="0">
      <w:lvlJc w:val="left"/>
      <w:lvlText w:val="►"/>
      <w:numFmt w:val="bullet"/>
      <w:start w:val="1"/>
    </w:lvl>
  </w:abstractNum>
  <w:abstractNum w:abstractNumId="69">
    <w:nsid w:val="DCDF8F6"/>
    <w:multiLevelType w:val="hybridMultilevel"/>
    <w:lvl w:ilvl="0">
      <w:lvlJc w:val="left"/>
      <w:lvlText w:val="►"/>
      <w:numFmt w:val="bullet"/>
      <w:start w:val="1"/>
    </w:lvl>
  </w:abstractNum>
  <w:abstractNum w:abstractNumId="70">
    <w:nsid w:val="52D7B105"/>
    <w:multiLevelType w:val="hybridMultilevel"/>
    <w:lvl w:ilvl="0">
      <w:lvlJc w:val="left"/>
      <w:lvlText w:val="%1"/>
      <w:numFmt w:val="decimal"/>
      <w:start w:val="12"/>
    </w:lvl>
  </w:abstractNum>
  <w:abstractNum w:abstractNumId="71">
    <w:nsid w:val="2E8A6394"/>
    <w:multiLevelType w:val="hybridMultilevel"/>
    <w:lvl w:ilvl="0">
      <w:lvlJc w:val="left"/>
      <w:lvlText w:val="►"/>
      <w:numFmt w:val="bullet"/>
      <w:start w:val="1"/>
    </w:lvl>
  </w:abstractNum>
  <w:abstractNum w:abstractNumId="72">
    <w:nsid w:val="24E60401"/>
    <w:multiLevelType w:val="hybridMultilevel"/>
    <w:lvl w:ilvl="0">
      <w:lvlJc w:val="left"/>
      <w:lvlText w:val="►"/>
      <w:numFmt w:val="bullet"/>
      <w:start w:val="1"/>
    </w:lvl>
  </w:abstractNum>
  <w:abstractNum w:abstractNumId="73">
    <w:nsid w:val="2A6AD9BE"/>
    <w:multiLevelType w:val="hybridMultilevel"/>
    <w:lvl w:ilvl="0">
      <w:lvlJc w:val="left"/>
      <w:lvlText w:val="►"/>
      <w:numFmt w:val="bullet"/>
      <w:start w:val="1"/>
    </w:lvl>
  </w:abstractNum>
  <w:abstractNum w:abstractNumId="74">
    <w:nsid w:val="BAAC1B4"/>
    <w:multiLevelType w:val="hybridMultilevel"/>
    <w:lvl w:ilvl="0">
      <w:lvlJc w:val="left"/>
      <w:lvlText w:val="►"/>
      <w:numFmt w:val="bullet"/>
      <w:start w:val="1"/>
    </w:lvl>
  </w:abstractNum>
  <w:abstractNum w:abstractNumId="75">
    <w:nsid w:val="36B2ACBC"/>
    <w:multiLevelType w:val="hybridMultilevel"/>
    <w:lvl w:ilvl="0">
      <w:lvlJc w:val="left"/>
      <w:lvlText w:val="►"/>
      <w:numFmt w:val="bullet"/>
      <w:start w:val="1"/>
    </w:lvl>
  </w:abstractNum>
  <w:abstractNum w:abstractNumId="76">
    <w:nsid w:val="779D8544"/>
    <w:multiLevelType w:val="hybridMultilevel"/>
    <w:lvl w:ilvl="0">
      <w:lvlJc w:val="left"/>
      <w:lvlText w:val="►"/>
      <w:numFmt w:val="bullet"/>
      <w:start w:val="1"/>
    </w:lvl>
  </w:abstractNum>
  <w:abstractNum w:abstractNumId="77">
    <w:nsid w:val="4AB26E78"/>
    <w:multiLevelType w:val="hybridMultilevel"/>
    <w:lvl w:ilvl="0">
      <w:lvlJc w:val="left"/>
      <w:lvlText w:val="►"/>
      <w:numFmt w:val="bullet"/>
      <w:start w:val="1"/>
    </w:lvl>
  </w:abstractNum>
  <w:abstractNum w:abstractNumId="78">
    <w:nsid w:val="21FAA2FA"/>
    <w:multiLevelType w:val="hybridMultilevel"/>
    <w:lvl w:ilvl="0">
      <w:lvlJc w:val="left"/>
      <w:lvlText w:val="►"/>
      <w:numFmt w:val="bullet"/>
      <w:start w:val="1"/>
    </w:lvl>
  </w:abstractNum>
  <w:abstractNum w:abstractNumId="79">
    <w:nsid w:val="5451CF49"/>
    <w:multiLevelType w:val="hybridMultilevel"/>
    <w:lvl w:ilvl="0">
      <w:lvlJc w:val="left"/>
      <w:lvlText w:val="►"/>
      <w:numFmt w:val="bullet"/>
      <w:start w:val="1"/>
    </w:lvl>
  </w:abstractNum>
  <w:abstractNum w:abstractNumId="80">
    <w:nsid w:val="6181EF69"/>
    <w:multiLevelType w:val="hybridMultilevel"/>
    <w:lvl w:ilvl="0">
      <w:lvlJc w:val="left"/>
      <w:lvlText w:val="►"/>
      <w:numFmt w:val="bullet"/>
      <w:start w:val="1"/>
    </w:lvl>
  </w:abstractNum>
  <w:abstractNum w:abstractNumId="81">
    <w:nsid w:val="3E6400E6"/>
    <w:multiLevelType w:val="hybridMultilevel"/>
    <w:lvl w:ilvl="0">
      <w:lvlJc w:val="left"/>
      <w:lvlText w:val="►"/>
      <w:numFmt w:val="bullet"/>
      <w:start w:val="1"/>
    </w:lvl>
  </w:abstractNum>
  <w:abstractNum w:abstractNumId="82">
    <w:nsid w:val="14217E23"/>
    <w:multiLevelType w:val="hybridMultilevel"/>
    <w:lvl w:ilvl="0">
      <w:lvlJc w:val="left"/>
      <w:lvlText w:val="►"/>
      <w:numFmt w:val="bullet"/>
      <w:start w:val="1"/>
    </w:lvl>
  </w:abstractNum>
  <w:abstractNum w:abstractNumId="83">
    <w:nsid w:val="710757D0"/>
    <w:multiLevelType w:val="hybridMultilevel"/>
    <w:lvl w:ilvl="0">
      <w:lvlJc w:val="left"/>
      <w:lvlText w:val="►"/>
      <w:numFmt w:val="bullet"/>
      <w:start w:val="1"/>
    </w:lvl>
  </w:abstractNum>
  <w:abstractNum w:abstractNumId="84">
    <w:nsid w:val="5015CD1A"/>
    <w:multiLevelType w:val="hybridMultilevel"/>
    <w:lvl w:ilvl="0">
      <w:lvlJc w:val="left"/>
      <w:lvlText w:val="►"/>
      <w:numFmt w:val="bullet"/>
      <w:start w:val="1"/>
    </w:lvl>
  </w:abstractNum>
  <w:abstractNum w:abstractNumId="85">
    <w:nsid w:val="424479DA"/>
    <w:multiLevelType w:val="hybridMultilevel"/>
    <w:lvl w:ilvl="0">
      <w:lvlJc w:val="left"/>
      <w:lvlText w:val="►"/>
      <w:numFmt w:val="bullet"/>
      <w:start w:val="1"/>
    </w:lvl>
  </w:abstractNum>
  <w:abstractNum w:abstractNumId="86">
    <w:nsid w:val="1A9A9E69"/>
    <w:multiLevelType w:val="hybridMultilevel"/>
    <w:lvl w:ilvl="0">
      <w:lvlJc w:val="left"/>
      <w:lvlText w:val="►"/>
      <w:numFmt w:val="bullet"/>
      <w:start w:val="1"/>
    </w:lvl>
  </w:abstractNum>
  <w:abstractNum w:abstractNumId="87">
    <w:nsid w:val="475E256A"/>
    <w:multiLevelType w:val="hybridMultilevel"/>
    <w:lvl w:ilvl="0">
      <w:lvlJc w:val="left"/>
      <w:lvlText w:val="►"/>
      <w:numFmt w:val="bullet"/>
      <w:start w:val="1"/>
    </w:lvl>
  </w:abstractNum>
  <w:abstractNum w:abstractNumId="88">
    <w:nsid w:val="368DB37E"/>
    <w:multiLevelType w:val="hybridMultilevel"/>
    <w:lvl w:ilvl="0">
      <w:lvlJc w:val="left"/>
      <w:lvlText w:val="►"/>
      <w:numFmt w:val="bullet"/>
      <w:start w:val="1"/>
    </w:lvl>
  </w:abstractNum>
  <w:abstractNum w:abstractNumId="89">
    <w:nsid w:val="6A3B714C"/>
    <w:multiLevelType w:val="hybridMultilevel"/>
    <w:lvl w:ilvl="0">
      <w:lvlJc w:val="left"/>
      <w:lvlText w:val="►"/>
      <w:numFmt w:val="bullet"/>
      <w:start w:val="1"/>
    </w:lvl>
  </w:abstractNum>
  <w:abstractNum w:abstractNumId="90">
    <w:nsid w:val="327B517E"/>
    <w:multiLevelType w:val="hybridMultilevel"/>
    <w:lvl w:ilvl="0">
      <w:lvlJc w:val="left"/>
      <w:lvlText w:val="►"/>
      <w:numFmt w:val="bullet"/>
      <w:start w:val="1"/>
    </w:lvl>
  </w:abstractNum>
  <w:abstractNum w:abstractNumId="91">
    <w:nsid w:val="1F461B51"/>
    <w:multiLevelType w:val="hybridMultilevel"/>
    <w:lvl w:ilvl="0">
      <w:lvlJc w:val="left"/>
      <w:lvlText w:val="%1"/>
      <w:numFmt w:val="decimal"/>
      <w:start w:val="14"/>
    </w:lvl>
  </w:abstractNum>
  <w:abstractNum w:abstractNumId="92">
    <w:nsid w:val="29BACF25"/>
    <w:multiLevelType w:val="hybridMultilevel"/>
    <w:lvl w:ilvl="0">
      <w:lvlJc w:val="left"/>
      <w:lvlText w:val="►"/>
      <w:numFmt w:val="bullet"/>
      <w:start w:val="1"/>
    </w:lvl>
  </w:abstractNum>
  <w:abstractNum w:abstractNumId="93">
    <w:nsid w:val="5D5BABB3"/>
    <w:multiLevelType w:val="hybridMultilevel"/>
    <w:lvl w:ilvl="0">
      <w:lvlJc w:val="left"/>
      <w:lvlText w:val="►"/>
      <w:numFmt w:val="bullet"/>
      <w:start w:val="1"/>
    </w:lvl>
  </w:abstractNum>
  <w:abstractNum w:abstractNumId="94">
    <w:nsid w:val="51BF6B48"/>
    <w:multiLevelType w:val="hybridMultilevel"/>
    <w:lvl w:ilvl="0">
      <w:lvlJc w:val="left"/>
      <w:lvlText w:val="►"/>
      <w:numFmt w:val="bullet"/>
      <w:start w:val="1"/>
    </w:lvl>
  </w:abstractNum>
  <w:abstractNum w:abstractNumId="95">
    <w:nsid w:val="7E0F6384"/>
    <w:multiLevelType w:val="hybridMultilevel"/>
    <w:lvl w:ilvl="0">
      <w:lvlJc w:val="left"/>
      <w:lvlText w:val="►"/>
      <w:numFmt w:val="bullet"/>
      <w:start w:val="1"/>
    </w:lvl>
  </w:abstractNum>
  <w:abstractNum w:abstractNumId="96">
    <w:nsid w:val="2B4B8B53"/>
    <w:multiLevelType w:val="hybridMultilevel"/>
    <w:lvl w:ilvl="0">
      <w:lvlJc w:val="left"/>
      <w:lvlText w:val="►"/>
      <w:numFmt w:val="bullet"/>
      <w:start w:val="1"/>
    </w:lvl>
  </w:abstractNum>
  <w:abstractNum w:abstractNumId="97">
    <w:nsid w:val="72E3413A"/>
    <w:multiLevelType w:val="hybridMultilevel"/>
    <w:lvl w:ilvl="0">
      <w:lvlJc w:val="left"/>
      <w:lvlText w:val="►"/>
      <w:numFmt w:val="bullet"/>
      <w:start w:val="1"/>
    </w:lvl>
  </w:abstractNum>
  <w:abstractNum w:abstractNumId="98">
    <w:nsid w:val="116AE494"/>
    <w:multiLevelType w:val="hybridMultilevel"/>
    <w:lvl w:ilvl="0">
      <w:lvlJc w:val="left"/>
      <w:lvlText w:val="►"/>
      <w:numFmt w:val="bullet"/>
      <w:start w:val="1"/>
    </w:lvl>
  </w:abstractNum>
  <w:abstractNum w:abstractNumId="99">
    <w:nsid w:val="3494B2FB"/>
    <w:multiLevelType w:val="hybridMultilevel"/>
    <w:lvl w:ilvl="0">
      <w:lvlJc w:val="left"/>
      <w:lvlText w:val="►"/>
      <w:numFmt w:val="bullet"/>
      <w:start w:val="1"/>
    </w:lvl>
  </w:abstractNum>
  <w:abstractNum w:abstractNumId="100">
    <w:nsid w:val="B13A31"/>
    <w:multiLevelType w:val="hybridMultilevel"/>
    <w:lvl w:ilvl="0">
      <w:lvlJc w:val="left"/>
      <w:lvlText w:val="►"/>
      <w:numFmt w:val="bullet"/>
      <w:start w:val="1"/>
    </w:lvl>
  </w:abstractNum>
  <w:abstractNum w:abstractNumId="101">
    <w:nsid w:val="64429599"/>
    <w:multiLevelType w:val="hybridMultilevel"/>
    <w:lvl w:ilvl="0">
      <w:lvlJc w:val="left"/>
      <w:lvlText w:val="►"/>
      <w:numFmt w:val="bullet"/>
      <w:start w:val="1"/>
    </w:lvl>
  </w:abstractNum>
  <w:abstractNum w:abstractNumId="102">
    <w:nsid w:val="631F1690"/>
    <w:multiLevelType w:val="hybridMultilevel"/>
    <w:lvl w:ilvl="0">
      <w:lvlJc w:val="left"/>
      <w:lvlText w:val="►"/>
      <w:numFmt w:val="bullet"/>
      <w:start w:val="1"/>
    </w:lvl>
  </w:abstractNum>
  <w:abstractNum w:abstractNumId="103">
    <w:nsid w:val="25973E32"/>
    <w:multiLevelType w:val="hybridMultilevel"/>
    <w:lvl w:ilvl="0">
      <w:lvlJc w:val="left"/>
      <w:lvlText w:val="►"/>
      <w:numFmt w:val="bullet"/>
      <w:start w:val="1"/>
    </w:lvl>
  </w:abstractNum>
  <w:abstractNum w:abstractNumId="104">
    <w:nsid w:val="EAD6F57"/>
    <w:multiLevelType w:val="hybridMultilevel"/>
    <w:lvl w:ilvl="0">
      <w:lvlJc w:val="left"/>
      <w:lvlText w:val="%1"/>
      <w:numFmt w:val="decimal"/>
      <w:start w:val="16"/>
    </w:lvl>
  </w:abstractNum>
  <w:abstractNum w:abstractNumId="105">
    <w:nsid w:val="6EC9D844"/>
    <w:multiLevelType w:val="hybridMultilevel"/>
    <w:lvl w:ilvl="0">
      <w:lvlJc w:val="left"/>
      <w:lvlText w:val="%1"/>
      <w:numFmt w:val="decimal"/>
      <w:start w:val="18"/>
    </w:lvl>
  </w:abstractNum>
  <w:abstractNum w:abstractNumId="106">
    <w:nsid w:val="5C49EAEE"/>
    <w:multiLevelType w:val="hybridMultilevel"/>
    <w:lvl w:ilvl="0">
      <w:lvlJc w:val="left"/>
      <w:lvlText w:val="►"/>
      <w:numFmt w:val="bullet"/>
      <w:start w:val="1"/>
    </w:lvl>
    <w:lvl w:ilvl="1">
      <w:lvlJc w:val="left"/>
      <w:lvlText w:val="►"/>
      <w:numFmt w:val="bullet"/>
      <w:start w:val="1"/>
    </w:lvl>
  </w:abstractNum>
  <w:abstractNum w:abstractNumId="107">
    <w:nsid w:val="64AF49B"/>
    <w:multiLevelType w:val="hybridMultilevel"/>
    <w:lvl w:ilvl="0">
      <w:lvlJc w:val="left"/>
      <w:lvlText w:val="►"/>
      <w:numFmt w:val="bullet"/>
      <w:start w:val="1"/>
    </w:lvl>
    <w:lvl w:ilvl="1">
      <w:lvlJc w:val="left"/>
      <w:lvlText w:val="►"/>
      <w:numFmt w:val="bullet"/>
      <w:start w:val="1"/>
    </w:lvl>
  </w:abstractNum>
  <w:abstractNum w:abstractNumId="108">
    <w:nsid w:val="397C46BC"/>
    <w:multiLevelType w:val="hybridMultilevel"/>
    <w:lvl w:ilvl="0">
      <w:lvlJc w:val="left"/>
      <w:lvlText w:val="►"/>
      <w:numFmt w:val="bullet"/>
      <w:start w:val="1"/>
    </w:lvl>
    <w:lvl w:ilvl="1">
      <w:lvlJc w:val="left"/>
      <w:lvlText w:val="►"/>
      <w:numFmt w:val="bullet"/>
      <w:start w:val="1"/>
    </w:lvl>
  </w:abstractNum>
  <w:abstractNum w:abstractNumId="109">
    <w:nsid w:val="7E448DE9"/>
    <w:multiLevelType w:val="hybridMultilevel"/>
    <w:lvl w:ilvl="0">
      <w:lvlJc w:val="left"/>
      <w:lvlText w:val="►"/>
      <w:numFmt w:val="bullet"/>
      <w:start w:val="1"/>
    </w:lvl>
  </w:abstractNum>
  <w:abstractNum w:abstractNumId="110">
    <w:nsid w:val="5A9CC3E5"/>
    <w:multiLevelType w:val="hybridMultilevel"/>
    <w:lvl w:ilvl="0">
      <w:lvlJc w:val="left"/>
      <w:lvlText w:val="►"/>
      <w:numFmt w:val="bullet"/>
      <w:start w:val="1"/>
    </w:lvl>
  </w:abstractNum>
  <w:abstractNum w:abstractNumId="111">
    <w:nsid w:val="1AFE3625"/>
    <w:multiLevelType w:val="hybridMultilevel"/>
    <w:lvl w:ilvl="0">
      <w:lvlJc w:val="left"/>
      <w:lvlText w:val="%1"/>
      <w:numFmt w:val="decimal"/>
      <w:start w:val="20"/>
    </w:lvl>
  </w:abstractNum>
  <w:abstractNum w:abstractNumId="112">
    <w:nsid w:val="3CA88ECF"/>
    <w:multiLevelType w:val="hybridMultilevel"/>
    <w:lvl w:ilvl="0">
      <w:lvlJc w:val="left"/>
      <w:lvlText w:val="►"/>
      <w:numFmt w:val="bullet"/>
      <w:start w:val="1"/>
    </w:lvl>
  </w:abstractNum>
  <w:abstractNum w:abstractNumId="113">
    <w:nsid w:val="6EBE4208"/>
    <w:multiLevelType w:val="hybridMultilevel"/>
    <w:lvl w:ilvl="0">
      <w:lvlJc w:val="left"/>
      <w:lvlText w:val="►"/>
      <w:numFmt w:val="bullet"/>
      <w:start w:val="1"/>
    </w:lvl>
  </w:abstractNum>
  <w:abstractNum w:abstractNumId="114">
    <w:nsid w:val="C058DF5"/>
    <w:multiLevelType w:val="hybridMultilevel"/>
    <w:lvl w:ilvl="0">
      <w:lvlJc w:val="left"/>
      <w:lvlText w:val="►"/>
      <w:numFmt w:val="bullet"/>
      <w:start w:val="1"/>
    </w:lvl>
  </w:abstractNum>
  <w:abstractNum w:abstractNumId="115">
    <w:nsid w:val="CBE5BE9"/>
    <w:multiLevelType w:val="hybridMultilevel"/>
    <w:lvl w:ilvl="0">
      <w:lvlJc w:val="left"/>
      <w:lvlText w:val="►"/>
      <w:numFmt w:val="bullet"/>
      <w:start w:val="1"/>
    </w:lvl>
  </w:abstractNum>
  <w:abstractNum w:abstractNumId="116">
    <w:nsid w:val="3102BBE2"/>
    <w:multiLevelType w:val="hybridMultilevel"/>
    <w:lvl w:ilvl="0">
      <w:lvlJc w:val="left"/>
      <w:lvlText w:val="%1"/>
      <w:numFmt w:val="decimal"/>
      <w:start w:val="24"/>
    </w:lvl>
  </w:abstractNum>
  <w:abstractNum w:abstractNumId="117">
    <w:nsid w:val="26A02C5E"/>
    <w:multiLevelType w:val="hybridMultilevel"/>
    <w:lvl w:ilvl="0">
      <w:lvlJc w:val="left"/>
      <w:lvlText w:val="►"/>
      <w:numFmt w:val="bullet"/>
      <w:start w:val="1"/>
    </w:lvl>
  </w:abstractNum>
  <w:abstractNum w:abstractNumId="118">
    <w:nsid w:val="541C8153"/>
    <w:multiLevelType w:val="hybridMultilevel"/>
    <w:lvl w:ilvl="0">
      <w:lvlJc w:val="left"/>
      <w:lvlText w:val="%1"/>
      <w:numFmt w:val="decimal"/>
      <w:start w:val="26"/>
    </w:lvl>
  </w:abstractNum>
  <w:abstractNum w:abstractNumId="119">
    <w:nsid w:val="67906F60"/>
    <w:multiLevelType w:val="hybridMultilevel"/>
    <w:lvl w:ilvl="0">
      <w:lvlJc w:val="left"/>
      <w:lvlText w:val="►"/>
      <w:numFmt w:val="bullet"/>
      <w:start w:val="1"/>
    </w:lvl>
  </w:abstractNum>
  <w:abstractNum w:abstractNumId="120">
    <w:nsid w:val="10DB9DAA"/>
    <w:multiLevelType w:val="hybridMultilevel"/>
    <w:lvl w:ilvl="0">
      <w:lvlJc w:val="left"/>
      <w:lvlText w:val="►"/>
      <w:numFmt w:val="bullet"/>
      <w:start w:val="1"/>
    </w:lvl>
  </w:abstractNum>
  <w:abstractNum w:abstractNumId="121">
    <w:nsid w:val="697D2D2"/>
    <w:multiLevelType w:val="hybridMultilevel"/>
    <w:lvl w:ilvl="0">
      <w:lvlJc w:val="left"/>
      <w:lvlText w:val="►"/>
      <w:numFmt w:val="bullet"/>
      <w:start w:val="1"/>
    </w:lvl>
  </w:abstractNum>
  <w:abstractNum w:abstractNumId="122">
    <w:nsid w:val="6D68AB2"/>
    <w:multiLevelType w:val="hybridMultilevel"/>
    <w:lvl w:ilvl="0">
      <w:lvlJc w:val="left"/>
      <w:lvlText w:val="►"/>
      <w:numFmt w:val="bullet"/>
      <w:start w:val="1"/>
    </w:lvl>
  </w:abstractNum>
  <w:abstractNum w:abstractNumId="123">
    <w:nsid w:val="3A966CD0"/>
    <w:multiLevelType w:val="hybridMultilevel"/>
    <w:lvl w:ilvl="0">
      <w:lvlJc w:val="left"/>
      <w:lvlText w:val="►"/>
      <w:numFmt w:val="bullet"/>
      <w:start w:val="1"/>
    </w:lvl>
  </w:abstractNum>
  <w:abstractNum w:abstractNumId="124">
    <w:nsid w:val="63F37E85"/>
    <w:multiLevelType w:val="hybridMultilevel"/>
    <w:lvl w:ilvl="0">
      <w:lvlJc w:val="left"/>
      <w:lvlText w:val="(%1)"/>
      <w:numFmt w:val="decimal"/>
      <w:start w:val="1"/>
    </w:lvl>
  </w:abstractNum>
  <w:abstractNum w:abstractNumId="125">
    <w:nsid w:val="5895F5FA"/>
    <w:multiLevelType w:val="hybridMultilevel"/>
    <w:lvl w:ilvl="0">
      <w:lvlJc w:val="left"/>
      <w:lvlText w:val="%1"/>
      <w:numFmt w:val="decimal"/>
      <w:start w:val="28"/>
    </w:lvl>
  </w:abstractNum>
  <w:abstractNum w:abstractNumId="126">
    <w:nsid w:val="38A5D054"/>
    <w:multiLevelType w:val="hybridMultilevel"/>
    <w:lvl w:ilvl="0">
      <w:lvlJc w:val="left"/>
      <w:lvlText w:val="►"/>
      <w:numFmt w:val="bullet"/>
      <w:start w:val="1"/>
    </w:lvl>
  </w:abstractNum>
  <w:abstractNum w:abstractNumId="127">
    <w:nsid w:val="F3F09D8"/>
    <w:multiLevelType w:val="hybridMultilevel"/>
    <w:lvl w:ilvl="0">
      <w:lvlJc w:val="left"/>
      <w:lvlText w:val="►"/>
      <w:numFmt w:val="bullet"/>
      <w:start w:val="1"/>
    </w:lvl>
  </w:abstractNum>
  <w:abstractNum w:abstractNumId="128">
    <w:nsid w:val="4B793735"/>
    <w:multiLevelType w:val="hybridMultilevel"/>
    <w:lvl w:ilvl="0">
      <w:lvlJc w:val="left"/>
      <w:lvlText w:val="%1"/>
      <w:numFmt w:val="decimal"/>
      <w:start w:val="30"/>
    </w:lvl>
  </w:abstractNum>
  <w:abstractNum w:abstractNumId="129">
    <w:nsid w:val="4A10B4E8"/>
    <w:multiLevelType w:val="hybridMultilevel"/>
    <w:lvl w:ilvl="0">
      <w:lvlJc w:val="left"/>
      <w:lvlText w:val="►"/>
      <w:numFmt w:val="bullet"/>
      <w:start w:val="1"/>
    </w:lvl>
  </w:abstractNum>
  <w:abstractNum w:abstractNumId="130">
    <w:nsid w:val="43D3BCD4"/>
    <w:multiLevelType w:val="hybridMultilevel"/>
    <w:lvl w:ilvl="0">
      <w:lvlJc w:val="left"/>
      <w:lvlText w:val="(%1)"/>
      <w:numFmt w:val="decimal"/>
      <w:start w:val="1"/>
    </w:lvl>
  </w:abstractNum>
  <w:abstractNum w:abstractNumId="131">
    <w:nsid w:val="4C2A7166"/>
    <w:multiLevelType w:val="hybridMultilevel"/>
    <w:lvl w:ilvl="0">
      <w:lvlJc w:val="left"/>
      <w:lvlText w:val="(%1)"/>
      <w:numFmt w:val="decimal"/>
      <w:start w:val="1"/>
    </w:lvl>
  </w:abstractNum>
  <w:abstractNum w:abstractNumId="132">
    <w:nsid w:val="2E534A82"/>
    <w:multiLevelType w:val="hybridMultilevel"/>
    <w:lvl w:ilvl="0">
      <w:lvlJc w:val="left"/>
      <w:lvlText w:val="(%1)"/>
      <w:numFmt w:val="decimal"/>
      <w:start w:val="2"/>
    </w:lvl>
  </w:abstractNum>
  <w:abstractNum w:abstractNumId="133">
    <w:nsid w:val="26F2D364"/>
    <w:multiLevelType w:val="hybridMultilevel"/>
    <w:lvl w:ilvl="0">
      <w:lvlJc w:val="left"/>
      <w:lvlText w:val="%1"/>
      <w:numFmt w:val="decimal"/>
      <w:start w:val="32"/>
    </w:lvl>
  </w:abstractNum>
  <w:abstractNum w:abstractNumId="134">
    <w:nsid w:val="71C1AF98"/>
    <w:multiLevelType w:val="hybridMultilevel"/>
    <w:lvl w:ilvl="0">
      <w:lvlJc w:val="left"/>
      <w:lvlText w:val="(%1)"/>
      <w:numFmt w:val="decimal"/>
      <w:start w:val="3"/>
    </w:lvl>
  </w:abstractNum>
  <w:abstractNum w:abstractNumId="135">
    <w:nsid w:val="3D00B9D9"/>
    <w:multiLevelType w:val="hybridMultilevel"/>
    <w:lvl w:ilvl="0">
      <w:lvlJc w:val="left"/>
      <w:lvlText w:val="(%1)"/>
      <w:numFmt w:val="decimal"/>
      <w:start w:val="4"/>
    </w:lvl>
  </w:abstractNum>
  <w:abstractNum w:abstractNumId="136">
    <w:nsid w:val="15BCABA8"/>
    <w:multiLevelType w:val="hybridMultilevel"/>
    <w:lvl w:ilvl="0">
      <w:lvlJc w:val="left"/>
      <w:lvlText w:val="(%1)"/>
      <w:numFmt w:val="decimal"/>
      <w:start w:val="1"/>
    </w:lvl>
  </w:abstractNum>
  <w:abstractNum w:abstractNumId="137">
    <w:nsid w:val="4E0B9A87"/>
    <w:multiLevelType w:val="hybridMultilevel"/>
    <w:lvl w:ilvl="0">
      <w:lvlJc w:val="left"/>
      <w:lvlText w:val="%1"/>
      <w:numFmt w:val="decimal"/>
      <w:start w:val="34"/>
    </w:lvl>
  </w:abstractNum>
  <w:abstractNum w:abstractNumId="138">
    <w:nsid w:val="434BAE75"/>
    <w:multiLevelType w:val="hybridMultilevel"/>
    <w:lvl w:ilvl="0">
      <w:lvlJc w:val="left"/>
      <w:lvlText w:val="*"/>
      <w:numFmt w:val="bullet"/>
      <w:start w:val="1"/>
    </w:lvl>
    <w:lvl w:ilvl="1">
      <w:lvlJc w:val="left"/>
      <w:lvlText w:val="►"/>
      <w:numFmt w:val="bullet"/>
      <w:start w:val="1"/>
    </w:lvl>
  </w:abstractNum>
  <w:abstractNum w:abstractNumId="139">
    <w:nsid w:val="4F38F265"/>
    <w:multiLevelType w:val="hybridMultilevel"/>
    <w:lvl w:ilvl="0">
      <w:lvlJc w:val="left"/>
      <w:lvlText w:val="(%1)"/>
      <w:numFmt w:val="decimal"/>
      <w:start w:val="1"/>
    </w:lvl>
  </w:abstractNum>
  <w:abstractNum w:abstractNumId="140">
    <w:nsid w:val="4C502870"/>
    <w:multiLevelType w:val="hybridMultilevel"/>
    <w:lvl w:ilvl="0">
      <w:lvlJc w:val="left"/>
      <w:lvlText w:val="(%1)"/>
      <w:numFmt w:val="decimal"/>
      <w:start w:val="1"/>
    </w:lvl>
  </w:abstractNum>
  <w:abstractNum w:abstractNumId="141">
    <w:nsid w:val="1DE8725A"/>
    <w:multiLevelType w:val="hybridMultilevel"/>
    <w:lvl w:ilvl="0">
      <w:lvlJc w:val="left"/>
      <w:lvlText w:val="%1"/>
      <w:numFmt w:val="decimal"/>
      <w:start w:val="36"/>
    </w:lvl>
  </w:abstractNum>
  <w:abstractNum w:abstractNumId="142">
    <w:nsid w:val="6A37288A"/>
    <w:multiLevelType w:val="hybridMultilevel"/>
    <w:lvl w:ilvl="0">
      <w:lvlJc w:val="left"/>
      <w:lvlText w:val="(%1)"/>
      <w:numFmt w:val="decimal"/>
      <w:start w:val="1"/>
    </w:lvl>
  </w:abstractNum>
  <w:abstractNum w:abstractNumId="143">
    <w:nsid w:val="8F8B73F"/>
    <w:multiLevelType w:val="hybridMultilevel"/>
    <w:lvl w:ilvl="0">
      <w:lvlJc w:val="left"/>
      <w:lvlText w:val="+"/>
      <w:numFmt w:val="bullet"/>
      <w:start w:val="1"/>
    </w:lvl>
  </w:abstractNum>
  <w:abstractNum w:abstractNumId="144">
    <w:nsid w:val="CA6B462"/>
    <w:multiLevelType w:val="hybridMultilevel"/>
    <w:lvl w:ilvl="0">
      <w:lvlJc w:val="left"/>
      <w:lvlText w:val="%1"/>
      <w:numFmt w:val="decimal"/>
      <w:start w:val="38"/>
    </w:lvl>
  </w:abstractNum>
  <w:abstractNum w:abstractNumId="145">
    <w:nsid w:val="763CB680"/>
    <w:multiLevelType w:val="hybridMultilevel"/>
    <w:lvl w:ilvl="0">
      <w:lvlJc w:val="left"/>
      <w:lvlText w:val="►"/>
      <w:numFmt w:val="bullet"/>
      <w:start w:val="1"/>
    </w:lvl>
  </w:abstractNum>
  <w:abstractNum w:abstractNumId="146">
    <w:nsid w:val="15B71329"/>
    <w:multiLevelType w:val="hybridMultilevel"/>
    <w:lvl w:ilvl="0">
      <w:lvlJc w:val="left"/>
      <w:lvlText w:val="(%1)"/>
      <w:numFmt w:val="decimal"/>
      <w:start w:val="1"/>
    </w:lvl>
  </w:abstractNum>
  <w:abstractNum w:abstractNumId="147">
    <w:nsid w:val="3DA97044"/>
    <w:multiLevelType w:val="hybridMultilevel"/>
    <w:lvl w:ilvl="0">
      <w:lvlJc w:val="left"/>
      <w:lvlText w:val="►"/>
      <w:numFmt w:val="bullet"/>
      <w:start w:val="1"/>
    </w:lvl>
  </w:abstractNum>
  <w:abstractNum w:abstractNumId="148">
    <w:nsid w:val="1CDCE2DE"/>
    <w:multiLevelType w:val="hybridMultilevel"/>
    <w:lvl w:ilvl="0">
      <w:lvlJc w:val="left"/>
      <w:lvlText w:val="►"/>
      <w:numFmt w:val="bullet"/>
      <w:start w:val="1"/>
    </w:lvl>
  </w:abstractNum>
  <w:abstractNum w:abstractNumId="149">
    <w:nsid w:val="69D3947C"/>
    <w:multiLevelType w:val="hybridMultilevel"/>
    <w:lvl w:ilvl="0">
      <w:lvlJc w:val="left"/>
      <w:lvlText w:val="►"/>
      <w:numFmt w:val="bullet"/>
      <w:start w:val="1"/>
    </w:lvl>
  </w:abstractNum>
  <w:abstractNum w:abstractNumId="150">
    <w:nsid w:val="2539DFA5"/>
    <w:multiLevelType w:val="hybridMultilevel"/>
    <w:lvl w:ilvl="0">
      <w:lvlJc w:val="left"/>
      <w:lvlText w:val="%1"/>
      <w:numFmt w:val="decimal"/>
      <w:start w:val="40"/>
    </w:lvl>
  </w:abstractNum>
  <w:abstractNum w:abstractNumId="151">
    <w:nsid w:val="2DB88089"/>
    <w:multiLevelType w:val="hybridMultilevel"/>
    <w:lvl w:ilvl="0">
      <w:lvlJc w:val="left"/>
      <w:lvlText w:val="►"/>
      <w:numFmt w:val="bullet"/>
      <w:start w:val="1"/>
    </w:lvl>
  </w:abstractNum>
  <w:abstractNum w:abstractNumId="152">
    <w:nsid w:val="706B674E"/>
    <w:multiLevelType w:val="hybridMultilevel"/>
    <w:lvl w:ilvl="0">
      <w:lvlJc w:val="left"/>
      <w:lvlText w:val="►"/>
      <w:numFmt w:val="bullet"/>
      <w:start w:val="1"/>
    </w:lvl>
  </w:abstractNum>
  <w:abstractNum w:abstractNumId="153">
    <w:nsid w:val="2C106A57"/>
    <w:multiLevelType w:val="hybridMultilevel"/>
    <w:lvl w:ilvl="0">
      <w:lvlJc w:val="left"/>
      <w:lvlText w:val="►"/>
      <w:numFmt w:val="bullet"/>
      <w:start w:val="1"/>
    </w:lvl>
  </w:abstractNum>
  <w:abstractNum w:abstractNumId="154">
    <w:nsid w:val="684EED59"/>
    <w:multiLevelType w:val="hybridMultilevel"/>
    <w:lvl w:ilvl="0">
      <w:lvlJc w:val="left"/>
      <w:lvlText w:val="►"/>
      <w:numFmt w:val="bullet"/>
      <w:start w:val="1"/>
    </w:lvl>
  </w:abstractNum>
  <w:abstractNum w:abstractNumId="155">
    <w:nsid w:val="545EE5D3"/>
    <w:multiLevelType w:val="hybridMultilevel"/>
    <w:lvl w:ilvl="0">
      <w:lvlJc w:val="left"/>
      <w:lvlText w:val="►"/>
      <w:numFmt w:val="bullet"/>
      <w:start w:val="1"/>
    </w:lvl>
  </w:abstractNum>
  <w:abstractNum w:abstractNumId="156">
    <w:nsid w:val="4A66051"/>
    <w:multiLevelType w:val="hybridMultilevel"/>
    <w:lvl w:ilvl="0">
      <w:lvlJc w:val="left"/>
      <w:lvlText w:val="►"/>
      <w:numFmt w:val="bullet"/>
      <w:start w:val="1"/>
    </w:lvl>
  </w:abstractNum>
  <w:abstractNum w:abstractNumId="157">
    <w:nsid w:val="20F4BDAD"/>
    <w:multiLevelType w:val="hybridMultilevel"/>
    <w:lvl w:ilvl="0">
      <w:lvlJc w:val="left"/>
      <w:lvlText w:val="►"/>
      <w:numFmt w:val="bullet"/>
      <w:start w:val="1"/>
    </w:lvl>
  </w:abstractNum>
  <w:abstractNum w:abstractNumId="158">
    <w:nsid w:val="639DEFAC"/>
    <w:multiLevelType w:val="hybridMultilevel"/>
    <w:lvl w:ilvl="0">
      <w:lvlJc w:val="left"/>
      <w:lvlText w:val="►"/>
      <w:numFmt w:val="bullet"/>
      <w:start w:val="1"/>
    </w:lvl>
  </w:abstractNum>
  <w:abstractNum w:abstractNumId="159">
    <w:nsid w:val="501F9786"/>
    <w:multiLevelType w:val="hybridMultilevel"/>
    <w:lvl w:ilvl="0">
      <w:lvlJc w:val="left"/>
      <w:lvlText w:val="%1"/>
      <w:numFmt w:val="decimal"/>
      <w:start w:val="42"/>
    </w:lvl>
  </w:abstractNum>
  <w:abstractNum w:abstractNumId="160">
    <w:nsid w:val="6B057295"/>
    <w:multiLevelType w:val="hybridMultilevel"/>
    <w:lvl w:ilvl="0">
      <w:lvlJc w:val="left"/>
      <w:lvlText w:val="►"/>
      <w:numFmt w:val="bullet"/>
      <w:start w:val="1"/>
    </w:lvl>
  </w:abstractNum>
  <w:abstractNum w:abstractNumId="161">
    <w:nsid w:val="2771AC80"/>
    <w:multiLevelType w:val="hybridMultilevel"/>
    <w:lvl w:ilvl="0">
      <w:lvlJc w:val="left"/>
      <w:lvlText w:val="►"/>
      <w:numFmt w:val="bullet"/>
      <w:start w:val="1"/>
    </w:lvl>
  </w:abstractNum>
  <w:abstractNum w:abstractNumId="162">
    <w:nsid w:val="1C4A08EC"/>
    <w:multiLevelType w:val="hybridMultilevel"/>
    <w:lvl w:ilvl="0">
      <w:lvlJc w:val="left"/>
      <w:lvlText w:val="►"/>
      <w:numFmt w:val="bullet"/>
      <w:start w:val="1"/>
    </w:lvl>
  </w:abstractNum>
  <w:abstractNum w:abstractNumId="163">
    <w:nsid w:val="1958BD17"/>
    <w:multiLevelType w:val="hybridMultilevel"/>
    <w:lvl w:ilvl="0">
      <w:lvlJc w:val="left"/>
      <w:lvlText w:val="►"/>
      <w:numFmt w:val="bullet"/>
      <w:start w:val="1"/>
    </w:lvl>
    <w:lvl w:ilvl="1">
      <w:lvlJc w:val="left"/>
      <w:lvlText w:val="►"/>
      <w:numFmt w:val="bullet"/>
      <w:start w:val="1"/>
    </w:lvl>
  </w:abstractNum>
  <w:abstractNum w:abstractNumId="164">
    <w:nsid w:val="4E647FE4"/>
    <w:multiLevelType w:val="hybridMultilevel"/>
    <w:lvl w:ilvl="0">
      <w:lvlJc w:val="left"/>
      <w:lvlText w:val="►"/>
      <w:numFmt w:val="bullet"/>
      <w:start w:val="1"/>
    </w:lvl>
  </w:abstractNum>
  <w:abstractNum w:abstractNumId="165">
    <w:nsid w:val="E0BB885"/>
    <w:multiLevelType w:val="hybridMultilevel"/>
    <w:lvl w:ilvl="0">
      <w:lvlJc w:val="left"/>
      <w:lvlText w:val="%1"/>
      <w:numFmt w:val="decimal"/>
      <w:start w:val="44"/>
    </w:lvl>
  </w:abstractNum>
  <w:abstractNum w:abstractNumId="166">
    <w:nsid w:val="565976F1"/>
    <w:multiLevelType w:val="hybridMultilevel"/>
    <w:lvl w:ilvl="0">
      <w:lvlJc w:val="left"/>
      <w:lvlText w:val="►"/>
      <w:numFmt w:val="bullet"/>
      <w:start w:val="1"/>
    </w:lvl>
    <w:lvl w:ilvl="1">
      <w:lvlJc w:val="left"/>
      <w:lvlText w:val="►"/>
      <w:numFmt w:val="bullet"/>
      <w:start w:val="1"/>
    </w:lvl>
  </w:abstractNum>
  <w:abstractNum w:abstractNumId="167">
    <w:nsid w:val="64212B8C"/>
    <w:multiLevelType w:val="hybridMultilevel"/>
    <w:lvl w:ilvl="0">
      <w:lvlJc w:val="left"/>
      <w:lvlText w:val="►"/>
      <w:numFmt w:val="bullet"/>
      <w:start w:val="1"/>
    </w:lvl>
    <w:lvl w:ilvl="1">
      <w:lvlJc w:val="left"/>
      <w:lvlText w:val="►"/>
      <w:numFmt w:val="bullet"/>
      <w:start w:val="1"/>
    </w:lvl>
  </w:abstractNum>
  <w:abstractNum w:abstractNumId="168">
    <w:nsid w:val="5C17530C"/>
    <w:multiLevelType w:val="hybridMultilevel"/>
    <w:lvl w:ilvl="0">
      <w:lvlJc w:val="left"/>
      <w:lvlText w:val="(%1)"/>
      <w:numFmt w:val="decimal"/>
      <w:start w:val="1"/>
    </w:lvl>
  </w:abstractNum>
  <w:abstractNum w:abstractNumId="169">
    <w:nsid w:val="19A52566"/>
    <w:multiLevelType w:val="hybridMultilevel"/>
    <w:lvl w:ilvl="0">
      <w:lvlJc w:val="left"/>
      <w:lvlText w:val="%1"/>
      <w:numFmt w:val="decimal"/>
      <w:start w:val="46"/>
    </w:lvl>
  </w:abstractNum>
  <w:abstractNum w:abstractNumId="170">
    <w:nsid w:val="335A1DF1"/>
    <w:multiLevelType w:val="hybridMultilevel"/>
    <w:lvl w:ilvl="0">
      <w:lvlJc w:val="left"/>
      <w:lvlText w:val="(%1)"/>
      <w:numFmt w:val="decimal"/>
      <w:start w:val="1"/>
    </w:lvl>
  </w:abstractNum>
  <w:abstractNum w:abstractNumId="171">
    <w:nsid w:val="28677B7C"/>
    <w:multiLevelType w:val="hybridMultilevel"/>
    <w:lvl w:ilvl="0">
      <w:lvlJc w:val="left"/>
      <w:lvlText w:val="+"/>
      <w:numFmt w:val="bullet"/>
      <w:start w:val="1"/>
    </w:lvl>
  </w:abstractNum>
  <w:abstractNum w:abstractNumId="172">
    <w:nsid w:val="378D97C0"/>
    <w:multiLevelType w:val="hybridMultilevel"/>
    <w:lvl w:ilvl="0">
      <w:lvlJc w:val="left"/>
      <w:lvlText w:val="\endash "/>
      <w:numFmt w:val="bullet"/>
      <w:start w:val="1"/>
    </w:lvl>
  </w:abstractNum>
  <w:abstractNum w:abstractNumId="173">
    <w:nsid w:val="1D91467C"/>
    <w:multiLevelType w:val="hybridMultilevel"/>
    <w:lvl w:ilvl="0">
      <w:lvlJc w:val="left"/>
      <w:lvlText w:val="%1"/>
      <w:numFmt w:val="decimal"/>
      <w:start w:val="48"/>
    </w:lvl>
  </w:abstractNum>
  <w:abstractNum w:abstractNumId="174">
    <w:nsid w:val="316032BB"/>
    <w:multiLevelType w:val="hybridMultilevel"/>
    <w:lvl w:ilvl="0">
      <w:lvlJc w:val="left"/>
      <w:lvlText w:val="(%1)"/>
      <w:numFmt w:val="decimal"/>
      <w:start w:val="1"/>
    </w:lvl>
  </w:abstractNum>
  <w:abstractNum w:abstractNumId="175">
    <w:nsid w:val="44344C22"/>
    <w:multiLevelType w:val="hybridMultilevel"/>
    <w:lvl w:ilvl="0">
      <w:lvlJc w:val="left"/>
      <w:lvlText w:val="(%1)"/>
      <w:numFmt w:val="decimal"/>
      <w:start w:val="2"/>
    </w:lvl>
  </w:abstractNum>
  <w:abstractNum w:abstractNumId="176">
    <w:nsid w:val="13CDFCFC"/>
    <w:multiLevelType w:val="hybridMultilevel"/>
    <w:lvl w:ilvl="0">
      <w:lvlJc w:val="left"/>
      <w:lvlText w:val="►"/>
      <w:numFmt w:val="bullet"/>
      <w:start w:val="1"/>
    </w:lvl>
  </w:abstractNum>
  <w:abstractNum w:abstractNumId="177">
    <w:nsid w:val="471745E4"/>
    <w:multiLevelType w:val="hybridMultilevel"/>
    <w:lvl w:ilvl="0">
      <w:lvlJc w:val="left"/>
      <w:lvlText w:val="►"/>
      <w:numFmt w:val="bullet"/>
      <w:start w:val="1"/>
    </w:lvl>
  </w:abstractNum>
  <w:abstractNum w:abstractNumId="178">
    <w:nsid w:val="1DDBC66"/>
    <w:multiLevelType w:val="hybridMultilevel"/>
    <w:lvl w:ilvl="0">
      <w:lvlJc w:val="left"/>
      <w:lvlText w:val="%1"/>
      <w:numFmt w:val="decimal"/>
      <w:start w:val="50"/>
    </w:lvl>
  </w:abstractNum>
  <w:abstractNum w:abstractNumId="179">
    <w:nsid w:val="30AADFDA"/>
    <w:multiLevelType w:val="hybridMultilevel"/>
    <w:lvl w:ilvl="0">
      <w:lvlJc w:val="left"/>
      <w:lvlText w:val="(%1)"/>
      <w:numFmt w:val="decimal"/>
      <w:start w:val="1"/>
    </w:lvl>
  </w:abstractNum>
  <w:abstractNum w:abstractNumId="180">
    <w:nsid w:val="30EADA61"/>
    <w:multiLevelType w:val="hybridMultilevel"/>
    <w:lvl w:ilvl="0">
      <w:lvlJc w:val="left"/>
      <w:lvlText w:val="(%1)"/>
      <w:numFmt w:val="decimal"/>
      <w:start w:val="1"/>
    </w:lvl>
  </w:abstractNum>
  <w:abstractNum w:abstractNumId="181">
    <w:nsid w:val="27179C0B"/>
    <w:multiLevelType w:val="hybridMultilevel"/>
    <w:lvl w:ilvl="0">
      <w:lvlJc w:val="left"/>
      <w:lvlText w:val="(%1)"/>
      <w:numFmt w:val="decimal"/>
      <w:start w:val="1"/>
    </w:lvl>
  </w:abstractNum>
  <w:abstractNum w:abstractNumId="182">
    <w:nsid w:val="5E636063"/>
    <w:multiLevelType w:val="hybridMultilevel"/>
    <w:lvl w:ilvl="0">
      <w:lvlJc w:val="left"/>
      <w:lvlText w:val="(%1)"/>
      <w:numFmt w:val="decimal"/>
      <w:start w:val="1"/>
    </w:lvl>
  </w:abstractNum>
  <w:abstractNum w:abstractNumId="183">
    <w:nsid w:val="215641AF"/>
    <w:multiLevelType w:val="hybridMultilevel"/>
    <w:lvl w:ilvl="0">
      <w:lvlJc w:val="left"/>
      <w:lvlText w:val="%1"/>
      <w:numFmt w:val="decimal"/>
      <w:start w:val="52"/>
    </w:lvl>
  </w:abstractNum>
  <w:abstractNum w:abstractNumId="184">
    <w:nsid w:val="53280662"/>
    <w:multiLevelType w:val="hybridMultilevel"/>
    <w:lvl w:ilvl="0">
      <w:lvlJc w:val="left"/>
      <w:lvlText w:val="(%1)"/>
      <w:numFmt w:val="decimal"/>
      <w:start w:val="1"/>
    </w:lvl>
  </w:abstractNum>
  <w:abstractNum w:abstractNumId="185">
    <w:nsid w:val="46B24DBC"/>
    <w:multiLevelType w:val="hybridMultilevel"/>
    <w:lvl w:ilvl="0">
      <w:lvlJc w:val="left"/>
      <w:lvlText w:val="(%1)"/>
      <w:numFmt w:val="decimal"/>
      <w:start w:val="4"/>
    </w:lvl>
  </w:abstractNum>
  <w:abstractNum w:abstractNumId="186">
    <w:nsid w:val="75B52783"/>
    <w:multiLevelType w:val="hybridMultilevel"/>
    <w:lvl w:ilvl="0">
      <w:lvlJc w:val="left"/>
      <w:lvlText w:val="(%1)"/>
      <w:numFmt w:val="decimal"/>
      <w:start w:val="5"/>
    </w:lvl>
  </w:abstractNum>
  <w:abstractNum w:abstractNumId="187">
    <w:nsid w:val="57CE66B4"/>
    <w:multiLevelType w:val="hybridMultilevel"/>
    <w:lvl w:ilvl="0">
      <w:lvlJc w:val="left"/>
      <w:lvlText w:val="(%1)"/>
      <w:numFmt w:val="decimal"/>
      <w:start w:val="6"/>
    </w:lvl>
  </w:abstractNum>
  <w:abstractNum w:abstractNumId="188">
    <w:nsid w:val="67A70B69"/>
    <w:multiLevelType w:val="hybridMultilevel"/>
    <w:lvl w:ilvl="0">
      <w:lvlJc w:val="left"/>
      <w:lvlText w:val="(%1)"/>
      <w:numFmt w:val="decimal"/>
      <w:start w:val="1"/>
    </w:lvl>
  </w:abstractNum>
  <w:abstractNum w:abstractNumId="189">
    <w:nsid w:val="5953172F"/>
    <w:multiLevelType w:val="hybridMultilevel"/>
    <w:lvl w:ilvl="0">
      <w:lvlJc w:val="left"/>
      <w:lvlText w:val="%1"/>
      <w:numFmt w:val="decimal"/>
      <w:start w:val="54"/>
    </w:lvl>
  </w:abstractNum>
  <w:abstractNum w:abstractNumId="190">
    <w:nsid w:val="27EDFE3A"/>
    <w:multiLevelType w:val="hybridMultilevel"/>
    <w:lvl w:ilvl="0">
      <w:lvlJc w:val="left"/>
      <w:lvlText w:val="%1"/>
      <w:numFmt w:val="decimal"/>
      <w:start w:val="1"/>
    </w:lvl>
    <w:lvl w:ilvl="1">
      <w:lvlJc w:val="left"/>
      <w:lvlText w:val="(%2)"/>
      <w:numFmt w:val="decimal"/>
      <w:start w:val="2"/>
    </w:lvl>
  </w:abstractNum>
  <w:abstractNum w:abstractNumId="191">
    <w:nsid w:val="52AC7DFF"/>
    <w:multiLevelType w:val="hybridMultilevel"/>
    <w:lvl w:ilvl="0">
      <w:lvlJc w:val="left"/>
      <w:lvlText w:val="(%1)"/>
      <w:numFmt w:val="decimal"/>
      <w:start w:val="7"/>
    </w:lvl>
    <w:lvl w:ilvl="1">
      <w:lvlJc w:val="left"/>
      <w:lvlText w:val="%2"/>
      <w:numFmt w:val="decimal"/>
      <w:start w:val="1"/>
    </w:lvl>
  </w:abstractNum>
  <w:abstractNum w:abstractNumId="192">
    <w:nsid w:val="C4C3AF"/>
    <w:multiLevelType w:val="hybridMultilevel"/>
    <w:lvl w:ilvl="0">
      <w:lvlJc w:val="left"/>
      <w:lvlText w:val="(%1)"/>
      <w:numFmt w:val="decimal"/>
      <w:start w:val="1"/>
    </w:lvl>
  </w:abstractNum>
  <w:abstractNum w:abstractNumId="193">
    <w:nsid w:val="44380727"/>
    <w:multiLevelType w:val="hybridMultilevel"/>
    <w:lvl w:ilvl="0">
      <w:lvlJc w:val="left"/>
      <w:lvlText w:val="%1"/>
      <w:numFmt w:val="decimal"/>
      <w:start w:val="56"/>
    </w:lvl>
  </w:abstractNum>
  <w:abstractNum w:abstractNumId="194">
    <w:nsid w:val="6C053B16"/>
    <w:multiLevelType w:val="hybridMultilevel"/>
    <w:lvl w:ilvl="0">
      <w:lvlJc w:val="left"/>
      <w:lvlText w:val="%1"/>
      <w:numFmt w:val="decimal"/>
      <w:start w:val="58"/>
    </w:lvl>
  </w:abstractNum>
  <w:abstractNum w:abstractNumId="195">
    <w:nsid w:val="4F294393"/>
    <w:multiLevelType w:val="hybridMultilevel"/>
    <w:lvl w:ilvl="0">
      <w:lvlJc w:val="left"/>
      <w:lvlText w:val="(%1)"/>
      <w:numFmt w:val="decimal"/>
      <w:start w:val="1"/>
    </w:lvl>
  </w:abstractNum>
  <w:abstractNum w:abstractNumId="196">
    <w:nsid w:val="5243BFAC"/>
    <w:multiLevelType w:val="hybridMultilevel"/>
    <w:lvl w:ilvl="0">
      <w:lvlJc w:val="left"/>
      <w:lvlText w:val="(%1)"/>
      <w:numFmt w:val="decimal"/>
      <w:start w:val="4"/>
    </w:lvl>
  </w:abstractNum>
  <w:abstractNum w:abstractNumId="197">
    <w:nsid w:val="425EB207"/>
    <w:multiLevelType w:val="hybridMultilevel"/>
    <w:lvl w:ilvl="0">
      <w:lvlJc w:val="left"/>
      <w:lvlText w:val="(%1)"/>
      <w:numFmt w:val="decimal"/>
      <w:start w:val="1"/>
    </w:lvl>
  </w:abstractNum>
  <w:abstractNum w:abstractNumId="198">
    <w:nsid w:val="334A6F1F"/>
    <w:multiLevelType w:val="hybridMultilevel"/>
    <w:lvl w:ilvl="0">
      <w:lvlJc w:val="left"/>
      <w:lvlText w:val="(%1)"/>
      <w:numFmt w:val="decimal"/>
      <w:start w:val="1"/>
    </w:lvl>
    <w:lvl w:ilvl="1">
      <w:lvlJc w:val="left"/>
      <w:lvlText w:val="●"/>
      <w:numFmt w:val="bullet"/>
      <w:start w:val="1"/>
    </w:lvl>
  </w:abstractNum>
  <w:abstractNum w:abstractNumId="199">
    <w:nsid w:val="2E5B12B8"/>
    <w:multiLevelType w:val="hybridMultilevel"/>
    <w:lvl w:ilvl="0">
      <w:lvlJc w:val="left"/>
      <w:lvlText w:val="●"/>
      <w:numFmt w:val="bullet"/>
      <w:start w:val="1"/>
    </w:lvl>
  </w:abstractNum>
  <w:abstractNum w:abstractNumId="200">
    <w:nsid w:val="5C03D76D"/>
    <w:multiLevelType w:val="hybridMultilevel"/>
    <w:lvl w:ilvl="0">
      <w:lvlJc w:val="left"/>
      <w:lvlText w:val="(%1)"/>
      <w:numFmt w:val="decimal"/>
      <w:start w:val="1"/>
    </w:lvl>
    <w:lvl w:ilvl="1">
      <w:lvlJc w:val="left"/>
      <w:lvlText w:val="●"/>
      <w:numFmt w:val="bullet"/>
      <w:start w:val="1"/>
    </w:lvl>
  </w:abstractNum>
  <w:abstractNum w:abstractNumId="201">
    <w:nsid w:val="66A48D11"/>
    <w:multiLevelType w:val="hybridMultilevel"/>
    <w:lvl w:ilvl="0">
      <w:lvlJc w:val="left"/>
      <w:lvlText w:val="(%1)"/>
      <w:numFmt w:val="decimal"/>
      <w:start w:val="3"/>
    </w:lvl>
  </w:abstractNum>
  <w:abstractNum w:abstractNumId="202">
    <w:nsid w:val="56C28E34"/>
    <w:multiLevelType w:val="hybridMultilevel"/>
    <w:lvl w:ilvl="0">
      <w:lvlJc w:val="left"/>
      <w:lvlText w:val="%1"/>
      <w:numFmt w:val="decimal"/>
      <w:start w:val="60"/>
    </w:lvl>
  </w:abstractNum>
  <w:abstractNum w:abstractNumId="203">
    <w:nsid w:val="13916F2D"/>
    <w:multiLevelType w:val="hybridMultilevel"/>
    <w:lvl w:ilvl="0">
      <w:lvlJc w:val="left"/>
      <w:lvlText w:val="►"/>
      <w:numFmt w:val="bullet"/>
      <w:start w:val="1"/>
    </w:lvl>
  </w:abstractNum>
  <w:abstractNum w:abstractNumId="204">
    <w:nsid w:val="435D38D"/>
    <w:multiLevelType w:val="hybridMultilevel"/>
    <w:lvl w:ilvl="0">
      <w:lvlJc w:val="left"/>
      <w:lvlText w:val="(%1)"/>
      <w:numFmt w:val="decimal"/>
      <w:start w:val="1"/>
    </w:lvl>
  </w:abstractNum>
  <w:abstractNum w:abstractNumId="205">
    <w:nsid w:val="822C0EF"/>
    <w:multiLevelType w:val="hybridMultilevel"/>
    <w:lvl w:ilvl="0">
      <w:lvlJc w:val="left"/>
      <w:lvlText w:val="%1"/>
      <w:numFmt w:val="decimal"/>
      <w:start w:val="62"/>
    </w:lvl>
  </w:abstractNum>
  <w:abstractNum w:abstractNumId="206">
    <w:nsid w:val="57C5BB4F"/>
    <w:multiLevelType w:val="hybridMultilevel"/>
    <w:lvl w:ilvl="0">
      <w:lvlJc w:val="left"/>
      <w:lvlText w:val="(%1)"/>
      <w:numFmt w:val="decimal"/>
      <w:start w:val="1"/>
    </w:lvl>
  </w:abstractNum>
  <w:abstractNum w:abstractNumId="207">
    <w:nsid w:val="1803D089"/>
    <w:multiLevelType w:val="hybridMultilevel"/>
    <w:lvl w:ilvl="0">
      <w:lvlJc w:val="left"/>
      <w:lvlText w:val="%1"/>
      <w:numFmt w:val="decimal"/>
      <w:start w:val="64"/>
    </w:lvl>
  </w:abstractNum>
  <w:abstractNum w:abstractNumId="208">
    <w:nsid w:val="4F3A06D4"/>
    <w:multiLevelType w:val="hybridMultilevel"/>
    <w:lvl w:ilvl="0">
      <w:lvlJc w:val="left"/>
      <w:lvlText w:val="(%1)"/>
      <w:numFmt w:val="decimal"/>
      <w:start w:val="2"/>
    </w:lvl>
  </w:abstractNum>
  <w:abstractNum w:abstractNumId="209">
    <w:nsid w:val="59A377B6"/>
    <w:multiLevelType w:val="hybridMultilevel"/>
    <w:lvl w:ilvl="0">
      <w:lvlJc w:val="left"/>
      <w:lvlText w:val="(%1)"/>
      <w:numFmt w:val="decimal"/>
      <w:start w:val="8"/>
    </w:lvl>
  </w:abstractNum>
  <w:abstractNum w:abstractNumId="210">
    <w:nsid w:val="48AEB063"/>
    <w:multiLevelType w:val="hybridMultilevel"/>
    <w:lvl w:ilvl="0">
      <w:lvlJc w:val="left"/>
      <w:lvlText w:val="(%1)"/>
      <w:numFmt w:val="decimal"/>
      <w:start w:val="1"/>
    </w:lvl>
  </w:abstractNum>
  <w:abstractNum w:abstractNumId="211">
    <w:nsid w:val="24E135"/>
    <w:multiLevelType w:val="hybridMultilevel"/>
    <w:lvl w:ilvl="0">
      <w:lvlJc w:val="left"/>
      <w:lvlText w:val="%1"/>
      <w:numFmt w:val="decimal"/>
      <w:start w:val="66"/>
    </w:lvl>
  </w:abstractNum>
  <w:abstractNum w:abstractNumId="212">
    <w:nsid w:val="BB13C1"/>
    <w:multiLevelType w:val="hybridMultilevel"/>
    <w:lvl w:ilvl="0">
      <w:lvlJc w:val="left"/>
      <w:lvlText w:val="(%1)"/>
      <w:numFmt w:val="decimal"/>
      <w:start w:val="5"/>
    </w:lvl>
  </w:abstractNum>
  <w:abstractNum w:abstractNumId="213">
    <w:nsid w:val="271210C7"/>
    <w:multiLevelType w:val="hybridMultilevel"/>
    <w:lvl w:ilvl="0">
      <w:lvlJc w:val="left"/>
      <w:lvlText w:val="(%1)"/>
      <w:numFmt w:val="decimal"/>
      <w:start w:val="1"/>
    </w:lvl>
  </w:abstractNum>
  <w:abstractNum w:abstractNumId="214">
    <w:nsid w:val="217B22E4"/>
    <w:multiLevelType w:val="hybridMultilevel"/>
    <w:lvl w:ilvl="0">
      <w:lvlJc w:val="left"/>
      <w:lvlText w:val="►"/>
      <w:numFmt w:val="bullet"/>
      <w:start w:val="1"/>
    </w:lvl>
  </w:abstractNum>
  <w:abstractNum w:abstractNumId="215">
    <w:nsid w:val="53E31A24"/>
    <w:multiLevelType w:val="hybridMultilevel"/>
    <w:lvl w:ilvl="0">
      <w:lvlJc w:val="left"/>
      <w:lvlText w:val="%1"/>
      <w:numFmt w:val="decimal"/>
      <w:start w:val="68"/>
    </w:lvl>
  </w:abstractNum>
  <w:abstractNum w:abstractNumId="216">
    <w:nsid w:val="6DC45E83"/>
    <w:multiLevelType w:val="hybridMultilevel"/>
    <w:lvl w:ilvl="0">
      <w:lvlJc w:val="left"/>
      <w:lvlText w:val="►"/>
      <w:numFmt w:val="bullet"/>
      <w:start w:val="1"/>
    </w:lvl>
    <w:lvl w:ilvl="1">
      <w:lvlJc w:val="left"/>
      <w:lvlText w:val="►"/>
      <w:numFmt w:val="bullet"/>
      <w:start w:val="1"/>
    </w:lvl>
  </w:abstractNum>
  <w:abstractNum w:abstractNumId="217">
    <w:nsid w:val="17304A67"/>
    <w:multiLevelType w:val="hybridMultilevel"/>
    <w:lvl w:ilvl="0">
      <w:lvlJc w:val="left"/>
      <w:lvlText w:val="►"/>
      <w:numFmt w:val="bullet"/>
      <w:start w:val="1"/>
    </w:lvl>
  </w:abstractNum>
  <w:abstractNum w:abstractNumId="218">
    <w:nsid w:val="2BB180D8"/>
    <w:multiLevelType w:val="hybridMultilevel"/>
    <w:lvl w:ilvl="0">
      <w:lvlJc w:val="left"/>
      <w:lvlText w:val="►"/>
      <w:numFmt w:val="bullet"/>
      <w:start w:val="1"/>
    </w:lvl>
  </w:abstractNum>
  <w:abstractNum w:abstractNumId="219">
    <w:nsid w:val="556B69ED"/>
    <w:multiLevelType w:val="hybridMultilevel"/>
    <w:lvl w:ilvl="0">
      <w:lvlJc w:val="left"/>
      <w:lvlText w:val="%1"/>
      <w:numFmt w:val="decimal"/>
      <w:start w:val="70"/>
    </w:lvl>
  </w:abstractNum>
  <w:abstractNum w:abstractNumId="220">
    <w:nsid w:val="70836196"/>
    <w:multiLevelType w:val="hybridMultilevel"/>
    <w:lvl w:ilvl="0">
      <w:lvlJc w:val="left"/>
      <w:lvlText w:val="✓"/>
      <w:numFmt w:val="bullet"/>
      <w:start w:val="1"/>
    </w:lvl>
  </w:abstractNum>
  <w:abstractNum w:abstractNumId="221">
    <w:nsid w:val="539F7F12"/>
    <w:multiLevelType w:val="hybridMultilevel"/>
    <w:lvl w:ilvl="0">
      <w:lvlJc w:val="left"/>
      <w:lvlText w:val="►"/>
      <w:numFmt w:val="bullet"/>
      <w:start w:val="1"/>
    </w:lvl>
  </w:abstractNum>
  <w:abstractNum w:abstractNumId="222">
    <w:nsid w:val="2817E7EC"/>
    <w:multiLevelType w:val="hybridMultilevel"/>
    <w:lvl w:ilvl="0">
      <w:lvlJc w:val="left"/>
      <w:lvlText w:val="(%1)"/>
      <w:numFmt w:val="decimal"/>
      <w:start w:val="1"/>
    </w:lvl>
  </w:abstractNum>
  <w:abstractNum w:abstractNumId="223">
    <w:nsid w:val="71482545"/>
    <w:multiLevelType w:val="hybridMultilevel"/>
    <w:lvl w:ilvl="0">
      <w:lvlJc w:val="left"/>
      <w:lvlText w:val="%1"/>
      <w:numFmt w:val="decimal"/>
      <w:start w:val="72"/>
    </w:lvl>
  </w:abstractNum>
  <w:abstractNum w:abstractNumId="224">
    <w:nsid w:val="17D78639"/>
    <w:multiLevelType w:val="hybridMultilevel"/>
    <w:lvl w:ilvl="0">
      <w:lvlJc w:val="left"/>
      <w:lvlText w:val="►"/>
      <w:numFmt w:val="bullet"/>
      <w:start w:val="1"/>
    </w:lvl>
  </w:abstractNum>
  <w:abstractNum w:abstractNumId="225">
    <w:nsid w:val="141D2302"/>
    <w:multiLevelType w:val="hybridMultilevel"/>
    <w:lvl w:ilvl="0">
      <w:lvlJc w:val="left"/>
      <w:lvlText w:val="%1"/>
      <w:numFmt w:val="decimal"/>
      <w:start w:val="74"/>
    </w:lvl>
  </w:abstractNum>
  <w:abstractNum w:abstractNumId="226">
    <w:nsid w:val="407168D8"/>
    <w:multiLevelType w:val="hybridMultilevel"/>
    <w:lvl w:ilvl="0">
      <w:lvlJc w:val="left"/>
      <w:lvlText w:val="%1"/>
      <w:numFmt w:val="decimal"/>
      <w:start w:val="76"/>
    </w:lvl>
  </w:abstractNum>
  <w:abstractNum w:abstractNumId="227">
    <w:nsid w:val="6A1B45E5"/>
    <w:multiLevelType w:val="hybridMultilevel"/>
    <w:lvl w:ilvl="0">
      <w:lvlJc w:val="left"/>
      <w:lvlText w:val="►"/>
      <w:numFmt w:val="bullet"/>
      <w:start w:val="1"/>
    </w:lvl>
  </w:abstractNum>
  <w:abstractNum w:abstractNumId="228">
    <w:nsid w:val="567BD50A"/>
    <w:multiLevelType w:val="hybridMultilevel"/>
    <w:lvl w:ilvl="0">
      <w:lvlJc w:val="left"/>
      <w:lvlText w:val="%1"/>
      <w:numFmt w:val="decimal"/>
      <w:start w:val="78"/>
    </w:lvl>
  </w:abstractNum>
  <w:abstractNum w:abstractNumId="229">
    <w:nsid w:val="73BBD7F8"/>
    <w:multiLevelType w:val="hybridMultilevel"/>
    <w:lvl w:ilvl="0">
      <w:lvlJc w:val="left"/>
      <w:lvlText w:val="%1"/>
      <w:numFmt w:val="decimal"/>
      <w:start w:val="80"/>
    </w:lvl>
  </w:abstractNum>
  <w:abstractNum w:abstractNumId="230">
    <w:nsid w:val="1876589D"/>
    <w:multiLevelType w:val="hybridMultilevel"/>
    <w:lvl w:ilvl="0">
      <w:lvlJc w:val="left"/>
      <w:lvlText w:val="(%1)"/>
      <w:numFmt w:val="decimal"/>
      <w:start w:val="1"/>
    </w:lvl>
  </w:abstractNum>
  <w:abstractNum w:abstractNumId="231">
    <w:nsid w:val="327FAC77"/>
    <w:multiLevelType w:val="hybridMultilevel"/>
    <w:lvl w:ilvl="0">
      <w:lvlJc w:val="left"/>
      <w:lvlText w:val="(%1)"/>
      <w:numFmt w:val="decimal"/>
      <w:start w:val="1"/>
    </w:lvl>
  </w:abstractNum>
  <w:abstractNum w:abstractNumId="232">
    <w:nsid w:val="5A606509"/>
    <w:multiLevelType w:val="hybridMultilevel"/>
    <w:lvl w:ilvl="0">
      <w:lvlJc w:val="left"/>
      <w:lvlText w:val="(%1)"/>
      <w:numFmt w:val="decimal"/>
      <w:start w:val="1"/>
    </w:lvl>
  </w:abstractNum>
  <w:abstractNum w:abstractNumId="233">
    <w:nsid w:val="6F38E6D1"/>
    <w:multiLevelType w:val="hybridMultilevel"/>
    <w:lvl w:ilvl="0">
      <w:lvlJc w:val="left"/>
      <w:lvlText w:val="%1"/>
      <w:numFmt w:val="decimal"/>
      <w:start w:val="82"/>
    </w:lvl>
  </w:abstractNum>
  <w:abstractNum w:abstractNumId="234">
    <w:nsid w:val="46111BA5"/>
    <w:multiLevelType w:val="hybridMultilevel"/>
    <w:lvl w:ilvl="0">
      <w:lvlJc w:val="left"/>
      <w:lvlText w:val="►"/>
      <w:numFmt w:val="bullet"/>
      <w:start w:val="1"/>
    </w:lvl>
  </w:abstractNum>
  <w:abstractNum w:abstractNumId="235">
    <w:nsid w:val="5E963896"/>
    <w:multiLevelType w:val="hybridMultilevel"/>
    <w:lvl w:ilvl="0">
      <w:lvlJc w:val="left"/>
      <w:lvlText w:val="(%1)"/>
      <w:numFmt w:val="decimal"/>
      <w:start w:val="1"/>
    </w:lvl>
  </w:abstractNum>
  <w:abstractNum w:abstractNumId="236">
    <w:nsid w:val="775BA7C1"/>
    <w:multiLevelType w:val="hybridMultilevel"/>
    <w:lvl w:ilvl="0">
      <w:lvlJc w:val="left"/>
      <w:lvlText w:val="(%1)"/>
      <w:numFmt w:val="decimal"/>
      <w:start w:val="3"/>
    </w:lvl>
  </w:abstractNum>
  <w:abstractNum w:abstractNumId="237">
    <w:nsid w:val="1DD6D6F4"/>
    <w:multiLevelType w:val="hybridMultilevel"/>
    <w:lvl w:ilvl="0">
      <w:lvlJc w:val="left"/>
      <w:lvlText w:val="%1"/>
      <w:numFmt w:val="decimal"/>
      <w:start w:val="84"/>
    </w:lvl>
  </w:abstractNum>
  <w:abstractNum w:abstractNumId="238">
    <w:nsid w:val="769A091F"/>
    <w:multiLevelType w:val="hybridMultilevel"/>
    <w:lvl w:ilvl="0">
      <w:lvlJc w:val="left"/>
      <w:lvlText w:val="%1."/>
      <w:numFmt w:val="decimal"/>
      <w:start w:val="1"/>
    </w:lvl>
    <w:lvl w:ilvl="1">
      <w:lvlJc w:val="left"/>
      <w:lvlText w:val="%2."/>
      <w:numFmt w:val="lowerLetter"/>
      <w:start w:val="1"/>
    </w:lvl>
  </w:abstractNum>
  <w:abstractNum w:abstractNumId="239">
    <w:nsid w:val="4695AE95"/>
    <w:multiLevelType w:val="hybridMultilevel"/>
    <w:lvl w:ilvl="0">
      <w:lvlJc w:val="left"/>
      <w:lvlText w:val="%1"/>
      <w:numFmt w:val="decimal"/>
      <w:start w:val="86"/>
    </w:lvl>
  </w:abstractNum>
  <w:abstractNum w:abstractNumId="240">
    <w:nsid w:val="777A4EAA"/>
    <w:multiLevelType w:val="hybridMultilevel"/>
    <w:lvl w:ilvl="0">
      <w:lvlJc w:val="left"/>
      <w:lvlText w:val="►"/>
      <w:numFmt w:val="bullet"/>
      <w:start w:val="1"/>
    </w:lvl>
  </w:abstractNum>
  <w:abstractNum w:abstractNumId="241">
    <w:nsid w:val="3F48B982"/>
    <w:multiLevelType w:val="hybridMultilevel"/>
    <w:lvl w:ilvl="0">
      <w:lvlJc w:val="left"/>
      <w:lvlText w:val="►"/>
      <w:numFmt w:val="bullet"/>
      <w:start w:val="1"/>
    </w:lvl>
  </w:abstractNum>
  <w:abstractNum w:abstractNumId="242">
    <w:nsid w:val="46BA8FCA"/>
    <w:multiLevelType w:val="hybridMultilevel"/>
    <w:lvl w:ilvl="0">
      <w:lvlJc w:val="left"/>
      <w:lvlText w:val="►"/>
      <w:numFmt w:val="bullet"/>
      <w:start w:val="1"/>
    </w:lvl>
  </w:abstractNum>
  <w:abstractNum w:abstractNumId="243">
    <w:nsid w:val="7835626C"/>
    <w:multiLevelType w:val="hybridMultilevel"/>
    <w:lvl w:ilvl="0">
      <w:lvlJc w:val="left"/>
      <w:lvlText w:val="%1"/>
      <w:numFmt w:val="decimal"/>
      <w:start w:val="88"/>
    </w:lvl>
  </w:abstractNum>
  <w:abstractNum w:abstractNumId="244">
    <w:nsid w:val="665ACA49"/>
    <w:multiLevelType w:val="hybridMultilevel"/>
    <w:lvl w:ilvl="0">
      <w:lvlJc w:val="left"/>
      <w:lvlText w:val="(%1)"/>
      <w:numFmt w:val="decimal"/>
      <w:start w:val="1"/>
    </w:lvl>
  </w:abstractNum>
  <w:abstractNum w:abstractNumId="245">
    <w:nsid w:val="6835B2AE"/>
    <w:multiLevelType w:val="hybridMultilevel"/>
    <w:lvl w:ilvl="0">
      <w:lvlJc w:val="left"/>
      <w:lvlText w:val="(%1)"/>
      <w:numFmt w:val="decimal"/>
      <w:start w:val="1"/>
    </w:lvl>
  </w:abstractNum>
  <w:abstractNum w:abstractNumId="246">
    <w:nsid w:val="4C187C90"/>
    <w:multiLevelType w:val="hybridMultilevel"/>
    <w:lvl w:ilvl="0">
      <w:lvlJc w:val="left"/>
      <w:lvlText w:val="%1"/>
      <w:numFmt w:val="decimal"/>
      <w:start w:val="90"/>
    </w:lvl>
  </w:abstractNum>
  <w:abstractNum w:abstractNumId="247">
    <w:nsid w:val="541F28CD"/>
    <w:multiLevelType w:val="hybridMultilevel"/>
    <w:lvl w:ilvl="0">
      <w:lvlJc w:val="left"/>
      <w:lvlText w:val="%1"/>
      <w:numFmt w:val="decimal"/>
      <w:start w:val="92"/>
    </w:lvl>
  </w:abstractNum>
  <w:abstractNum w:abstractNumId="248">
    <w:nsid w:val="7F65FD16"/>
    <w:multiLevelType w:val="hybridMultilevel"/>
    <w:lvl w:ilvl="0">
      <w:lvlJc w:val="left"/>
      <w:lvlText w:val="►"/>
      <w:numFmt w:val="bullet"/>
      <w:start w:val="1"/>
    </w:lvl>
  </w:abstractNum>
  <w:abstractNum w:abstractNumId="249">
    <w:nsid w:val="77C9FD68"/>
    <w:multiLevelType w:val="hybridMultilevel"/>
    <w:lvl w:ilvl="0">
      <w:lvlJc w:val="left"/>
      <w:lvlText w:val="►"/>
      <w:numFmt w:val="bullet"/>
      <w:start w:val="1"/>
    </w:lvl>
  </w:abstractNum>
  <w:abstractNum w:abstractNumId="250">
    <w:nsid w:val="298A92BA"/>
    <w:multiLevelType w:val="hybridMultilevel"/>
    <w:lvl w:ilvl="0">
      <w:lvlJc w:val="left"/>
      <w:lvlText w:val="%1"/>
      <w:numFmt w:val="decimal"/>
      <w:start w:val="94"/>
    </w:lvl>
  </w:abstractNum>
  <w:abstractNum w:abstractNumId="251">
    <w:nsid w:val="6FE95EAC"/>
    <w:multiLevelType w:val="hybridMultilevel"/>
    <w:lvl w:ilvl="0">
      <w:lvlJc w:val="left"/>
      <w:lvlText w:val="►"/>
      <w:numFmt w:val="bullet"/>
      <w:start w:val="1"/>
    </w:lvl>
  </w:abstractNum>
  <w:abstractNum w:abstractNumId="252">
    <w:nsid w:val="4B697C7A"/>
    <w:multiLevelType w:val="hybridMultilevel"/>
    <w:lvl w:ilvl="0">
      <w:lvlJc w:val="left"/>
      <w:lvlText w:val="%1"/>
      <w:numFmt w:val="decimal"/>
      <w:start w:val="96"/>
    </w:lvl>
  </w:abstractNum>
  <w:abstractNum w:abstractNumId="253">
    <w:nsid w:val="51A27AA6"/>
    <w:multiLevelType w:val="hybridMultilevel"/>
    <w:lvl w:ilvl="0">
      <w:lvlJc w:val="left"/>
      <w:lvlText w:val="(%1)"/>
      <w:numFmt w:val="decimal"/>
      <w:start w:val="1"/>
    </w:lvl>
  </w:abstractNum>
  <w:abstractNum w:abstractNumId="254">
    <w:nsid w:val="613183F2"/>
    <w:multiLevelType w:val="hybridMultilevel"/>
    <w:lvl w:ilvl="0">
      <w:lvlJc w:val="left"/>
      <w:lvlText w:val="(%1)"/>
      <w:numFmt w:val="decimal"/>
      <w:start w:val="1"/>
    </w:lvl>
  </w:abstractNum>
  <w:abstractNum w:abstractNumId="255">
    <w:nsid w:val="634102B4"/>
    <w:multiLevelType w:val="hybridMultilevel"/>
    <w:lvl w:ilvl="0">
      <w:lvlJc w:val="left"/>
      <w:lvlText w:val="%1"/>
      <w:numFmt w:val="decimal"/>
      <w:start w:val="98"/>
    </w:lvl>
  </w:abstractNum>
  <w:abstractNum w:abstractNumId="256">
    <w:nsid w:val="65BF9DA8"/>
    <w:multiLevelType w:val="hybridMultilevel"/>
    <w:lvl w:ilvl="0">
      <w:lvlJc w:val="left"/>
      <w:lvlText w:val="%1."/>
      <w:numFmt w:val="decimal"/>
      <w:start w:val="1"/>
    </w:lvl>
  </w:abstractNum>
  <w:abstractNum w:abstractNumId="257">
    <w:nsid w:val="21A2ECCA"/>
    <w:multiLevelType w:val="hybridMultilevel"/>
    <w:lvl w:ilvl="0">
      <w:lvlJc w:val="left"/>
      <w:lvlText w:val="%1"/>
      <w:numFmt w:val="decimal"/>
      <w:start w:val="100"/>
    </w:lvl>
  </w:abstractNum>
  <w:abstractNum w:abstractNumId="258">
    <w:nsid w:val="4D5C4899"/>
    <w:multiLevelType w:val="hybridMultilevel"/>
    <w:lvl w:ilvl="0">
      <w:lvlJc w:val="left"/>
      <w:lvlText w:val="(%1)"/>
      <w:numFmt w:val="lowerLetter"/>
      <w:start w:val="1"/>
    </w:lvl>
  </w:abstractNum>
  <w:abstractNum w:abstractNumId="259">
    <w:nsid w:val="3C3B72B2"/>
    <w:multiLevelType w:val="hybridMultilevel"/>
    <w:lvl w:ilvl="0">
      <w:lvlJc w:val="left"/>
      <w:lvlText w:val="%1"/>
      <w:numFmt w:val="decimal"/>
      <w:start w:val="102"/>
    </w:lvl>
  </w:abstractNum>
  <w:abstractNum w:abstractNumId="260">
    <w:nsid w:val="155EC4C2"/>
    <w:multiLevelType w:val="hybridMultilevel"/>
    <w:lvl w:ilvl="0">
      <w:lvlJc w:val="left"/>
      <w:lvlText w:val="%1"/>
      <w:numFmt w:val="decimal"/>
      <w:start w:val="104"/>
    </w:lvl>
  </w:abstractNum>
  <w:abstractNum w:abstractNumId="261">
    <w:nsid w:val="65D2A137"/>
    <w:multiLevelType w:val="hybridMultilevel"/>
    <w:lvl w:ilvl="0">
      <w:lvlJc w:val="left"/>
      <w:lvlText w:val="%1"/>
      <w:numFmt w:val="decimal"/>
      <w:start w:val="106"/>
    </w:lvl>
  </w:abstractNum>
  <w:abstractNum w:abstractNumId="262">
    <w:nsid w:val="6EBB1F2A"/>
    <w:multiLevelType w:val="hybridMultilevel"/>
    <w:lvl w:ilvl="0">
      <w:lvlJc w:val="left"/>
      <w:lvlText w:val="%1"/>
      <w:numFmt w:val="decimal"/>
      <w:start w:val="108"/>
    </w:lvl>
  </w:abstractNum>
  <w:abstractNum w:abstractNumId="263">
    <w:nsid w:val="6FBF29CB"/>
    <w:multiLevelType w:val="hybridMultilevel"/>
    <w:lvl w:ilvl="0">
      <w:lvlJc w:val="left"/>
      <w:lvlText w:val="(%1)"/>
      <w:numFmt w:val="lowerLetter"/>
      <w:start w:val="1"/>
    </w:lvl>
  </w:abstractNum>
  <w:abstractNum w:abstractNumId="264">
    <w:nsid w:val="550B8808"/>
    <w:multiLevelType w:val="hybridMultilevel"/>
    <w:lvl w:ilvl="0">
      <w:lvlJc w:val="left"/>
      <w:lvlText w:val="(%1)"/>
      <w:numFmt w:val="lowerLetter"/>
      <w:start w:val="2"/>
    </w:lvl>
  </w:abstractNum>
  <w:abstractNum w:abstractNumId="265">
    <w:nsid w:val="34CC3ACF"/>
    <w:multiLevelType w:val="hybridMultilevel"/>
    <w:lvl w:ilvl="0">
      <w:lvlJc w:val="left"/>
      <w:lvlText w:val="(%1)"/>
      <w:numFmt w:val="lowerRoman"/>
      <w:start w:val="1"/>
    </w:lvl>
  </w:abstractNum>
  <w:abstractNum w:abstractNumId="266">
    <w:nsid w:val="4E556261"/>
    <w:multiLevelType w:val="hybridMultilevel"/>
    <w:lvl w:ilvl="0">
      <w:lvlJc w:val="left"/>
      <w:lvlText w:val="%1"/>
      <w:numFmt w:val="decimal"/>
      <w:start w:val="110"/>
    </w:lvl>
  </w:abstractNum>
  <w:abstractNum w:abstractNumId="267">
    <w:nsid w:val="4C672FC9"/>
    <w:multiLevelType w:val="hybridMultilevel"/>
    <w:lvl w:ilvl="0">
      <w:lvlJc w:val="left"/>
      <w:lvlText w:val="(%1)"/>
      <w:numFmt w:val="lowerLetter"/>
      <w:start w:val="1"/>
    </w:lvl>
  </w:abstractNum>
  <w:abstractNum w:abstractNumId="268">
    <w:nsid w:val="52A311C3"/>
    <w:multiLevelType w:val="hybridMultilevel"/>
    <w:lvl w:ilvl="0">
      <w:lvlJc w:val="left"/>
      <w:lvlText w:val="(%1)"/>
      <w:numFmt w:val="lowerLetter"/>
      <w:start w:val="1"/>
    </w:lvl>
  </w:abstractNum>
  <w:abstractNum w:abstractNumId="269">
    <w:nsid w:val="44EF6B80"/>
    <w:multiLevelType w:val="hybridMultilevel"/>
    <w:lvl w:ilvl="0">
      <w:lvlJc w:val="left"/>
      <w:lvlText w:val="%1"/>
      <w:numFmt w:val="decimal"/>
      <w:start w:val="112"/>
    </w:lvl>
  </w:abstractNum>
  <w:abstractNum w:abstractNumId="270">
    <w:nsid w:val="12FCDE5E"/>
    <w:multiLevelType w:val="hybridMultilevel"/>
    <w:lvl w:ilvl="0">
      <w:lvlJc w:val="left"/>
      <w:lvlText w:val="%1"/>
      <w:numFmt w:val="decimal"/>
      <w:start w:val="114"/>
    </w:lvl>
  </w:abstractNum>
  <w:abstractNum w:abstractNumId="271">
    <w:nsid w:val="4A1D606E"/>
    <w:multiLevelType w:val="hybridMultilevel"/>
    <w:lvl w:ilvl="0">
      <w:lvlJc w:val="left"/>
      <w:lvlText w:val="(%1)"/>
      <w:numFmt w:val="lowerRoman"/>
      <w:start w:val="1"/>
    </w:lvl>
  </w:abstractNum>
  <w:abstractNum w:abstractNumId="272">
    <w:nsid w:val="4382503"/>
    <w:multiLevelType w:val="hybridMultilevel"/>
    <w:lvl w:ilvl="0">
      <w:lvlJc w:val="left"/>
      <w:lvlText w:val="%1"/>
      <w:numFmt w:val="decimal"/>
      <w:start w:val="11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jpeg"/><Relationship Id="rId243" Type="http://schemas.openxmlformats.org/officeDocument/2006/relationships/image" Target="media/image236.pn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jpeg"/><Relationship Id="rId248" Type="http://schemas.openxmlformats.org/officeDocument/2006/relationships/image" Target="media/image241.png"/><Relationship Id="rId249" Type="http://schemas.openxmlformats.org/officeDocument/2006/relationships/image" Target="media/image242.jpeg"/><Relationship Id="rId250" Type="http://schemas.openxmlformats.org/officeDocument/2006/relationships/image" Target="media/image243.jpeg"/><Relationship Id="rId251" Type="http://schemas.openxmlformats.org/officeDocument/2006/relationships/image" Target="media/image244.jpe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jpeg"/><Relationship Id="rId255" Type="http://schemas.openxmlformats.org/officeDocument/2006/relationships/image" Target="media/image248.jpe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jpeg"/><Relationship Id="rId262" Type="http://schemas.openxmlformats.org/officeDocument/2006/relationships/image" Target="media/image255.png"/><Relationship Id="rId263" Type="http://schemas.openxmlformats.org/officeDocument/2006/relationships/image" Target="media/image256.jpeg"/><Relationship Id="rId264" Type="http://schemas.openxmlformats.org/officeDocument/2006/relationships/image" Target="media/image257.jpeg"/><Relationship Id="rId265" Type="http://schemas.openxmlformats.org/officeDocument/2006/relationships/image" Target="media/image258.jpeg"/><Relationship Id="rId266" Type="http://schemas.openxmlformats.org/officeDocument/2006/relationships/image" Target="media/image259.jpe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jpe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jpe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jpe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jpe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jpe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jpeg"/><Relationship Id="rId308" Type="http://schemas.openxmlformats.org/officeDocument/2006/relationships/image" Target="media/image301.png"/><Relationship Id="rId309" Type="http://schemas.openxmlformats.org/officeDocument/2006/relationships/image" Target="media/image302.jpeg"/><Relationship Id="rId310" Type="http://schemas.openxmlformats.org/officeDocument/2006/relationships/image" Target="media/image303.png"/><Relationship Id="rId311" Type="http://schemas.openxmlformats.org/officeDocument/2006/relationships/image" Target="media/image304.jpe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jpeg"/><Relationship Id="rId315" Type="http://schemas.openxmlformats.org/officeDocument/2006/relationships/image" Target="media/image308.jpeg"/><Relationship Id="rId316" Type="http://schemas.openxmlformats.org/officeDocument/2006/relationships/image" Target="media/image309.jpe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jpeg"/><Relationship Id="rId320" Type="http://schemas.openxmlformats.org/officeDocument/2006/relationships/image" Target="media/image313.jpe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jpeg"/><Relationship Id="rId334" Type="http://schemas.openxmlformats.org/officeDocument/2006/relationships/image" Target="media/image327.jpeg"/><Relationship Id="rId335" Type="http://schemas.openxmlformats.org/officeDocument/2006/relationships/image" Target="media/image328.jpeg"/><Relationship Id="rId336" Type="http://schemas.openxmlformats.org/officeDocument/2006/relationships/image" Target="media/image329.jpe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jpe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jpeg"/><Relationship Id="rId364" Type="http://schemas.openxmlformats.org/officeDocument/2006/relationships/image" Target="media/image357.jpeg"/><Relationship Id="rId365" Type="http://schemas.openxmlformats.org/officeDocument/2006/relationships/image" Target="media/image358.png"/><Relationship Id="rId366" Type="http://schemas.openxmlformats.org/officeDocument/2006/relationships/image" Target="media/image359.jpeg"/><Relationship Id="rId367" Type="http://schemas.openxmlformats.org/officeDocument/2006/relationships/image" Target="media/image360.jpe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jpeg"/><Relationship Id="rId371" Type="http://schemas.openxmlformats.org/officeDocument/2006/relationships/image" Target="media/image364.jpeg"/><Relationship Id="rId372" Type="http://schemas.openxmlformats.org/officeDocument/2006/relationships/image" Target="media/image365.jpe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jpeg"/><Relationship Id="rId376" Type="http://schemas.openxmlformats.org/officeDocument/2006/relationships/image" Target="media/image369.png"/><Relationship Id="rId377" Type="http://schemas.openxmlformats.org/officeDocument/2006/relationships/image" Target="media/image370.jpeg"/><Relationship Id="rId378" Type="http://schemas.openxmlformats.org/officeDocument/2006/relationships/image" Target="media/image371.jpeg"/><Relationship Id="rId379" Type="http://schemas.openxmlformats.org/officeDocument/2006/relationships/image" Target="media/image372.png"/><Relationship Id="rId380" Type="http://schemas.openxmlformats.org/officeDocument/2006/relationships/image" Target="media/image373.jpeg"/><Relationship Id="rId381" Type="http://schemas.openxmlformats.org/officeDocument/2006/relationships/image" Target="media/image374.jpeg"/><Relationship Id="rId382" Type="http://schemas.openxmlformats.org/officeDocument/2006/relationships/image" Target="media/image375.png"/><Relationship Id="rId383" Type="http://schemas.openxmlformats.org/officeDocument/2006/relationships/image" Target="media/image376.jpeg"/><Relationship Id="rId384" Type="http://schemas.openxmlformats.org/officeDocument/2006/relationships/image" Target="media/image377.jpeg"/><Relationship Id="rId385" Type="http://schemas.openxmlformats.org/officeDocument/2006/relationships/image" Target="media/image378.png"/><Relationship Id="rId386" Type="http://schemas.openxmlformats.org/officeDocument/2006/relationships/image" Target="media/image379.jpe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jpeg"/><Relationship Id="rId391" Type="http://schemas.openxmlformats.org/officeDocument/2006/relationships/image" Target="media/image384.jpeg"/><Relationship Id="rId392" Type="http://schemas.openxmlformats.org/officeDocument/2006/relationships/image" Target="media/image385.jpeg"/><Relationship Id="rId393" Type="http://schemas.openxmlformats.org/officeDocument/2006/relationships/image" Target="media/image386.jpeg"/><Relationship Id="rId394" Type="http://schemas.openxmlformats.org/officeDocument/2006/relationships/image" Target="media/image387.jpeg"/><Relationship Id="rId395" Type="http://schemas.openxmlformats.org/officeDocument/2006/relationships/image" Target="media/image388.jpe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jpe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jpe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jpe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jpe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jpe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jpe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jpeg"/><Relationship Id="rId482" Type="http://schemas.openxmlformats.org/officeDocument/2006/relationships/image" Target="media/image475.jpeg"/><Relationship Id="rId483" Type="http://schemas.openxmlformats.org/officeDocument/2006/relationships/image" Target="media/image476.jpe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2019-12-03T15:47:14Z</dcterms:created>
  <dcterms:modified xsi:type="dcterms:W3CDTF">2019-12-03T15:47:14Z</dcterms:modified>
</cp:coreProperties>
</file>