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Washington, D.C.</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PURSUANT TO SECTION 13 OR 15 (d) OF THE</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jc w:val="right"/>
        <w:ind w:right="2519"/>
        <w:spacing w:after="0"/>
        <w:rPr>
          <w:sz w:val="20"/>
          <w:szCs w:val="20"/>
          <w:color w:val="auto"/>
        </w:rPr>
      </w:pPr>
      <w:r>
        <w:rPr>
          <w:rFonts w:ascii="Courier New" w:cs="Courier New" w:eastAsia="Courier New" w:hAnsi="Courier New"/>
          <w:sz w:val="18"/>
          <w:szCs w:val="18"/>
          <w:color w:val="auto"/>
        </w:rPr>
        <w:t>Date of report (Date of earliest event reported) February 8, 2001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The Allstate Corporation</w:t>
      </w:r>
    </w:p>
    <w:p>
      <w:pPr>
        <w:spacing w:after="0" w:line="29"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(Exact Name of Registrant as Specified in Charter)</w:t>
      </w: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3460" w:type="dxa"/>
            <w:vAlign w:val="bottom"/>
          </w:tcPr>
          <w:p>
            <w:pPr>
              <w:jc w:val="right"/>
              <w:ind w:right="1498"/>
              <w:spacing w:after="0"/>
              <w:rPr>
                <w:sz w:val="20"/>
                <w:szCs w:val="20"/>
                <w:color w:val="auto"/>
              </w:rPr>
            </w:pPr>
            <w:r>
              <w:rPr>
                <w:rFonts w:ascii="Courier New" w:cs="Courier New" w:eastAsia="Courier New" w:hAnsi="Courier New"/>
                <w:sz w:val="18"/>
                <w:szCs w:val="18"/>
                <w:color w:val="auto"/>
              </w:rPr>
              <w:t>Delaware</w:t>
            </w:r>
          </w:p>
        </w:tc>
        <w:tc>
          <w:tcPr>
            <w:tcW w:w="22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1-11840</w:t>
            </w:r>
          </w:p>
        </w:tc>
        <w:tc>
          <w:tcPr>
            <w:tcW w:w="2420" w:type="dxa"/>
            <w:vAlign w:val="bottom"/>
          </w:tcPr>
          <w:p>
            <w:pPr>
              <w:jc w:val="center"/>
              <w:ind w:left="872"/>
              <w:spacing w:after="0"/>
              <w:rPr>
                <w:sz w:val="20"/>
                <w:szCs w:val="20"/>
                <w:color w:val="auto"/>
              </w:rPr>
            </w:pPr>
            <w:r>
              <w:rPr>
                <w:rFonts w:ascii="Courier New" w:cs="Courier New" w:eastAsia="Courier New" w:hAnsi="Courier New"/>
                <w:sz w:val="18"/>
                <w:szCs w:val="18"/>
                <w:color w:val="auto"/>
                <w:w w:val="98"/>
              </w:rPr>
              <w:t>36-3871531</w:t>
            </w:r>
          </w:p>
        </w:tc>
        <w:tc>
          <w:tcPr>
            <w:tcW w:w="0" w:type="dxa"/>
            <w:vAlign w:val="bottom"/>
          </w:tcPr>
          <w:p>
            <w:pPr>
              <w:spacing w:after="0"/>
              <w:rPr>
                <w:sz w:val="1"/>
                <w:szCs w:val="1"/>
                <w:color w:val="auto"/>
              </w:rPr>
            </w:pPr>
          </w:p>
        </w:tc>
      </w:tr>
      <w:tr>
        <w:trPr>
          <w:trHeight w:val="203"/>
        </w:trPr>
        <w:tc>
          <w:tcPr>
            <w:tcW w:w="3460" w:type="dxa"/>
            <w:vAlign w:val="bottom"/>
            <w:vMerge w:val="restart"/>
          </w:tcPr>
          <w:p>
            <w:pPr>
              <w:jc w:val="right"/>
              <w:ind w:right="1178"/>
              <w:spacing w:after="0"/>
              <w:rPr>
                <w:sz w:val="20"/>
                <w:szCs w:val="20"/>
                <w:color w:val="auto"/>
              </w:rPr>
            </w:pPr>
            <w:r>
              <w:rPr>
                <w:rFonts w:ascii="Courier New" w:cs="Courier New" w:eastAsia="Courier New" w:hAnsi="Courier New"/>
                <w:sz w:val="32"/>
                <w:szCs w:val="32"/>
                <w:color w:val="auto"/>
                <w:w w:val="70"/>
                <w:vertAlign w:val="subscript"/>
              </w:rPr>
              <w:t>(State</w:t>
            </w:r>
            <w:r>
              <w:rPr>
                <w:rFonts w:ascii="Courier New" w:cs="Courier New" w:eastAsia="Courier New" w:hAnsi="Courier New"/>
                <w:sz w:val="16"/>
                <w:szCs w:val="16"/>
                <w:color w:val="auto"/>
                <w:w w:val="70"/>
              </w:rPr>
              <w:t>---------------</w:t>
            </w:r>
            <w:r>
              <w:rPr>
                <w:rFonts w:ascii="Courier New" w:cs="Courier New" w:eastAsia="Courier New" w:hAnsi="Courier New"/>
                <w:sz w:val="32"/>
                <w:szCs w:val="32"/>
                <w:color w:val="auto"/>
                <w:w w:val="70"/>
                <w:vertAlign w:val="subscript"/>
              </w:rPr>
              <w:t>orOther</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jc w:val="center"/>
              <w:ind w:left="852"/>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3460" w:type="dxa"/>
            <w:vAlign w:val="bottom"/>
            <w:vMerge w:val="continue"/>
          </w:tcPr>
          <w:p>
            <w:pPr>
              <w:spacing w:after="0"/>
              <w:rPr>
                <w:sz w:val="17"/>
                <w:szCs w:val="17"/>
                <w:color w:val="auto"/>
              </w:rPr>
            </w:pP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(Commission</w:t>
            </w:r>
          </w:p>
        </w:tc>
        <w:tc>
          <w:tcPr>
            <w:tcW w:w="2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(IRS Employer</w:t>
            </w:r>
          </w:p>
        </w:tc>
        <w:tc>
          <w:tcPr>
            <w:tcW w:w="0" w:type="dxa"/>
            <w:vAlign w:val="bottom"/>
          </w:tcPr>
          <w:p>
            <w:pPr>
              <w:spacing w:after="0"/>
              <w:rPr>
                <w:sz w:val="1"/>
                <w:szCs w:val="1"/>
                <w:color w:val="auto"/>
              </w:rPr>
            </w:pPr>
          </w:p>
        </w:tc>
      </w:tr>
      <w:tr>
        <w:trPr>
          <w:trHeight w:val="203"/>
        </w:trPr>
        <w:tc>
          <w:tcPr>
            <w:tcW w:w="3460" w:type="dxa"/>
            <w:vAlign w:val="bottom"/>
          </w:tcPr>
          <w:p>
            <w:pPr>
              <w:jc w:val="right"/>
              <w:ind w:right="1178"/>
              <w:spacing w:after="0" w:line="203" w:lineRule="exact"/>
              <w:rPr>
                <w:sz w:val="20"/>
                <w:szCs w:val="20"/>
                <w:color w:val="auto"/>
              </w:rPr>
            </w:pPr>
            <w:r>
              <w:rPr>
                <w:rFonts w:ascii="Courier New" w:cs="Courier New" w:eastAsia="Courier New" w:hAnsi="Courier New"/>
                <w:sz w:val="18"/>
                <w:szCs w:val="18"/>
                <w:color w:val="auto"/>
              </w:rPr>
              <w:t>Jurisdiction of</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File Number)</w:t>
            </w:r>
          </w:p>
        </w:tc>
        <w:tc>
          <w:tcPr>
            <w:tcW w:w="2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6"/>
              </w:rPr>
              <w:t>Identification</w:t>
            </w:r>
          </w:p>
        </w:tc>
        <w:tc>
          <w:tcPr>
            <w:tcW w:w="0" w:type="dxa"/>
            <w:vAlign w:val="bottom"/>
          </w:tcPr>
          <w:p>
            <w:pPr>
              <w:spacing w:after="0"/>
              <w:rPr>
                <w:sz w:val="1"/>
                <w:szCs w:val="1"/>
                <w:color w:val="auto"/>
              </w:rPr>
            </w:pPr>
          </w:p>
        </w:tc>
      </w:tr>
      <w:tr>
        <w:trPr>
          <w:trHeight w:val="296"/>
        </w:trPr>
        <w:tc>
          <w:tcPr>
            <w:tcW w:w="3460" w:type="dxa"/>
            <w:vAlign w:val="bottom"/>
          </w:tcPr>
          <w:p>
            <w:pPr>
              <w:jc w:val="right"/>
              <w:ind w:right="1178"/>
              <w:spacing w:after="0"/>
              <w:rPr>
                <w:sz w:val="20"/>
                <w:szCs w:val="20"/>
                <w:color w:val="auto"/>
              </w:rPr>
            </w:pPr>
            <w:r>
              <w:rPr>
                <w:rFonts w:ascii="Courier New" w:cs="Courier New" w:eastAsia="Courier New" w:hAnsi="Courier New"/>
                <w:sz w:val="18"/>
                <w:szCs w:val="18"/>
                <w:color w:val="auto"/>
              </w:rPr>
              <w:t>Incorporation)</w:t>
            </w:r>
          </w:p>
        </w:tc>
        <w:tc>
          <w:tcPr>
            <w:tcW w:w="2220" w:type="dxa"/>
            <w:vAlign w:val="bottom"/>
          </w:tcPr>
          <w:p>
            <w:pPr>
              <w:spacing w:after="0"/>
              <w:rPr>
                <w:sz w:val="24"/>
                <w:szCs w:val="24"/>
                <w:color w:val="auto"/>
              </w:rPr>
            </w:pPr>
          </w:p>
        </w:tc>
        <w:tc>
          <w:tcPr>
            <w:tcW w:w="2420" w:type="dxa"/>
            <w:vAlign w:val="bottom"/>
          </w:tcPr>
          <w:p>
            <w:pPr>
              <w:jc w:val="center"/>
              <w:ind w:left="972"/>
              <w:spacing w:after="0"/>
              <w:rPr>
                <w:sz w:val="20"/>
                <w:szCs w:val="20"/>
                <w:color w:val="auto"/>
              </w:rPr>
            </w:pPr>
            <w:r>
              <w:rPr>
                <w:rFonts w:ascii="Courier New" w:cs="Courier New" w:eastAsia="Courier New" w:hAnsi="Courier New"/>
                <w:sz w:val="18"/>
                <w:szCs w:val="18"/>
                <w:color w:val="auto"/>
                <w:w w:val="95"/>
              </w:rPr>
              <w:t>Number)</w:t>
            </w:r>
          </w:p>
        </w:tc>
        <w:tc>
          <w:tcPr>
            <w:tcW w:w="0" w:type="dxa"/>
            <w:vAlign w:val="bottom"/>
          </w:tcPr>
          <w:p>
            <w:pPr>
              <w:spacing w:after="0"/>
              <w:rPr>
                <w:sz w:val="1"/>
                <w:szCs w:val="1"/>
                <w:color w:val="auto"/>
              </w:rPr>
            </w:pPr>
          </w:p>
        </w:tc>
      </w:tr>
      <w:tr>
        <w:trPr>
          <w:trHeight w:val="514"/>
        </w:trPr>
        <w:tc>
          <w:tcPr>
            <w:tcW w:w="5680" w:type="dxa"/>
            <w:vAlign w:val="bottom"/>
            <w:gridSpan w:val="2"/>
          </w:tcPr>
          <w:p>
            <w:pPr>
              <w:jc w:val="right"/>
              <w:ind w:right="1392"/>
              <w:spacing w:after="0"/>
              <w:rPr>
                <w:sz w:val="20"/>
                <w:szCs w:val="20"/>
                <w:color w:val="auto"/>
              </w:rPr>
            </w:pPr>
            <w:r>
              <w:rPr>
                <w:rFonts w:ascii="Courier New" w:cs="Courier New" w:eastAsia="Courier New" w:hAnsi="Courier New"/>
                <w:sz w:val="18"/>
                <w:szCs w:val="18"/>
                <w:color w:val="auto"/>
                <w:w w:val="99"/>
              </w:rPr>
              <w:t>2775 Sanders Road, Northbrook, Illinois</w:t>
            </w:r>
          </w:p>
        </w:tc>
        <w:tc>
          <w:tcPr>
            <w:tcW w:w="2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60062</w:t>
            </w:r>
          </w:p>
        </w:tc>
        <w:tc>
          <w:tcPr>
            <w:tcW w:w="0" w:type="dxa"/>
            <w:vAlign w:val="bottom"/>
          </w:tcPr>
          <w:p>
            <w:pPr>
              <w:spacing w:after="0"/>
              <w:rPr>
                <w:sz w:val="1"/>
                <w:szCs w:val="1"/>
                <w:color w:val="auto"/>
              </w:rPr>
            </w:pPr>
          </w:p>
        </w:tc>
      </w:tr>
      <w:tr>
        <w:trPr>
          <w:trHeight w:val="203"/>
        </w:trPr>
        <w:tc>
          <w:tcPr>
            <w:tcW w:w="5680" w:type="dxa"/>
            <w:vAlign w:val="bottom"/>
            <w:gridSpan w:val="2"/>
            <w:vMerge w:val="restart"/>
          </w:tcPr>
          <w:p>
            <w:pPr>
              <w:jc w:val="right"/>
              <w:ind w:right="1392"/>
              <w:spacing w:after="0"/>
              <w:rPr>
                <w:sz w:val="20"/>
                <w:szCs w:val="20"/>
                <w:color w:val="auto"/>
              </w:rPr>
            </w:pPr>
            <w:r>
              <w:rPr>
                <w:rFonts w:ascii="Courier New" w:cs="Courier New" w:eastAsia="Courier New" w:hAnsi="Courier New"/>
                <w:sz w:val="20"/>
                <w:szCs w:val="20"/>
                <w:color w:val="auto"/>
                <w:w w:val="72"/>
                <w:vertAlign w:val="subscript"/>
              </w:rPr>
              <w:t>(Address</w:t>
            </w:r>
            <w:r>
              <w:rPr>
                <w:rFonts w:ascii="Courier New" w:cs="Courier New" w:eastAsia="Courier New" w:hAnsi="Courier New"/>
                <w:sz w:val="12"/>
                <w:szCs w:val="12"/>
                <w:color w:val="auto"/>
                <w:w w:val="72"/>
              </w:rPr>
              <w:t>----------------------------------------</w:t>
            </w:r>
            <w:r>
              <w:rPr>
                <w:rFonts w:ascii="Courier New" w:cs="Courier New" w:eastAsia="Courier New" w:hAnsi="Courier New"/>
                <w:sz w:val="20"/>
                <w:szCs w:val="20"/>
                <w:color w:val="auto"/>
                <w:w w:val="72"/>
                <w:vertAlign w:val="subscript"/>
              </w:rPr>
              <w:t>ofPrincipalExecutiveOffices)</w:t>
            </w:r>
          </w:p>
        </w:tc>
        <w:tc>
          <w:tcPr>
            <w:tcW w:w="242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313"/>
        </w:trPr>
        <w:tc>
          <w:tcPr>
            <w:tcW w:w="5680" w:type="dxa"/>
            <w:vAlign w:val="bottom"/>
            <w:gridSpan w:val="2"/>
            <w:vMerge w:val="continue"/>
          </w:tcPr>
          <w:p>
            <w:pPr>
              <w:spacing w:after="0"/>
              <w:rPr>
                <w:sz w:val="24"/>
                <w:szCs w:val="24"/>
                <w:color w:val="auto"/>
              </w:rPr>
            </w:pPr>
          </w:p>
        </w:tc>
        <w:tc>
          <w:tcPr>
            <w:tcW w:w="2420" w:type="dxa"/>
            <w:vAlign w:val="bottom"/>
          </w:tcPr>
          <w:p>
            <w:pPr>
              <w:ind w:left="1160"/>
              <w:spacing w:after="0"/>
              <w:rPr>
                <w:sz w:val="20"/>
                <w:szCs w:val="20"/>
                <w:color w:val="auto"/>
              </w:rPr>
            </w:pPr>
            <w:r>
              <w:rPr>
                <w:rFonts w:ascii="Courier New" w:cs="Courier New" w:eastAsia="Courier New" w:hAnsi="Courier New"/>
                <w:sz w:val="18"/>
                <w:szCs w:val="18"/>
                <w:color w:val="auto"/>
              </w:rPr>
              <w:t>(Zip Code)</w:t>
            </w:r>
          </w:p>
        </w:tc>
        <w:tc>
          <w:tcPr>
            <w:tcW w:w="0" w:type="dxa"/>
            <w:vAlign w:val="bottom"/>
          </w:tcPr>
          <w:p>
            <w:pPr>
              <w:spacing w:after="0"/>
              <w:rPr>
                <w:sz w:val="1"/>
                <w:szCs w:val="1"/>
                <w:color w:val="auto"/>
              </w:rPr>
            </w:pPr>
          </w:p>
        </w:tc>
      </w:tr>
    </w:tbl>
    <w:p>
      <w:pPr>
        <w:spacing w:after="0" w:line="29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(847) 402-5000</w:t>
      </w:r>
    </w:p>
    <w:p>
      <w:pPr>
        <w:spacing w:after="0" w:line="31" w:lineRule="exact"/>
        <w:rPr>
          <w:sz w:val="24"/>
          <w:szCs w:val="24"/>
          <w:color w:val="auto"/>
        </w:rPr>
      </w:pPr>
    </w:p>
    <w:p>
      <w:pPr>
        <w:ind w:left="5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Page 1 of 5</w:t>
      </w:r>
    </w:p>
    <w:p>
      <w:pPr>
        <w:spacing w:after="0" w:line="3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Exhibit Index at page 4</w:t>
      </w:r>
    </w:p>
    <w:p>
      <w:pPr>
        <w:sectPr>
          <w:pgSz w:w="11900" w:h="16838" w:orient="portrait"/>
          <w:cols w:equalWidth="0" w:num="1">
            <w:col w:w="10219"/>
          </w:cols>
          <w:pgMar w:left="240" w:top="623" w:right="1440" w:bottom="1440" w:gutter="0" w:footer="0" w:header="0"/>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0" w:lineRule="exact"/>
        <w:rPr>
          <w:sz w:val="20"/>
          <w:szCs w:val="20"/>
          <w:color w:val="auto"/>
        </w:rPr>
      </w:pPr>
    </w:p>
    <w:p>
      <w:pPr>
        <w:spacing w:after="0" w:line="204"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On February 8, 2001, the Registrant issued the press release attached hereto as Exhibit 99.</w:t>
      </w:r>
    </w:p>
    <w:p>
      <w:pPr>
        <w:spacing w:after="0" w:line="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0" w:lineRule="exact"/>
        <w:rPr>
          <w:sz w:val="20"/>
          <w:szCs w:val="20"/>
          <w:color w:val="auto"/>
        </w:rPr>
      </w:pPr>
    </w:p>
    <w:p>
      <w:pPr>
        <w:spacing w:after="0" w:line="204" w:lineRule="exact"/>
        <w:rPr>
          <w:sz w:val="20"/>
          <w:szCs w:val="20"/>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ectPr>
          <w:pgSz w:w="11900" w:h="16838" w:orient="portrait"/>
          <w:cols w:equalWidth="0" w:num="1">
            <w:col w:w="10219"/>
          </w:cols>
          <w:pgMar w:left="240" w:top="6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3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3300" w:space="720"/>
            <w:col w:w="6199"/>
          </w:cols>
          <w:pgMar w:left="240" w:top="691" w:right="1440" w:bottom="1440" w:gutter="0" w:footer="0" w:header="0"/>
          <w:type w:val="continuous"/>
        </w:sectPr>
      </w:pPr>
    </w:p>
    <w:p>
      <w:pPr>
        <w:ind w:left="320"/>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Registrant's press release dated February 8, 2001</w:t>
      </w:r>
    </w:p>
    <w:p>
      <w:pPr>
        <w:spacing w:after="0" w:line="222" w:lineRule="exact"/>
        <w:rPr>
          <w:sz w:val="20"/>
          <w:szCs w:val="20"/>
          <w:color w:val="auto"/>
        </w:rPr>
      </w:pPr>
    </w:p>
    <w:p>
      <w:pPr>
        <w:sectPr>
          <w:pgSz w:w="11900" w:h="16838" w:orient="portrait"/>
          <w:cols w:equalWidth="0" w:num="2">
            <w:col w:w="1600" w:space="720"/>
            <w:col w:w="7899"/>
          </w:cols>
          <w:pgMar w:left="240" w:top="69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Page 2 of 5</w:t>
      </w:r>
    </w:p>
    <w:p>
      <w:pPr>
        <w:sectPr>
          <w:pgSz w:w="11900" w:h="16838" w:orient="portrait"/>
          <w:cols w:equalWidth="0" w:num="1">
            <w:col w:w="10219"/>
          </w:cols>
          <w:pgMar w:left="240" w:top="691" w:right="1440" w:bottom="1440" w:gutter="0" w:footer="0" w:header="0"/>
          <w:type w:val="continuous"/>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4"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6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THE ALLSTATE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Emma M. Kalaidjian</w:t>
      </w:r>
    </w:p>
    <w:p>
      <w:pPr>
        <w:spacing w:after="0" w:line="2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w:t>
      </w:r>
    </w:p>
    <w:p>
      <w:pPr>
        <w:ind w:left="5060"/>
        <w:spacing w:after="0"/>
        <w:tabs>
          <w:tab w:leader="none" w:pos="5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Emma M. Kalaidjian</w:t>
      </w:r>
    </w:p>
    <w:p>
      <w:pPr>
        <w:ind w:left="5060"/>
        <w:spacing w:after="0"/>
        <w:rPr>
          <w:sz w:val="20"/>
          <w:szCs w:val="20"/>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3 of 5</w:t>
      </w:r>
    </w:p>
    <w:p>
      <w:pPr>
        <w:sectPr>
          <w:pgSz w:w="11900" w:h="16838" w:orient="portrait"/>
          <w:cols w:equalWidth="0" w:num="1">
            <w:col w:w="10219"/>
          </w:cols>
          <w:pgMar w:left="240" w:top="691" w:right="1440" w:bottom="1440" w:gutter="0" w:footer="0" w:header="0"/>
        </w:sectPr>
      </w:pPr>
    </w:p>
    <w:bookmarkStart w:id="3" w:name="page4"/>
    <w:bookmarkEnd w:id="3"/>
    <w:p>
      <w:pPr>
        <w:ind w:left="3280"/>
        <w:spacing w:after="0"/>
        <w:rPr>
          <w:sz w:val="20"/>
          <w:szCs w:val="20"/>
          <w:color w:val="auto"/>
        </w:rPr>
      </w:pPr>
      <w:r>
        <w:rPr>
          <w:rFonts w:ascii="Courier New" w:cs="Courier New" w:eastAsia="Courier New" w:hAnsi="Courier New"/>
          <w:sz w:val="18"/>
          <w:szCs w:val="18"/>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8"/>
                <w:szCs w:val="18"/>
                <w:color w:val="auto"/>
              </w:rPr>
              <w:t>Sequential</w:t>
            </w:r>
          </w:p>
        </w:tc>
        <w:tc>
          <w:tcPr>
            <w:tcW w:w="0" w:type="dxa"/>
            <w:vAlign w:val="bottom"/>
          </w:tcPr>
          <w:p>
            <w:pPr>
              <w:spacing w:after="0"/>
              <w:rPr>
                <w:sz w:val="1"/>
                <w:szCs w:val="1"/>
                <w:color w:val="auto"/>
              </w:rPr>
            </w:pPr>
          </w:p>
        </w:tc>
      </w:tr>
      <w:tr>
        <w:trPr>
          <w:trHeight w:val="203"/>
        </w:trPr>
        <w:tc>
          <w:tcPr>
            <w:tcW w:w="1000" w:type="dxa"/>
            <w:vAlign w:val="bottom"/>
            <w:vMerge w:val="restart"/>
          </w:tcPr>
          <w:p>
            <w:pPr>
              <w:spacing w:after="0"/>
              <w:rPr>
                <w:sz w:val="20"/>
                <w:szCs w:val="20"/>
                <w:color w:val="auto"/>
              </w:rPr>
            </w:pPr>
            <w:r>
              <w:rPr>
                <w:rFonts w:ascii="Courier New" w:cs="Courier New" w:eastAsia="Courier New" w:hAnsi="Courier New"/>
                <w:sz w:val="18"/>
                <w:szCs w:val="18"/>
                <w:color w:val="auto"/>
              </w:rPr>
              <w:t>Number</w:t>
            </w:r>
          </w:p>
        </w:tc>
        <w:tc>
          <w:tcPr>
            <w:tcW w:w="5740" w:type="dxa"/>
            <w:vAlign w:val="bottom"/>
            <w:vMerge w:val="restart"/>
          </w:tcPr>
          <w:p>
            <w:pPr>
              <w:jc w:val="right"/>
              <w:ind w:right="2852"/>
              <w:spacing w:after="0"/>
              <w:rPr>
                <w:sz w:val="20"/>
                <w:szCs w:val="20"/>
                <w:color w:val="auto"/>
              </w:rPr>
            </w:pPr>
            <w:r>
              <w:rPr>
                <w:rFonts w:ascii="Courier New" w:cs="Courier New" w:eastAsia="Courier New" w:hAnsi="Courier New"/>
                <w:sz w:val="18"/>
                <w:szCs w:val="18"/>
                <w:color w:val="auto"/>
              </w:rPr>
              <w:t>Description</w:t>
            </w:r>
          </w:p>
        </w:tc>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Page</w:t>
            </w:r>
          </w:p>
        </w:tc>
        <w:tc>
          <w:tcPr>
            <w:tcW w:w="0" w:type="dxa"/>
            <w:vAlign w:val="bottom"/>
          </w:tcPr>
          <w:p>
            <w:pPr>
              <w:spacing w:after="0"/>
              <w:rPr>
                <w:sz w:val="1"/>
                <w:szCs w:val="1"/>
                <w:color w:val="auto"/>
              </w:rPr>
            </w:pPr>
          </w:p>
        </w:tc>
      </w:tr>
      <w:tr>
        <w:trPr>
          <w:trHeight w:val="203"/>
        </w:trPr>
        <w:tc>
          <w:tcPr>
            <w:tcW w:w="1000" w:type="dxa"/>
            <w:vAlign w:val="bottom"/>
            <w:vMerge w:val="continue"/>
          </w:tcPr>
          <w:p>
            <w:pPr>
              <w:spacing w:after="0"/>
              <w:rPr>
                <w:sz w:val="17"/>
                <w:szCs w:val="17"/>
                <w:color w:val="auto"/>
              </w:rPr>
            </w:pPr>
          </w:p>
        </w:tc>
        <w:tc>
          <w:tcPr>
            <w:tcW w:w="5740" w:type="dxa"/>
            <w:vAlign w:val="bottom"/>
            <w:vMerge w:val="continue"/>
          </w:tcPr>
          <w:p>
            <w:pPr>
              <w:spacing w:after="0"/>
              <w:rPr>
                <w:sz w:val="17"/>
                <w:szCs w:val="17"/>
                <w:color w:val="auto"/>
              </w:rPr>
            </w:pPr>
          </w:p>
        </w:tc>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Number</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5740" w:type="dxa"/>
            <w:vAlign w:val="bottom"/>
          </w:tcPr>
          <w:p>
            <w:pPr>
              <w:jc w:val="right"/>
              <w:ind w:right="2632"/>
              <w:spacing w:after="0"/>
              <w:rPr>
                <w:sz w:val="20"/>
                <w:szCs w:val="20"/>
                <w:color w:val="auto"/>
              </w:rPr>
            </w:pPr>
            <w:r>
              <w:rPr>
                <w:rFonts w:ascii="Courier New" w:cs="Courier New" w:eastAsia="Courier New" w:hAnsi="Courier New"/>
                <w:sz w:val="18"/>
                <w:szCs w:val="18"/>
                <w:color w:val="auto"/>
              </w:rPr>
              <w:t>-----------</w:t>
            </w:r>
          </w:p>
        </w:tc>
        <w:tc>
          <w:tcPr>
            <w:tcW w:w="1700" w:type="dxa"/>
            <w:vAlign w:val="bottom"/>
          </w:tcPr>
          <w:p>
            <w:pPr>
              <w:ind w:left="64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608"/>
        </w:trPr>
        <w:tc>
          <w:tcPr>
            <w:tcW w:w="1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99</w:t>
            </w:r>
          </w:p>
        </w:tc>
        <w:tc>
          <w:tcPr>
            <w:tcW w:w="5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Registrant's press release dated February 8, 2001</w:t>
            </w:r>
          </w:p>
        </w:tc>
        <w:tc>
          <w:tcPr>
            <w:tcW w:w="1700" w:type="dxa"/>
            <w:vAlign w:val="bottom"/>
          </w:tcPr>
          <w:p>
            <w:pPr>
              <w:ind w:left="960"/>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4 of 5</w:t>
      </w:r>
    </w:p>
    <w:p>
      <w:pPr>
        <w:sectPr>
          <w:pgSz w:w="11900" w:h="16838" w:orient="portrait"/>
          <w:cols w:equalWidth="0" w:num="1">
            <w:col w:w="10219"/>
          </w:cols>
          <w:pgMar w:left="240" w:top="893" w:right="1440" w:bottom="1440" w:gutter="0" w:footer="0" w:header="0"/>
        </w:sectPr>
      </w:pPr>
    </w:p>
    <w:bookmarkStart w:id="4" w:name="page5"/>
    <w:bookmarkEnd w:id="4"/>
    <w:p>
      <w:pPr>
        <w:jc w:val="right"/>
        <w:ind w:right="1879"/>
        <w:spacing w:after="0"/>
        <w:rPr>
          <w:sz w:val="20"/>
          <w:szCs w:val="20"/>
          <w:color w:val="auto"/>
        </w:rPr>
      </w:pPr>
      <w:r>
        <w:rPr>
          <w:rFonts w:ascii="Courier New" w:cs="Courier New" w:eastAsia="Courier New" w:hAnsi="Courier New"/>
          <w:sz w:val="18"/>
          <w:szCs w:val="18"/>
          <w:color w:val="auto"/>
        </w:rPr>
        <w:t>Exhibit No. 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6"/>
          <w:szCs w:val="16"/>
          <w:color w:val="auto"/>
        </w:rPr>
        <w:t>Michael Trevino</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(847) 402-5600</w:t>
      </w:r>
    </w:p>
    <w:p>
      <w:pPr>
        <w:spacing w:after="0" w:line="169"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ALLSTATE EXONERATED BY LOS ANGELES U.S. ATTORNEY'S OFFICE</w:t>
      </w:r>
    </w:p>
    <w:p>
      <w:pPr>
        <w:spacing w:after="0" w:line="3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INVESTIGATION OF NORTHRIDGE EARTHQUAKE CLAIMS ENDED</w:t>
      </w:r>
    </w:p>
    <w:p>
      <w:pPr>
        <w:spacing w:after="0" w:line="169" w:lineRule="exact"/>
        <w:rPr>
          <w:sz w:val="20"/>
          <w:szCs w:val="20"/>
          <w:color w:val="auto"/>
        </w:rPr>
      </w:pPr>
    </w:p>
    <w:p>
      <w:pPr>
        <w:ind w:right="2199" w:firstLine="527"/>
        <w:spacing w:after="0" w:line="298" w:lineRule="auto"/>
        <w:rPr>
          <w:sz w:val="20"/>
          <w:szCs w:val="20"/>
          <w:color w:val="auto"/>
        </w:rPr>
      </w:pPr>
      <w:r>
        <w:rPr>
          <w:rFonts w:ascii="Courier New" w:cs="Courier New" w:eastAsia="Courier New" w:hAnsi="Courier New"/>
          <w:sz w:val="16"/>
          <w:szCs w:val="16"/>
          <w:color w:val="auto"/>
        </w:rPr>
        <w:t>NORTHBROOK, Ill., -- February 8, 2001 -- The Allstate Insurance Company today announced that it has been advised by the Los Angeles United States Attorney's office that the investigation initiated into Allstate's handling of claims arising from the 1994 Northridge earthquake in California has ended. The office has informed Allstate that it is terminating its investigation with no charges or action being taken against the company.</w:t>
      </w:r>
    </w:p>
    <w:p>
      <w:pPr>
        <w:spacing w:after="0" w:line="68" w:lineRule="exact"/>
        <w:rPr>
          <w:sz w:val="20"/>
          <w:szCs w:val="20"/>
          <w:color w:val="auto"/>
        </w:rPr>
      </w:pPr>
    </w:p>
    <w:p>
      <w:pPr>
        <w:ind w:right="2099" w:firstLine="527"/>
        <w:spacing w:after="0" w:line="344" w:lineRule="auto"/>
        <w:rPr>
          <w:sz w:val="20"/>
          <w:szCs w:val="20"/>
          <w:color w:val="auto"/>
        </w:rPr>
      </w:pPr>
      <w:r>
        <w:rPr>
          <w:rFonts w:ascii="Courier New" w:cs="Courier New" w:eastAsia="Courier New" w:hAnsi="Courier New"/>
          <w:sz w:val="16"/>
          <w:szCs w:val="16"/>
          <w:color w:val="auto"/>
        </w:rPr>
        <w:t>"We are very pleased that, following an extensive review of our conduct, the government has chosen to take no action involving the company and to close its file," said Allstate Chairman, President and CEO Edward M. Liddy.</w:t>
      </w:r>
    </w:p>
    <w:p>
      <w:pPr>
        <w:spacing w:after="0" w:line="31" w:lineRule="exact"/>
        <w:rPr>
          <w:sz w:val="20"/>
          <w:szCs w:val="20"/>
          <w:color w:val="auto"/>
        </w:rPr>
      </w:pPr>
    </w:p>
    <w:p>
      <w:pPr>
        <w:ind w:right="2199" w:firstLine="527"/>
        <w:spacing w:after="0" w:line="274" w:lineRule="auto"/>
        <w:rPr>
          <w:sz w:val="20"/>
          <w:szCs w:val="20"/>
          <w:color w:val="auto"/>
        </w:rPr>
      </w:pPr>
      <w:r>
        <w:rPr>
          <w:rFonts w:ascii="Courier New" w:cs="Courier New" w:eastAsia="Courier New" w:hAnsi="Courier New"/>
          <w:sz w:val="18"/>
          <w:szCs w:val="18"/>
          <w:color w:val="auto"/>
        </w:rPr>
        <w:t>"We remain committed to providing the best, most effective service for our policyholders; and we remain proud of our employees who worked valiantly and compassionately to meet our customers' needs under very trying circumstances," said Liddy.</w:t>
      </w:r>
    </w:p>
    <w:p>
      <w:pPr>
        <w:spacing w:after="0" w:line="82" w:lineRule="exact"/>
        <w:rPr>
          <w:sz w:val="20"/>
          <w:szCs w:val="20"/>
          <w:color w:val="auto"/>
        </w:rPr>
      </w:pPr>
    </w:p>
    <w:p>
      <w:pPr>
        <w:ind w:right="2319" w:firstLine="527"/>
        <w:spacing w:after="0" w:line="285" w:lineRule="auto"/>
        <w:rPr>
          <w:sz w:val="20"/>
          <w:szCs w:val="20"/>
          <w:color w:val="auto"/>
        </w:rPr>
      </w:pPr>
      <w:r>
        <w:rPr>
          <w:rFonts w:ascii="Courier New" w:cs="Courier New" w:eastAsia="Courier New" w:hAnsi="Courier New"/>
          <w:sz w:val="16"/>
          <w:szCs w:val="16"/>
          <w:color w:val="auto"/>
        </w:rPr>
        <w:t>The Allstate Corporation (NYSE: ALL) is the nation's largest publicly held personal lines insurer. Widely known through its "You're In Good Hands With Allstate-Registered Trademark-" slogan, Allstate provides insurance products to more than 14 million households and has approximately 13,000 exclusive agents in the U.S. and Canada. Customers can access Allstate products and services through Allstate agents, or in select states at allstate.com and 1-800-Allstate. Encompass and Deerbrook Insurance brand property and casualty products are sold exclusively through independent agents. Allstate Financial Group includes the businesses that provide life insurance, retirement and investment products.</w:t>
      </w:r>
    </w:p>
    <w:p>
      <w:pPr>
        <w:spacing w:after="0" w:line="29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5 of 5</w:t>
      </w:r>
    </w:p>
    <w:sectPr>
      <w:pgSz w:w="11900" w:h="16838" w:orient="portrait"/>
      <w:cols w:equalWidth="0" w:num="1">
        <w:col w:w="10219"/>
      </w:cols>
      <w:pgMar w:left="24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2019-12-14T00:50:14Z</dcterms:created>
  <dcterms:modified xsi:type="dcterms:W3CDTF">2019-12-14T00:50:14Z</dcterms:modified>
</cp:coreProperties>
</file>