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 (d) OF THE</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24"/>
        </w:rPr>
        <w:t>Date of report (Date of earliest event reported):</w:t>
      </w:r>
      <w:r>
        <w:rPr>
          <w:color w:val="000000"/>
        </w:rPr>
        <w:t> </w:t>
      </w:r>
      <w:r>
        <w:rPr>
          <w:rFonts w:ascii="Arial;sans-serif" w:hAnsi="Arial;sans-serif"/>
          <w:b w:val="false"/>
          <w:color w:val="000000"/>
          <w:sz w:val="22"/>
        </w:rPr>
        <w:t xml:space="preserve">October 15, 2026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THE ALLSTATE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083" w:type="dxa"/>
        <w:jc w:val="left"/>
        <w:tblInd w:w="0" w:type="dxa"/>
        <w:tblLayout w:type="fixed"/>
        <w:tblCellMar>
          <w:top w:w="28" w:type="dxa"/>
          <w:left w:w="28" w:type="dxa"/>
          <w:bottom w:w="28" w:type="dxa"/>
          <w:right w:w="28" w:type="dxa"/>
        </w:tblCellMar>
      </w:tblPr>
      <w:tblGrid>
        <w:gridCol w:w="905"/>
        <w:gridCol w:w="795"/>
        <w:gridCol w:w="804"/>
        <w:gridCol w:w="109"/>
        <w:gridCol w:w="109"/>
        <w:gridCol w:w="109"/>
        <w:gridCol w:w="414"/>
        <w:gridCol w:w="414"/>
        <w:gridCol w:w="418"/>
        <w:gridCol w:w="109"/>
        <w:gridCol w:w="109"/>
        <w:gridCol w:w="109"/>
        <w:gridCol w:w="490"/>
        <w:gridCol w:w="490"/>
        <w:gridCol w:w="699"/>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1-11840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36-3871531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w:t>
              <w:b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w:t>
              <w:br/>
              <w:t>Identification No.)</w:t>
            </w:r>
          </w:p>
        </w:tc>
      </w:tr>
    </w:tbl>
    <w:p>
      <w:pPr>
        <w:pStyle w:val="TextBody"/>
        <w:bidi w:val="0"/>
        <w:spacing w:lineRule="auto" w:line="288" w:before="20" w:after="120"/>
        <w:ind w:left="0" w:right="0" w:firstLine="360"/>
        <w:jc w:val="center"/>
        <w:rPr>
          <w:rFonts w:ascii="Arial;sans-serif" w:hAnsi="Arial;sans-serif"/>
          <w:b/>
          <w:color w:val="000000"/>
          <w:sz w:val="20"/>
        </w:rPr>
      </w:pPr>
      <w:r>
        <w:rPr>
          <w:rFonts w:ascii="Arial;sans-serif" w:hAnsi="Arial;sans-serif"/>
          <w:b/>
          <w:color w:val="000000"/>
          <w:sz w:val="20"/>
        </w:rPr>
        <w:t xml:space="preserve">3100 Sanders Road, Northbrook, Illinois    60062 </w:t>
      </w:r>
    </w:p>
    <w:p>
      <w:pPr>
        <w:pStyle w:val="TextBody"/>
        <w:bidi w:val="0"/>
        <w:spacing w:lineRule="auto" w:line="288" w:before="0" w:after="60"/>
        <w:ind w:left="0" w:right="0" w:firstLine="360"/>
        <w:jc w:val="center"/>
        <w:rPr>
          <w:rFonts w:ascii="Arial;sans-serif" w:hAnsi="Arial;sans-serif"/>
          <w:b w:val="false"/>
          <w:color w:val="000000"/>
          <w:sz w:val="20"/>
        </w:rPr>
      </w:pPr>
      <w:r>
        <w:rPr>
          <w:rFonts w:ascii="Arial;sans-serif" w:hAnsi="Arial;sans-serif"/>
          <w:b w:val="false"/>
          <w:color w:val="000000"/>
          <w:sz w:val="20"/>
        </w:rPr>
        <w:t>(Address of principal executive offices)    (Zip Code)</w:t>
      </w:r>
    </w:p>
    <w:p>
      <w:pPr>
        <w:pStyle w:val="TextBody"/>
        <w:bidi w:val="0"/>
        <w:spacing w:lineRule="auto" w:line="288" w:before="0" w:after="60"/>
        <w:jc w:val="center"/>
        <w:rPr/>
      </w:pPr>
      <w:r>
        <w:rPr>
          <w:rFonts w:ascii="Arial;sans-serif" w:hAnsi="Arial;sans-serif"/>
          <w:b w:val="false"/>
          <w:color w:val="000000"/>
          <w:sz w:val="20"/>
        </w:rPr>
        <w:t>Registrant’s telephone number, including area code  </w:t>
      </w:r>
      <w:r>
        <w:rPr>
          <w:rFonts w:ascii="Arial;sans-serif" w:hAnsi="Arial;sans-serif"/>
          <w:b/>
          <w:color w:val="000000"/>
          <w:sz w:val="20"/>
        </w:rPr>
        <w:t>(847) 402-2800</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33"/>
        <w:gridCol w:w="1839"/>
        <w:gridCol w:w="1860"/>
        <w:gridCol w:w="432"/>
        <w:gridCol w:w="429"/>
        <w:gridCol w:w="430"/>
        <w:gridCol w:w="871"/>
        <w:gridCol w:w="871"/>
        <w:gridCol w:w="1240"/>
      </w:tblGrid>
      <w:tr>
        <w:trPr/>
        <w:tc>
          <w:tcPr>
            <w:tcW w:w="22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 York Stock Exchange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NYSE Texas</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5.100% Fixed-to-Floating Rate Subordinated Debentures due 2053</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ALL.PR.B</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5.100% Noncumulative Preferred Stock, Series H</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H</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4.750% Noncumulative Preferred Stock, Series I</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I</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7.375% Noncumulative Preferred Stock, Series J</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J</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345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04"/>
        <w:gridCol w:w="804"/>
        <w:gridCol w:w="8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7 - Regulation FD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Registrant’s September 2026 monthly release announcing estimated catastrophe losses is posted on allstateinvestors.com and attached hereto as Exhibit 99 which is incorporated herein by reference. This exhibit is furnished and not filed, pursuant to Instruction B.2 of Form 8-K.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ind w:left="0" w:right="0" w:firstLine="720"/>
        <w:jc w:val="left"/>
        <w:rPr>
          <w:color w:val="000000"/>
        </w:rPr>
      </w:pPr>
      <w:r>
        <w:rPr>
          <w:color w:val="000000"/>
        </w:rPr>
        <w:t> </w:t>
      </w:r>
    </w:p>
    <w:tbl>
      <w:tblPr>
        <w:tblW w:w="6748"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558"/>
        <w:gridCol w:w="1558"/>
        <w:gridCol w:w="222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newsrelease101526.htm">
              <w:r>
                <w:rPr>
                  <w:rStyle w:val="InternetLink"/>
                  <w:rFonts w:ascii="Arial;sans-serif" w:hAnsi="Arial;sans-serif"/>
                  <w:b w:val="false"/>
                  <w:color w:val="0000FF"/>
                  <w:sz w:val="20"/>
                  <w:u w:val="single"/>
                </w:rPr>
                <w:t>The Registrant’s press release dated October 15, 2026</w:t>
              </w:r>
            </w:hyperlink>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TextBody"/>
        <w:bidi w:val="0"/>
        <w:spacing w:before="10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7914"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536"/>
        <w:gridCol w:w="536"/>
        <w:gridCol w:w="536"/>
        <w:gridCol w:w="867"/>
        <w:gridCol w:w="867"/>
        <w:gridCol w:w="867"/>
        <w:gridCol w:w="536"/>
        <w:gridCol w:w="536"/>
        <w:gridCol w:w="75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THE ALLSTATE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Eric K. Ferren</w:t>
            </w:r>
          </w:p>
        </w:tc>
        <w:tc>
          <w:tcPr>
            <w:tcW w:w="1830"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Name: Eric K. Ferren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Senior Vice President, Controller and Chief Accounting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 15, 2026</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drawing>
          <wp:inline distT="0" distB="0" distL="0" distR="0">
            <wp:extent cx="1095375"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95375" cy="676275"/>
                    </a:xfrm>
                    <a:prstGeom prst="rect">
                      <a:avLst/>
                    </a:prstGeom>
                  </pic:spPr>
                </pic:pic>
              </a:graphicData>
            </a:graphic>
          </wp:inline>
        </w:drawing>
      </w:r>
    </w:p>
    <w:p>
      <w:pPr>
        <w:pStyle w:val="TextBody"/>
        <w:bidi w:val="0"/>
        <w:spacing w:lineRule="auto" w:line="288" w:before="0" w:after="120"/>
        <w:jc w:val="left"/>
        <w:rPr>
          <w:rFonts w:ascii="Arial;sans-serif" w:hAnsi="Arial;sans-serif"/>
          <w:b w:val="false"/>
          <w:color w:val="000000"/>
          <w:sz w:val="60"/>
        </w:rPr>
      </w:pPr>
      <w:r>
        <w:rPr>
          <w:rFonts w:ascii="Arial;sans-serif" w:hAnsi="Arial;sans-serif"/>
          <w:b w:val="false"/>
          <w:color w:val="000000"/>
          <w:sz w:val="60"/>
        </w:rPr>
        <w:t>NEWS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FOR IMMEDIATE RELEASE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Contacts:</w:t>
      </w:r>
    </w:p>
    <w:tbl>
      <w:tblPr>
        <w:tblW w:w="4651" w:type="dxa"/>
        <w:jc w:val="left"/>
        <w:tblInd w:w="0" w:type="dxa"/>
        <w:tblLayout w:type="fixed"/>
        <w:tblCellMar>
          <w:top w:w="28" w:type="dxa"/>
          <w:left w:w="28" w:type="dxa"/>
          <w:bottom w:w="28" w:type="dxa"/>
          <w:right w:w="28" w:type="dxa"/>
        </w:tblCellMar>
      </w:tblPr>
      <w:tblGrid>
        <w:gridCol w:w="1025"/>
        <w:gridCol w:w="771"/>
        <w:gridCol w:w="545"/>
        <w:gridCol w:w="109"/>
        <w:gridCol w:w="109"/>
        <w:gridCol w:w="109"/>
        <w:gridCol w:w="753"/>
        <w:gridCol w:w="515"/>
        <w:gridCol w:w="715"/>
      </w:tblGrid>
      <w:tr>
        <w:trPr/>
        <w:tc>
          <w:tcPr>
            <w:tcW w:w="10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Nick Nottoli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Allister Gobin</w:t>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Media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mediateam@allstate.com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invrel@allstate.com</w:t>
            </w:r>
          </w:p>
        </w:tc>
      </w:tr>
    </w:tbl>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2"/>
        </w:rPr>
      </w:pPr>
      <w:r>
        <w:rPr>
          <w:rFonts w:ascii="Arial;sans-serif" w:hAnsi="Arial;sans-serif"/>
          <w:b/>
          <w:color w:val="000000"/>
          <w:sz w:val="22"/>
        </w:rPr>
        <w:t>September 2026 Monthly Release</w:t>
      </w:r>
    </w:p>
    <w:p>
      <w:pPr>
        <w:pStyle w:val="TextBody"/>
        <w:bidi w:val="0"/>
        <w:spacing w:before="0" w:after="0"/>
        <w:jc w:val="center"/>
        <w:rPr/>
      </w:pPr>
      <w:r>
        <w:rPr/>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NORTHBROOK, Ill., Oct. 15, 2026 – The Allstate Corporation (NYSE: ALL) today announced estimated catastrophe losses for the month of September of $220 million or $173 million, after-tax. Total catastrophe losses for the third quarter were $1.65 billion or $1.30 billion, after-tax.</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Financial information, including material announcements about The Allstate Corporation, is routinely posted on www.allstateinvestors.com.</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Allstate</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Allstate Corporation (NYSE: ALL) protects people from life’s uncertainties with affordable, simple and connected protection for autos, homes, electronic devices, and identities. Products are available through a broad distribution network including Allstate agents, independent agents, major retailers, online, and at the workplace. Allstate has 216 million policies in force and is widely known for the slogan “You’re in Good Hands with Allstate.” For more information, visit www.allstate.com.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 #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 # #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854</Words>
  <Characters>5003</Characters>
  <CharactersWithSpaces>5851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