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20"/>
        <w:ind w:left="0" w:right="0" w:firstLine="360"/>
        <w:jc w:val="left"/>
        <w:rPr/>
      </w:pPr>
      <w:r>
        <w:rPr/>
      </w:r>
    </w:p>
    <w:p>
      <w:pPr>
        <w:pStyle w:val="TextBody"/>
        <w:bidi w:val="0"/>
        <w:spacing w:lineRule="auto" w:line="288" w:before="0" w:after="0"/>
        <w:ind w:left="0" w:right="0" w:firstLine="360"/>
        <w:jc w:val="center"/>
        <w:rPr>
          <w:rFonts w:ascii="Allstate Sans;sans-serif" w:hAnsi="Allstate Sans;sans-serif"/>
          <w:b/>
          <w:color w:val="000000"/>
          <w:sz w:val="20"/>
        </w:rPr>
      </w:pPr>
      <w:r>
        <w:rPr>
          <w:rFonts w:ascii="Allstate Sans;sans-serif" w:hAnsi="Allstate Sans;sans-serif"/>
          <w:b/>
          <w:color w:val="000000"/>
          <w:sz w:val="20"/>
        </w:rPr>
        <w:t>UNITED STATES</w:t>
      </w:r>
    </w:p>
    <w:p>
      <w:pPr>
        <w:pStyle w:val="TextBody"/>
        <w:bidi w:val="0"/>
        <w:spacing w:lineRule="auto" w:line="288" w:before="0" w:after="60"/>
        <w:ind w:left="0" w:right="0" w:firstLine="360"/>
        <w:jc w:val="center"/>
        <w:rPr>
          <w:rFonts w:ascii="Allstate Sans;sans-serif" w:hAnsi="Allstate Sans;sans-serif"/>
          <w:b/>
          <w:color w:val="000000"/>
          <w:sz w:val="20"/>
        </w:rPr>
      </w:pPr>
      <w:r>
        <w:rPr>
          <w:rFonts w:ascii="Allstate Sans;sans-serif" w:hAnsi="Allstate Sans;sans-serif"/>
          <w:b/>
          <w:color w:val="000000"/>
          <w:sz w:val="20"/>
        </w:rPr>
        <w:t>SECURITIES AND EXCHANGE COMMISSION</w:t>
      </w:r>
    </w:p>
    <w:p>
      <w:pPr>
        <w:pStyle w:val="TextBody"/>
        <w:bidi w:val="0"/>
        <w:spacing w:lineRule="auto" w:line="288" w:before="0" w:after="60"/>
        <w:ind w:left="0" w:right="0" w:firstLine="360"/>
        <w:jc w:val="center"/>
        <w:rPr>
          <w:rFonts w:ascii="Allstate Sans;sans-serif" w:hAnsi="Allstate Sans;sans-serif"/>
          <w:b/>
          <w:color w:val="000000"/>
          <w:sz w:val="18"/>
        </w:rPr>
      </w:pPr>
      <w:r>
        <w:rPr>
          <w:rFonts w:ascii="Allstate Sans;sans-serif" w:hAnsi="Allstate Sans;sans-serif"/>
          <w:b/>
          <w:color w:val="000000"/>
          <w:sz w:val="18"/>
        </w:rPr>
        <w:t>Washington, D.C. 20549</w:t>
      </w:r>
    </w:p>
    <w:p>
      <w:pPr>
        <w:pStyle w:val="TextBody"/>
        <w:bidi w:val="0"/>
        <w:spacing w:lineRule="auto" w:line="288" w:before="0" w:after="60"/>
        <w:ind w:left="0" w:right="0" w:firstLine="360"/>
        <w:jc w:val="center"/>
        <w:rPr>
          <w:rFonts w:ascii="Allstate Sans;sans-serif" w:hAnsi="Allstate Sans;sans-serif"/>
          <w:b/>
          <w:color w:val="000000"/>
          <w:sz w:val="20"/>
        </w:rPr>
      </w:pPr>
      <w:r>
        <w:rPr>
          <w:rFonts w:ascii="Allstate Sans;sans-serif" w:hAnsi="Allstate Sans;sans-serif"/>
          <w:b/>
          <w:color w:val="000000"/>
          <w:sz w:val="20"/>
        </w:rPr>
        <w:t xml:space="preserve">FORM 10-Q </w:t>
      </w:r>
    </w:p>
    <w:p>
      <w:pPr>
        <w:pStyle w:val="TextBody"/>
        <w:bidi w:val="0"/>
        <w:spacing w:lineRule="auto" w:line="288" w:before="0" w:after="120"/>
        <w:ind w:left="0" w:right="0" w:firstLine="360"/>
        <w:jc w:val="left"/>
        <w:rPr/>
      </w:pPr>
      <w:r>
        <w:rPr>
          <w:color w:val="000000"/>
        </w:rPr>
        <w:t xml:space="preserve">☒  </w:t>
      </w:r>
      <w:r>
        <w:rPr>
          <w:rFonts w:ascii="Allstate Sans;sans-serif" w:hAnsi="Allstate Sans;sans-serif"/>
          <w:b/>
          <w:color w:val="000000"/>
          <w:sz w:val="18"/>
        </w:rPr>
        <w:t>QUARTERLY REPORT PURSUANT TO SECTION 13 OR 15(d) OF THE SECURITIES EXCHANGE ACT OF 1934</w:t>
      </w:r>
    </w:p>
    <w:p>
      <w:pPr>
        <w:pStyle w:val="TextBody"/>
        <w:bidi w:val="0"/>
        <w:spacing w:lineRule="auto" w:line="288" w:before="0" w:after="60"/>
        <w:ind w:left="0" w:right="0" w:firstLine="360"/>
        <w:jc w:val="center"/>
        <w:rPr>
          <w:rFonts w:ascii="Allstate Sans;sans-serif" w:hAnsi="Allstate Sans;sans-serif"/>
          <w:b/>
          <w:color w:val="000000"/>
          <w:sz w:val="18"/>
        </w:rPr>
      </w:pPr>
      <w:r>
        <w:rPr>
          <w:rFonts w:ascii="Allstate Sans;sans-serif" w:hAnsi="Allstate Sans;sans-serif"/>
          <w:b/>
          <w:color w:val="000000"/>
          <w:sz w:val="18"/>
        </w:rPr>
        <w:t>For the quarterly period ended June 30, 2026</w:t>
      </w:r>
    </w:p>
    <w:p>
      <w:pPr>
        <w:pStyle w:val="TextBody"/>
        <w:bidi w:val="0"/>
        <w:spacing w:lineRule="auto" w:line="288" w:before="0" w:after="60"/>
        <w:ind w:left="0" w:right="0" w:firstLine="360"/>
        <w:jc w:val="center"/>
        <w:rPr>
          <w:rFonts w:ascii="Allstate Sans;sans-serif" w:hAnsi="Allstate Sans;sans-serif"/>
          <w:b/>
          <w:color w:val="000000"/>
          <w:sz w:val="18"/>
        </w:rPr>
      </w:pPr>
      <w:r>
        <w:rPr>
          <w:rFonts w:ascii="Allstate Sans;sans-serif" w:hAnsi="Allstate Sans;sans-serif"/>
          <w:b/>
          <w:color w:val="000000"/>
          <w:sz w:val="18"/>
        </w:rPr>
        <w:t>OR</w:t>
      </w:r>
    </w:p>
    <w:p>
      <w:pPr>
        <w:pStyle w:val="TextBody"/>
        <w:bidi w:val="0"/>
        <w:spacing w:lineRule="auto" w:line="288" w:before="0" w:after="0"/>
        <w:ind w:left="0" w:right="0" w:firstLine="360"/>
        <w:jc w:val="left"/>
        <w:rPr/>
      </w:pPr>
      <w:r>
        <w:rPr>
          <w:color w:val="000000"/>
        </w:rPr>
        <w:t xml:space="preserve">☐  </w:t>
      </w:r>
      <w:r>
        <w:rPr>
          <w:rFonts w:ascii="Allstate Sans;sans-serif" w:hAnsi="Allstate Sans;sans-serif"/>
          <w:b/>
          <w:color w:val="000000"/>
          <w:sz w:val="18"/>
        </w:rPr>
        <w:t>TRANSITION REPORT PURSUANT TO SECTION 13 OR 15(d) OF THE SECURITIES EXCHANGE ACT OF 1934</w:t>
      </w:r>
    </w:p>
    <w:p>
      <w:pPr>
        <w:pStyle w:val="TextBody"/>
        <w:bidi w:val="0"/>
        <w:spacing w:lineRule="auto" w:line="288" w:before="0" w:after="0"/>
        <w:ind w:left="0" w:right="0" w:firstLine="360"/>
        <w:jc w:val="center"/>
        <w:rPr>
          <w:rFonts w:ascii="Allstate Sans;sans-serif" w:hAnsi="Allstate Sans;sans-serif"/>
          <w:b/>
          <w:color w:val="000000"/>
          <w:sz w:val="18"/>
        </w:rPr>
      </w:pPr>
      <w:r>
        <w:rPr>
          <w:rFonts w:ascii="Allstate Sans;sans-serif" w:hAnsi="Allstate Sans;sans-serif"/>
          <w:b/>
          <w:color w:val="000000"/>
          <w:sz w:val="18"/>
        </w:rPr>
        <w:t>For the transition period from ______ to ______</w:t>
      </w:r>
    </w:p>
    <w:p>
      <w:pPr>
        <w:pStyle w:val="TextBody"/>
        <w:bidi w:val="0"/>
        <w:spacing w:lineRule="auto" w:line="288" w:before="0" w:after="120"/>
        <w:ind w:left="0" w:right="0" w:firstLine="360"/>
        <w:jc w:val="center"/>
        <w:rPr>
          <w:rFonts w:ascii="Allstate Sans;sans-serif" w:hAnsi="Allstate Sans;sans-serif"/>
          <w:b/>
          <w:color w:val="000000"/>
          <w:sz w:val="16"/>
        </w:rPr>
      </w:pPr>
      <w:r>
        <w:rPr>
          <w:rFonts w:ascii="Allstate Sans;sans-serif" w:hAnsi="Allstate Sans;sans-serif"/>
          <w:b/>
          <w:color w:val="000000"/>
          <w:sz w:val="16"/>
        </w:rPr>
        <w:t xml:space="preserve">Commission file number 1-11840 </w:t>
      </w:r>
    </w:p>
    <w:p>
      <w:pPr>
        <w:pStyle w:val="TextBody"/>
        <w:bidi w:val="0"/>
        <w:spacing w:before="0" w:after="0"/>
        <w:ind w:left="0" w:right="0" w:firstLine="360"/>
        <w:jc w:val="center"/>
        <w:rPr/>
      </w:pPr>
      <w:r>
        <w:rPr/>
        <w:drawing>
          <wp:inline distT="0" distB="0" distL="0" distR="0">
            <wp:extent cx="1238250" cy="7334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38250" cy="733425"/>
                    </a:xfrm>
                    <a:prstGeom prst="rect">
                      <a:avLst/>
                    </a:prstGeom>
                  </pic:spPr>
                </pic:pic>
              </a:graphicData>
            </a:graphic>
          </wp:inline>
        </w:drawing>
      </w:r>
      <w:bookmarkStart w:id="0" w:name="i-1"/>
      <w:bookmarkEnd w:id="0"/>
    </w:p>
    <w:p>
      <w:pPr>
        <w:pStyle w:val="TextBody"/>
        <w:bidi w:val="0"/>
        <w:spacing w:before="0" w:after="0"/>
        <w:ind w:left="0" w:right="0" w:firstLine="360"/>
        <w:jc w:val="center"/>
        <w:rPr/>
      </w:pPr>
      <w:r>
        <w:rPr/>
      </w:r>
    </w:p>
    <w:p>
      <w:pPr>
        <w:pStyle w:val="TextBody"/>
        <w:bidi w:val="0"/>
        <w:spacing w:lineRule="auto" w:line="288" w:before="0" w:after="120"/>
        <w:jc w:val="center"/>
        <w:rPr>
          <w:rFonts w:ascii="Allstate Sans;sans-serif" w:hAnsi="Allstate Sans;sans-serif"/>
          <w:b/>
          <w:color w:val="0033A0"/>
          <w:sz w:val="20"/>
        </w:rPr>
      </w:pPr>
      <w:r>
        <w:rPr>
          <w:rFonts w:ascii="Allstate Sans;sans-serif" w:hAnsi="Allstate Sans;sans-serif"/>
          <w:b/>
          <w:color w:val="0033A0"/>
          <w:sz w:val="20"/>
        </w:rPr>
        <w:t>THE ALLSTATE CORPORATION</w:t>
      </w:r>
    </w:p>
    <w:p>
      <w:pPr>
        <w:pStyle w:val="TextBody"/>
        <w:bidi w:val="0"/>
        <w:spacing w:lineRule="auto" w:line="288" w:before="0" w:after="0"/>
        <w:ind w:left="0" w:right="0" w:firstLine="360"/>
        <w:jc w:val="center"/>
        <w:rPr>
          <w:rFonts w:ascii="Allstate Sans;sans-serif" w:hAnsi="Allstate Sans;sans-serif"/>
          <w:b w:val="false"/>
          <w:color w:val="000000"/>
          <w:sz w:val="16"/>
        </w:rPr>
      </w:pPr>
      <w:r>
        <w:rPr>
          <w:rFonts w:ascii="Allstate Sans;sans-serif" w:hAnsi="Allstate Sans;sans-serif"/>
          <w:b w:val="false"/>
          <w:color w:val="000000"/>
          <w:sz w:val="16"/>
        </w:rPr>
        <w:t>(Exact name of registrant as specified in its charter)</w:t>
      </w:r>
    </w:p>
    <w:tbl>
      <w:tblPr>
        <w:tblW w:w="9004" w:type="dxa"/>
        <w:jc w:val="left"/>
        <w:tblInd w:w="0" w:type="dxa"/>
        <w:tblLayout w:type="fixed"/>
        <w:tblCellMar>
          <w:top w:w="28" w:type="dxa"/>
          <w:left w:w="28" w:type="dxa"/>
          <w:bottom w:w="28" w:type="dxa"/>
          <w:right w:w="28" w:type="dxa"/>
        </w:tblCellMar>
      </w:tblPr>
      <w:tblGrid>
        <w:gridCol w:w="124"/>
        <w:gridCol w:w="109"/>
        <w:gridCol w:w="109"/>
        <w:gridCol w:w="1674"/>
        <w:gridCol w:w="1674"/>
        <w:gridCol w:w="1691"/>
        <w:gridCol w:w="109"/>
        <w:gridCol w:w="109"/>
        <w:gridCol w:w="109"/>
        <w:gridCol w:w="973"/>
        <w:gridCol w:w="973"/>
        <w:gridCol w:w="978"/>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4" w:type="dxa"/>
            <w:tcBorders/>
            <w:vAlign w:val="center"/>
          </w:tcPr>
          <w:p>
            <w:pPr>
              <w:pStyle w:val="TableContents"/>
              <w:bidi w:val="0"/>
              <w:spacing w:before="0" w:after="283"/>
              <w:jc w:val="left"/>
              <w:rPr>
                <w:sz w:val="4"/>
                <w:szCs w:val="4"/>
              </w:rPr>
            </w:pPr>
            <w:r>
              <w:rPr>
                <w:sz w:val="4"/>
                <w:szCs w:val="4"/>
              </w:rPr>
            </w:r>
          </w:p>
        </w:tc>
        <w:tc>
          <w:tcPr>
            <w:tcW w:w="1674" w:type="dxa"/>
            <w:tcBorders/>
            <w:vAlign w:val="center"/>
          </w:tcPr>
          <w:p>
            <w:pPr>
              <w:pStyle w:val="TableContents"/>
              <w:bidi w:val="0"/>
              <w:spacing w:before="0" w:after="283"/>
              <w:jc w:val="left"/>
              <w:rPr>
                <w:sz w:val="4"/>
                <w:szCs w:val="4"/>
              </w:rPr>
            </w:pPr>
            <w:r>
              <w:rPr>
                <w:sz w:val="4"/>
                <w:szCs w:val="4"/>
              </w:rPr>
            </w:r>
          </w:p>
        </w:tc>
        <w:tc>
          <w:tcPr>
            <w:tcW w:w="1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36-3871531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(I.R.S. Employer Identification No.)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360"/>
        <w:jc w:val="left"/>
        <w:rPr>
          <w:color w:val="000000"/>
        </w:rPr>
      </w:pPr>
      <w:r>
        <w:rPr>
          <w:color w:val="000000"/>
        </w:rPr>
        <w:t> </w:t>
      </w:r>
    </w:p>
    <w:p>
      <w:pPr>
        <w:pStyle w:val="TextBody"/>
        <w:bidi w:val="0"/>
        <w:spacing w:lineRule="auto" w:line="288" w:before="120" w:after="120"/>
        <w:ind w:left="0" w:right="0" w:firstLine="360"/>
        <w:jc w:val="center"/>
        <w:rPr/>
      </w:pPr>
      <w:r>
        <w:rPr>
          <w:rFonts w:ascii="Allstate Sans;sans-serif" w:hAnsi="Allstate Sans;sans-serif"/>
          <w:b/>
          <w:color w:val="000000"/>
          <w:sz w:val="18"/>
        </w:rPr>
        <w:t>3100 Sanders Road,</w:t>
      </w:r>
      <w:r>
        <w:rPr>
          <w:color w:val="000000"/>
        </w:rPr>
        <w:t xml:space="preserve"> </w:t>
      </w:r>
      <w:r>
        <w:rPr>
          <w:rFonts w:ascii="Allstate Sans;sans-serif" w:hAnsi="Allstate Sans;sans-serif"/>
          <w:b/>
          <w:color w:val="000000"/>
          <w:sz w:val="18"/>
        </w:rPr>
        <w:t>Northbrook, Illinois    60062</w:t>
      </w:r>
      <w:r>
        <w:rPr>
          <w:color w:val="000000"/>
        </w:rPr>
        <w:t xml:space="preserve"> </w:t>
      </w:r>
    </w:p>
    <w:p>
      <w:pPr>
        <w:pStyle w:val="TextBody"/>
        <w:bidi w:val="0"/>
        <w:spacing w:lineRule="auto" w:line="288" w:before="0" w:after="60"/>
        <w:ind w:left="0" w:right="0" w:firstLine="360"/>
        <w:jc w:val="center"/>
        <w:rPr>
          <w:rFonts w:ascii="Allstate Sans;sans-serif" w:hAnsi="Allstate Sans;sans-serif"/>
          <w:b w:val="false"/>
          <w:color w:val="000000"/>
          <w:sz w:val="16"/>
        </w:rPr>
      </w:pPr>
      <w:r>
        <w:rPr>
          <w:rFonts w:ascii="Allstate Sans;sans-serif" w:hAnsi="Allstate Sans;sans-serif"/>
          <w:b w:val="false"/>
          <w:color w:val="000000"/>
          <w:sz w:val="16"/>
        </w:rPr>
        <w:t>(Address of principal executive offices)    (Zip Code)</w:t>
      </w:r>
    </w:p>
    <w:p>
      <w:pPr>
        <w:pStyle w:val="TextBody"/>
        <w:bidi w:val="0"/>
        <w:spacing w:lineRule="auto" w:line="288" w:before="0" w:after="60"/>
        <w:ind w:left="0" w:right="0" w:firstLine="360"/>
        <w:jc w:val="center"/>
        <w:rPr/>
      </w:pPr>
      <w:r>
        <w:rPr>
          <w:rFonts w:ascii="Allstate Sans;sans-serif" w:hAnsi="Allstate Sans;sans-serif"/>
          <w:b w:val="false"/>
          <w:color w:val="000000"/>
          <w:sz w:val="16"/>
        </w:rPr>
        <w:t xml:space="preserve">Registrant’s telephone number, including area code: </w:t>
      </w:r>
      <w:r>
        <w:rPr>
          <w:rFonts w:ascii="Allstate Sans;sans-serif" w:hAnsi="Allstate Sans;sans-serif"/>
          <w:b/>
          <w:color w:val="000000"/>
          <w:sz w:val="18"/>
        </w:rPr>
        <w:t xml:space="preserve">(847) 402-2800 </w:t>
      </w:r>
    </w:p>
    <w:p>
      <w:pPr>
        <w:pStyle w:val="TextBody"/>
        <w:bidi w:val="0"/>
        <w:spacing w:lineRule="auto" w:line="288" w:before="0" w:after="0"/>
        <w:ind w:left="0" w:right="0" w:firstLine="360"/>
        <w:jc w:val="left"/>
        <w:rPr>
          <w:rFonts w:ascii="Allstate Sans;sans-serif" w:hAnsi="Allstate Sans;sans-serif"/>
          <w:b w:val="false"/>
          <w:color w:val="000000"/>
          <w:sz w:val="16"/>
        </w:rPr>
      </w:pPr>
      <w:r>
        <w:rPr>
          <w:rFonts w:ascii="Allstate Sans;sans-serif" w:hAnsi="Allstate Sans;sans-serif"/>
          <w:b w:val="false"/>
          <w:color w:val="000000"/>
          <w:sz w:val="16"/>
        </w:rPr>
        <w:t xml:space="preserve">Securities registered pursuant to Section 12(b) of the Act: </w:t>
      </w:r>
    </w:p>
    <w:tbl>
      <w:tblPr>
        <w:tblW w:w="10205" w:type="dxa"/>
        <w:jc w:val="left"/>
        <w:tblInd w:w="0" w:type="dxa"/>
        <w:tblLayout w:type="fixed"/>
        <w:tblCellMar>
          <w:top w:w="28" w:type="dxa"/>
          <w:left w:w="28" w:type="dxa"/>
          <w:bottom w:w="28" w:type="dxa"/>
          <w:right w:w="28" w:type="dxa"/>
        </w:tblCellMar>
      </w:tblPr>
      <w:tblGrid>
        <w:gridCol w:w="2513"/>
        <w:gridCol w:w="2062"/>
        <w:gridCol w:w="2082"/>
        <w:gridCol w:w="491"/>
        <w:gridCol w:w="491"/>
        <w:gridCol w:w="493"/>
        <w:gridCol w:w="606"/>
        <w:gridCol w:w="606"/>
        <w:gridCol w:w="861"/>
      </w:tblGrid>
      <w:tr>
        <w:trPr/>
        <w:tc>
          <w:tcPr>
            <w:tcW w:w="2513" w:type="dxa"/>
            <w:tcBorders/>
            <w:vAlign w:val="center"/>
          </w:tcPr>
          <w:p>
            <w:pPr>
              <w:pStyle w:val="TableContents"/>
              <w:bidi w:val="0"/>
              <w:spacing w:before="0" w:after="283"/>
              <w:jc w:val="left"/>
              <w:rPr>
                <w:sz w:val="4"/>
                <w:szCs w:val="4"/>
              </w:rPr>
            </w:pPr>
            <w:r>
              <w:rPr>
                <w:sz w:val="4"/>
                <w:szCs w:val="4"/>
              </w:rPr>
            </w:r>
          </w:p>
        </w:tc>
        <w:tc>
          <w:tcPr>
            <w:tcW w:w="2062" w:type="dxa"/>
            <w:tcBorders/>
            <w:vAlign w:val="center"/>
          </w:tcPr>
          <w:p>
            <w:pPr>
              <w:pStyle w:val="TableContents"/>
              <w:bidi w:val="0"/>
              <w:spacing w:before="0" w:after="283"/>
              <w:jc w:val="left"/>
              <w:rPr>
                <w:sz w:val="4"/>
                <w:szCs w:val="4"/>
              </w:rPr>
            </w:pPr>
            <w:r>
              <w:rPr>
                <w:sz w:val="4"/>
                <w:szCs w:val="4"/>
              </w:rPr>
            </w:r>
          </w:p>
        </w:tc>
        <w:tc>
          <w:tcPr>
            <w:tcW w:w="2082"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r>
      <w:tr>
        <w:trPr/>
        <w:tc>
          <w:tcPr>
            <w:tcW w:w="66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llstate Sans;sans-serif" w:hAnsi="Allstate Sans;sans-serif"/>
                <w:b/>
                <w:color w:val="000000"/>
                <w:sz w:val="16"/>
              </w:rPr>
            </w:pPr>
            <w:r>
              <w:rPr>
                <w:rFonts w:ascii="Allstate Sans;sans-serif" w:hAnsi="Allstate Sans;sans-serif"/>
                <w:b/>
                <w:color w:val="000000"/>
                <w:sz w:val="16"/>
              </w:rPr>
              <w:t>Title of each class</w:t>
            </w:r>
          </w:p>
        </w:tc>
        <w:tc>
          <w:tcPr>
            <w:tcW w:w="14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llstate Sans;sans-serif" w:hAnsi="Allstate Sans;sans-serif"/>
                <w:b/>
                <w:color w:val="000000"/>
                <w:sz w:val="16"/>
              </w:rPr>
            </w:pPr>
            <w:r>
              <w:rPr>
                <w:rFonts w:ascii="Allstate Sans;sans-serif" w:hAnsi="Allstate Sans;sans-serif"/>
                <w:b/>
                <w:color w:val="000000"/>
                <w:sz w:val="16"/>
              </w:rPr>
              <w:t>Trading Symbols</w:t>
            </w:r>
          </w:p>
        </w:tc>
        <w:tc>
          <w:tcPr>
            <w:tcW w:w="20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llstate Sans;sans-serif" w:hAnsi="Allstate Sans;sans-serif"/>
                <w:b/>
                <w:color w:val="000000"/>
                <w:sz w:val="16"/>
              </w:rPr>
            </w:pPr>
            <w:r>
              <w:rPr>
                <w:rFonts w:ascii="Allstate Sans;sans-serif" w:hAnsi="Allstate Sans;sans-serif"/>
                <w:b/>
                <w:color w:val="000000"/>
                <w:sz w:val="16"/>
              </w:rPr>
              <w:t xml:space="preserve">Name of each exchange </w:t>
              <w:br/>
              <w:t xml:space="preserve">on which registered </w:t>
            </w:r>
          </w:p>
        </w:tc>
      </w:tr>
      <w:tr>
        <w:trPr/>
        <w:tc>
          <w:tcPr>
            <w:tcW w:w="66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llstate Sans;sans-serif" w:hAnsi="Allstate Sans;sans-serif"/>
                <w:b w:val="false"/>
                <w:color w:val="000000"/>
                <w:sz w:val="16"/>
              </w:rPr>
            </w:pPr>
            <w:r>
              <w:rPr>
                <w:rFonts w:ascii="Allstate Sans;sans-serif" w:hAnsi="Allstate Sans;sans-serif"/>
                <w:b w:val="false"/>
                <w:color w:val="000000"/>
                <w:sz w:val="16"/>
              </w:rPr>
              <w:t>Common Stock, par value $.01 per share</w:t>
            </w:r>
          </w:p>
        </w:tc>
        <w:tc>
          <w:tcPr>
            <w:tcW w:w="14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llstate Sans;sans-serif" w:hAnsi="Allstate Sans;sans-serif"/>
                <w:b w:val="false"/>
                <w:color w:val="000000"/>
                <w:sz w:val="16"/>
              </w:rPr>
            </w:pPr>
            <w:r>
              <w:rPr>
                <w:rFonts w:ascii="Allstate Sans;sans-serif" w:hAnsi="Allstate Sans;sans-serif"/>
                <w:b w:val="false"/>
                <w:color w:val="000000"/>
                <w:sz w:val="16"/>
              </w:rPr>
              <w:t>ALL</w:t>
            </w:r>
          </w:p>
        </w:tc>
        <w:tc>
          <w:tcPr>
            <w:tcW w:w="207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llstate Sans;sans-serif" w:hAnsi="Allstate Sans;sans-serif"/>
                <w:b w:val="false"/>
                <w:color w:val="000000"/>
                <w:sz w:val="16"/>
              </w:rPr>
            </w:pPr>
            <w:r>
              <w:rPr>
                <w:rFonts w:ascii="Allstate Sans;sans-serif" w:hAnsi="Allstate Sans;sans-serif"/>
                <w:b w:val="false"/>
                <w:color w:val="000000"/>
                <w:sz w:val="16"/>
              </w:rPr>
              <w:t>New York Stock Exchange</w:t>
            </w:r>
          </w:p>
          <w:p>
            <w:pPr>
              <w:pStyle w:val="TableContents"/>
              <w:bidi w:val="0"/>
              <w:spacing w:lineRule="auto" w:line="240" w:before="0" w:after="0"/>
              <w:jc w:val="center"/>
              <w:rPr>
                <w:rFonts w:ascii="Allstate Sans;sans-serif" w:hAnsi="Allstate Sans;sans-serif"/>
                <w:b w:val="false"/>
                <w:color w:val="000000"/>
                <w:sz w:val="16"/>
              </w:rPr>
            </w:pPr>
            <w:r>
              <w:rPr>
                <w:rFonts w:ascii="Allstate Sans;sans-serif" w:hAnsi="Allstate Sans;sans-serif"/>
                <w:b w:val="false"/>
                <w:color w:val="000000"/>
                <w:sz w:val="16"/>
              </w:rPr>
              <w:t>NYSE Texas</w:t>
            </w:r>
          </w:p>
        </w:tc>
      </w:tr>
      <w:tr>
        <w:trPr/>
        <w:tc>
          <w:tcPr>
            <w:tcW w:w="66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llstate Sans;sans-serif" w:hAnsi="Allstate Sans;sans-serif"/>
                <w:b w:val="false"/>
                <w:color w:val="000000"/>
                <w:sz w:val="16"/>
              </w:rPr>
            </w:pPr>
            <w:r>
              <w:rPr>
                <w:rFonts w:ascii="Allstate Sans;sans-serif" w:hAnsi="Allstate Sans;sans-serif"/>
                <w:b w:val="false"/>
                <w:color w:val="000000"/>
                <w:sz w:val="16"/>
              </w:rPr>
              <w:t>5.100% Fixed-to-Floating Rate Subordinated Debentures due 2053</w:t>
            </w:r>
          </w:p>
        </w:tc>
        <w:tc>
          <w:tcPr>
            <w:tcW w:w="14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llstate Sans;sans-serif" w:hAnsi="Allstate Sans;sans-serif"/>
                <w:b w:val="false"/>
                <w:color w:val="000000"/>
                <w:sz w:val="16"/>
              </w:rPr>
            </w:pPr>
            <w:r>
              <w:rPr>
                <w:rFonts w:ascii="Allstate Sans;sans-serif" w:hAnsi="Allstate Sans;sans-serif"/>
                <w:b w:val="false"/>
                <w:color w:val="000000"/>
                <w:sz w:val="16"/>
              </w:rPr>
              <w:t>ALL.PR.B</w:t>
            </w:r>
          </w:p>
        </w:tc>
        <w:tc>
          <w:tcPr>
            <w:tcW w:w="20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llstate Sans;sans-serif" w:hAnsi="Allstate Sans;sans-serif"/>
                <w:b w:val="false"/>
                <w:color w:val="000000"/>
                <w:sz w:val="16"/>
              </w:rPr>
            </w:pPr>
            <w:r>
              <w:rPr>
                <w:rFonts w:ascii="Allstate Sans;sans-serif" w:hAnsi="Allstate Sans;sans-serif"/>
                <w:b w:val="false"/>
                <w:color w:val="000000"/>
                <w:sz w:val="16"/>
              </w:rPr>
              <w:t>New York Stock Exchange</w:t>
            </w:r>
          </w:p>
        </w:tc>
      </w:tr>
      <w:tr>
        <w:trPr/>
        <w:tc>
          <w:tcPr>
            <w:tcW w:w="6657" w:type="dxa"/>
            <w:gridSpan w:val="3"/>
            <w:tcBorders/>
            <w:vAlign w:val="center"/>
          </w:tcPr>
          <w:p>
            <w:pPr>
              <w:pStyle w:val="TableContents"/>
              <w:bidi w:val="0"/>
              <w:spacing w:before="0" w:after="283"/>
              <w:jc w:val="left"/>
              <w:rPr>
                <w:sz w:val="4"/>
                <w:szCs w:val="4"/>
              </w:rPr>
            </w:pPr>
            <w:r>
              <w:rPr>
                <w:sz w:val="4"/>
                <w:szCs w:val="4"/>
              </w:rPr>
            </w:r>
          </w:p>
        </w:tc>
        <w:tc>
          <w:tcPr>
            <w:tcW w:w="1475" w:type="dxa"/>
            <w:gridSpan w:val="3"/>
            <w:tcBorders/>
            <w:vAlign w:val="center"/>
          </w:tcPr>
          <w:p>
            <w:pPr>
              <w:pStyle w:val="TableContents"/>
              <w:bidi w:val="0"/>
              <w:spacing w:before="0" w:after="283"/>
              <w:jc w:val="left"/>
              <w:rPr>
                <w:sz w:val="4"/>
                <w:szCs w:val="4"/>
              </w:rPr>
            </w:pPr>
            <w:r>
              <w:rPr>
                <w:sz w:val="4"/>
                <w:szCs w:val="4"/>
              </w:rPr>
            </w:r>
          </w:p>
        </w:tc>
        <w:tc>
          <w:tcPr>
            <w:tcW w:w="2073" w:type="dxa"/>
            <w:gridSpan w:val="3"/>
            <w:tcBorders/>
            <w:vAlign w:val="center"/>
          </w:tcPr>
          <w:p>
            <w:pPr>
              <w:pStyle w:val="TableContents"/>
              <w:bidi w:val="0"/>
              <w:spacing w:before="0" w:after="283"/>
              <w:jc w:val="left"/>
              <w:rPr>
                <w:sz w:val="4"/>
                <w:szCs w:val="4"/>
              </w:rPr>
            </w:pPr>
            <w:r>
              <w:rPr>
                <w:sz w:val="4"/>
                <w:szCs w:val="4"/>
              </w:rPr>
            </w:r>
          </w:p>
        </w:tc>
      </w:tr>
      <w:tr>
        <w:trPr/>
        <w:tc>
          <w:tcPr>
            <w:tcW w:w="66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llstate Sans;sans-serif" w:hAnsi="Allstate Sans;sans-serif"/>
                <w:b w:val="false"/>
                <w:color w:val="000000"/>
                <w:sz w:val="16"/>
              </w:rPr>
            </w:pPr>
            <w:r>
              <w:rPr>
                <w:rFonts w:ascii="Allstate Sans;sans-serif" w:hAnsi="Allstate Sans;sans-serif"/>
                <w:b w:val="false"/>
                <w:color w:val="000000"/>
                <w:sz w:val="16"/>
              </w:rPr>
              <w:t>Depositary Shares represent 1/1,000th of a share of 5.100% Noncumulative Preferred Stock, Series H</w:t>
            </w:r>
          </w:p>
        </w:tc>
        <w:tc>
          <w:tcPr>
            <w:tcW w:w="14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llstate Sans;sans-serif" w:hAnsi="Allstate Sans;sans-serif"/>
                <w:b w:val="false"/>
                <w:color w:val="000000"/>
                <w:sz w:val="16"/>
              </w:rPr>
            </w:pPr>
            <w:r>
              <w:rPr>
                <w:rFonts w:ascii="Allstate Sans;sans-serif" w:hAnsi="Allstate Sans;sans-serif"/>
                <w:b w:val="false"/>
                <w:color w:val="000000"/>
                <w:sz w:val="16"/>
              </w:rPr>
              <w:t>ALL PR H</w:t>
            </w:r>
          </w:p>
        </w:tc>
        <w:tc>
          <w:tcPr>
            <w:tcW w:w="20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llstate Sans;sans-serif" w:hAnsi="Allstate Sans;sans-serif"/>
                <w:b w:val="false"/>
                <w:color w:val="000000"/>
                <w:sz w:val="16"/>
              </w:rPr>
            </w:pPr>
            <w:r>
              <w:rPr>
                <w:rFonts w:ascii="Allstate Sans;sans-serif" w:hAnsi="Allstate Sans;sans-serif"/>
                <w:b w:val="false"/>
                <w:color w:val="000000"/>
                <w:sz w:val="16"/>
              </w:rPr>
              <w:t>New York Stock Exchange</w:t>
            </w:r>
          </w:p>
        </w:tc>
      </w:tr>
      <w:tr>
        <w:trPr/>
        <w:tc>
          <w:tcPr>
            <w:tcW w:w="66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llstate Sans;sans-serif" w:hAnsi="Allstate Sans;sans-serif"/>
                <w:b w:val="false"/>
                <w:color w:val="000000"/>
                <w:sz w:val="16"/>
              </w:rPr>
            </w:pPr>
            <w:r>
              <w:rPr>
                <w:rFonts w:ascii="Allstate Sans;sans-serif" w:hAnsi="Allstate Sans;sans-serif"/>
                <w:b w:val="false"/>
                <w:color w:val="000000"/>
                <w:sz w:val="16"/>
              </w:rPr>
              <w:t>Depositary Shares represent 1/1,000th of a share of 4.750% Noncumulative Preferred Stock, Series I</w:t>
            </w:r>
          </w:p>
        </w:tc>
        <w:tc>
          <w:tcPr>
            <w:tcW w:w="14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llstate Sans;sans-serif" w:hAnsi="Allstate Sans;sans-serif"/>
                <w:b w:val="false"/>
                <w:color w:val="000000"/>
                <w:sz w:val="16"/>
              </w:rPr>
            </w:pPr>
            <w:r>
              <w:rPr>
                <w:rFonts w:ascii="Allstate Sans;sans-serif" w:hAnsi="Allstate Sans;sans-serif"/>
                <w:b w:val="false"/>
                <w:color w:val="000000"/>
                <w:sz w:val="16"/>
              </w:rPr>
              <w:t>ALL PR I</w:t>
            </w:r>
          </w:p>
        </w:tc>
        <w:tc>
          <w:tcPr>
            <w:tcW w:w="20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llstate Sans;sans-serif" w:hAnsi="Allstate Sans;sans-serif"/>
                <w:b w:val="false"/>
                <w:color w:val="000000"/>
                <w:sz w:val="16"/>
              </w:rPr>
            </w:pPr>
            <w:r>
              <w:rPr>
                <w:rFonts w:ascii="Allstate Sans;sans-serif" w:hAnsi="Allstate Sans;sans-serif"/>
                <w:b w:val="false"/>
                <w:color w:val="000000"/>
                <w:sz w:val="16"/>
              </w:rPr>
              <w:t>New York Stock Exchange</w:t>
            </w:r>
          </w:p>
        </w:tc>
      </w:tr>
      <w:tr>
        <w:trPr/>
        <w:tc>
          <w:tcPr>
            <w:tcW w:w="66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llstate Sans;sans-serif" w:hAnsi="Allstate Sans;sans-serif"/>
                <w:b w:val="false"/>
                <w:color w:val="000000"/>
                <w:sz w:val="16"/>
              </w:rPr>
            </w:pPr>
            <w:r>
              <w:rPr>
                <w:rFonts w:ascii="Allstate Sans;sans-serif" w:hAnsi="Allstate Sans;sans-serif"/>
                <w:b w:val="false"/>
                <w:color w:val="000000"/>
                <w:sz w:val="16"/>
              </w:rPr>
              <w:t>Depositary Shares represent 1/1,000th of a share of 7.375% Noncumulative Preferred Stock, Series J</w:t>
            </w:r>
          </w:p>
        </w:tc>
        <w:tc>
          <w:tcPr>
            <w:tcW w:w="14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llstate Sans;sans-serif" w:hAnsi="Allstate Sans;sans-serif"/>
                <w:b w:val="false"/>
                <w:color w:val="000000"/>
                <w:sz w:val="16"/>
              </w:rPr>
            </w:pPr>
            <w:r>
              <w:rPr>
                <w:rFonts w:ascii="Allstate Sans;sans-serif" w:hAnsi="Allstate Sans;sans-serif"/>
                <w:b w:val="false"/>
                <w:color w:val="000000"/>
                <w:sz w:val="16"/>
              </w:rPr>
              <w:t>ALL PR J</w:t>
            </w:r>
          </w:p>
        </w:tc>
        <w:tc>
          <w:tcPr>
            <w:tcW w:w="20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llstate Sans;sans-serif" w:hAnsi="Allstate Sans;sans-serif"/>
                <w:b w:val="false"/>
                <w:color w:val="000000"/>
                <w:sz w:val="16"/>
              </w:rPr>
            </w:pPr>
            <w:r>
              <w:rPr>
                <w:rFonts w:ascii="Allstate Sans;sans-serif" w:hAnsi="Allstate Sans;sans-serif"/>
                <w:b w:val="false"/>
                <w:color w:val="000000"/>
                <w:sz w:val="16"/>
              </w:rPr>
              <w:t>New York Stock Exchange</w:t>
            </w:r>
          </w:p>
        </w:tc>
      </w:tr>
    </w:tbl>
    <w:p>
      <w:pPr>
        <w:pStyle w:val="TextBody"/>
        <w:bidi w:val="0"/>
        <w:spacing w:lineRule="auto" w:line="288" w:before="60" w:after="60"/>
        <w:ind w:left="0" w:right="0" w:firstLine="360"/>
        <w:jc w:val="both"/>
        <w:rPr/>
      </w:pPr>
      <w:r>
        <w:rPr>
          <w:rFonts w:ascii="Allstate Sans;sans-serif" w:hAnsi="Allstate Sans;sans-serif"/>
          <w:b w:val="false"/>
          <w:color w:val="000000"/>
          <w:sz w:val="1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w:t>
      </w:r>
      <w:r>
        <w:rPr>
          <w:rFonts w:ascii="Allstate Sans;sans-serif" w:hAnsi="Allstate Sans;sans-serif"/>
          <w:b w:val="false"/>
          <w:color w:val="000000"/>
          <w:sz w:val="16"/>
        </w:rPr>
        <w:t xml:space="preserve">No </w:t>
      </w:r>
      <w:r>
        <w:rPr>
          <w:color w:val="000000"/>
        </w:rPr>
        <w:t>☐</w:t>
      </w:r>
    </w:p>
    <w:p>
      <w:pPr>
        <w:pStyle w:val="TextBody"/>
        <w:bidi w:val="0"/>
        <w:spacing w:lineRule="auto" w:line="288" w:before="0" w:after="60"/>
        <w:ind w:left="0" w:right="0" w:firstLine="360"/>
        <w:jc w:val="both"/>
        <w:rPr/>
      </w:pPr>
      <w:r>
        <w:rPr>
          <w:rFonts w:ascii="Allstate Sans;sans-serif" w:hAnsi="Allstate Sans;sans-serif"/>
          <w:b w:val="false"/>
          <w:color w:val="000000"/>
          <w:sz w:val="16"/>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w:t>
      </w:r>
      <w:r>
        <w:rPr>
          <w:rFonts w:ascii="Allstate Sans;sans-serif" w:hAnsi="Allstate Sans;sans-serif"/>
          <w:b w:val="false"/>
          <w:color w:val="000000"/>
          <w:sz w:val="16"/>
        </w:rPr>
        <w:t xml:space="preserve">No </w:t>
      </w:r>
      <w:r>
        <w:rPr>
          <w:color w:val="000000"/>
        </w:rPr>
        <w:t>☐</w:t>
      </w:r>
    </w:p>
    <w:p>
      <w:pPr>
        <w:pStyle w:val="TextBody"/>
        <w:bidi w:val="0"/>
        <w:spacing w:lineRule="auto" w:line="288" w:before="0" w:after="0"/>
        <w:ind w:left="0" w:right="0" w:firstLine="360"/>
        <w:jc w:val="left"/>
        <w:rPr>
          <w:rFonts w:ascii="Allstate Sans;sans-serif" w:hAnsi="Allstate Sans;sans-serif"/>
          <w:b w:val="false"/>
          <w:color w:val="000000"/>
          <w:sz w:val="16"/>
        </w:rPr>
      </w:pPr>
      <w:r>
        <w:rPr>
          <w:rFonts w:ascii="Allstate Sans;sans-serif" w:hAnsi="Allstate Sans;sans-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108" w:type="dxa"/>
        <w:jc w:val="left"/>
        <w:tblInd w:w="0" w:type="dxa"/>
        <w:tblLayout w:type="fixed"/>
        <w:tblCellMar>
          <w:top w:w="28" w:type="dxa"/>
          <w:left w:w="28" w:type="dxa"/>
          <w:bottom w:w="28" w:type="dxa"/>
          <w:right w:w="28" w:type="dxa"/>
        </w:tblCellMar>
      </w:tblPr>
      <w:tblGrid>
        <w:gridCol w:w="727"/>
        <w:gridCol w:w="640"/>
        <w:gridCol w:w="642"/>
        <w:gridCol w:w="109"/>
        <w:gridCol w:w="109"/>
        <w:gridCol w:w="109"/>
        <w:gridCol w:w="799"/>
        <w:gridCol w:w="799"/>
        <w:gridCol w:w="802"/>
        <w:gridCol w:w="109"/>
        <w:gridCol w:w="109"/>
        <w:gridCol w:w="154"/>
      </w:tblGrid>
      <w:tr>
        <w:trPr/>
        <w:tc>
          <w:tcPr>
            <w:tcW w:w="727"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tc>
      </w:tr>
    </w:tbl>
    <w:p>
      <w:pPr>
        <w:pStyle w:val="TextBody"/>
        <w:bidi w:val="0"/>
        <w:spacing w:lineRule="auto" w:line="288" w:before="0" w:after="60"/>
        <w:ind w:left="0" w:right="0" w:firstLine="360"/>
        <w:jc w:val="both"/>
        <w:rPr/>
      </w:pPr>
      <w:r>
        <w:rPr>
          <w:rFonts w:ascii="Allstate Sans;sans-serif" w:hAnsi="Allstate Sans;sans-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0" w:after="60"/>
        <w:ind w:left="0" w:right="0" w:firstLine="360"/>
        <w:jc w:val="both"/>
        <w:rPr/>
      </w:pPr>
      <w:r>
        <w:rPr>
          <w:rFonts w:ascii="Allstate Sans;sans-serif" w:hAnsi="Allstate Sans;sans-serif"/>
          <w:b w:val="false"/>
          <w:color w:val="000000"/>
          <w:sz w:val="16"/>
        </w:rPr>
        <w:t xml:space="preserve">Indicate by check mark whether the registrant is a shell company (as defined in Rule 12b-2 of the Exchange Act). Yes </w:t>
      </w:r>
      <w:r>
        <w:rPr>
          <w:color w:val="000000"/>
        </w:rPr>
        <w:t xml:space="preserve">☐ </w:t>
      </w:r>
      <w:r>
        <w:rPr>
          <w:rFonts w:ascii="Allstate Sans;sans-serif" w:hAnsi="Allstate Sans;sans-serif"/>
          <w:b w:val="false"/>
          <w:color w:val="000000"/>
          <w:sz w:val="16"/>
        </w:rPr>
        <w:t xml:space="preserve">No </w:t>
      </w:r>
      <w:r>
        <w:rPr>
          <w:color w:val="000000"/>
        </w:rPr>
        <w:t>☒</w:t>
      </w:r>
    </w:p>
    <w:p>
      <w:pPr>
        <w:pStyle w:val="TextBody"/>
        <w:bidi w:val="0"/>
        <w:spacing w:lineRule="auto" w:line="288" w:before="0" w:after="120"/>
        <w:ind w:left="0" w:right="0" w:firstLine="360"/>
        <w:jc w:val="both"/>
        <w:rPr>
          <w:rFonts w:ascii="Allstate Sans;sans-serif" w:hAnsi="Allstate Sans;sans-serif"/>
          <w:b w:val="false"/>
          <w:color w:val="000000"/>
          <w:sz w:val="16"/>
        </w:rPr>
      </w:pPr>
      <w:r>
        <w:rPr>
          <w:rFonts w:ascii="Allstate Sans;sans-serif" w:hAnsi="Allstate Sans;sans-serif"/>
          <w:b w:val="false"/>
          <w:color w:val="000000"/>
          <w:sz w:val="16"/>
        </w:rPr>
        <w:t>As of July 16, 2026, the registrant had 252,857,950 common shares, $.01 par value,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ind w:left="0" w:right="0" w:firstLine="3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ind w:left="0" w:right="0" w:firstLine="360"/>
                        <w:jc w:val="left"/>
                        <w:rPr/>
                      </w:pPr>
                      <w:r>
                        <w:rPr/>
                      </w:r>
                    </w:p>
                  </w:txbxContent>
                </v:textbox>
                <w10:wrap type="none"/>
              </v:rect>
            </w:pict>
          </mc:Fallback>
        </mc:AlternateContent>
      </w:r>
    </w:p>
    <w:p>
      <w:pPr>
        <w:pStyle w:val="TextBody"/>
        <w:bidi w:val="0"/>
        <w:spacing w:before="0" w:after="120"/>
        <w:ind w:left="0" w:right="0" w:firstLine="360"/>
        <w:jc w:val="left"/>
        <w:rPr/>
      </w:pPr>
      <w:r>
        <w:rPr/>
      </w:r>
    </w:p>
    <w:p>
      <w:pPr>
        <w:pStyle w:val="TextBody"/>
        <w:bidi w:val="0"/>
        <w:spacing w:lineRule="auto" w:line="288" w:before="0" w:after="0"/>
        <w:jc w:val="center"/>
        <w:rPr>
          <w:rFonts w:ascii="Allstate Sans;sans-serif" w:hAnsi="Allstate Sans;sans-serif"/>
          <w:b/>
          <w:color w:val="0033A0"/>
          <w:sz w:val="22"/>
        </w:rPr>
      </w:pPr>
      <w:r>
        <w:rPr>
          <w:rFonts w:ascii="Allstate Sans;sans-serif" w:hAnsi="Allstate Sans;sans-serif"/>
          <w:b/>
          <w:color w:val="0033A0"/>
          <w:sz w:val="22"/>
        </w:rPr>
        <w:t>The Allstate Corporation</w:t>
      </w:r>
    </w:p>
    <w:p>
      <w:pPr>
        <w:pStyle w:val="TextBody"/>
        <w:bidi w:val="0"/>
        <w:spacing w:lineRule="auto" w:line="288" w:before="0" w:after="0"/>
        <w:jc w:val="center"/>
        <w:rPr>
          <w:rFonts w:ascii="Allstate Sans;sans-serif" w:hAnsi="Allstate Sans;sans-serif"/>
          <w:b/>
          <w:color w:val="0033A0"/>
          <w:sz w:val="22"/>
        </w:rPr>
      </w:pPr>
      <w:r>
        <w:rPr>
          <w:rFonts w:ascii="Allstate Sans;sans-serif" w:hAnsi="Allstate Sans;sans-serif"/>
          <w:b/>
          <w:color w:val="0033A0"/>
          <w:sz w:val="22"/>
        </w:rPr>
        <w:t>Index to Quarterly Report on Form 10-Q</w:t>
      </w:r>
    </w:p>
    <w:p>
      <w:pPr>
        <w:pStyle w:val="TextBody"/>
        <w:bidi w:val="0"/>
        <w:spacing w:lineRule="auto" w:line="288" w:before="0" w:after="120"/>
        <w:jc w:val="center"/>
        <w:rPr>
          <w:rFonts w:ascii="Allstate Sans;sans-serif" w:hAnsi="Allstate Sans;sans-serif"/>
          <w:b/>
          <w:color w:val="0033A0"/>
          <w:sz w:val="22"/>
        </w:rPr>
      </w:pPr>
      <w:r>
        <w:rPr>
          <w:rFonts w:ascii="Allstate Sans;sans-serif" w:hAnsi="Allstate Sans;sans-serif"/>
          <w:b/>
          <w:color w:val="0033A0"/>
          <w:sz w:val="22"/>
        </w:rPr>
        <w:t>June 30, 2026</w:t>
      </w:r>
    </w:p>
    <w:tbl>
      <w:tblPr>
        <w:tblW w:w="10205" w:type="dxa"/>
        <w:jc w:val="center"/>
        <w:tblInd w:w="0" w:type="dxa"/>
        <w:tblLayout w:type="fixed"/>
        <w:tblCellMar>
          <w:top w:w="28" w:type="dxa"/>
          <w:left w:w="28" w:type="dxa"/>
          <w:bottom w:w="28" w:type="dxa"/>
          <w:right w:w="28" w:type="dxa"/>
        </w:tblCellMar>
      </w:tblPr>
      <w:tblGrid>
        <w:gridCol w:w="1464"/>
        <w:gridCol w:w="1287"/>
        <w:gridCol w:w="1287"/>
        <w:gridCol w:w="1692"/>
        <w:gridCol w:w="1287"/>
        <w:gridCol w:w="1291"/>
        <w:gridCol w:w="552"/>
        <w:gridCol w:w="552"/>
        <w:gridCol w:w="793"/>
      </w:tblGrid>
      <w:tr>
        <w:trPr/>
        <w:tc>
          <w:tcPr>
            <w:tcW w:w="1464"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692"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r>
      <w:tr>
        <w:trPr/>
        <w:tc>
          <w:tcPr>
            <w:tcW w:w="4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llstate Sans;sans-serif" w:hAnsi="Allstate Sans;sans-serif"/>
                <w:b/>
                <w:color w:val="0033A0"/>
                <w:sz w:val="22"/>
              </w:rPr>
            </w:pPr>
            <w:r>
              <w:rPr>
                <w:rFonts w:ascii="Allstate Sans;sans-serif" w:hAnsi="Allstate Sans;sans-serif"/>
                <w:b/>
                <w:color w:val="0033A0"/>
                <w:sz w:val="22"/>
              </w:rPr>
              <w:t>Page</w:t>
            </w:r>
          </w:p>
        </w:tc>
      </w:tr>
      <w:tr>
        <w:trPr/>
        <w:tc>
          <w:tcPr>
            <w:tcW w:w="4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08"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Allstate Sans;sans-serif" w:hAnsi="Allstate Sans;sans-serif"/>
                <w:b/>
                <w:color w:val="0033A0"/>
                <w:sz w:val="22"/>
              </w:rPr>
            </w:pPr>
            <w:r>
              <w:rPr>
                <w:rFonts w:ascii="Allstate Sans;sans-serif" w:hAnsi="Allstate Sans;sans-serif"/>
                <w:b/>
                <w:color w:val="0033A0"/>
                <w:sz w:val="22"/>
              </w:rPr>
              <w:t xml:space="preserve">Part I Financial Information </w:t>
            </w:r>
          </w:p>
        </w:tc>
        <w:tc>
          <w:tcPr>
            <w:tcW w:w="1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0" w:type="dxa"/>
            <w:gridSpan w:val="3"/>
            <w:tcBorders>
              <w:bottom w:val="single" w:sz="8" w:space="0" w:color="0033A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97" w:type="dxa"/>
            <w:gridSpan w:val="3"/>
            <w:tcBorders>
              <w:bottom w:val="single" w:sz="8" w:space="0" w:color="0033A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Allstate Sans;sans-serif" w:hAnsi="Allstate Sans;sans-serif"/>
                <w:b/>
                <w:color w:val="0033A0"/>
                <w:sz w:val="18"/>
              </w:rPr>
            </w:pPr>
            <w:r>
              <w:rPr>
                <w:rFonts w:ascii="Allstate Sans;sans-serif" w:hAnsi="Allstate Sans;sans-serif"/>
                <w:b/>
                <w:color w:val="0033A0"/>
                <w:sz w:val="18"/>
              </w:rPr>
              <w:t>Item 1. Financial Statements (unaudited) as of June 30, 2026 and December 31, 2025 and for the Three Month and Six-Month Periods Ended June 30, 2026 and 2025</w:t>
            </w:r>
          </w:p>
        </w:tc>
      </w:tr>
      <w:tr>
        <w:trPr/>
        <w:tc>
          <w:tcPr>
            <w:tcW w:w="4038"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0"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7"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c935750375694db7bf5b414664949d13_16">
              <w:r>
                <w:rPr>
                  <w:rStyle w:val="InternetLink"/>
                  <w:rFonts w:ascii="Allstate Sans;sans-serif" w:hAnsi="Allstate Sans;sans-serif"/>
                  <w:b w:val="false"/>
                  <w:strike w:val="false"/>
                  <w:dstrike w:val="false"/>
                  <w:color w:val="000000"/>
                  <w:sz w:val="18"/>
                  <w:u w:val="none"/>
                  <w:effect w:val="none"/>
                </w:rPr>
                <w:t>Condensed Consolidated Statements of Operations</w:t>
              </w:r>
            </w:hyperlink>
          </w:p>
        </w:tc>
        <w:tc>
          <w:tcPr>
            <w:tcW w:w="189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935750375694db7bf5b414664949d13_16">
              <w:r>
                <w:rPr>
                  <w:rStyle w:val="InternetLink"/>
                  <w:rFonts w:ascii="Allstate Sans;sans-serif" w:hAnsi="Allstate Sans;sans-serif"/>
                  <w:b w:val="false"/>
                  <w:strike w:val="false"/>
                  <w:dstrike w:val="false"/>
                  <w:color w:val="000000"/>
                  <w:sz w:val="18"/>
                  <w:u w:val="none"/>
                  <w:effect w:val="none"/>
                </w:rPr>
                <w:t>1</w:t>
              </w:r>
            </w:hyperlink>
          </w:p>
        </w:tc>
      </w:tr>
      <w:tr>
        <w:trPr/>
        <w:tc>
          <w:tcPr>
            <w:tcW w:w="4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c935750375694db7bf5b414664949d13_19">
              <w:r>
                <w:rPr>
                  <w:rStyle w:val="InternetLink"/>
                  <w:rFonts w:ascii="Allstate Sans;sans-serif" w:hAnsi="Allstate Sans;sans-serif"/>
                  <w:b w:val="false"/>
                  <w:strike w:val="false"/>
                  <w:dstrike w:val="false"/>
                  <w:color w:val="000000"/>
                  <w:sz w:val="18"/>
                  <w:u w:val="none"/>
                  <w:effect w:val="none"/>
                </w:rPr>
                <w:t>Condensed Consolidated Statements of Comprehensive Income (Loss)</w:t>
              </w:r>
            </w:hyperlink>
          </w:p>
        </w:tc>
        <w:tc>
          <w:tcPr>
            <w:tcW w:w="189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935750375694db7bf5b414664949d13_19">
              <w:r>
                <w:rPr>
                  <w:rStyle w:val="InternetLink"/>
                  <w:rFonts w:ascii="Allstate Sans;sans-serif" w:hAnsi="Allstate Sans;sans-serif"/>
                  <w:b w:val="false"/>
                  <w:strike w:val="false"/>
                  <w:dstrike w:val="false"/>
                  <w:color w:val="000000"/>
                  <w:sz w:val="18"/>
                  <w:u w:val="none"/>
                  <w:effect w:val="none"/>
                </w:rPr>
                <w:t>2</w:t>
              </w:r>
            </w:hyperlink>
          </w:p>
        </w:tc>
      </w:tr>
      <w:tr>
        <w:trPr/>
        <w:tc>
          <w:tcPr>
            <w:tcW w:w="4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c935750375694db7bf5b414664949d13_22">
              <w:r>
                <w:rPr>
                  <w:rStyle w:val="InternetLink"/>
                  <w:rFonts w:ascii="Allstate Sans;sans-serif" w:hAnsi="Allstate Sans;sans-serif"/>
                  <w:b w:val="false"/>
                  <w:strike w:val="false"/>
                  <w:dstrike w:val="false"/>
                  <w:color w:val="000000"/>
                  <w:sz w:val="18"/>
                  <w:u w:val="none"/>
                  <w:effect w:val="none"/>
                </w:rPr>
                <w:t>Condensed Consolidated Statements of Financial Position</w:t>
              </w:r>
            </w:hyperlink>
          </w:p>
        </w:tc>
        <w:tc>
          <w:tcPr>
            <w:tcW w:w="189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935750375694db7bf5b414664949d13_22">
              <w:r>
                <w:rPr>
                  <w:rStyle w:val="InternetLink"/>
                  <w:rFonts w:ascii="Allstate Sans;sans-serif" w:hAnsi="Allstate Sans;sans-serif"/>
                  <w:b w:val="false"/>
                  <w:strike w:val="false"/>
                  <w:dstrike w:val="false"/>
                  <w:color w:val="000000"/>
                  <w:sz w:val="18"/>
                  <w:u w:val="none"/>
                  <w:effect w:val="none"/>
                </w:rPr>
                <w:t>3</w:t>
              </w:r>
            </w:hyperlink>
          </w:p>
        </w:tc>
      </w:tr>
      <w:tr>
        <w:trPr/>
        <w:tc>
          <w:tcPr>
            <w:tcW w:w="4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c935750375694db7bf5b414664949d13_25">
              <w:r>
                <w:rPr>
                  <w:rStyle w:val="InternetLink"/>
                  <w:rFonts w:ascii="Allstate Sans;sans-serif" w:hAnsi="Allstate Sans;sans-serif"/>
                  <w:b w:val="false"/>
                  <w:strike w:val="false"/>
                  <w:dstrike w:val="false"/>
                  <w:color w:val="000000"/>
                  <w:sz w:val="18"/>
                  <w:u w:val="none"/>
                  <w:effect w:val="none"/>
                </w:rPr>
                <w:t>Condensed Consolidated Statements of Shareholders’ Equity</w:t>
              </w:r>
            </w:hyperlink>
          </w:p>
        </w:tc>
        <w:tc>
          <w:tcPr>
            <w:tcW w:w="189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935750375694db7bf5b414664949d13_25">
              <w:r>
                <w:rPr>
                  <w:rStyle w:val="InternetLink"/>
                  <w:rFonts w:ascii="Allstate Sans;sans-serif" w:hAnsi="Allstate Sans;sans-serif"/>
                  <w:b w:val="false"/>
                  <w:strike w:val="false"/>
                  <w:dstrike w:val="false"/>
                  <w:color w:val="000000"/>
                  <w:sz w:val="18"/>
                  <w:u w:val="none"/>
                  <w:effect w:val="none"/>
                </w:rPr>
                <w:t>4</w:t>
              </w:r>
            </w:hyperlink>
          </w:p>
        </w:tc>
      </w:tr>
      <w:tr>
        <w:trPr/>
        <w:tc>
          <w:tcPr>
            <w:tcW w:w="4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c935750375694db7bf5b414664949d13_28">
              <w:r>
                <w:rPr>
                  <w:rStyle w:val="InternetLink"/>
                  <w:rFonts w:ascii="Allstate Sans;sans-serif" w:hAnsi="Allstate Sans;sans-serif"/>
                  <w:b w:val="false"/>
                  <w:strike w:val="false"/>
                  <w:dstrike w:val="false"/>
                  <w:color w:val="000000"/>
                  <w:sz w:val="18"/>
                  <w:u w:val="none"/>
                  <w:effect w:val="none"/>
                </w:rPr>
                <w:t>Condensed Consolidated Statements of Cash Flows</w:t>
              </w:r>
            </w:hyperlink>
          </w:p>
        </w:tc>
        <w:tc>
          <w:tcPr>
            <w:tcW w:w="189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935750375694db7bf5b414664949d13_28">
              <w:r>
                <w:rPr>
                  <w:rStyle w:val="InternetLink"/>
                  <w:rFonts w:ascii="Allstate Sans;sans-serif" w:hAnsi="Allstate Sans;sans-serif"/>
                  <w:b w:val="false"/>
                  <w:strike w:val="false"/>
                  <w:dstrike w:val="false"/>
                  <w:color w:val="000000"/>
                  <w:sz w:val="18"/>
                  <w:u w:val="none"/>
                  <w:effect w:val="none"/>
                </w:rPr>
                <w:t>5</w:t>
              </w:r>
            </w:hyperlink>
          </w:p>
        </w:tc>
      </w:tr>
      <w:tr>
        <w:trPr/>
        <w:tc>
          <w:tcPr>
            <w:tcW w:w="4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c935750375694db7bf5b414664949d13_31">
              <w:r>
                <w:rPr>
                  <w:rStyle w:val="InternetLink"/>
                  <w:rFonts w:ascii="Allstate Sans;sans-serif" w:hAnsi="Allstate Sans;sans-serif"/>
                  <w:b w:val="false"/>
                  <w:strike w:val="false"/>
                  <w:dstrike w:val="false"/>
                  <w:color w:val="000000"/>
                  <w:sz w:val="18"/>
                  <w:u w:val="none"/>
                  <w:effect w:val="none"/>
                </w:rPr>
                <w:t>Notes to Condensed Consolidated Financial Statements (unaudited)</w:t>
              </w:r>
            </w:hyperlink>
          </w:p>
        </w:tc>
        <w:tc>
          <w:tcPr>
            <w:tcW w:w="189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935750375694db7bf5b414664949d13_31">
              <w:r>
                <w:rPr>
                  <w:rStyle w:val="InternetLink"/>
                  <w:rFonts w:ascii="Allstate Sans;sans-serif" w:hAnsi="Allstate Sans;sans-serif"/>
                  <w:b w:val="false"/>
                  <w:strike w:val="false"/>
                  <w:dstrike w:val="false"/>
                  <w:color w:val="000000"/>
                  <w:sz w:val="18"/>
                  <w:u w:val="none"/>
                  <w:effect w:val="none"/>
                </w:rPr>
                <w:t>6</w:t>
              </w:r>
            </w:hyperlink>
          </w:p>
        </w:tc>
      </w:tr>
      <w:tr>
        <w:trPr/>
        <w:tc>
          <w:tcPr>
            <w:tcW w:w="4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c935750375694db7bf5b414664949d13_79">
              <w:r>
                <w:rPr>
                  <w:rStyle w:val="InternetLink"/>
                  <w:rFonts w:ascii="Allstate Sans;sans-serif" w:hAnsi="Allstate Sans;sans-serif"/>
                  <w:b w:val="false"/>
                  <w:strike w:val="false"/>
                  <w:dstrike w:val="false"/>
                  <w:color w:val="000000"/>
                  <w:sz w:val="18"/>
                  <w:u w:val="none"/>
                  <w:effect w:val="none"/>
                </w:rPr>
                <w:t>Report of Independent Registered Public Accounting Firm</w:t>
              </w:r>
            </w:hyperlink>
          </w:p>
        </w:tc>
        <w:tc>
          <w:tcPr>
            <w:tcW w:w="189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935750375694db7bf5b414664949d13_79">
              <w:r>
                <w:rPr>
                  <w:rStyle w:val="InternetLink"/>
                  <w:rFonts w:ascii="Allstate Sans;sans-serif" w:hAnsi="Allstate Sans;sans-serif"/>
                  <w:b w:val="false"/>
                  <w:strike w:val="false"/>
                  <w:dstrike w:val="false"/>
                  <w:color w:val="000000"/>
                  <w:sz w:val="18"/>
                  <w:u w:val="none"/>
                  <w:effect w:val="none"/>
                </w:rPr>
                <w:t>43</w:t>
              </w:r>
            </w:hyperlink>
          </w:p>
        </w:tc>
      </w:tr>
      <w:tr>
        <w:trPr/>
        <w:tc>
          <w:tcPr>
            <w:tcW w:w="4038" w:type="dxa"/>
            <w:gridSpan w:val="3"/>
            <w:tcBorders>
              <w:bottom w:val="single" w:sz="8" w:space="0" w:color="0033A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270" w:type="dxa"/>
            <w:gridSpan w:val="3"/>
            <w:tcBorders>
              <w:bottom w:val="single" w:sz="8" w:space="0" w:color="0033A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08"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c935750375694db7bf5b414664949d13_82">
              <w:r>
                <w:rPr>
                  <w:rStyle w:val="InternetLink"/>
                  <w:rFonts w:ascii="Allstate Sans;sans-serif" w:hAnsi="Allstate Sans;sans-serif"/>
                  <w:b/>
                  <w:strike w:val="false"/>
                  <w:dstrike w:val="false"/>
                  <w:color w:val="0033A0"/>
                  <w:sz w:val="18"/>
                  <w:u w:val="none"/>
                  <w:effect w:val="none"/>
                </w:rPr>
                <w:t>Item 2.</w:t>
              </w:r>
            </w:hyperlink>
            <w:r>
              <w:rPr>
                <w:rFonts w:ascii="Allstate Sans;sans-serif" w:hAnsi="Allstate Sans;sans-serif"/>
                <w:b/>
                <w:color w:val="0033A0"/>
                <w:sz w:val="18"/>
              </w:rPr>
              <w:t xml:space="preserve"> </w:t>
            </w:r>
            <w:hyperlink w:anchor="ic935750375694db7bf5b414664949d13_82">
              <w:r>
                <w:rPr>
                  <w:rStyle w:val="InternetLink"/>
                  <w:rFonts w:ascii="Allstate Sans;sans-serif" w:hAnsi="Allstate Sans;sans-serif"/>
                  <w:b/>
                  <w:strike w:val="false"/>
                  <w:dstrike w:val="false"/>
                  <w:color w:val="0033A0"/>
                  <w:sz w:val="18"/>
                  <w:u w:val="none"/>
                  <w:effect w:val="none"/>
                </w:rPr>
                <w:t>Management’s Discussion and Analysis of Financial Condition and Results of Operations</w:t>
              </w:r>
            </w:hyperlink>
          </w:p>
        </w:tc>
        <w:tc>
          <w:tcPr>
            <w:tcW w:w="1897" w:type="dxa"/>
            <w:gridSpan w:val="3"/>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8"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0"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7"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935750375694db7bf5b414664949d13_85">
              <w:r>
                <w:rPr>
                  <w:rStyle w:val="InternetLink"/>
                  <w:rFonts w:ascii="Allstate Sans;sans-serif" w:hAnsi="Allstate Sans;sans-serif"/>
                  <w:b w:val="false"/>
                  <w:strike w:val="false"/>
                  <w:dstrike w:val="false"/>
                  <w:color w:val="000000"/>
                  <w:sz w:val="18"/>
                  <w:u w:val="none"/>
                  <w:effect w:val="none"/>
                </w:rPr>
                <w:t>Highlights</w:t>
              </w:r>
            </w:hyperlink>
          </w:p>
        </w:tc>
        <w:tc>
          <w:tcPr>
            <w:tcW w:w="189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935750375694db7bf5b414664949d13_82">
              <w:r>
                <w:rPr>
                  <w:rStyle w:val="InternetLink"/>
                  <w:rFonts w:ascii="Allstate Sans;sans-serif" w:hAnsi="Allstate Sans;sans-serif"/>
                  <w:b w:val="false"/>
                  <w:strike w:val="false"/>
                  <w:dstrike w:val="false"/>
                  <w:color w:val="000000"/>
                  <w:sz w:val="18"/>
                  <w:u w:val="none"/>
                  <w:effect w:val="none"/>
                </w:rPr>
                <w:t>44</w:t>
              </w:r>
            </w:hyperlink>
          </w:p>
        </w:tc>
      </w:tr>
      <w:tr>
        <w:trPr/>
        <w:tc>
          <w:tcPr>
            <w:tcW w:w="4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935750375694db7bf5b414664949d13_88">
              <w:r>
                <w:rPr>
                  <w:rStyle w:val="InternetLink"/>
                  <w:rFonts w:ascii="Allstate Sans;sans-serif" w:hAnsi="Allstate Sans;sans-serif"/>
                  <w:b w:val="false"/>
                  <w:strike w:val="false"/>
                  <w:dstrike w:val="false"/>
                  <w:color w:val="000000"/>
                  <w:sz w:val="18"/>
                  <w:u w:val="none"/>
                  <w:effect w:val="none"/>
                </w:rPr>
                <w:t xml:space="preserve">Property-Liability </w:t>
              </w:r>
            </w:hyperlink>
            <w:r>
              <w:rPr>
                <w:rFonts w:ascii="Allstate Sans;sans-serif" w:hAnsi="Allstate Sans;sans-serif"/>
                <w:b w:val="false"/>
                <w:color w:val="000000"/>
                <w:sz w:val="18"/>
              </w:rPr>
              <w:t>Operations</w:t>
            </w:r>
          </w:p>
        </w:tc>
        <w:tc>
          <w:tcPr>
            <w:tcW w:w="189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935750375694db7bf5b414664949d13_88">
              <w:r>
                <w:rPr>
                  <w:rStyle w:val="InternetLink"/>
                  <w:rFonts w:ascii="Allstate Sans;sans-serif" w:hAnsi="Allstate Sans;sans-serif"/>
                  <w:b w:val="false"/>
                  <w:strike w:val="false"/>
                  <w:dstrike w:val="false"/>
                  <w:color w:val="000000"/>
                  <w:sz w:val="18"/>
                  <w:u w:val="none"/>
                  <w:effect w:val="none"/>
                </w:rPr>
                <w:t>46</w:t>
              </w:r>
            </w:hyperlink>
          </w:p>
        </w:tc>
      </w:tr>
      <w:tr>
        <w:trPr/>
        <w:tc>
          <w:tcPr>
            <w:tcW w:w="4038" w:type="dxa"/>
            <w:gridSpan w:val="3"/>
            <w:tcBorders>
              <w:top w:val="single" w:sz="8" w:space="0" w:color="0033A0"/>
              <w:bottom w:val="single" w:sz="8" w:space="0" w:color="0033A0"/>
            </w:tcBorders>
            <w:tcMar>
              <w:left w:w="0" w:type="dxa"/>
              <w:right w:w="0" w:type="dxa"/>
            </w:tcMar>
            <w:vAlign w:val="center"/>
          </w:tcPr>
          <w:p>
            <w:pPr>
              <w:pStyle w:val="TableContents"/>
              <w:bidi w:val="0"/>
              <w:spacing w:before="0" w:after="283"/>
              <w:jc w:val="left"/>
              <w:rPr>
                <w:sz w:val="4"/>
                <w:szCs w:val="4"/>
              </w:rPr>
            </w:pPr>
            <w:r>
              <w:rPr>
                <w:sz w:val="4"/>
                <w:szCs w:val="4"/>
              </w:rPr>
            </w:r>
          </w:p>
        </w:tc>
        <w:tc>
          <w:tcPr>
            <w:tcW w:w="4270"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Allstate Sans;sans-serif" w:hAnsi="Allstate Sans;sans-serif"/>
                <w:b w:val="false"/>
                <w:i/>
                <w:color w:val="0033A0"/>
                <w:sz w:val="18"/>
              </w:rPr>
            </w:pPr>
            <w:r>
              <w:rPr>
                <w:rFonts w:ascii="Allstate Sans;sans-serif" w:hAnsi="Allstate Sans;sans-serif"/>
                <w:b w:val="false"/>
                <w:i/>
                <w:color w:val="0033A0"/>
                <w:sz w:val="18"/>
              </w:rPr>
              <w:t xml:space="preserve">Segment results </w:t>
            </w:r>
          </w:p>
        </w:tc>
        <w:tc>
          <w:tcPr>
            <w:tcW w:w="1897"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8"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0"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0"/>
              <w:jc w:val="left"/>
              <w:rPr/>
            </w:pPr>
            <w:hyperlink w:anchor="ic935750375694db7bf5b414664949d13_91">
              <w:r>
                <w:rPr>
                  <w:rStyle w:val="InternetLink"/>
                  <w:rFonts w:ascii="Allstate Sans;sans-serif" w:hAnsi="Allstate Sans;sans-serif"/>
                  <w:b w:val="false"/>
                  <w:strike w:val="false"/>
                  <w:dstrike w:val="false"/>
                  <w:color w:val="000000"/>
                  <w:sz w:val="18"/>
                  <w:u w:val="none"/>
                  <w:effect w:val="none"/>
                </w:rPr>
                <w:t xml:space="preserve">Allstate Protection </w:t>
              </w:r>
            </w:hyperlink>
          </w:p>
        </w:tc>
        <w:tc>
          <w:tcPr>
            <w:tcW w:w="1897"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0"/>
              <w:jc w:val="center"/>
              <w:rPr/>
            </w:pPr>
            <w:hyperlink w:anchor="ic935750375694db7bf5b414664949d13_91">
              <w:r>
                <w:rPr>
                  <w:rStyle w:val="InternetLink"/>
                  <w:rFonts w:ascii="Allstate Sans;sans-serif" w:hAnsi="Allstate Sans;sans-serif"/>
                  <w:b w:val="false"/>
                  <w:strike w:val="false"/>
                  <w:dstrike w:val="false"/>
                  <w:color w:val="000000"/>
                  <w:sz w:val="18"/>
                  <w:u w:val="none"/>
                  <w:effect w:val="none"/>
                </w:rPr>
                <w:t>48</w:t>
              </w:r>
            </w:hyperlink>
          </w:p>
        </w:tc>
      </w:tr>
      <w:tr>
        <w:trPr/>
        <w:tc>
          <w:tcPr>
            <w:tcW w:w="4038" w:type="dxa"/>
            <w:gridSpan w:val="3"/>
            <w:vMerge w:val="continue"/>
            <w:tcBorders/>
            <w:tcMar>
              <w:top w:w="0" w:type="dxa"/>
              <w:left w:w="0" w:type="dxa"/>
              <w:bottom w:w="0" w:type="dxa"/>
              <w:right w:w="0" w:type="dxa"/>
            </w:tcMar>
            <w:vAlign w:val="center"/>
          </w:tcPr>
          <w:p>
            <w:pPr>
              <w:pStyle w:val="Normal"/>
              <w:bidi w:val="0"/>
              <w:jc w:val="left"/>
              <w:rPr/>
            </w:pPr>
            <w:r>
              <w:rPr/>
            </w:r>
          </w:p>
        </w:tc>
        <w:tc>
          <w:tcPr>
            <w:tcW w:w="42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935750375694db7bf5b414664949d13_94">
              <w:r>
                <w:rPr>
                  <w:rStyle w:val="InternetLink"/>
                  <w:rFonts w:ascii="Allstate Sans;sans-serif" w:hAnsi="Allstate Sans;sans-serif"/>
                  <w:b w:val="false"/>
                  <w:strike w:val="false"/>
                  <w:dstrike w:val="false"/>
                  <w:color w:val="000000"/>
                  <w:sz w:val="18"/>
                  <w:u w:val="none"/>
                  <w:effect w:val="none"/>
                </w:rPr>
                <w:t>Run-off Property-Liability</w:t>
              </w:r>
            </w:hyperlink>
          </w:p>
        </w:tc>
        <w:tc>
          <w:tcPr>
            <w:tcW w:w="189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935750375694db7bf5b414664949d13_94">
              <w:r>
                <w:rPr>
                  <w:rStyle w:val="InternetLink"/>
                  <w:rFonts w:ascii="Allstate Sans;sans-serif" w:hAnsi="Allstate Sans;sans-serif"/>
                  <w:b w:val="false"/>
                  <w:strike w:val="false"/>
                  <w:dstrike w:val="false"/>
                  <w:color w:val="000000"/>
                  <w:sz w:val="18"/>
                  <w:u w:val="none"/>
                  <w:effect w:val="none"/>
                </w:rPr>
                <w:t>56</w:t>
              </w:r>
            </w:hyperlink>
          </w:p>
        </w:tc>
      </w:tr>
      <w:tr>
        <w:trPr/>
        <w:tc>
          <w:tcPr>
            <w:tcW w:w="4038" w:type="dxa"/>
            <w:gridSpan w:val="3"/>
            <w:vMerge w:val="continue"/>
            <w:tcBorders/>
            <w:tcMar>
              <w:top w:w="0" w:type="dxa"/>
              <w:left w:w="0" w:type="dxa"/>
              <w:bottom w:w="0" w:type="dxa"/>
              <w:right w:w="0" w:type="dxa"/>
            </w:tcMar>
            <w:vAlign w:val="center"/>
          </w:tcPr>
          <w:p>
            <w:pPr>
              <w:pStyle w:val="Normal"/>
              <w:bidi w:val="0"/>
              <w:jc w:val="left"/>
              <w:rPr/>
            </w:pPr>
            <w:r>
              <w:rPr/>
            </w:r>
          </w:p>
        </w:tc>
        <w:tc>
          <w:tcPr>
            <w:tcW w:w="42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935750375694db7bf5b414664949d13_97">
              <w:r>
                <w:rPr>
                  <w:rStyle w:val="InternetLink"/>
                  <w:rFonts w:ascii="Allstate Sans;sans-serif" w:hAnsi="Allstate Sans;sans-serif"/>
                  <w:b w:val="false"/>
                  <w:strike w:val="false"/>
                  <w:dstrike w:val="false"/>
                  <w:color w:val="000000"/>
                  <w:sz w:val="18"/>
                  <w:u w:val="none"/>
                  <w:effect w:val="none"/>
                </w:rPr>
                <w:t>Protection Services</w:t>
              </w:r>
            </w:hyperlink>
          </w:p>
        </w:tc>
        <w:tc>
          <w:tcPr>
            <w:tcW w:w="189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935750375694db7bf5b414664949d13_97">
              <w:r>
                <w:rPr>
                  <w:rStyle w:val="InternetLink"/>
                  <w:rFonts w:ascii="Allstate Sans;sans-serif" w:hAnsi="Allstate Sans;sans-serif"/>
                  <w:b w:val="false"/>
                  <w:strike w:val="false"/>
                  <w:dstrike w:val="false"/>
                  <w:color w:val="000000"/>
                  <w:sz w:val="18"/>
                  <w:u w:val="none"/>
                  <w:effect w:val="none"/>
                </w:rPr>
                <w:t>58</w:t>
              </w:r>
            </w:hyperlink>
          </w:p>
        </w:tc>
      </w:tr>
      <w:tr>
        <w:trPr/>
        <w:tc>
          <w:tcPr>
            <w:tcW w:w="4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935750375694db7bf5b414664949d13_100">
              <w:r>
                <w:rPr>
                  <w:rStyle w:val="InternetLink"/>
                  <w:rFonts w:ascii="Allstate Sans;sans-serif" w:hAnsi="Allstate Sans;sans-serif"/>
                  <w:b w:val="false"/>
                  <w:strike w:val="false"/>
                  <w:dstrike w:val="false"/>
                  <w:color w:val="000000"/>
                  <w:sz w:val="18"/>
                  <w:u w:val="none"/>
                  <w:effect w:val="none"/>
                </w:rPr>
                <w:t>Investment</w:t>
              </w:r>
            </w:hyperlink>
            <w:r>
              <w:rPr>
                <w:rFonts w:ascii="Allstate Sans;sans-serif" w:hAnsi="Allstate Sans;sans-serif"/>
                <w:b w:val="false"/>
                <w:color w:val="000000"/>
                <w:sz w:val="18"/>
              </w:rPr>
              <w:t>s</w:t>
            </w:r>
          </w:p>
        </w:tc>
        <w:tc>
          <w:tcPr>
            <w:tcW w:w="189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935750375694db7bf5b414664949d13_100">
              <w:r>
                <w:rPr>
                  <w:rStyle w:val="InternetLink"/>
                  <w:rFonts w:ascii="Allstate Sans;sans-serif" w:hAnsi="Allstate Sans;sans-serif"/>
                  <w:b w:val="false"/>
                  <w:strike w:val="false"/>
                  <w:dstrike w:val="false"/>
                  <w:color w:val="000000"/>
                  <w:sz w:val="18"/>
                  <w:u w:val="none"/>
                  <w:effect w:val="none"/>
                </w:rPr>
                <w:t>59</w:t>
              </w:r>
            </w:hyperlink>
          </w:p>
        </w:tc>
      </w:tr>
      <w:tr>
        <w:trPr/>
        <w:tc>
          <w:tcPr>
            <w:tcW w:w="4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935750375694db7bf5b414664949d13_103">
              <w:r>
                <w:rPr>
                  <w:rStyle w:val="InternetLink"/>
                  <w:rFonts w:ascii="Allstate Sans;sans-serif" w:hAnsi="Allstate Sans;sans-serif"/>
                  <w:b w:val="false"/>
                  <w:strike w:val="false"/>
                  <w:dstrike w:val="false"/>
                  <w:color w:val="000000"/>
                  <w:sz w:val="18"/>
                  <w:u w:val="none"/>
                  <w:effect w:val="none"/>
                </w:rPr>
                <w:t>Capital Resources and Liquidity</w:t>
              </w:r>
            </w:hyperlink>
          </w:p>
        </w:tc>
        <w:tc>
          <w:tcPr>
            <w:tcW w:w="189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935750375694db7bf5b414664949d13_103">
              <w:r>
                <w:rPr>
                  <w:rStyle w:val="InternetLink"/>
                  <w:rFonts w:ascii="Allstate Sans;sans-serif" w:hAnsi="Allstate Sans;sans-serif"/>
                  <w:b w:val="false"/>
                  <w:strike w:val="false"/>
                  <w:dstrike w:val="false"/>
                  <w:color w:val="000000"/>
                  <w:sz w:val="18"/>
                  <w:u w:val="none"/>
                  <w:effect w:val="none"/>
                </w:rPr>
                <w:t>66</w:t>
              </w:r>
            </w:hyperlink>
          </w:p>
        </w:tc>
      </w:tr>
      <w:tr>
        <w:trPr/>
        <w:tc>
          <w:tcPr>
            <w:tcW w:w="4038" w:type="dxa"/>
            <w:gridSpan w:val="3"/>
            <w:tcBorders/>
            <w:vAlign w:val="center"/>
          </w:tcPr>
          <w:p>
            <w:pPr>
              <w:pStyle w:val="TableContents"/>
              <w:bidi w:val="0"/>
              <w:spacing w:before="0" w:after="283"/>
              <w:jc w:val="left"/>
              <w:rPr>
                <w:sz w:val="4"/>
                <w:szCs w:val="4"/>
              </w:rPr>
            </w:pPr>
            <w:r>
              <w:rPr>
                <w:sz w:val="4"/>
                <w:szCs w:val="4"/>
              </w:rPr>
            </w:r>
          </w:p>
        </w:tc>
        <w:tc>
          <w:tcPr>
            <w:tcW w:w="4270" w:type="dxa"/>
            <w:gridSpan w:val="3"/>
            <w:tcBorders/>
            <w:vAlign w:val="center"/>
          </w:tcPr>
          <w:p>
            <w:pPr>
              <w:pStyle w:val="TableContents"/>
              <w:bidi w:val="0"/>
              <w:spacing w:before="0" w:after="283"/>
              <w:jc w:val="left"/>
              <w:rPr>
                <w:sz w:val="4"/>
                <w:szCs w:val="4"/>
              </w:rPr>
            </w:pPr>
            <w:r>
              <w:rPr>
                <w:sz w:val="4"/>
                <w:szCs w:val="4"/>
              </w:rPr>
            </w:r>
          </w:p>
        </w:tc>
        <w:tc>
          <w:tcPr>
            <w:tcW w:w="1897" w:type="dxa"/>
            <w:gridSpan w:val="3"/>
            <w:tcBorders/>
            <w:vAlign w:val="center"/>
          </w:tcPr>
          <w:p>
            <w:pPr>
              <w:pStyle w:val="TableContents"/>
              <w:bidi w:val="0"/>
              <w:spacing w:before="0" w:after="283"/>
              <w:jc w:val="left"/>
              <w:rPr>
                <w:sz w:val="4"/>
                <w:szCs w:val="4"/>
              </w:rPr>
            </w:pPr>
            <w:r>
              <w:rPr>
                <w:sz w:val="4"/>
                <w:szCs w:val="4"/>
              </w:rPr>
            </w:r>
          </w:p>
        </w:tc>
      </w:tr>
      <w:tr>
        <w:trPr/>
        <w:tc>
          <w:tcPr>
            <w:tcW w:w="4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935750375694db7bf5b414664949d13_106">
              <w:r>
                <w:rPr>
                  <w:rStyle w:val="InternetLink"/>
                  <w:rFonts w:ascii="Allstate Sans;sans-serif" w:hAnsi="Allstate Sans;sans-serif"/>
                  <w:b w:val="false"/>
                  <w:strike w:val="false"/>
                  <w:dstrike w:val="false"/>
                  <w:color w:val="000000"/>
                  <w:sz w:val="18"/>
                  <w:u w:val="none"/>
                  <w:effect w:val="none"/>
                </w:rPr>
                <w:t>Forward-Looking Statements</w:t>
              </w:r>
            </w:hyperlink>
          </w:p>
        </w:tc>
        <w:tc>
          <w:tcPr>
            <w:tcW w:w="189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935750375694db7bf5b414664949d13_106">
              <w:r>
                <w:rPr>
                  <w:rStyle w:val="InternetLink"/>
                  <w:rFonts w:ascii="Allstate Sans;sans-serif" w:hAnsi="Allstate Sans;sans-serif"/>
                  <w:b w:val="false"/>
                  <w:strike w:val="false"/>
                  <w:dstrike w:val="false"/>
                  <w:color w:val="000000"/>
                  <w:sz w:val="18"/>
                  <w:u w:val="none"/>
                  <w:effect w:val="none"/>
                </w:rPr>
                <w:t>68</w:t>
              </w:r>
            </w:hyperlink>
          </w:p>
        </w:tc>
      </w:tr>
      <w:tr>
        <w:trPr/>
        <w:tc>
          <w:tcPr>
            <w:tcW w:w="4038" w:type="dxa"/>
            <w:gridSpan w:val="3"/>
            <w:tcBorders>
              <w:bottom w:val="single" w:sz="8" w:space="0" w:color="0033A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270" w:type="dxa"/>
            <w:gridSpan w:val="3"/>
            <w:tcBorders>
              <w:bottom w:val="single" w:sz="8" w:space="0" w:color="0033A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08"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c935750375694db7bf5b414664949d13_109">
              <w:r>
                <w:rPr>
                  <w:rStyle w:val="InternetLink"/>
                  <w:rFonts w:ascii="Allstate Sans;sans-serif" w:hAnsi="Allstate Sans;sans-serif"/>
                  <w:b/>
                  <w:strike w:val="false"/>
                  <w:dstrike w:val="false"/>
                  <w:color w:val="0033A0"/>
                  <w:sz w:val="18"/>
                  <w:u w:val="none"/>
                  <w:effect w:val="none"/>
                </w:rPr>
                <w:t>Item 4.</w:t>
              </w:r>
            </w:hyperlink>
            <w:r>
              <w:rPr>
                <w:rFonts w:ascii="Allstate Sans;sans-serif" w:hAnsi="Allstate Sans;sans-serif"/>
                <w:b/>
                <w:color w:val="0033A0"/>
                <w:sz w:val="18"/>
              </w:rPr>
              <w:t xml:space="preserve"> </w:t>
            </w:r>
            <w:hyperlink w:anchor="ic935750375694db7bf5b414664949d13_109">
              <w:r>
                <w:rPr>
                  <w:rStyle w:val="InternetLink"/>
                  <w:rFonts w:ascii="Allstate Sans;sans-serif" w:hAnsi="Allstate Sans;sans-serif"/>
                  <w:b/>
                  <w:strike w:val="false"/>
                  <w:dstrike w:val="false"/>
                  <w:color w:val="0033A0"/>
                  <w:sz w:val="18"/>
                  <w:u w:val="none"/>
                  <w:effect w:val="none"/>
                </w:rPr>
                <w:t>Controls and Procedures</w:t>
              </w:r>
            </w:hyperlink>
          </w:p>
        </w:tc>
        <w:tc>
          <w:tcPr>
            <w:tcW w:w="1897"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0"/>
              <w:jc w:val="center"/>
              <w:rPr/>
            </w:pPr>
            <w:hyperlink w:anchor="ic935750375694db7bf5b414664949d13_109">
              <w:r>
                <w:rPr>
                  <w:rStyle w:val="InternetLink"/>
                  <w:rFonts w:ascii="Allstate Sans;sans-serif" w:hAnsi="Allstate Sans;sans-serif"/>
                  <w:b w:val="false"/>
                  <w:strike w:val="false"/>
                  <w:dstrike w:val="false"/>
                  <w:color w:val="000000"/>
                  <w:sz w:val="18"/>
                  <w:u w:val="none"/>
                  <w:effect w:val="none"/>
                </w:rPr>
                <w:t>68</w:t>
              </w:r>
            </w:hyperlink>
          </w:p>
        </w:tc>
      </w:tr>
      <w:tr>
        <w:trPr/>
        <w:tc>
          <w:tcPr>
            <w:tcW w:w="4038"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0"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7"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llstate Sans;sans-serif" w:hAnsi="Allstate Sans;sans-serif"/>
                <w:b/>
                <w:color w:val="0033A0"/>
                <w:sz w:val="22"/>
              </w:rPr>
            </w:pPr>
            <w:r>
              <w:rPr>
                <w:rFonts w:ascii="Allstate Sans;sans-serif" w:hAnsi="Allstate Sans;sans-serif"/>
                <w:b/>
                <w:color w:val="0033A0"/>
                <w:sz w:val="22"/>
              </w:rPr>
              <w:t>Part II Other Information</w:t>
            </w:r>
          </w:p>
        </w:tc>
      </w:tr>
      <w:tr>
        <w:trPr/>
        <w:tc>
          <w:tcPr>
            <w:tcW w:w="8308"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c935750375694db7bf5b414664949d13_115">
              <w:r>
                <w:rPr>
                  <w:rStyle w:val="InternetLink"/>
                  <w:rFonts w:ascii="Allstate Sans;sans-serif" w:hAnsi="Allstate Sans;sans-serif"/>
                  <w:b w:val="false"/>
                  <w:strike w:val="false"/>
                  <w:dstrike w:val="false"/>
                  <w:color w:val="000000"/>
                  <w:sz w:val="18"/>
                  <w:u w:val="none"/>
                  <w:effect w:val="none"/>
                </w:rPr>
                <w:t>Item 1.</w:t>
              </w:r>
            </w:hyperlink>
            <w:r>
              <w:rPr>
                <w:rFonts w:ascii="Allstate Sans;sans-serif" w:hAnsi="Allstate Sans;sans-serif"/>
                <w:b w:val="false"/>
                <w:color w:val="000000"/>
                <w:sz w:val="18"/>
              </w:rPr>
              <w:t xml:space="preserve"> </w:t>
            </w:r>
            <w:hyperlink w:anchor="ic935750375694db7bf5b414664949d13_115">
              <w:r>
                <w:rPr>
                  <w:rStyle w:val="InternetLink"/>
                  <w:rFonts w:ascii="Allstate Sans;sans-serif" w:hAnsi="Allstate Sans;sans-serif"/>
                  <w:b w:val="false"/>
                  <w:strike w:val="false"/>
                  <w:dstrike w:val="false"/>
                  <w:color w:val="000000"/>
                  <w:sz w:val="18"/>
                  <w:u w:val="none"/>
                  <w:effect w:val="none"/>
                </w:rPr>
                <w:t>Legal Proceedings</w:t>
              </w:r>
            </w:hyperlink>
          </w:p>
        </w:tc>
        <w:tc>
          <w:tcPr>
            <w:tcW w:w="189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935750375694db7bf5b414664949d13_115">
              <w:r>
                <w:rPr>
                  <w:rStyle w:val="InternetLink"/>
                  <w:rFonts w:ascii="Allstate Sans;sans-serif" w:hAnsi="Allstate Sans;sans-serif"/>
                  <w:b w:val="false"/>
                  <w:strike w:val="false"/>
                  <w:dstrike w:val="false"/>
                  <w:color w:val="000000"/>
                  <w:sz w:val="18"/>
                  <w:u w:val="none"/>
                  <w:effect w:val="none"/>
                </w:rPr>
                <w:t>69</w:t>
              </w:r>
            </w:hyperlink>
          </w:p>
        </w:tc>
      </w:tr>
      <w:tr>
        <w:trPr/>
        <w:tc>
          <w:tcPr>
            <w:tcW w:w="8308"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c935750375694db7bf5b414664949d13_118">
              <w:r>
                <w:rPr>
                  <w:rStyle w:val="InternetLink"/>
                  <w:rFonts w:ascii="Allstate Sans;sans-serif" w:hAnsi="Allstate Sans;sans-serif"/>
                  <w:b w:val="false"/>
                  <w:strike w:val="false"/>
                  <w:dstrike w:val="false"/>
                  <w:color w:val="000000"/>
                  <w:sz w:val="18"/>
                  <w:u w:val="none"/>
                  <w:effect w:val="none"/>
                </w:rPr>
                <w:t>Item 1A</w:t>
              </w:r>
            </w:hyperlink>
            <w:r>
              <w:rPr>
                <w:rFonts w:ascii="Allstate Sans;sans-serif" w:hAnsi="Allstate Sans;sans-serif"/>
                <w:b w:val="false"/>
                <w:color w:val="000000"/>
                <w:sz w:val="18"/>
              </w:rPr>
              <w:t xml:space="preserve">. </w:t>
            </w:r>
            <w:hyperlink w:anchor="ic935750375694db7bf5b414664949d13_118">
              <w:r>
                <w:rPr>
                  <w:rStyle w:val="InternetLink"/>
                  <w:rFonts w:ascii="Allstate Sans;sans-serif" w:hAnsi="Allstate Sans;sans-serif"/>
                  <w:b w:val="false"/>
                  <w:strike w:val="false"/>
                  <w:dstrike w:val="false"/>
                  <w:color w:val="000000"/>
                  <w:sz w:val="18"/>
                  <w:u w:val="none"/>
                  <w:effect w:val="none"/>
                </w:rPr>
                <w:t>Risk Factors</w:t>
              </w:r>
            </w:hyperlink>
          </w:p>
        </w:tc>
        <w:tc>
          <w:tcPr>
            <w:tcW w:w="189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935750375694db7bf5b414664949d13_118">
              <w:r>
                <w:rPr>
                  <w:rStyle w:val="InternetLink"/>
                  <w:rFonts w:ascii="Allstate Sans;sans-serif" w:hAnsi="Allstate Sans;sans-serif"/>
                  <w:b w:val="false"/>
                  <w:strike w:val="false"/>
                  <w:dstrike w:val="false"/>
                  <w:color w:val="000000"/>
                  <w:sz w:val="18"/>
                  <w:u w:val="none"/>
                  <w:effect w:val="none"/>
                </w:rPr>
                <w:t>69</w:t>
              </w:r>
            </w:hyperlink>
          </w:p>
        </w:tc>
      </w:tr>
      <w:tr>
        <w:trPr/>
        <w:tc>
          <w:tcPr>
            <w:tcW w:w="8308"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c935750375694db7bf5b414664949d13_121">
              <w:r>
                <w:rPr>
                  <w:rStyle w:val="InternetLink"/>
                  <w:rFonts w:ascii="Allstate Sans;sans-serif" w:hAnsi="Allstate Sans;sans-serif"/>
                  <w:b w:val="false"/>
                  <w:strike w:val="false"/>
                  <w:dstrike w:val="false"/>
                  <w:color w:val="000000"/>
                  <w:sz w:val="18"/>
                  <w:u w:val="none"/>
                  <w:effect w:val="none"/>
                </w:rPr>
                <w:t>Item 2.</w:t>
              </w:r>
            </w:hyperlink>
            <w:r>
              <w:rPr>
                <w:rFonts w:ascii="Allstate Sans;sans-serif" w:hAnsi="Allstate Sans;sans-serif"/>
                <w:b w:val="false"/>
                <w:color w:val="000000"/>
                <w:sz w:val="18"/>
              </w:rPr>
              <w:t xml:space="preserve"> </w:t>
            </w:r>
            <w:hyperlink w:anchor="ic935750375694db7bf5b414664949d13_121">
              <w:r>
                <w:rPr>
                  <w:rStyle w:val="InternetLink"/>
                  <w:rFonts w:ascii="Allstate Sans;sans-serif" w:hAnsi="Allstate Sans;sans-serif"/>
                  <w:b w:val="false"/>
                  <w:strike w:val="false"/>
                  <w:dstrike w:val="false"/>
                  <w:color w:val="000000"/>
                  <w:sz w:val="18"/>
                  <w:u w:val="none"/>
                  <w:effect w:val="none"/>
                </w:rPr>
                <w:t>Unregistered Sales of Equity Securities, Use of Proceeds, and Issuer Purchases of Equity Securities</w:t>
              </w:r>
            </w:hyperlink>
          </w:p>
        </w:tc>
        <w:tc>
          <w:tcPr>
            <w:tcW w:w="189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935750375694db7bf5b414664949d13_121">
              <w:r>
                <w:rPr>
                  <w:rStyle w:val="InternetLink"/>
                  <w:rFonts w:ascii="Allstate Sans;sans-serif" w:hAnsi="Allstate Sans;sans-serif"/>
                  <w:b w:val="false"/>
                  <w:strike w:val="false"/>
                  <w:dstrike w:val="false"/>
                  <w:color w:val="000000"/>
                  <w:sz w:val="18"/>
                  <w:u w:val="none"/>
                  <w:effect w:val="none"/>
                </w:rPr>
                <w:t>69</w:t>
              </w:r>
            </w:hyperlink>
          </w:p>
        </w:tc>
      </w:tr>
      <w:tr>
        <w:trPr/>
        <w:tc>
          <w:tcPr>
            <w:tcW w:w="8308"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c935750375694db7bf5b414664949d13_124">
              <w:r>
                <w:rPr>
                  <w:rStyle w:val="InternetLink"/>
                  <w:rFonts w:ascii="Allstate Sans;sans-serif" w:hAnsi="Allstate Sans;sans-serif"/>
                  <w:b w:val="false"/>
                  <w:strike w:val="false"/>
                  <w:dstrike w:val="false"/>
                  <w:color w:val="000000"/>
                  <w:sz w:val="18"/>
                  <w:u w:val="none"/>
                  <w:effect w:val="none"/>
                </w:rPr>
                <w:t>Item 5. Other Information</w:t>
              </w:r>
            </w:hyperlink>
          </w:p>
        </w:tc>
        <w:tc>
          <w:tcPr>
            <w:tcW w:w="189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935750375694db7bf5b414664949d13_121">
              <w:r>
                <w:rPr>
                  <w:rStyle w:val="InternetLink"/>
                  <w:rFonts w:ascii="Allstate Sans;sans-serif" w:hAnsi="Allstate Sans;sans-serif"/>
                  <w:b w:val="false"/>
                  <w:strike w:val="false"/>
                  <w:dstrike w:val="false"/>
                  <w:color w:val="000000"/>
                  <w:sz w:val="18"/>
                  <w:u w:val="none"/>
                  <w:effect w:val="none"/>
                </w:rPr>
                <w:t>69</w:t>
              </w:r>
            </w:hyperlink>
          </w:p>
        </w:tc>
      </w:tr>
      <w:tr>
        <w:trPr/>
        <w:tc>
          <w:tcPr>
            <w:tcW w:w="8308"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c935750375694db7bf5b414664949d13_130">
              <w:r>
                <w:rPr>
                  <w:rStyle w:val="InternetLink"/>
                  <w:rFonts w:ascii="Allstate Sans;sans-serif" w:hAnsi="Allstate Sans;sans-serif"/>
                  <w:b w:val="false"/>
                  <w:strike w:val="false"/>
                  <w:dstrike w:val="false"/>
                  <w:color w:val="000000"/>
                  <w:sz w:val="18"/>
                  <w:u w:val="none"/>
                  <w:effect w:val="none"/>
                </w:rPr>
                <w:t>Item 6.</w:t>
              </w:r>
            </w:hyperlink>
            <w:r>
              <w:rPr>
                <w:rFonts w:ascii="Allstate Sans;sans-serif" w:hAnsi="Allstate Sans;sans-serif"/>
                <w:b w:val="false"/>
                <w:color w:val="000000"/>
                <w:sz w:val="18"/>
              </w:rPr>
              <w:t xml:space="preserve"> </w:t>
            </w:r>
            <w:hyperlink w:anchor="ic935750375694db7bf5b414664949d13_130">
              <w:r>
                <w:rPr>
                  <w:rStyle w:val="InternetLink"/>
                  <w:rFonts w:ascii="Allstate Sans;sans-serif" w:hAnsi="Allstate Sans;sans-serif"/>
                  <w:b w:val="false"/>
                  <w:strike w:val="false"/>
                  <w:dstrike w:val="false"/>
                  <w:color w:val="000000"/>
                  <w:sz w:val="18"/>
                  <w:u w:val="none"/>
                  <w:effect w:val="none"/>
                </w:rPr>
                <w:t>Exhibits</w:t>
              </w:r>
            </w:hyperlink>
          </w:p>
        </w:tc>
        <w:tc>
          <w:tcPr>
            <w:tcW w:w="189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935750375694db7bf5b414664949d13_130">
              <w:r>
                <w:rPr>
                  <w:rStyle w:val="InternetLink"/>
                  <w:rFonts w:ascii="Allstate Sans;sans-serif" w:hAnsi="Allstate Sans;sans-serif"/>
                  <w:b w:val="false"/>
                  <w:strike w:val="false"/>
                  <w:dstrike w:val="false"/>
                  <w:color w:val="000000"/>
                  <w:sz w:val="18"/>
                  <w:u w:val="none"/>
                  <w:effect w:val="none"/>
                </w:rPr>
                <w:t>70</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ind w:left="0" w:right="0" w:firstLine="3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ind w:left="0" w:right="0" w:firstLine="360"/>
                        <w:jc w:val="left"/>
                        <w:rPr/>
                      </w:pPr>
                      <w:r>
                        <w:rPr/>
                      </w:r>
                    </w:p>
                  </w:txbxContent>
                </v:textbox>
                <w10:wrap type="none"/>
              </v:rect>
            </w:pict>
          </mc:Fallback>
        </mc:AlternateContent>
      </w:r>
    </w:p>
    <w:p>
      <w:pPr>
        <w:pStyle w:val="TextBody"/>
        <w:bidi w:val="0"/>
        <w:spacing w:lineRule="auto" w:line="288" w:before="0" w:after="120"/>
        <w:ind w:left="0" w:right="0" w:firstLine="360"/>
        <w:jc w:val="right"/>
        <w:rPr>
          <w:rFonts w:ascii="Allstate Sans;sans-serif" w:hAnsi="Allstate Sans;sans-serif"/>
          <w:b w:val="false"/>
          <w:color w:val="0033A0"/>
          <w:sz w:val="18"/>
        </w:rPr>
      </w:pPr>
      <w:r>
        <w:rPr>
          <w:rFonts w:ascii="Allstate Sans;sans-serif" w:hAnsi="Allstate Sans;sans-serif"/>
          <w:b w:val="false"/>
          <w:color w:val="0033A0"/>
          <w:sz w:val="18"/>
        </w:rPr>
        <w:t>Condensed Consolidated Financial Statements</w:t>
      </w:r>
    </w:p>
    <w:p>
      <w:pPr>
        <w:pStyle w:val="TextBody"/>
        <w:bidi w:val="0"/>
        <w:spacing w:lineRule="auto" w:line="288" w:before="0" w:after="120"/>
        <w:jc w:val="center"/>
        <w:rPr>
          <w:rFonts w:ascii="Allstate Sans;sans-serif" w:hAnsi="Allstate Sans;sans-serif"/>
          <w:b/>
          <w:color w:val="0033A0"/>
          <w:sz w:val="22"/>
        </w:rPr>
      </w:pPr>
      <w:r>
        <w:rPr>
          <w:rFonts w:ascii="Allstate Sans;sans-serif" w:hAnsi="Allstate Sans;sans-serif"/>
          <w:b/>
          <w:color w:val="0033A0"/>
          <w:sz w:val="22"/>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center"/>
        <w:rPr>
          <w:rFonts w:ascii="Allstate Sans;sans-serif" w:hAnsi="Allstate Sans;sans-serif"/>
          <w:b/>
          <w:color w:val="0033A0"/>
          <w:sz w:val="22"/>
        </w:rPr>
      </w:pPr>
      <w:r>
        <w:rPr>
          <w:rFonts w:ascii="Allstate Sans;sans-serif" w:hAnsi="Allstate Sans;sans-serif"/>
          <w:b/>
          <w:color w:val="0033A0"/>
          <w:sz w:val="22"/>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llstate Sans;sans-serif" w:hAnsi="Allstate Sans;sans-serif"/>
          <w:b/>
          <w:color w:val="0033A0"/>
          <w:sz w:val="22"/>
        </w:rPr>
      </w:pPr>
      <w:r>
        <w:rPr>
          <w:rFonts w:ascii="Allstate Sans;sans-serif" w:hAnsi="Allstate Sans;sans-serif"/>
          <w:b/>
          <w:color w:val="0033A0"/>
          <w:sz w:val="22"/>
        </w:rPr>
        <w:t>The Allstate Corporation and Subsidiaries</w:t>
      </w:r>
    </w:p>
    <w:p>
      <w:pPr>
        <w:pStyle w:val="TextBody"/>
        <w:bidi w:val="0"/>
        <w:spacing w:lineRule="auto" w:line="288" w:before="0" w:after="120"/>
        <w:jc w:val="center"/>
        <w:rPr>
          <w:rFonts w:ascii="Allstate Sans;sans-serif" w:hAnsi="Allstate Sans;sans-serif"/>
          <w:b/>
          <w:color w:val="0033A0"/>
          <w:sz w:val="22"/>
        </w:rPr>
      </w:pPr>
      <w:r>
        <w:rPr>
          <w:rFonts w:ascii="Allstate Sans;sans-serif" w:hAnsi="Allstate Sans;sans-serif"/>
          <w:b/>
          <w:color w:val="0033A0"/>
          <w:sz w:val="22"/>
        </w:rPr>
        <w:t>Condensed Consolidated Statements of Operations (unaudited)</w:t>
      </w:r>
    </w:p>
    <w:tbl>
      <w:tblPr>
        <w:tblW w:w="10205" w:type="dxa"/>
        <w:jc w:val="center"/>
        <w:tblInd w:w="0" w:type="dxa"/>
        <w:tblLayout w:type="fixed"/>
        <w:tblCellMar>
          <w:top w:w="28" w:type="dxa"/>
          <w:left w:w="28" w:type="dxa"/>
          <w:bottom w:w="28" w:type="dxa"/>
          <w:right w:w="28" w:type="dxa"/>
        </w:tblCellMar>
      </w:tblPr>
      <w:tblGrid>
        <w:gridCol w:w="1509"/>
        <w:gridCol w:w="1325"/>
        <w:gridCol w:w="1328"/>
        <w:gridCol w:w="109"/>
        <w:gridCol w:w="109"/>
        <w:gridCol w:w="109"/>
        <w:gridCol w:w="226"/>
        <w:gridCol w:w="826"/>
        <w:gridCol w:w="109"/>
        <w:gridCol w:w="109"/>
        <w:gridCol w:w="109"/>
        <w:gridCol w:w="109"/>
        <w:gridCol w:w="226"/>
        <w:gridCol w:w="826"/>
        <w:gridCol w:w="109"/>
        <w:gridCol w:w="109"/>
        <w:gridCol w:w="109"/>
        <w:gridCol w:w="109"/>
        <w:gridCol w:w="229"/>
        <w:gridCol w:w="839"/>
        <w:gridCol w:w="110"/>
        <w:gridCol w:w="110"/>
        <w:gridCol w:w="110"/>
        <w:gridCol w:w="110"/>
        <w:gridCol w:w="229"/>
        <w:gridCol w:w="839"/>
        <w:gridCol w:w="164"/>
      </w:tblGrid>
      <w:tr>
        <w:trPr/>
        <w:tc>
          <w:tcPr>
            <w:tcW w:w="1509"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162"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(In millions, except per share data)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Three months ended</w:t>
              <w:b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Six months ended June 30,</w:t>
            </w:r>
          </w:p>
        </w:tc>
      </w:tr>
      <w:tr>
        <w:trPr/>
        <w:tc>
          <w:tcPr>
            <w:tcW w:w="4162"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2026</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2025</w:t>
            </w:r>
          </w:p>
        </w:tc>
      </w:tr>
      <w:tr>
        <w:trPr/>
        <w:tc>
          <w:tcPr>
            <w:tcW w:w="4162"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2"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Property and casualty insurance premiums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826"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15,670 </w:t>
            </w:r>
          </w:p>
        </w:tc>
        <w:tc>
          <w:tcPr>
            <w:tcW w:w="109"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826"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15,041 </w:t>
            </w:r>
          </w:p>
        </w:tc>
        <w:tc>
          <w:tcPr>
            <w:tcW w:w="109"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839"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31,223 </w:t>
            </w:r>
          </w:p>
        </w:tc>
        <w:tc>
          <w:tcPr>
            <w:tcW w:w="110"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839"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29,739 </w:t>
            </w:r>
          </w:p>
        </w:tc>
        <w:tc>
          <w:tcPr>
            <w:tcW w:w="164"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2"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Accident and health insurance premiums and contract charges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134 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235 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270 </w:t>
            </w:r>
          </w:p>
        </w:tc>
        <w:tc>
          <w:tcPr>
            <w:tcW w:w="11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722 </w:t>
            </w:r>
          </w:p>
        </w:tc>
        <w:tc>
          <w:tcPr>
            <w:tcW w:w="16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2"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Other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728 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747 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1,447 </w:t>
            </w:r>
          </w:p>
        </w:tc>
        <w:tc>
          <w:tcPr>
            <w:tcW w:w="11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1,509 </w:t>
            </w:r>
          </w:p>
        </w:tc>
        <w:tc>
          <w:tcPr>
            <w:tcW w:w="16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2"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Net investment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1,009 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754 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1,947 </w:t>
            </w:r>
          </w:p>
        </w:tc>
        <w:tc>
          <w:tcPr>
            <w:tcW w:w="11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1,608 </w:t>
            </w:r>
          </w:p>
        </w:tc>
        <w:tc>
          <w:tcPr>
            <w:tcW w:w="16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2"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Net gains (losses) on investments and derivatives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1,055 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(144)</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650 </w:t>
            </w:r>
          </w:p>
        </w:tc>
        <w:tc>
          <w:tcPr>
            <w:tcW w:w="11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(493)</w:t>
            </w:r>
          </w:p>
        </w:tc>
        <w:tc>
          <w:tcPr>
            <w:tcW w:w="16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2"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18,596</w:t>
            </w: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16,633</w:t>
            </w: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35,537</w:t>
            </w:r>
            <w:r>
              <w:rPr>
                <w:color w:val="000000"/>
              </w:rPr>
              <w:t> </w:t>
            </w:r>
          </w:p>
        </w:tc>
        <w:tc>
          <w:tcPr>
            <w:tcW w:w="11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33,085</w:t>
            </w:r>
            <w:r>
              <w:rPr>
                <w:color w:val="000000"/>
              </w:rPr>
              <w:t> </w:t>
            </w:r>
          </w:p>
        </w:tc>
        <w:tc>
          <w:tcPr>
            <w:tcW w:w="16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2"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2"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Costs and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2"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Property and casualty insurance claims and claims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9,862 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10,249 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19,047 </w:t>
            </w:r>
          </w:p>
        </w:tc>
        <w:tc>
          <w:tcPr>
            <w:tcW w:w="11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21,064 </w:t>
            </w:r>
          </w:p>
        </w:tc>
        <w:tc>
          <w:tcPr>
            <w:tcW w:w="16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r>
      <w:tr>
        <w:trPr/>
        <w:tc>
          <w:tcPr>
            <w:tcW w:w="4162"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 xml:space="preserve">Accident, health and other policy benefits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72 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188 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148 </w:t>
            </w:r>
          </w:p>
        </w:tc>
        <w:tc>
          <w:tcPr>
            <w:tcW w:w="11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521 </w:t>
            </w:r>
          </w:p>
        </w:tc>
        <w:tc>
          <w:tcPr>
            <w:tcW w:w="16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2"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Amortization of deferred policy acquisition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2,202 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2,076 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4,380 </w:t>
            </w:r>
          </w:p>
        </w:tc>
        <w:tc>
          <w:tcPr>
            <w:tcW w:w="11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4,163 </w:t>
            </w:r>
          </w:p>
        </w:tc>
        <w:tc>
          <w:tcPr>
            <w:tcW w:w="16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2"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Operating costs and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2,315 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2,135 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4,540 </w:t>
            </w:r>
          </w:p>
        </w:tc>
        <w:tc>
          <w:tcPr>
            <w:tcW w:w="11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4,380 </w:t>
            </w:r>
          </w:p>
        </w:tc>
        <w:tc>
          <w:tcPr>
            <w:tcW w:w="16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2"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Pension and other postretirement remeasurement (gains)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(146)</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(127)</w:t>
            </w:r>
          </w:p>
        </w:tc>
        <w:tc>
          <w:tcPr>
            <w:tcW w:w="11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78 </w:t>
            </w:r>
          </w:p>
        </w:tc>
        <w:tc>
          <w:tcPr>
            <w:tcW w:w="16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2"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Restructuring and related charges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15 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12 </w:t>
            </w:r>
          </w:p>
        </w:tc>
        <w:tc>
          <w:tcPr>
            <w:tcW w:w="11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31 </w:t>
            </w:r>
          </w:p>
        </w:tc>
        <w:tc>
          <w:tcPr>
            <w:tcW w:w="16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2"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Amortization of purchased intangibles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46 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57 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93 </w:t>
            </w:r>
          </w:p>
        </w:tc>
        <w:tc>
          <w:tcPr>
            <w:tcW w:w="11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116 </w:t>
            </w:r>
          </w:p>
        </w:tc>
        <w:tc>
          <w:tcPr>
            <w:tcW w:w="16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r>
      <w:tr>
        <w:trPr/>
        <w:tc>
          <w:tcPr>
            <w:tcW w:w="4162"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Interest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96 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100 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194 </w:t>
            </w:r>
          </w:p>
        </w:tc>
        <w:tc>
          <w:tcPr>
            <w:tcW w:w="11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200 </w:t>
            </w:r>
          </w:p>
        </w:tc>
        <w:tc>
          <w:tcPr>
            <w:tcW w:w="16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2"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 costs and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14,454</w:t>
            </w: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14,820</w:t>
            </w: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28,287</w:t>
            </w:r>
            <w:r>
              <w:rPr>
                <w:color w:val="000000"/>
              </w:rPr>
              <w:t> </w:t>
            </w:r>
          </w:p>
        </w:tc>
        <w:tc>
          <w:tcPr>
            <w:tcW w:w="11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30,553</w:t>
            </w:r>
            <w:r>
              <w:rPr>
                <w:color w:val="000000"/>
              </w:rPr>
              <w:t> </w:t>
            </w:r>
          </w:p>
        </w:tc>
        <w:tc>
          <w:tcPr>
            <w:tcW w:w="16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2"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2"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Gain on disposition of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890 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890 </w:t>
            </w:r>
          </w:p>
        </w:tc>
        <w:tc>
          <w:tcPr>
            <w:tcW w:w="16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2"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2"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Income from operations before income tax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4,142</w:t>
            </w: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2,703</w:t>
            </w: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7,250</w:t>
            </w:r>
            <w:r>
              <w:rPr>
                <w:color w:val="000000"/>
              </w:rPr>
              <w:t> </w:t>
            </w:r>
          </w:p>
        </w:tc>
        <w:tc>
          <w:tcPr>
            <w:tcW w:w="11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3,422</w:t>
            </w:r>
            <w:r>
              <w:rPr>
                <w:color w:val="000000"/>
              </w:rPr>
              <w:t> </w:t>
            </w:r>
          </w:p>
        </w:tc>
        <w:tc>
          <w:tcPr>
            <w:tcW w:w="16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2"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2"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Income tax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871 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604 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1,521 </w:t>
            </w:r>
          </w:p>
        </w:tc>
        <w:tc>
          <w:tcPr>
            <w:tcW w:w="11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727 </w:t>
            </w:r>
          </w:p>
        </w:tc>
        <w:tc>
          <w:tcPr>
            <w:tcW w:w="16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2" w:type="dxa"/>
            <w:gridSpan w:val="3"/>
            <w:tcBorders>
              <w:top w:val="single" w:sz="4" w:space="0" w:color="B6B6B6"/>
              <w:left w:val="single" w:sz="8" w:space="0" w:color="FFFFFF"/>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2"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Net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3,271</w:t>
            </w: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2,099</w:t>
            </w: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5,729</w:t>
            </w:r>
            <w:r>
              <w:rPr>
                <w:color w:val="000000"/>
              </w:rPr>
              <w:t> </w:t>
            </w:r>
          </w:p>
        </w:tc>
        <w:tc>
          <w:tcPr>
            <w:tcW w:w="11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2,695</w:t>
            </w:r>
            <w:r>
              <w:rPr>
                <w:color w:val="000000"/>
              </w:rPr>
              <w:t> </w:t>
            </w:r>
          </w:p>
        </w:tc>
        <w:tc>
          <w:tcPr>
            <w:tcW w:w="164" w:type="dxa"/>
            <w:tcBorders>
              <w:top w:val="single" w:sz="4" w:space="0" w:color="B6B6B6"/>
              <w:right w:val="single" w:sz="8" w:space="0" w:color="FFFFFF"/>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162"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4" w:space="0" w:color="B6B6B6"/>
              <w:right w:val="single" w:sz="8" w:space="0" w:color="FFFFFF"/>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4162"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Less: Net income (loss) attributable to 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(10)</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1 </w:t>
            </w:r>
          </w:p>
        </w:tc>
        <w:tc>
          <w:tcPr>
            <w:tcW w:w="11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(9)</w:t>
            </w:r>
          </w:p>
        </w:tc>
        <w:tc>
          <w:tcPr>
            <w:tcW w:w="16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2"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2"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Net income attributable to Allstate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3,271</w:t>
            </w: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2,109</w:t>
            </w: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5,728</w:t>
            </w:r>
            <w:r>
              <w:rPr>
                <w:color w:val="000000"/>
              </w:rPr>
              <w:t> </w:t>
            </w:r>
          </w:p>
        </w:tc>
        <w:tc>
          <w:tcPr>
            <w:tcW w:w="11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2,704</w:t>
            </w:r>
            <w:r>
              <w:rPr>
                <w:color w:val="000000"/>
              </w:rPr>
              <w:t> </w:t>
            </w:r>
          </w:p>
        </w:tc>
        <w:tc>
          <w:tcPr>
            <w:tcW w:w="16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2"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2"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Less: Preferred stock dividends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30 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30 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59 </w:t>
            </w:r>
          </w:p>
        </w:tc>
        <w:tc>
          <w:tcPr>
            <w:tcW w:w="11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59 </w:t>
            </w:r>
          </w:p>
        </w:tc>
        <w:tc>
          <w:tcPr>
            <w:tcW w:w="16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2"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2"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Net income applicable to common shareholders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8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3,241</w:t>
            </w: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8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2,079</w:t>
            </w: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839"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5,669</w:t>
            </w:r>
            <w:r>
              <w:rPr>
                <w:color w:val="000000"/>
              </w:rPr>
              <w:t> </w:t>
            </w:r>
          </w:p>
        </w:tc>
        <w:tc>
          <w:tcPr>
            <w:tcW w:w="11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839"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2,645</w:t>
            </w:r>
            <w:r>
              <w:rPr>
                <w:color w:val="000000"/>
              </w:rPr>
              <w:t> </w:t>
            </w:r>
          </w:p>
        </w:tc>
        <w:tc>
          <w:tcPr>
            <w:tcW w:w="16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2" w:type="dxa"/>
            <w:gridSpan w:val="3"/>
            <w:tcBorders>
              <w:top w:val="single" w:sz="4" w:space="0" w:color="B6B6B6"/>
              <w:left w:val="single" w:sz="8" w:space="0" w:color="FFFFFF"/>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4" w:space="0" w:color="B6B6B6"/>
              <w:right w:val="single" w:sz="8" w:space="0" w:color="FFFFFF"/>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4162" w:type="dxa"/>
            <w:gridSpan w:val="3"/>
            <w:tcBorders>
              <w:top w:val="single" w:sz="4" w:space="0" w:color="B6B6B6"/>
              <w:left w:val="single" w:sz="8" w:space="0" w:color="FFFFFF"/>
            </w:tcBorders>
            <w:tcMar>
              <w:top w:w="3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Earnings per common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4" w:space="0" w:color="B6B6B6"/>
              <w:right w:val="single" w:sz="8" w:space="0" w:color="FFFFFF"/>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162" w:type="dxa"/>
            <w:gridSpan w:val="3"/>
            <w:tcBorders>
              <w:top w:val="single" w:sz="4" w:space="0" w:color="B6B6B6"/>
              <w:left w:val="single" w:sz="8" w:space="0" w:color="FFFFFF"/>
            </w:tcBorders>
            <w:tcMar>
              <w:top w:w="3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Net income applicable to common shareholders per common share - Basic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8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12.66 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8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7.86 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839"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22.00 </w:t>
            </w:r>
          </w:p>
        </w:tc>
        <w:tc>
          <w:tcPr>
            <w:tcW w:w="11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839"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9.98 </w:t>
            </w:r>
          </w:p>
        </w:tc>
        <w:tc>
          <w:tcPr>
            <w:tcW w:w="16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2" w:type="dxa"/>
            <w:gridSpan w:val="3"/>
            <w:tcBorders>
              <w:top w:val="single" w:sz="4" w:space="0" w:color="B6B6B6"/>
              <w:left w:val="single" w:sz="8" w:space="0" w:color="FFFFFF"/>
            </w:tcBorders>
            <w:tcMar>
              <w:top w:w="3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Weighted average common shares - Basic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256.0 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264.6 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257.7 </w:t>
            </w:r>
          </w:p>
        </w:tc>
        <w:tc>
          <w:tcPr>
            <w:tcW w:w="11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264.9 </w:t>
            </w:r>
          </w:p>
        </w:tc>
        <w:tc>
          <w:tcPr>
            <w:tcW w:w="164" w:type="dxa"/>
            <w:tcBorders>
              <w:top w:val="single" w:sz="4" w:space="0" w:color="B6B6B6"/>
              <w:right w:val="single" w:sz="8" w:space="0" w:color="FFFFFF"/>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162" w:type="dxa"/>
            <w:gridSpan w:val="3"/>
            <w:tcBorders>
              <w:top w:val="single" w:sz="4" w:space="0" w:color="B6B6B6"/>
              <w:left w:val="single" w:sz="8" w:space="0" w:color="FFFFFF"/>
            </w:tcBorders>
            <w:tcMar>
              <w:top w:w="3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Net income applicable to common shareholders per common share - Diluted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8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12.51 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8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7.76 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839"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21.73 </w:t>
            </w:r>
          </w:p>
        </w:tc>
        <w:tc>
          <w:tcPr>
            <w:tcW w:w="11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839"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9.85 </w:t>
            </w:r>
          </w:p>
        </w:tc>
        <w:tc>
          <w:tcPr>
            <w:tcW w:w="16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2" w:type="dxa"/>
            <w:gridSpan w:val="3"/>
            <w:tcBorders>
              <w:top w:val="single" w:sz="4" w:space="0" w:color="B6B6B6"/>
              <w:left w:val="single" w:sz="8" w:space="0" w:color="FFFFFF"/>
              <w:bottom w:val="single" w:sz="8" w:space="0" w:color="0033A0"/>
            </w:tcBorders>
            <w:tcMar>
              <w:top w:w="3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Weighted average common shares - Diluted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259.1 </w:t>
            </w:r>
          </w:p>
        </w:tc>
        <w:tc>
          <w:tcPr>
            <w:tcW w:w="109"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267.9 </w:t>
            </w:r>
          </w:p>
        </w:tc>
        <w:tc>
          <w:tcPr>
            <w:tcW w:w="109"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260.9 </w:t>
            </w:r>
          </w:p>
        </w:tc>
        <w:tc>
          <w:tcPr>
            <w:tcW w:w="110"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268.4 </w:t>
            </w:r>
          </w:p>
        </w:tc>
        <w:tc>
          <w:tcPr>
            <w:tcW w:w="164" w:type="dxa"/>
            <w:tcBorders>
              <w:top w:val="single" w:sz="4" w:space="0" w:color="B6B6B6"/>
              <w:bottom w:val="single" w:sz="8" w:space="0" w:color="0033A0"/>
              <w:right w:val="single" w:sz="8" w:space="0" w:color="FFFFFF"/>
            </w:tcBorders>
            <w:tcMar>
              <w:top w:w="30"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360"/>
        <w:jc w:val="center"/>
        <w:rPr>
          <w:rFonts w:ascii="Allstate Sans;sans-serif" w:hAnsi="Allstate Sans;sans-serif"/>
          <w:b w:val="false"/>
          <w:color w:val="000000"/>
          <w:sz w:val="16"/>
        </w:rPr>
      </w:pPr>
      <w:r>
        <w:rPr>
          <w:rFonts w:ascii="Allstate Sans;sans-serif" w:hAnsi="Allstate Sans;sans-serif"/>
          <w:b w:val="false"/>
          <w:color w:val="000000"/>
          <w:sz w:val="16"/>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33350"/>
                <wp:effectExtent l="0" t="0" r="0" b="0"/>
                <wp:wrapNone/>
                <wp:docPr id="4" name="Frame3"/>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ind w:left="0" w:right="0" w:firstLine="360"/>
                              <w:jc w:val="right"/>
                              <w:rPr/>
                            </w:pPr>
                            <w:r>
                              <w:rPr>
                                <w:rFonts w:ascii="Allstate Sans;sans-serif" w:hAnsi="Allstate Sans;sans-serif"/>
                                <w:b w:val="false"/>
                                <w:color w:val="000000"/>
                                <w:sz w:val="18"/>
                              </w:rPr>
                              <w:t xml:space="preserve">Second Quarter 2026 Form 10-Q </w:t>
                            </w:r>
                            <w:r>
                              <w:rPr>
                                <w:rFonts w:ascii="Allstate Sans;sans-serif" w:hAnsi="Allstate Sans;sans-serif"/>
                                <w:b w:val="false"/>
                                <w:color w:val="0033A0"/>
                                <w:sz w:val="18"/>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right"/>
                        <w:rPr/>
                      </w:pPr>
                      <w:r>
                        <w:rPr>
                          <w:rFonts w:ascii="Allstate Sans;sans-serif" w:hAnsi="Allstate Sans;sans-serif"/>
                          <w:b w:val="false"/>
                          <w:color w:val="000000"/>
                          <w:sz w:val="18"/>
                        </w:rPr>
                        <w:t xml:space="preserve">Second Quarter 2026 Form 10-Q </w:t>
                      </w:r>
                      <w:r>
                        <w:rPr>
                          <w:rFonts w:ascii="Allstate Sans;sans-serif" w:hAnsi="Allstate Sans;sans-serif"/>
                          <w:b w:val="false"/>
                          <w:color w:val="0033A0"/>
                          <w:sz w:val="18"/>
                        </w:rPr>
                        <w:t>1</w:t>
                      </w:r>
                    </w:p>
                  </w:txbxContent>
                </v:textbox>
                <w10:wrap type="none"/>
              </v:rect>
            </w:pict>
          </mc:Fallback>
        </mc:AlternateContent>
      </w:r>
    </w:p>
    <w:p>
      <w:pPr>
        <w:pStyle w:val="TextBody"/>
        <w:bidi w:val="0"/>
        <w:spacing w:lineRule="auto" w:line="288" w:before="0" w:after="120"/>
        <w:jc w:val="left"/>
        <w:rPr>
          <w:rFonts w:ascii="Allstate Sans;sans-serif" w:hAnsi="Allstate Sans;sans-serif"/>
          <w:b w:val="false"/>
          <w:color w:val="0033A0"/>
          <w:sz w:val="18"/>
        </w:rPr>
      </w:pPr>
      <w:r>
        <w:rPr>
          <w:rFonts w:ascii="Allstate Sans;sans-serif" w:hAnsi="Allstate Sans;sans-serif"/>
          <w:b w:val="false"/>
          <w:color w:val="0033A0"/>
          <w:sz w:val="18"/>
        </w:rPr>
        <w:t>Condensed Consolidated Financial Statements</w:t>
      </w:r>
    </w:p>
    <w:p>
      <w:pPr>
        <w:pStyle w:val="TextBody"/>
        <w:bidi w:val="0"/>
        <w:spacing w:lineRule="auto" w:line="288" w:before="0" w:after="0"/>
        <w:jc w:val="center"/>
        <w:rPr>
          <w:rFonts w:ascii="Allstate Sans;sans-serif" w:hAnsi="Allstate Sans;sans-serif"/>
          <w:b/>
          <w:color w:val="0033A0"/>
          <w:sz w:val="22"/>
        </w:rPr>
      </w:pPr>
      <w:r>
        <w:rPr>
          <w:rFonts w:ascii="Allstate Sans;sans-serif" w:hAnsi="Allstate Sans;sans-serif"/>
          <w:b/>
          <w:color w:val="0033A0"/>
          <w:sz w:val="22"/>
        </w:rPr>
        <w:t>The Allstate Corporation and Subsidiaries</w:t>
      </w:r>
    </w:p>
    <w:p>
      <w:pPr>
        <w:pStyle w:val="TextBody"/>
        <w:bidi w:val="0"/>
        <w:spacing w:lineRule="auto" w:line="288" w:before="0" w:after="0"/>
        <w:jc w:val="center"/>
        <w:rPr>
          <w:rFonts w:ascii="Allstate Sans;sans-serif" w:hAnsi="Allstate Sans;sans-serif"/>
          <w:b/>
          <w:color w:val="0033A0"/>
          <w:sz w:val="22"/>
        </w:rPr>
      </w:pPr>
      <w:r>
        <w:rPr>
          <w:rFonts w:ascii="Allstate Sans;sans-serif" w:hAnsi="Allstate Sans;sans-serif"/>
          <w:b/>
          <w:color w:val="0033A0"/>
          <w:sz w:val="22"/>
        </w:rPr>
        <w:t>Condensed Consolidated Statements of Comprehensive Income (Loss) (unaudited)</w:t>
      </w:r>
    </w:p>
    <w:tbl>
      <w:tblPr>
        <w:tblW w:w="10205" w:type="dxa"/>
        <w:jc w:val="left"/>
        <w:tblInd w:w="0" w:type="dxa"/>
        <w:tblLayout w:type="fixed"/>
        <w:tblCellMar>
          <w:top w:w="28" w:type="dxa"/>
          <w:left w:w="28" w:type="dxa"/>
          <w:bottom w:w="28" w:type="dxa"/>
          <w:right w:w="28" w:type="dxa"/>
        </w:tblCellMar>
      </w:tblPr>
      <w:tblGrid>
        <w:gridCol w:w="1494"/>
        <w:gridCol w:w="1300"/>
        <w:gridCol w:w="1315"/>
        <w:gridCol w:w="109"/>
        <w:gridCol w:w="109"/>
        <w:gridCol w:w="109"/>
        <w:gridCol w:w="255"/>
        <w:gridCol w:w="816"/>
        <w:gridCol w:w="123"/>
        <w:gridCol w:w="123"/>
        <w:gridCol w:w="123"/>
        <w:gridCol w:w="123"/>
        <w:gridCol w:w="255"/>
        <w:gridCol w:w="816"/>
        <w:gridCol w:w="123"/>
        <w:gridCol w:w="109"/>
        <w:gridCol w:w="109"/>
        <w:gridCol w:w="109"/>
        <w:gridCol w:w="243"/>
        <w:gridCol w:w="777"/>
        <w:gridCol w:w="117"/>
        <w:gridCol w:w="117"/>
        <w:gridCol w:w="117"/>
        <w:gridCol w:w="117"/>
        <w:gridCol w:w="243"/>
        <w:gridCol w:w="777"/>
        <w:gridCol w:w="177"/>
      </w:tblGrid>
      <w:tr>
        <w:trPr/>
        <w:tc>
          <w:tcPr>
            <w:tcW w:w="1494"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4109"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 in 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Six months ended June 30,</w:t>
            </w:r>
          </w:p>
        </w:tc>
      </w:tr>
      <w:tr>
        <w:trPr/>
        <w:tc>
          <w:tcPr>
            <w:tcW w:w="4109"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2026</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2026</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2025</w:t>
            </w:r>
          </w:p>
        </w:tc>
      </w:tr>
      <w:tr>
        <w:trPr/>
        <w:tc>
          <w:tcPr>
            <w:tcW w:w="4109"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Net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816"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3,271</w:t>
            </w:r>
            <w:r>
              <w:rPr>
                <w:color w:val="000000"/>
              </w:rPr>
              <w:t> </w:t>
            </w:r>
          </w:p>
        </w:tc>
        <w:tc>
          <w:tcPr>
            <w:tcW w:w="123"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816"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2,099</w:t>
            </w:r>
            <w:r>
              <w:rPr>
                <w:color w:val="000000"/>
              </w:rPr>
              <w:t> </w:t>
            </w:r>
          </w:p>
        </w:tc>
        <w:tc>
          <w:tcPr>
            <w:tcW w:w="123"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777"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5,729</w:t>
            </w:r>
            <w:r>
              <w:rPr>
                <w:color w:val="000000"/>
              </w:rPr>
              <w:t> </w:t>
            </w:r>
          </w:p>
        </w:tc>
        <w:tc>
          <w:tcPr>
            <w:tcW w:w="117"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777"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2,695</w:t>
            </w:r>
            <w:r>
              <w:rPr>
                <w:color w:val="000000"/>
              </w:rPr>
              <w:t> </w:t>
            </w:r>
          </w:p>
        </w:tc>
        <w:tc>
          <w:tcPr>
            <w:tcW w:w="177"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top w:val="single" w:sz="4"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4"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4"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Other comprehensive income (loss), after-tax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Changes 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Unrealized net capital gains and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142 </w:t>
            </w:r>
          </w:p>
        </w:tc>
        <w:tc>
          <w:tcPr>
            <w:tcW w:w="12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387 </w:t>
            </w:r>
          </w:p>
        </w:tc>
        <w:tc>
          <w:tcPr>
            <w:tcW w:w="12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(376)</w:t>
            </w:r>
          </w:p>
        </w:tc>
        <w:tc>
          <w:tcPr>
            <w:tcW w:w="11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807 </w:t>
            </w:r>
          </w:p>
        </w:tc>
        <w:tc>
          <w:tcPr>
            <w:tcW w:w="17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Unrealized foreign currency translation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(43)</w:t>
            </w:r>
          </w:p>
        </w:tc>
        <w:tc>
          <w:tcPr>
            <w:tcW w:w="12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84 </w:t>
            </w:r>
          </w:p>
        </w:tc>
        <w:tc>
          <w:tcPr>
            <w:tcW w:w="12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(71)</w:t>
            </w:r>
          </w:p>
        </w:tc>
        <w:tc>
          <w:tcPr>
            <w:tcW w:w="11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39 </w:t>
            </w:r>
          </w:p>
        </w:tc>
        <w:tc>
          <w:tcPr>
            <w:tcW w:w="17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Unamortized pension and other postretirement prior service credit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w:t>
            </w:r>
          </w:p>
        </w:tc>
        <w:tc>
          <w:tcPr>
            <w:tcW w:w="11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Discount rate for reserve for future policy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(19)</w:t>
            </w:r>
          </w:p>
        </w:tc>
        <w:tc>
          <w:tcPr>
            <w:tcW w:w="12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(14)</w:t>
            </w:r>
          </w:p>
        </w:tc>
        <w:tc>
          <w:tcPr>
            <w:tcW w:w="17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Other comprehensive income (loss), after-tax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99</w:t>
            </w:r>
            <w:r>
              <w:rPr>
                <w:color w:val="000000"/>
              </w:rPr>
              <w:t> </w:t>
            </w:r>
          </w:p>
        </w:tc>
        <w:tc>
          <w:tcPr>
            <w:tcW w:w="12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452</w:t>
            </w:r>
            <w:r>
              <w:rPr>
                <w:color w:val="000000"/>
              </w:rPr>
              <w:t> </w:t>
            </w:r>
          </w:p>
        </w:tc>
        <w:tc>
          <w:tcPr>
            <w:tcW w:w="12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(448)</w:t>
            </w:r>
          </w:p>
        </w:tc>
        <w:tc>
          <w:tcPr>
            <w:tcW w:w="11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832</w:t>
            </w:r>
            <w:r>
              <w:rPr>
                <w:color w:val="000000"/>
              </w:rPr>
              <w:t> </w:t>
            </w:r>
          </w:p>
        </w:tc>
        <w:tc>
          <w:tcPr>
            <w:tcW w:w="17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3,370</w:t>
            </w:r>
            <w:r>
              <w:rPr>
                <w:color w:val="000000"/>
              </w:rPr>
              <w:t> </w:t>
            </w:r>
          </w:p>
        </w:tc>
        <w:tc>
          <w:tcPr>
            <w:tcW w:w="12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2,551</w:t>
            </w:r>
            <w:r>
              <w:rPr>
                <w:color w:val="000000"/>
              </w:rPr>
              <w:t> </w:t>
            </w:r>
          </w:p>
        </w:tc>
        <w:tc>
          <w:tcPr>
            <w:tcW w:w="12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5,281</w:t>
            </w:r>
            <w:r>
              <w:rPr>
                <w:color w:val="000000"/>
              </w:rPr>
              <w:t> </w:t>
            </w:r>
          </w:p>
        </w:tc>
        <w:tc>
          <w:tcPr>
            <w:tcW w:w="11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3,527</w:t>
            </w:r>
            <w:r>
              <w:rPr>
                <w:color w:val="000000"/>
              </w:rPr>
              <w:t> </w:t>
            </w:r>
          </w:p>
        </w:tc>
        <w:tc>
          <w:tcPr>
            <w:tcW w:w="17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Less: Comprehensive (loss) income attributable to 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(11)</w:t>
            </w:r>
          </w:p>
        </w:tc>
        <w:tc>
          <w:tcPr>
            <w:tcW w:w="12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1 </w:t>
            </w:r>
          </w:p>
        </w:tc>
        <w:tc>
          <w:tcPr>
            <w:tcW w:w="11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w:t>
            </w:r>
          </w:p>
        </w:tc>
        <w:tc>
          <w:tcPr>
            <w:tcW w:w="17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Comprehensive income attributable to Allstate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81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3,370</w:t>
            </w:r>
            <w:r>
              <w:rPr>
                <w:color w:val="000000"/>
              </w:rPr>
              <w:t> </w:t>
            </w:r>
          </w:p>
        </w:tc>
        <w:tc>
          <w:tcPr>
            <w:tcW w:w="123"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81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2,562</w:t>
            </w:r>
            <w:r>
              <w:rPr>
                <w:color w:val="000000"/>
              </w:rPr>
              <w:t> </w:t>
            </w:r>
          </w:p>
        </w:tc>
        <w:tc>
          <w:tcPr>
            <w:tcW w:w="123"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777"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5,280</w:t>
            </w:r>
            <w:r>
              <w:rPr>
                <w:color w:val="000000"/>
              </w:rPr>
              <w:t> </w:t>
            </w:r>
          </w:p>
        </w:tc>
        <w:tc>
          <w:tcPr>
            <w:tcW w:w="117"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777"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3,533</w:t>
            </w:r>
            <w:r>
              <w:rPr>
                <w:color w:val="000000"/>
              </w:rPr>
              <w:t> </w:t>
            </w:r>
          </w:p>
        </w:tc>
        <w:tc>
          <w:tcPr>
            <w:tcW w:w="177"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360"/>
        <w:jc w:val="center"/>
        <w:rPr>
          <w:rFonts w:ascii="Allstate Sans;sans-serif" w:hAnsi="Allstate Sans;sans-serif"/>
          <w:b w:val="false"/>
          <w:color w:val="000000"/>
          <w:sz w:val="16"/>
        </w:rPr>
      </w:pPr>
      <w:r>
        <w:rPr>
          <w:rFonts w:ascii="Allstate Sans;sans-serif" w:hAnsi="Allstate Sans;sans-serif"/>
          <w:b w:val="false"/>
          <w:color w:val="000000"/>
          <w:sz w:val="16"/>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120"/>
                              <w:jc w:val="left"/>
                              <w:rPr/>
                            </w:pPr>
                            <w:r>
                              <w:rPr>
                                <w:rFonts w:ascii="Allstate Sans;sans-serif" w:hAnsi="Allstate Sans;sans-serif"/>
                                <w:b w:val="false"/>
                                <w:color w:val="0033A0"/>
                                <w:sz w:val="18"/>
                              </w:rPr>
                              <w:t>2</w:t>
                            </w:r>
                            <w:r>
                              <w:rPr>
                                <w:color w:val="1666AF"/>
                              </w:rPr>
                              <w:t xml:space="preserve"> </w:t>
                            </w:r>
                            <w:r>
                              <w:rPr>
                                <w:rFonts w:ascii="Allstate Sans;sans-serif" w:hAnsi="Allstate Sans;sans-serif"/>
                                <w:b w:val="false"/>
                                <w:color w:val="000000"/>
                                <w:sz w:val="18"/>
                              </w:rPr>
                              <w:t>www.allstate.com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left"/>
                        <w:rPr/>
                      </w:pPr>
                      <w:r>
                        <w:rPr>
                          <w:rFonts w:ascii="Allstate Sans;sans-serif" w:hAnsi="Allstate Sans;sans-serif"/>
                          <w:b w:val="false"/>
                          <w:color w:val="0033A0"/>
                          <w:sz w:val="18"/>
                        </w:rPr>
                        <w:t>2</w:t>
                      </w:r>
                      <w:r>
                        <w:rPr>
                          <w:color w:val="1666AF"/>
                        </w:rPr>
                        <w:t xml:space="preserve"> </w:t>
                      </w:r>
                      <w:r>
                        <w:rPr>
                          <w:rFonts w:ascii="Allstate Sans;sans-serif" w:hAnsi="Allstate Sans;sans-serif"/>
                          <w:b w:val="false"/>
                          <w:color w:val="000000"/>
                          <w:sz w:val="18"/>
                        </w:rPr>
                        <w:t>www.allstate.com</w:t>
                      </w:r>
                    </w:p>
                  </w:txbxContent>
                </v:textbox>
                <w10:wrap type="none"/>
              </v:rect>
            </w:pict>
          </mc:Fallback>
        </mc:AlternateContent>
      </w:r>
    </w:p>
    <w:p>
      <w:pPr>
        <w:pStyle w:val="TextBody"/>
        <w:bidi w:val="0"/>
        <w:spacing w:lineRule="auto" w:line="288" w:before="0" w:after="120"/>
        <w:ind w:left="0" w:right="0" w:firstLine="360"/>
        <w:jc w:val="right"/>
        <w:rPr>
          <w:rFonts w:ascii="Allstate Sans;sans-serif" w:hAnsi="Allstate Sans;sans-serif"/>
          <w:b w:val="false"/>
          <w:color w:val="0033A0"/>
          <w:sz w:val="18"/>
        </w:rPr>
      </w:pPr>
      <w:r>
        <w:rPr>
          <w:rFonts w:ascii="Allstate Sans;sans-serif" w:hAnsi="Allstate Sans;sans-serif"/>
          <w:b w:val="false"/>
          <w:color w:val="0033A0"/>
          <w:sz w:val="18"/>
        </w:rPr>
        <w:t>Condensed Consolidated Financial Statements</w:t>
      </w:r>
    </w:p>
    <w:p>
      <w:pPr>
        <w:pStyle w:val="TextBody"/>
        <w:bidi w:val="0"/>
        <w:spacing w:lineRule="auto" w:line="288" w:before="0" w:after="0"/>
        <w:jc w:val="center"/>
        <w:rPr>
          <w:rFonts w:ascii="Allstate Sans;sans-serif" w:hAnsi="Allstate Sans;sans-serif"/>
          <w:b/>
          <w:color w:val="0033A0"/>
          <w:sz w:val="22"/>
        </w:rPr>
      </w:pPr>
      <w:r>
        <w:rPr>
          <w:rFonts w:ascii="Allstate Sans;sans-serif" w:hAnsi="Allstate Sans;sans-serif"/>
          <w:b/>
          <w:color w:val="0033A0"/>
          <w:sz w:val="22"/>
        </w:rPr>
        <w:t>The Allstate Corporation and Subsidiaries</w:t>
      </w:r>
    </w:p>
    <w:p>
      <w:pPr>
        <w:pStyle w:val="TextBody"/>
        <w:bidi w:val="0"/>
        <w:spacing w:lineRule="auto" w:line="288" w:before="0" w:after="120"/>
        <w:jc w:val="center"/>
        <w:rPr>
          <w:rFonts w:ascii="Allstate Sans;sans-serif" w:hAnsi="Allstate Sans;sans-serif"/>
          <w:b/>
          <w:color w:val="0033A0"/>
          <w:sz w:val="22"/>
        </w:rPr>
      </w:pPr>
      <w:r>
        <w:rPr>
          <w:rFonts w:ascii="Allstate Sans;sans-serif" w:hAnsi="Allstate Sans;sans-serif"/>
          <w:b/>
          <w:color w:val="0033A0"/>
          <w:sz w:val="22"/>
        </w:rPr>
        <w:t>Condensed Consolidated Statements of Financial Position (unaudited)</w:t>
      </w:r>
    </w:p>
    <w:tbl>
      <w:tblPr>
        <w:tblW w:w="10205" w:type="dxa"/>
        <w:jc w:val="left"/>
        <w:tblInd w:w="0" w:type="dxa"/>
        <w:tblLayout w:type="fixed"/>
        <w:tblCellMar>
          <w:top w:w="28" w:type="dxa"/>
          <w:left w:w="28" w:type="dxa"/>
          <w:bottom w:w="28" w:type="dxa"/>
          <w:right w:w="28" w:type="dxa"/>
        </w:tblCellMar>
      </w:tblPr>
      <w:tblGrid>
        <w:gridCol w:w="2723"/>
        <w:gridCol w:w="1958"/>
        <w:gridCol w:w="1972"/>
        <w:gridCol w:w="109"/>
        <w:gridCol w:w="109"/>
        <w:gridCol w:w="109"/>
        <w:gridCol w:w="226"/>
        <w:gridCol w:w="961"/>
        <w:gridCol w:w="109"/>
        <w:gridCol w:w="109"/>
        <w:gridCol w:w="109"/>
        <w:gridCol w:w="109"/>
        <w:gridCol w:w="269"/>
        <w:gridCol w:w="1147"/>
        <w:gridCol w:w="186"/>
      </w:tblGrid>
      <w:tr>
        <w:trPr/>
        <w:tc>
          <w:tcPr>
            <w:tcW w:w="2723" w:type="dxa"/>
            <w:tcBorders/>
            <w:vAlign w:val="center"/>
          </w:tcPr>
          <w:p>
            <w:pPr>
              <w:pStyle w:val="TableContents"/>
              <w:bidi w:val="0"/>
              <w:spacing w:before="0" w:after="283"/>
              <w:jc w:val="left"/>
              <w:rPr>
                <w:sz w:val="4"/>
                <w:szCs w:val="4"/>
              </w:rPr>
            </w:pPr>
            <w:r>
              <w:rPr>
                <w:sz w:val="4"/>
                <w:szCs w:val="4"/>
              </w:rPr>
            </w:r>
          </w:p>
        </w:tc>
        <w:tc>
          <w:tcPr>
            <w:tcW w:w="1958" w:type="dxa"/>
            <w:tcBorders/>
            <w:vAlign w:val="center"/>
          </w:tcPr>
          <w:p>
            <w:pPr>
              <w:pStyle w:val="TableContents"/>
              <w:bidi w:val="0"/>
              <w:spacing w:before="0" w:after="283"/>
              <w:jc w:val="left"/>
              <w:rPr>
                <w:sz w:val="4"/>
                <w:szCs w:val="4"/>
              </w:rPr>
            </w:pPr>
            <w:r>
              <w:rPr>
                <w:sz w:val="4"/>
                <w:szCs w:val="4"/>
              </w:rPr>
            </w:r>
          </w:p>
        </w:tc>
        <w:tc>
          <w:tcPr>
            <w:tcW w:w="19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66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 in millions, except par value data)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December 31, 2025</w:t>
            </w:r>
          </w:p>
        </w:tc>
      </w:tr>
      <w:tr>
        <w:trPr/>
        <w:tc>
          <w:tcPr>
            <w:tcW w:w="6653"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3"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3"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Fixed income securities, at fair value (amortized cost, net $60,902 and $58,730)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96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60,809 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1147"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59,115 </w:t>
            </w:r>
          </w:p>
        </w:tc>
        <w:tc>
          <w:tcPr>
            <w:tcW w:w="18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3"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Equity securities, at fair value (cost $10,071 and $8,026)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11,159 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8,398 </w:t>
            </w:r>
          </w:p>
        </w:tc>
        <w:tc>
          <w:tcPr>
            <w:tcW w:w="18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3"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Mortgage loans,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842 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879 </w:t>
            </w:r>
          </w:p>
        </w:tc>
        <w:tc>
          <w:tcPr>
            <w:tcW w:w="18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3"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Limited partnership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8,967 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8,844 </w:t>
            </w:r>
          </w:p>
        </w:tc>
        <w:tc>
          <w:tcPr>
            <w:tcW w:w="18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3"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Short-term, at fair value (amortized cost $4,874 and $4,888)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4,872 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4,887 </w:t>
            </w:r>
          </w:p>
        </w:tc>
        <w:tc>
          <w:tcPr>
            <w:tcW w:w="18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3"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Other investments,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1,153 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1,114 </w:t>
            </w:r>
          </w:p>
        </w:tc>
        <w:tc>
          <w:tcPr>
            <w:tcW w:w="18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3"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87,802</w:t>
            </w: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83,237</w:t>
            </w:r>
            <w:r>
              <w:rPr>
                <w:color w:val="000000"/>
              </w:rPr>
              <w:t> </w:t>
            </w:r>
          </w:p>
        </w:tc>
        <w:tc>
          <w:tcPr>
            <w:tcW w:w="18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3"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Cash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840 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678 </w:t>
            </w:r>
          </w:p>
        </w:tc>
        <w:tc>
          <w:tcPr>
            <w:tcW w:w="18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3"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Premium installment receivables,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11,864 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11,474 </w:t>
            </w:r>
          </w:p>
        </w:tc>
        <w:tc>
          <w:tcPr>
            <w:tcW w:w="18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3"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Deferred policy acquisition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6,139 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6,163 </w:t>
            </w:r>
          </w:p>
        </w:tc>
        <w:tc>
          <w:tcPr>
            <w:tcW w:w="18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3"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Reinsurance and indemnification recoverables,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7,880 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8,501 </w:t>
            </w:r>
          </w:p>
        </w:tc>
        <w:tc>
          <w:tcPr>
            <w:tcW w:w="18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3"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Accrued investment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730 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708 </w:t>
            </w:r>
          </w:p>
        </w:tc>
        <w:tc>
          <w:tcPr>
            <w:tcW w:w="18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2" w:type="dxa"/>
            <w:gridSpan w:val="3"/>
            <w:tcBorders/>
            <w:vAlign w:val="center"/>
          </w:tcPr>
          <w:p>
            <w:pPr>
              <w:pStyle w:val="TableContents"/>
              <w:bidi w:val="0"/>
              <w:spacing w:before="0" w:after="283"/>
              <w:jc w:val="left"/>
              <w:rPr>
                <w:sz w:val="4"/>
                <w:szCs w:val="4"/>
              </w:rPr>
            </w:pPr>
            <w:r>
              <w:rPr>
                <w:sz w:val="4"/>
                <w:szCs w:val="4"/>
              </w:rPr>
            </w:r>
          </w:p>
        </w:tc>
      </w:tr>
      <w:tr>
        <w:trPr/>
        <w:tc>
          <w:tcPr>
            <w:tcW w:w="6653"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Property and equipment,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591 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627 </w:t>
            </w:r>
          </w:p>
        </w:tc>
        <w:tc>
          <w:tcPr>
            <w:tcW w:w="18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3"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Goodwill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3,118 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3,118 </w:t>
            </w:r>
          </w:p>
        </w:tc>
        <w:tc>
          <w:tcPr>
            <w:tcW w:w="18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3"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Other assets,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5,792 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5,252 </w:t>
            </w:r>
          </w:p>
        </w:tc>
        <w:tc>
          <w:tcPr>
            <w:tcW w:w="18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2" w:type="dxa"/>
            <w:gridSpan w:val="3"/>
            <w:tcBorders/>
            <w:vAlign w:val="center"/>
          </w:tcPr>
          <w:p>
            <w:pPr>
              <w:pStyle w:val="TableContents"/>
              <w:bidi w:val="0"/>
              <w:spacing w:before="0" w:after="283"/>
              <w:jc w:val="left"/>
              <w:rPr>
                <w:sz w:val="4"/>
                <w:szCs w:val="4"/>
              </w:rPr>
            </w:pPr>
            <w:r>
              <w:rPr>
                <w:sz w:val="4"/>
                <w:szCs w:val="4"/>
              </w:rPr>
            </w:r>
          </w:p>
        </w:tc>
      </w:tr>
      <w:tr>
        <w:trPr/>
        <w:tc>
          <w:tcPr>
            <w:tcW w:w="6653"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124,756</w:t>
            </w: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119,758</w:t>
            </w:r>
            <w:r>
              <w:rPr>
                <w:color w:val="000000"/>
              </w:rPr>
              <w:t> </w:t>
            </w:r>
          </w:p>
        </w:tc>
        <w:tc>
          <w:tcPr>
            <w:tcW w:w="18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3"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3"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Reserve for property and casualty insurance claims and claims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40,979 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41,079 </w:t>
            </w:r>
          </w:p>
        </w:tc>
        <w:tc>
          <w:tcPr>
            <w:tcW w:w="18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3"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Unearned premiums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29,388 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29,080 </w:t>
            </w:r>
          </w:p>
        </w:tc>
        <w:tc>
          <w:tcPr>
            <w:tcW w:w="18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3"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Claim payments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1,552 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1,419 </w:t>
            </w:r>
          </w:p>
        </w:tc>
        <w:tc>
          <w:tcPr>
            <w:tcW w:w="18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3"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Deferred income 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172 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227 </w:t>
            </w:r>
          </w:p>
        </w:tc>
        <w:tc>
          <w:tcPr>
            <w:tcW w:w="18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3"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Other liabilities and accrued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11,495 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9,874 </w:t>
            </w:r>
          </w:p>
        </w:tc>
        <w:tc>
          <w:tcPr>
            <w:tcW w:w="18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3"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7,492 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7,490 </w:t>
            </w:r>
          </w:p>
        </w:tc>
        <w:tc>
          <w:tcPr>
            <w:tcW w:w="18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2" w:type="dxa"/>
            <w:gridSpan w:val="3"/>
            <w:tcBorders/>
            <w:vAlign w:val="center"/>
          </w:tcPr>
          <w:p>
            <w:pPr>
              <w:pStyle w:val="TableContents"/>
              <w:bidi w:val="0"/>
              <w:spacing w:before="0" w:after="283"/>
              <w:jc w:val="left"/>
              <w:rPr>
                <w:sz w:val="4"/>
                <w:szCs w:val="4"/>
              </w:rPr>
            </w:pPr>
            <w:r>
              <w:rPr>
                <w:sz w:val="4"/>
                <w:szCs w:val="4"/>
              </w:rPr>
            </w:r>
          </w:p>
        </w:tc>
      </w:tr>
      <w:tr>
        <w:trPr/>
        <w:tc>
          <w:tcPr>
            <w:tcW w:w="6653"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91,078</w:t>
            </w: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89,169</w:t>
            </w:r>
            <w:r>
              <w:rPr>
                <w:color w:val="000000"/>
              </w:rPr>
              <w:t> </w:t>
            </w:r>
          </w:p>
        </w:tc>
        <w:tc>
          <w:tcPr>
            <w:tcW w:w="18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3"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Commitments and Contingent Liabilities (Note 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3"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3"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Preferred stock and additional capital paid-in, $1 par value, 25 million shares authorized, 82.0 thousand shares issued and outstanding, $2,050 aggregate liquidation preference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2,001 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2,001 </w:t>
            </w:r>
          </w:p>
        </w:tc>
        <w:tc>
          <w:tcPr>
            <w:tcW w:w="18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3"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Common stock, $.01 par value, 2.0 billion shares authorized and 900 million issued, 254 million and 260 million shares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9 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9 </w:t>
            </w:r>
          </w:p>
        </w:tc>
        <w:tc>
          <w:tcPr>
            <w:tcW w:w="18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3"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Additional capital paid-in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4,219 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4,158 </w:t>
            </w:r>
          </w:p>
        </w:tc>
        <w:tc>
          <w:tcPr>
            <w:tcW w:w="18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3"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Retained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67,504 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62,393 </w:t>
            </w:r>
          </w:p>
        </w:tc>
        <w:tc>
          <w:tcPr>
            <w:tcW w:w="18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3"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Treasury stock, at cost (646 million and 640 million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(39,842)</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(38,206)</w:t>
            </w:r>
          </w:p>
        </w:tc>
        <w:tc>
          <w:tcPr>
            <w:tcW w:w="18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3"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3"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Unrealized net capital gains and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(79)</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297 </w:t>
            </w:r>
          </w:p>
        </w:tc>
        <w:tc>
          <w:tcPr>
            <w:tcW w:w="18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3"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Unrealized foreign currency translation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(126)</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(55)</w:t>
            </w:r>
          </w:p>
        </w:tc>
        <w:tc>
          <w:tcPr>
            <w:tcW w:w="18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3"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Unamortized pension and other postretirement prior service credit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10 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11 </w:t>
            </w:r>
          </w:p>
        </w:tc>
        <w:tc>
          <w:tcPr>
            <w:tcW w:w="18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3"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Discount rate for reserve for future policy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2 </w:t>
            </w:r>
          </w:p>
        </w:tc>
        <w:tc>
          <w:tcPr>
            <w:tcW w:w="18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3"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 accumulated other comprehensive (loss)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(193)</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255</w:t>
            </w:r>
            <w:r>
              <w:rPr>
                <w:color w:val="000000"/>
              </w:rPr>
              <w:t> </w:t>
            </w:r>
          </w:p>
        </w:tc>
        <w:tc>
          <w:tcPr>
            <w:tcW w:w="18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3"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 Allstate shareholders’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33,698</w:t>
            </w: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30,610</w:t>
            </w:r>
            <w:r>
              <w:rPr>
                <w:color w:val="000000"/>
              </w:rPr>
              <w:t> </w:t>
            </w:r>
          </w:p>
        </w:tc>
        <w:tc>
          <w:tcPr>
            <w:tcW w:w="18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3"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(20)</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(21)</w:t>
            </w:r>
          </w:p>
        </w:tc>
        <w:tc>
          <w:tcPr>
            <w:tcW w:w="18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3"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33,678</w:t>
            </w: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30,589</w:t>
            </w:r>
            <w:r>
              <w:rPr>
                <w:color w:val="000000"/>
              </w:rPr>
              <w:t> </w:t>
            </w:r>
          </w:p>
        </w:tc>
        <w:tc>
          <w:tcPr>
            <w:tcW w:w="18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3" w:type="dxa"/>
            <w:gridSpan w:val="3"/>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 liabilities and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961"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124,756</w:t>
            </w:r>
            <w:r>
              <w:rPr>
                <w:color w:val="000000"/>
              </w:rPr>
              <w:t> </w:t>
            </w:r>
          </w:p>
        </w:tc>
        <w:tc>
          <w:tcPr>
            <w:tcW w:w="109"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1147"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119,758</w:t>
            </w:r>
            <w:r>
              <w:rPr>
                <w:color w:val="000000"/>
              </w:rPr>
              <w:t> </w:t>
            </w:r>
          </w:p>
        </w:tc>
        <w:tc>
          <w:tcPr>
            <w:tcW w:w="18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center"/>
        <w:rPr>
          <w:rFonts w:ascii="Allstate Sans;sans-serif" w:hAnsi="Allstate Sans;sans-serif"/>
          <w:b w:val="false"/>
          <w:color w:val="000000"/>
          <w:sz w:val="16"/>
        </w:rPr>
      </w:pPr>
      <w:r>
        <w:rPr>
          <w:rFonts w:ascii="Allstate Sans;sans-serif" w:hAnsi="Allstate Sans;sans-serif"/>
          <w:b w:val="false"/>
          <w:color w:val="000000"/>
          <w:sz w:val="16"/>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33350"/>
                <wp:effectExtent l="0" t="0" r="0" b="0"/>
                <wp:wrapNone/>
                <wp:docPr id="6" name="Frame5"/>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ind w:left="0" w:right="0" w:firstLine="360"/>
                              <w:jc w:val="right"/>
                              <w:rPr/>
                            </w:pPr>
                            <w:r>
                              <w:rPr>
                                <w:rFonts w:ascii="Allstate Sans;sans-serif" w:hAnsi="Allstate Sans;sans-serif"/>
                                <w:b w:val="false"/>
                                <w:color w:val="000000"/>
                                <w:sz w:val="18"/>
                              </w:rPr>
                              <w:t xml:space="preserve">Second Quarter 2026 Form 10-Q </w:t>
                            </w:r>
                            <w:r>
                              <w:rPr>
                                <w:rFonts w:ascii="Allstate Sans;sans-serif" w:hAnsi="Allstate Sans;sans-serif"/>
                                <w:b w:val="false"/>
                                <w:color w:val="0033A0"/>
                                <w:sz w:val="18"/>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right"/>
                        <w:rPr/>
                      </w:pPr>
                      <w:r>
                        <w:rPr>
                          <w:rFonts w:ascii="Allstate Sans;sans-serif" w:hAnsi="Allstate Sans;sans-serif"/>
                          <w:b w:val="false"/>
                          <w:color w:val="000000"/>
                          <w:sz w:val="18"/>
                        </w:rPr>
                        <w:t xml:space="preserve">Second Quarter 2026 Form 10-Q </w:t>
                      </w:r>
                      <w:r>
                        <w:rPr>
                          <w:rFonts w:ascii="Allstate Sans;sans-serif" w:hAnsi="Allstate Sans;sans-serif"/>
                          <w:b w:val="false"/>
                          <w:color w:val="0033A0"/>
                          <w:sz w:val="18"/>
                        </w:rPr>
                        <w:t>3</w:t>
                      </w:r>
                    </w:p>
                  </w:txbxContent>
                </v:textbox>
                <w10:wrap type="none"/>
              </v:rect>
            </w:pict>
          </mc:Fallback>
        </mc:AlternateContent>
      </w:r>
    </w:p>
    <w:p>
      <w:pPr>
        <w:pStyle w:val="TextBody"/>
        <w:bidi w:val="0"/>
        <w:spacing w:lineRule="auto" w:line="288" w:before="0" w:after="120"/>
        <w:jc w:val="left"/>
        <w:rPr>
          <w:rFonts w:ascii="Allstate Sans;sans-serif" w:hAnsi="Allstate Sans;sans-serif"/>
          <w:b w:val="false"/>
          <w:color w:val="0033A0"/>
          <w:sz w:val="18"/>
        </w:rPr>
      </w:pPr>
      <w:r>
        <w:rPr>
          <w:rFonts w:ascii="Allstate Sans;sans-serif" w:hAnsi="Allstate Sans;sans-serif"/>
          <w:b w:val="false"/>
          <w:color w:val="0033A0"/>
          <w:sz w:val="18"/>
        </w:rPr>
        <w:t>Condensed Consolidated Financial Statements</w:t>
      </w:r>
    </w:p>
    <w:p>
      <w:pPr>
        <w:pStyle w:val="TextBody"/>
        <w:bidi w:val="0"/>
        <w:spacing w:lineRule="auto" w:line="288" w:before="0" w:after="0"/>
        <w:jc w:val="center"/>
        <w:rPr>
          <w:rFonts w:ascii="Allstate Sans;sans-serif" w:hAnsi="Allstate Sans;sans-serif"/>
          <w:b/>
          <w:color w:val="0033A0"/>
          <w:sz w:val="22"/>
        </w:rPr>
      </w:pPr>
      <w:r>
        <w:rPr>
          <w:rFonts w:ascii="Allstate Sans;sans-serif" w:hAnsi="Allstate Sans;sans-serif"/>
          <w:b/>
          <w:color w:val="0033A0"/>
          <w:sz w:val="22"/>
        </w:rPr>
        <w:t>The Allstate Corporation and Subsidiaries</w:t>
      </w:r>
    </w:p>
    <w:p>
      <w:pPr>
        <w:pStyle w:val="TextBody"/>
        <w:bidi w:val="0"/>
        <w:spacing w:lineRule="auto" w:line="288" w:before="0" w:after="120"/>
        <w:jc w:val="center"/>
        <w:rPr>
          <w:rFonts w:ascii="Allstate Sans;sans-serif" w:hAnsi="Allstate Sans;sans-serif"/>
          <w:b/>
          <w:color w:val="0033A0"/>
          <w:sz w:val="22"/>
        </w:rPr>
      </w:pPr>
      <w:r>
        <w:rPr>
          <w:rFonts w:ascii="Allstate Sans;sans-serif" w:hAnsi="Allstate Sans;sans-serif"/>
          <w:b/>
          <w:color w:val="0033A0"/>
          <w:sz w:val="22"/>
        </w:rPr>
        <w:t>Condensed Consolidated Statements of Shareholders’ Equity (unaudited)</w:t>
      </w:r>
    </w:p>
    <w:tbl>
      <w:tblPr>
        <w:tblW w:w="10205" w:type="dxa"/>
        <w:jc w:val="left"/>
        <w:tblInd w:w="0" w:type="dxa"/>
        <w:tblLayout w:type="fixed"/>
        <w:tblCellMar>
          <w:top w:w="28" w:type="dxa"/>
          <w:left w:w="28" w:type="dxa"/>
          <w:bottom w:w="28" w:type="dxa"/>
          <w:right w:w="28" w:type="dxa"/>
        </w:tblCellMar>
      </w:tblPr>
      <w:tblGrid>
        <w:gridCol w:w="1724"/>
        <w:gridCol w:w="1097"/>
        <w:gridCol w:w="1105"/>
        <w:gridCol w:w="109"/>
        <w:gridCol w:w="109"/>
        <w:gridCol w:w="109"/>
        <w:gridCol w:w="239"/>
        <w:gridCol w:w="891"/>
        <w:gridCol w:w="115"/>
        <w:gridCol w:w="115"/>
        <w:gridCol w:w="115"/>
        <w:gridCol w:w="115"/>
        <w:gridCol w:w="239"/>
        <w:gridCol w:w="891"/>
        <w:gridCol w:w="115"/>
        <w:gridCol w:w="109"/>
        <w:gridCol w:w="109"/>
        <w:gridCol w:w="109"/>
        <w:gridCol w:w="231"/>
        <w:gridCol w:w="860"/>
        <w:gridCol w:w="111"/>
        <w:gridCol w:w="111"/>
        <w:gridCol w:w="111"/>
        <w:gridCol w:w="111"/>
        <w:gridCol w:w="231"/>
        <w:gridCol w:w="860"/>
        <w:gridCol w:w="164"/>
      </w:tblGrid>
      <w:tr>
        <w:trPr/>
        <w:tc>
          <w:tcPr>
            <w:tcW w:w="1724"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92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 in millions, except per share data)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Six months ended June 30,</w:t>
            </w:r>
          </w:p>
        </w:tc>
      </w:tr>
      <w:tr>
        <w:trPr/>
        <w:tc>
          <w:tcPr>
            <w:tcW w:w="392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2026</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2026</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2025</w:t>
            </w:r>
          </w:p>
        </w:tc>
      </w:tr>
      <w:tr>
        <w:trPr/>
        <w:tc>
          <w:tcPr>
            <w:tcW w:w="39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r>
      <w:tr>
        <w:trPr/>
        <w:tc>
          <w:tcPr>
            <w:tcW w:w="39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r>
      <w:tr>
        <w:trPr/>
        <w:tc>
          <w:tcPr>
            <w:tcW w:w="39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r>
      <w:tr>
        <w:trPr/>
        <w:tc>
          <w:tcPr>
            <w:tcW w:w="39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r>
      <w:tr>
        <w:trPr/>
        <w:tc>
          <w:tcPr>
            <w:tcW w:w="3926"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Preferred stock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891"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891"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860"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860"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r>
      <w:tr>
        <w:trPr/>
        <w:tc>
          <w:tcPr>
            <w:tcW w:w="39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r>
      <w:tr>
        <w:trPr/>
        <w:tc>
          <w:tcPr>
            <w:tcW w:w="39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r>
      <w:tr>
        <w:trPr/>
        <w:tc>
          <w:tcPr>
            <w:tcW w:w="39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r>
      <w:tr>
        <w:trPr/>
        <w:tc>
          <w:tcPr>
            <w:tcW w:w="39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r>
      <w:tr>
        <w:trPr/>
        <w:tc>
          <w:tcPr>
            <w:tcW w:w="392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Preferred stock additional capital paid-in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2,001</w:t>
            </w:r>
            <w:r>
              <w:rPr>
                <w:color w:val="000000"/>
              </w:rPr>
              <w:t> </w:t>
            </w:r>
          </w:p>
        </w:tc>
        <w:tc>
          <w:tcPr>
            <w:tcW w:w="11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2,001</w:t>
            </w:r>
            <w:r>
              <w:rPr>
                <w:color w:val="000000"/>
              </w:rPr>
              <w:t> </w:t>
            </w:r>
          </w:p>
        </w:tc>
        <w:tc>
          <w:tcPr>
            <w:tcW w:w="11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2,001</w:t>
            </w:r>
            <w:r>
              <w:rPr>
                <w:color w:val="000000"/>
              </w:rPr>
              <w:t> </w:t>
            </w:r>
          </w:p>
        </w:tc>
        <w:tc>
          <w:tcPr>
            <w:tcW w:w="11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2,001</w:t>
            </w:r>
            <w:r>
              <w:rPr>
                <w:color w:val="000000"/>
              </w:rPr>
              <w:t> </w:t>
            </w:r>
          </w:p>
        </w:tc>
        <w:tc>
          <w:tcPr>
            <w:tcW w:w="16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6"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Common stock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9</w:t>
            </w:r>
            <w:r>
              <w:rPr>
                <w:color w:val="000000"/>
              </w:rPr>
              <w:t> </w:t>
            </w:r>
          </w:p>
        </w:tc>
        <w:tc>
          <w:tcPr>
            <w:tcW w:w="11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9</w:t>
            </w:r>
            <w:r>
              <w:rPr>
                <w:color w:val="000000"/>
              </w:rPr>
              <w:t> </w:t>
            </w:r>
          </w:p>
        </w:tc>
        <w:tc>
          <w:tcPr>
            <w:tcW w:w="11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9</w:t>
            </w:r>
            <w:r>
              <w:rPr>
                <w:color w:val="000000"/>
              </w:rPr>
              <w:t> </w:t>
            </w:r>
          </w:p>
        </w:tc>
        <w:tc>
          <w:tcPr>
            <w:tcW w:w="11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9</w:t>
            </w:r>
            <w:r>
              <w:rPr>
                <w:color w:val="000000"/>
              </w:rPr>
              <w:t> </w:t>
            </w:r>
          </w:p>
        </w:tc>
        <w:tc>
          <w:tcPr>
            <w:tcW w:w="16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Common stock additional capital paid-in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Balance, beginning of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4,169 </w:t>
            </w:r>
          </w:p>
        </w:tc>
        <w:tc>
          <w:tcPr>
            <w:tcW w:w="11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4,048 </w:t>
            </w:r>
          </w:p>
        </w:tc>
        <w:tc>
          <w:tcPr>
            <w:tcW w:w="11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4,158 </w:t>
            </w:r>
          </w:p>
        </w:tc>
        <w:tc>
          <w:tcPr>
            <w:tcW w:w="11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4,029 </w:t>
            </w:r>
          </w:p>
        </w:tc>
        <w:tc>
          <w:tcPr>
            <w:tcW w:w="16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r>
      <w:tr>
        <w:trPr/>
        <w:tc>
          <w:tcPr>
            <w:tcW w:w="392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Equity incentive plans activity,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50 </w:t>
            </w:r>
          </w:p>
        </w:tc>
        <w:tc>
          <w:tcPr>
            <w:tcW w:w="11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36 </w:t>
            </w:r>
          </w:p>
        </w:tc>
        <w:tc>
          <w:tcPr>
            <w:tcW w:w="11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61 </w:t>
            </w:r>
          </w:p>
        </w:tc>
        <w:tc>
          <w:tcPr>
            <w:tcW w:w="11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55 </w:t>
            </w:r>
          </w:p>
        </w:tc>
        <w:tc>
          <w:tcPr>
            <w:tcW w:w="16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Balance, end of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4,219</w:t>
            </w:r>
            <w:r>
              <w:rPr>
                <w:color w:val="000000"/>
              </w:rPr>
              <w:t> </w:t>
            </w:r>
          </w:p>
        </w:tc>
        <w:tc>
          <w:tcPr>
            <w:tcW w:w="11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4,084</w:t>
            </w:r>
            <w:r>
              <w:rPr>
                <w:color w:val="000000"/>
              </w:rPr>
              <w:t> </w:t>
            </w:r>
          </w:p>
        </w:tc>
        <w:tc>
          <w:tcPr>
            <w:tcW w:w="11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4,219</w:t>
            </w:r>
            <w:r>
              <w:rPr>
                <w:color w:val="000000"/>
              </w:rPr>
              <w:t> </w:t>
            </w:r>
          </w:p>
        </w:tc>
        <w:tc>
          <w:tcPr>
            <w:tcW w:w="11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4,084</w:t>
            </w:r>
            <w:r>
              <w:rPr>
                <w:color w:val="000000"/>
              </w:rPr>
              <w:t> </w:t>
            </w:r>
          </w:p>
        </w:tc>
        <w:tc>
          <w:tcPr>
            <w:tcW w:w="16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6"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Retained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Balance, beginning of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64,540 </w:t>
            </w:r>
          </w:p>
        </w:tc>
        <w:tc>
          <w:tcPr>
            <w:tcW w:w="11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53,586 </w:t>
            </w:r>
          </w:p>
        </w:tc>
        <w:tc>
          <w:tcPr>
            <w:tcW w:w="11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62,393 </w:t>
            </w:r>
          </w:p>
        </w:tc>
        <w:tc>
          <w:tcPr>
            <w:tcW w:w="11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53,288 </w:t>
            </w:r>
          </w:p>
        </w:tc>
        <w:tc>
          <w:tcPr>
            <w:tcW w:w="16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r>
      <w:tr>
        <w:trPr/>
        <w:tc>
          <w:tcPr>
            <w:tcW w:w="392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Net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3,271 </w:t>
            </w:r>
          </w:p>
        </w:tc>
        <w:tc>
          <w:tcPr>
            <w:tcW w:w="11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2,109 </w:t>
            </w:r>
          </w:p>
        </w:tc>
        <w:tc>
          <w:tcPr>
            <w:tcW w:w="11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5,728 </w:t>
            </w:r>
          </w:p>
        </w:tc>
        <w:tc>
          <w:tcPr>
            <w:tcW w:w="11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2,704 </w:t>
            </w:r>
          </w:p>
        </w:tc>
        <w:tc>
          <w:tcPr>
            <w:tcW w:w="16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Dividends on common stock (declared per share of $1.08, $1.00, $2.16, and $2.00)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(277)</w:t>
            </w:r>
          </w:p>
        </w:tc>
        <w:tc>
          <w:tcPr>
            <w:tcW w:w="11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(265)</w:t>
            </w:r>
          </w:p>
        </w:tc>
        <w:tc>
          <w:tcPr>
            <w:tcW w:w="11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(558)</w:t>
            </w:r>
          </w:p>
        </w:tc>
        <w:tc>
          <w:tcPr>
            <w:tcW w:w="11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(533)</w:t>
            </w:r>
          </w:p>
        </w:tc>
        <w:tc>
          <w:tcPr>
            <w:tcW w:w="16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Dividends on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(30)</w:t>
            </w:r>
          </w:p>
        </w:tc>
        <w:tc>
          <w:tcPr>
            <w:tcW w:w="11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(30)</w:t>
            </w:r>
          </w:p>
        </w:tc>
        <w:tc>
          <w:tcPr>
            <w:tcW w:w="11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(59)</w:t>
            </w:r>
          </w:p>
        </w:tc>
        <w:tc>
          <w:tcPr>
            <w:tcW w:w="11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(59)</w:t>
            </w:r>
          </w:p>
        </w:tc>
        <w:tc>
          <w:tcPr>
            <w:tcW w:w="16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Balance, end of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67,504</w:t>
            </w:r>
            <w:r>
              <w:rPr>
                <w:color w:val="000000"/>
              </w:rPr>
              <w:t> </w:t>
            </w:r>
          </w:p>
        </w:tc>
        <w:tc>
          <w:tcPr>
            <w:tcW w:w="11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55,400</w:t>
            </w:r>
            <w:r>
              <w:rPr>
                <w:color w:val="000000"/>
              </w:rPr>
              <w:t> </w:t>
            </w:r>
          </w:p>
        </w:tc>
        <w:tc>
          <w:tcPr>
            <w:tcW w:w="11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67,504</w:t>
            </w:r>
            <w:r>
              <w:rPr>
                <w:color w:val="000000"/>
              </w:rPr>
              <w:t> </w:t>
            </w:r>
          </w:p>
        </w:tc>
        <w:tc>
          <w:tcPr>
            <w:tcW w:w="11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55,400</w:t>
            </w:r>
            <w:r>
              <w:rPr>
                <w:color w:val="000000"/>
              </w:rPr>
              <w:t> </w:t>
            </w:r>
          </w:p>
        </w:tc>
        <w:tc>
          <w:tcPr>
            <w:tcW w:w="16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6"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Balance, beginning of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(38,820)</w:t>
            </w:r>
          </w:p>
        </w:tc>
        <w:tc>
          <w:tcPr>
            <w:tcW w:w="11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(37,080)</w:t>
            </w:r>
          </w:p>
        </w:tc>
        <w:tc>
          <w:tcPr>
            <w:tcW w:w="11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(38,206)</w:t>
            </w:r>
          </w:p>
        </w:tc>
        <w:tc>
          <w:tcPr>
            <w:tcW w:w="11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(36,996)</w:t>
            </w:r>
          </w:p>
        </w:tc>
        <w:tc>
          <w:tcPr>
            <w:tcW w:w="16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Shares acquired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(1,054)</w:t>
            </w:r>
          </w:p>
        </w:tc>
        <w:tc>
          <w:tcPr>
            <w:tcW w:w="11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(344)</w:t>
            </w:r>
          </w:p>
        </w:tc>
        <w:tc>
          <w:tcPr>
            <w:tcW w:w="11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(1,680)</w:t>
            </w:r>
          </w:p>
        </w:tc>
        <w:tc>
          <w:tcPr>
            <w:tcW w:w="11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(449)</w:t>
            </w:r>
          </w:p>
        </w:tc>
        <w:tc>
          <w:tcPr>
            <w:tcW w:w="16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Shares reissued under equity incentive plans,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32 </w:t>
            </w:r>
          </w:p>
        </w:tc>
        <w:tc>
          <w:tcPr>
            <w:tcW w:w="11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6 </w:t>
            </w:r>
          </w:p>
        </w:tc>
        <w:tc>
          <w:tcPr>
            <w:tcW w:w="11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44 </w:t>
            </w:r>
          </w:p>
        </w:tc>
        <w:tc>
          <w:tcPr>
            <w:tcW w:w="11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27 </w:t>
            </w:r>
          </w:p>
        </w:tc>
        <w:tc>
          <w:tcPr>
            <w:tcW w:w="16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Balance, end of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(39,842)</w:t>
            </w:r>
          </w:p>
        </w:tc>
        <w:tc>
          <w:tcPr>
            <w:tcW w:w="11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(37,418)</w:t>
            </w:r>
          </w:p>
        </w:tc>
        <w:tc>
          <w:tcPr>
            <w:tcW w:w="11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(39,842)</w:t>
            </w:r>
          </w:p>
        </w:tc>
        <w:tc>
          <w:tcPr>
            <w:tcW w:w="11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(37,418)</w:t>
            </w:r>
          </w:p>
        </w:tc>
        <w:tc>
          <w:tcPr>
            <w:tcW w:w="16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6"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Balance, beginning of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(292)</w:t>
            </w:r>
          </w:p>
        </w:tc>
        <w:tc>
          <w:tcPr>
            <w:tcW w:w="11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(509)</w:t>
            </w:r>
          </w:p>
        </w:tc>
        <w:tc>
          <w:tcPr>
            <w:tcW w:w="11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255 </w:t>
            </w:r>
          </w:p>
        </w:tc>
        <w:tc>
          <w:tcPr>
            <w:tcW w:w="11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(889)</w:t>
            </w:r>
          </w:p>
        </w:tc>
        <w:tc>
          <w:tcPr>
            <w:tcW w:w="16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Change in unrealized net capital gains and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142 </w:t>
            </w:r>
          </w:p>
        </w:tc>
        <w:tc>
          <w:tcPr>
            <w:tcW w:w="11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387 </w:t>
            </w:r>
          </w:p>
        </w:tc>
        <w:tc>
          <w:tcPr>
            <w:tcW w:w="11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(376)</w:t>
            </w:r>
          </w:p>
        </w:tc>
        <w:tc>
          <w:tcPr>
            <w:tcW w:w="11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807 </w:t>
            </w:r>
          </w:p>
        </w:tc>
        <w:tc>
          <w:tcPr>
            <w:tcW w:w="16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Change in unrealized foreign currency translation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(43)</w:t>
            </w:r>
          </w:p>
        </w:tc>
        <w:tc>
          <w:tcPr>
            <w:tcW w:w="11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84 </w:t>
            </w:r>
          </w:p>
        </w:tc>
        <w:tc>
          <w:tcPr>
            <w:tcW w:w="11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(71)</w:t>
            </w:r>
          </w:p>
        </w:tc>
        <w:tc>
          <w:tcPr>
            <w:tcW w:w="11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39 </w:t>
            </w:r>
          </w:p>
        </w:tc>
        <w:tc>
          <w:tcPr>
            <w:tcW w:w="16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Change in unamortized pension and other postretirement prior service credit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w:t>
            </w:r>
          </w:p>
        </w:tc>
        <w:tc>
          <w:tcPr>
            <w:tcW w:w="11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Change in discount rate for reserve for future policy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(19)</w:t>
            </w:r>
          </w:p>
        </w:tc>
        <w:tc>
          <w:tcPr>
            <w:tcW w:w="11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(14)</w:t>
            </w:r>
          </w:p>
        </w:tc>
        <w:tc>
          <w:tcPr>
            <w:tcW w:w="16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Balance, end of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(193)</w:t>
            </w:r>
          </w:p>
        </w:tc>
        <w:tc>
          <w:tcPr>
            <w:tcW w:w="11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(57)</w:t>
            </w:r>
          </w:p>
        </w:tc>
        <w:tc>
          <w:tcPr>
            <w:tcW w:w="11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(193)</w:t>
            </w:r>
          </w:p>
        </w:tc>
        <w:tc>
          <w:tcPr>
            <w:tcW w:w="11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(57)</w:t>
            </w:r>
          </w:p>
        </w:tc>
        <w:tc>
          <w:tcPr>
            <w:tcW w:w="16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 Allstate shareholders’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33,698</w:t>
            </w:r>
            <w:r>
              <w:rPr>
                <w:color w:val="000000"/>
              </w:rPr>
              <w:t> </w:t>
            </w:r>
          </w:p>
        </w:tc>
        <w:tc>
          <w:tcPr>
            <w:tcW w:w="11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24,019</w:t>
            </w:r>
            <w:r>
              <w:rPr>
                <w:color w:val="000000"/>
              </w:rPr>
              <w:t> </w:t>
            </w:r>
          </w:p>
        </w:tc>
        <w:tc>
          <w:tcPr>
            <w:tcW w:w="11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33,698</w:t>
            </w:r>
            <w:r>
              <w:rPr>
                <w:color w:val="000000"/>
              </w:rPr>
              <w:t> </w:t>
            </w:r>
          </w:p>
        </w:tc>
        <w:tc>
          <w:tcPr>
            <w:tcW w:w="11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24,019</w:t>
            </w:r>
            <w:r>
              <w:rPr>
                <w:color w:val="000000"/>
              </w:rPr>
              <w:t> </w:t>
            </w:r>
          </w:p>
        </w:tc>
        <w:tc>
          <w:tcPr>
            <w:tcW w:w="16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6"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Balance, beginning of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(20)</w:t>
            </w:r>
          </w:p>
        </w:tc>
        <w:tc>
          <w:tcPr>
            <w:tcW w:w="11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w:t>
            </w:r>
          </w:p>
        </w:tc>
        <w:tc>
          <w:tcPr>
            <w:tcW w:w="11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(21)</w:t>
            </w:r>
          </w:p>
        </w:tc>
        <w:tc>
          <w:tcPr>
            <w:tcW w:w="11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(75)</w:t>
            </w:r>
          </w:p>
        </w:tc>
        <w:tc>
          <w:tcPr>
            <w:tcW w:w="16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r>
      <w:tr>
        <w:trPr/>
        <w:tc>
          <w:tcPr>
            <w:tcW w:w="392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Change in unrealized net capital gains and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w:t>
            </w:r>
          </w:p>
        </w:tc>
        <w:tc>
          <w:tcPr>
            <w:tcW w:w="11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3 </w:t>
            </w:r>
          </w:p>
        </w:tc>
        <w:tc>
          <w:tcPr>
            <w:tcW w:w="16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Noncontrolling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(10)</w:t>
            </w:r>
          </w:p>
        </w:tc>
        <w:tc>
          <w:tcPr>
            <w:tcW w:w="11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1 </w:t>
            </w:r>
          </w:p>
        </w:tc>
        <w:tc>
          <w:tcPr>
            <w:tcW w:w="11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(9)</w:t>
            </w:r>
          </w:p>
        </w:tc>
        <w:tc>
          <w:tcPr>
            <w:tcW w:w="16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Capital transactions for 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67 </w:t>
            </w:r>
          </w:p>
        </w:tc>
        <w:tc>
          <w:tcPr>
            <w:tcW w:w="16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Balance, end of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w:t>
            </w:r>
          </w:p>
        </w:tc>
        <w:tc>
          <w:tcPr>
            <w:tcW w:w="11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(14)</w:t>
            </w:r>
          </w:p>
        </w:tc>
        <w:tc>
          <w:tcPr>
            <w:tcW w:w="11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w:t>
            </w:r>
          </w:p>
        </w:tc>
        <w:tc>
          <w:tcPr>
            <w:tcW w:w="11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(14)</w:t>
            </w:r>
          </w:p>
        </w:tc>
        <w:tc>
          <w:tcPr>
            <w:tcW w:w="16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6" w:type="dxa"/>
            <w:gridSpan w:val="3"/>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891"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33,678</w:t>
            </w:r>
            <w:r>
              <w:rPr>
                <w:color w:val="000000"/>
              </w:rPr>
              <w:t> </w:t>
            </w:r>
          </w:p>
        </w:tc>
        <w:tc>
          <w:tcPr>
            <w:tcW w:w="115"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891"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24,005</w:t>
            </w:r>
            <w:r>
              <w:rPr>
                <w:color w:val="000000"/>
              </w:rPr>
              <w:t> </w:t>
            </w:r>
          </w:p>
        </w:tc>
        <w:tc>
          <w:tcPr>
            <w:tcW w:w="115"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860"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33,678</w:t>
            </w:r>
            <w:r>
              <w:rPr>
                <w:color w:val="000000"/>
              </w:rPr>
              <w:t> </w:t>
            </w:r>
          </w:p>
        </w:tc>
        <w:tc>
          <w:tcPr>
            <w:tcW w:w="111"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860"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24,005</w:t>
            </w:r>
            <w:r>
              <w:rPr>
                <w:color w:val="000000"/>
              </w:rPr>
              <w:t> </w:t>
            </w:r>
          </w:p>
        </w:tc>
        <w:tc>
          <w:tcPr>
            <w:tcW w:w="164"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360"/>
        <w:jc w:val="center"/>
        <w:rPr>
          <w:rFonts w:ascii="Allstate Sans;sans-serif" w:hAnsi="Allstate Sans;sans-serif"/>
          <w:b w:val="false"/>
          <w:color w:val="000000"/>
          <w:sz w:val="16"/>
        </w:rPr>
      </w:pPr>
      <w:r>
        <w:rPr>
          <w:rFonts w:ascii="Allstate Sans;sans-serif" w:hAnsi="Allstate Sans;sans-serif"/>
          <w:b w:val="false"/>
          <w:color w:val="000000"/>
          <w:sz w:val="16"/>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120"/>
                              <w:jc w:val="left"/>
                              <w:rPr/>
                            </w:pPr>
                            <w:r>
                              <w:rPr>
                                <w:rFonts w:ascii="Allstate Sans;sans-serif" w:hAnsi="Allstate Sans;sans-serif"/>
                                <w:b w:val="false"/>
                                <w:color w:val="0033A0"/>
                                <w:sz w:val="18"/>
                              </w:rPr>
                              <w:t>4</w:t>
                            </w:r>
                            <w:r>
                              <w:rPr>
                                <w:color w:val="1666AF"/>
                              </w:rPr>
                              <w:t xml:space="preserve"> </w:t>
                            </w:r>
                            <w:r>
                              <w:rPr>
                                <w:rFonts w:ascii="Allstate Sans;sans-serif" w:hAnsi="Allstate Sans;sans-serif"/>
                                <w:b w:val="false"/>
                                <w:color w:val="000000"/>
                                <w:sz w:val="18"/>
                              </w:rPr>
                              <w:t>www.allstate.com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left"/>
                        <w:rPr/>
                      </w:pPr>
                      <w:r>
                        <w:rPr>
                          <w:rFonts w:ascii="Allstate Sans;sans-serif" w:hAnsi="Allstate Sans;sans-serif"/>
                          <w:b w:val="false"/>
                          <w:color w:val="0033A0"/>
                          <w:sz w:val="18"/>
                        </w:rPr>
                        <w:t>4</w:t>
                      </w:r>
                      <w:r>
                        <w:rPr>
                          <w:color w:val="1666AF"/>
                        </w:rPr>
                        <w:t xml:space="preserve"> </w:t>
                      </w:r>
                      <w:r>
                        <w:rPr>
                          <w:rFonts w:ascii="Allstate Sans;sans-serif" w:hAnsi="Allstate Sans;sans-serif"/>
                          <w:b w:val="false"/>
                          <w:color w:val="000000"/>
                          <w:sz w:val="18"/>
                        </w:rPr>
                        <w:t>www.allstate.com</w:t>
                      </w:r>
                    </w:p>
                  </w:txbxContent>
                </v:textbox>
                <w10:wrap type="none"/>
              </v:rect>
            </w:pict>
          </mc:Fallback>
        </mc:AlternateContent>
      </w:r>
    </w:p>
    <w:p>
      <w:pPr>
        <w:pStyle w:val="TextBody"/>
        <w:bidi w:val="0"/>
        <w:spacing w:lineRule="auto" w:line="288" w:before="0" w:after="120"/>
        <w:ind w:left="0" w:right="0" w:firstLine="360"/>
        <w:jc w:val="right"/>
        <w:rPr>
          <w:rFonts w:ascii="Allstate Sans;sans-serif" w:hAnsi="Allstate Sans;sans-serif"/>
          <w:b w:val="false"/>
          <w:color w:val="0033A0"/>
          <w:sz w:val="18"/>
        </w:rPr>
      </w:pPr>
      <w:r>
        <w:rPr>
          <w:rFonts w:ascii="Allstate Sans;sans-serif" w:hAnsi="Allstate Sans;sans-serif"/>
          <w:b w:val="false"/>
          <w:color w:val="0033A0"/>
          <w:sz w:val="18"/>
        </w:rPr>
        <w:t>Condensed Consolidated Financial Statements</w:t>
      </w:r>
    </w:p>
    <w:p>
      <w:pPr>
        <w:pStyle w:val="TextBody"/>
        <w:bidi w:val="0"/>
        <w:spacing w:lineRule="auto" w:line="288" w:before="0" w:after="0"/>
        <w:jc w:val="center"/>
        <w:rPr>
          <w:rFonts w:ascii="Allstate Sans;sans-serif" w:hAnsi="Allstate Sans;sans-serif"/>
          <w:b/>
          <w:color w:val="0033A0"/>
          <w:sz w:val="22"/>
        </w:rPr>
      </w:pPr>
      <w:r>
        <w:rPr>
          <w:rFonts w:ascii="Allstate Sans;sans-serif" w:hAnsi="Allstate Sans;sans-serif"/>
          <w:b/>
          <w:color w:val="0033A0"/>
          <w:sz w:val="22"/>
        </w:rPr>
        <w:t>The Allstate Corporation and Subsidiaries</w:t>
      </w:r>
    </w:p>
    <w:p>
      <w:pPr>
        <w:pStyle w:val="TextBody"/>
        <w:bidi w:val="0"/>
        <w:spacing w:lineRule="auto" w:line="288" w:before="0" w:after="120"/>
        <w:jc w:val="center"/>
        <w:rPr>
          <w:rFonts w:ascii="Allstate Sans;sans-serif" w:hAnsi="Allstate Sans;sans-serif"/>
          <w:b/>
          <w:color w:val="0033A0"/>
          <w:sz w:val="22"/>
        </w:rPr>
      </w:pPr>
      <w:r>
        <w:rPr>
          <w:rFonts w:ascii="Allstate Sans;sans-serif" w:hAnsi="Allstate Sans;sans-serif"/>
          <w:b/>
          <w:color w:val="0033A0"/>
          <w:sz w:val="22"/>
        </w:rPr>
        <w:t>Condensed Consolidated Statements of Cash Flows (unaudited)</w:t>
      </w:r>
    </w:p>
    <w:tbl>
      <w:tblPr>
        <w:tblW w:w="10205" w:type="dxa"/>
        <w:jc w:val="center"/>
        <w:tblInd w:w="0" w:type="dxa"/>
        <w:tblLayout w:type="fixed"/>
        <w:tblCellMar>
          <w:top w:w="28" w:type="dxa"/>
          <w:left w:w="28" w:type="dxa"/>
          <w:bottom w:w="28" w:type="dxa"/>
          <w:right w:w="28" w:type="dxa"/>
        </w:tblCellMar>
      </w:tblPr>
      <w:tblGrid>
        <w:gridCol w:w="2692"/>
        <w:gridCol w:w="2358"/>
        <w:gridCol w:w="2373"/>
        <w:gridCol w:w="109"/>
        <w:gridCol w:w="109"/>
        <w:gridCol w:w="109"/>
        <w:gridCol w:w="226"/>
        <w:gridCol w:w="706"/>
        <w:gridCol w:w="109"/>
        <w:gridCol w:w="109"/>
        <w:gridCol w:w="109"/>
        <w:gridCol w:w="109"/>
        <w:gridCol w:w="226"/>
        <w:gridCol w:w="706"/>
        <w:gridCol w:w="155"/>
      </w:tblGrid>
      <w:tr>
        <w:trPr/>
        <w:tc>
          <w:tcPr>
            <w:tcW w:w="2692" w:type="dxa"/>
            <w:tcBorders/>
            <w:vAlign w:val="center"/>
          </w:tcPr>
          <w:p>
            <w:pPr>
              <w:pStyle w:val="TableContents"/>
              <w:bidi w:val="0"/>
              <w:spacing w:before="0" w:after="283"/>
              <w:jc w:val="left"/>
              <w:rPr>
                <w:sz w:val="4"/>
                <w:szCs w:val="4"/>
              </w:rPr>
            </w:pPr>
            <w:r>
              <w:rPr>
                <w:sz w:val="4"/>
                <w:szCs w:val="4"/>
              </w:rPr>
            </w:r>
          </w:p>
        </w:tc>
        <w:tc>
          <w:tcPr>
            <w:tcW w:w="2358" w:type="dxa"/>
            <w:tcBorders/>
            <w:vAlign w:val="center"/>
          </w:tcPr>
          <w:p>
            <w:pPr>
              <w:pStyle w:val="TableContents"/>
              <w:bidi w:val="0"/>
              <w:spacing w:before="0" w:after="283"/>
              <w:jc w:val="left"/>
              <w:rPr>
                <w:sz w:val="4"/>
                <w:szCs w:val="4"/>
              </w:rPr>
            </w:pPr>
            <w:r>
              <w:rPr>
                <w:sz w:val="4"/>
                <w:szCs w:val="4"/>
              </w:rPr>
            </w:r>
          </w:p>
        </w:tc>
        <w:tc>
          <w:tcPr>
            <w:tcW w:w="23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423"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 in 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Six months ended</w:t>
              <w:br/>
              <w:t>June 30,</w:t>
            </w:r>
          </w:p>
        </w:tc>
      </w:tr>
      <w:tr>
        <w:trPr/>
        <w:tc>
          <w:tcPr>
            <w:tcW w:w="7423"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33A0"/>
            </w:tcBorders>
            <w:tcMar>
              <w:top w:w="0" w:type="dxa"/>
              <w:left w:w="0" w:type="dxa"/>
              <w:bottom w:w="3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bottom w:val="single" w:sz="8" w:space="0" w:color="0033A0"/>
            </w:tcBorders>
            <w:tcMar>
              <w:top w:w="0" w:type="dxa"/>
              <w:left w:w="0" w:type="dxa"/>
              <w:bottom w:w="3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2025</w:t>
            </w:r>
          </w:p>
        </w:tc>
      </w:tr>
      <w:tr>
        <w:trPr/>
        <w:tc>
          <w:tcPr>
            <w:tcW w:w="7423"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Cash flows from operating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Net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706"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5,729 </w:t>
            </w:r>
          </w:p>
        </w:tc>
        <w:tc>
          <w:tcPr>
            <w:tcW w:w="109"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706"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2,695 </w:t>
            </w:r>
          </w:p>
        </w:tc>
        <w:tc>
          <w:tcPr>
            <w:tcW w:w="155"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Adjustments to reconcile net income to net cash provided by operating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Depreciation, amortization and other non-cash items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187 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259 </w:t>
            </w:r>
          </w:p>
        </w:tc>
        <w:tc>
          <w:tcPr>
            <w:tcW w:w="15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Net (gains) losses on investments and derivatives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(650)</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493 </w:t>
            </w:r>
          </w:p>
        </w:tc>
        <w:tc>
          <w:tcPr>
            <w:tcW w:w="15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7423"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Pension and other postretirement remeasurement (gains)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(127)</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78 </w:t>
            </w:r>
          </w:p>
        </w:tc>
        <w:tc>
          <w:tcPr>
            <w:tcW w:w="15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Gain on disposition of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(890)</w:t>
            </w:r>
          </w:p>
        </w:tc>
        <w:tc>
          <w:tcPr>
            <w:tcW w:w="15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7423"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Changes 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Claims and claims expense and other insurance reserves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(22)</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2,139 </w:t>
            </w:r>
          </w:p>
        </w:tc>
        <w:tc>
          <w:tcPr>
            <w:tcW w:w="15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Unearned premiums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350 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1,040 </w:t>
            </w:r>
          </w:p>
        </w:tc>
        <w:tc>
          <w:tcPr>
            <w:tcW w:w="15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Deferred policy acquisition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12 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(132)</w:t>
            </w:r>
          </w:p>
        </w:tc>
        <w:tc>
          <w:tcPr>
            <w:tcW w:w="15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Premium installment receivables,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(417)</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(625)</w:t>
            </w:r>
          </w:p>
        </w:tc>
        <w:tc>
          <w:tcPr>
            <w:tcW w:w="15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Reinsurance and indemnification recoverables,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619 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(708)</w:t>
            </w:r>
          </w:p>
        </w:tc>
        <w:tc>
          <w:tcPr>
            <w:tcW w:w="15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Income 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355 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(437)</w:t>
            </w:r>
          </w:p>
        </w:tc>
        <w:tc>
          <w:tcPr>
            <w:tcW w:w="15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Other operating assets and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160 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(75)</w:t>
            </w:r>
          </w:p>
        </w:tc>
        <w:tc>
          <w:tcPr>
            <w:tcW w:w="15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Net cash provided by operating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6,196</w:t>
            </w: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3,837</w:t>
            </w:r>
            <w:r>
              <w:rPr>
                <w:color w:val="000000"/>
              </w:rPr>
              <w:t> </w:t>
            </w:r>
          </w:p>
        </w:tc>
        <w:tc>
          <w:tcPr>
            <w:tcW w:w="15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Cash flows from investing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Proceeds from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Fixed income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41,555 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32,392 </w:t>
            </w:r>
          </w:p>
        </w:tc>
        <w:tc>
          <w:tcPr>
            <w:tcW w:w="15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Equity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9,412 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4,608 </w:t>
            </w:r>
          </w:p>
        </w:tc>
        <w:tc>
          <w:tcPr>
            <w:tcW w:w="15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Limited partnership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702 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607 </w:t>
            </w:r>
          </w:p>
        </w:tc>
        <w:tc>
          <w:tcPr>
            <w:tcW w:w="15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7423"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Other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75 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1 </w:t>
            </w:r>
          </w:p>
        </w:tc>
        <w:tc>
          <w:tcPr>
            <w:tcW w:w="15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Investment collections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Fixed income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436 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355 </w:t>
            </w:r>
          </w:p>
        </w:tc>
        <w:tc>
          <w:tcPr>
            <w:tcW w:w="15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Mortgage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82 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53 </w:t>
            </w:r>
          </w:p>
        </w:tc>
        <w:tc>
          <w:tcPr>
            <w:tcW w:w="15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Other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46 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15 </w:t>
            </w:r>
          </w:p>
        </w:tc>
        <w:tc>
          <w:tcPr>
            <w:tcW w:w="15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Investment purchases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Fixed income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(43,019)</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(33,166)</w:t>
            </w:r>
          </w:p>
        </w:tc>
        <w:tc>
          <w:tcPr>
            <w:tcW w:w="15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Equity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(11,632)</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(2,660)</w:t>
            </w:r>
          </w:p>
        </w:tc>
        <w:tc>
          <w:tcPr>
            <w:tcW w:w="15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Limited partnership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(743)</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(690)</w:t>
            </w:r>
          </w:p>
        </w:tc>
        <w:tc>
          <w:tcPr>
            <w:tcW w:w="15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Mortgage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(47)</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(75)</w:t>
            </w:r>
          </w:p>
        </w:tc>
        <w:tc>
          <w:tcPr>
            <w:tcW w:w="15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Other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(152)</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(180)</w:t>
            </w:r>
          </w:p>
        </w:tc>
        <w:tc>
          <w:tcPr>
            <w:tcW w:w="15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Change in short-term and other investments,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(420)</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(5,555)</w:t>
            </w:r>
          </w:p>
        </w:tc>
        <w:tc>
          <w:tcPr>
            <w:tcW w:w="15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Purchases of property and equipment,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(83)</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(91)</w:t>
            </w:r>
          </w:p>
        </w:tc>
        <w:tc>
          <w:tcPr>
            <w:tcW w:w="15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7423"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Proceeds from disposition of operations, net of cash transferred</w:t>
            </w:r>
          </w:p>
        </w:tc>
        <w:tc>
          <w:tcPr>
            <w:tcW w:w="327"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1,885 </w:t>
            </w:r>
          </w:p>
        </w:tc>
        <w:tc>
          <w:tcPr>
            <w:tcW w:w="15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7423"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Net cash used in investing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(3,788)</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(2,501)</w:t>
            </w:r>
          </w:p>
        </w:tc>
        <w:tc>
          <w:tcPr>
            <w:tcW w:w="15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Cash flows from financing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7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7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7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7423"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Contractholder fund deposits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30 </w:t>
            </w:r>
          </w:p>
        </w:tc>
        <w:tc>
          <w:tcPr>
            <w:tcW w:w="15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Contractholder fund withdrawals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(15)</w:t>
            </w:r>
          </w:p>
        </w:tc>
        <w:tc>
          <w:tcPr>
            <w:tcW w:w="15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Dividends paid on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(541)</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(509)</w:t>
            </w:r>
          </w:p>
        </w:tc>
        <w:tc>
          <w:tcPr>
            <w:tcW w:w="15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Dividends paid on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(59)</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(59)</w:t>
            </w:r>
          </w:p>
        </w:tc>
        <w:tc>
          <w:tcPr>
            <w:tcW w:w="15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Treasury stock purchases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(1,665)</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(439)</w:t>
            </w:r>
          </w:p>
        </w:tc>
        <w:tc>
          <w:tcPr>
            <w:tcW w:w="15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Shares reissued under equity incentive plans,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41 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26 </w:t>
            </w:r>
          </w:p>
        </w:tc>
        <w:tc>
          <w:tcPr>
            <w:tcW w:w="15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7423"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(22)</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12 </w:t>
            </w:r>
          </w:p>
        </w:tc>
        <w:tc>
          <w:tcPr>
            <w:tcW w:w="15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Net cash used in financing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(2,246)</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(954)</w:t>
            </w:r>
          </w:p>
        </w:tc>
        <w:tc>
          <w:tcPr>
            <w:tcW w:w="15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Net increase in cash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162</w:t>
            </w: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382</w:t>
            </w:r>
            <w:r>
              <w:rPr>
                <w:color w:val="000000"/>
              </w:rPr>
              <w:t> </w:t>
            </w:r>
          </w:p>
        </w:tc>
        <w:tc>
          <w:tcPr>
            <w:tcW w:w="15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Cash at beginning of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678 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704 </w:t>
            </w:r>
          </w:p>
        </w:tc>
        <w:tc>
          <w:tcPr>
            <w:tcW w:w="15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Less: Cash classified as assets held for sale at end of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91 </w:t>
            </w:r>
          </w:p>
        </w:tc>
        <w:tc>
          <w:tcPr>
            <w:tcW w:w="15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Cash at end of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70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840</w:t>
            </w:r>
            <w:r>
              <w:rPr>
                <w:color w:val="000000"/>
              </w:rPr>
              <w:t> </w:t>
            </w:r>
          </w:p>
        </w:tc>
        <w:tc>
          <w:tcPr>
            <w:tcW w:w="109"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70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995</w:t>
            </w:r>
            <w:r>
              <w:rPr>
                <w:color w:val="000000"/>
              </w:rPr>
              <w:t> </w:t>
            </w:r>
          </w:p>
        </w:tc>
        <w:tc>
          <w:tcPr>
            <w:tcW w:w="155"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20"/>
        <w:jc w:val="center"/>
        <w:rPr>
          <w:rFonts w:ascii="Allstate Sans;sans-serif" w:hAnsi="Allstate Sans;sans-serif"/>
          <w:b w:val="false"/>
          <w:color w:val="000000"/>
          <w:sz w:val="16"/>
        </w:rPr>
      </w:pPr>
      <w:r>
        <w:rPr>
          <w:rFonts w:ascii="Allstate Sans;sans-serif" w:hAnsi="Allstate Sans;sans-serif"/>
          <w:b w:val="false"/>
          <w:color w:val="000000"/>
          <w:sz w:val="16"/>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33350"/>
                <wp:effectExtent l="0" t="0" r="0" b="0"/>
                <wp:wrapNone/>
                <wp:docPr id="8" name="Frame7"/>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ind w:left="0" w:right="0" w:firstLine="360"/>
                              <w:jc w:val="right"/>
                              <w:rPr/>
                            </w:pPr>
                            <w:r>
                              <w:rPr>
                                <w:rFonts w:ascii="Allstate Sans;sans-serif" w:hAnsi="Allstate Sans;sans-serif"/>
                                <w:b w:val="false"/>
                                <w:color w:val="000000"/>
                                <w:sz w:val="18"/>
                              </w:rPr>
                              <w:t xml:space="preserve">Second Quarter 2026 Form 10-Q </w:t>
                            </w:r>
                            <w:r>
                              <w:rPr>
                                <w:rFonts w:ascii="Allstate Sans;sans-serif" w:hAnsi="Allstate Sans;sans-serif"/>
                                <w:b w:val="false"/>
                                <w:color w:val="0033A0"/>
                                <w:sz w:val="18"/>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right"/>
                        <w:rPr/>
                      </w:pPr>
                      <w:r>
                        <w:rPr>
                          <w:rFonts w:ascii="Allstate Sans;sans-serif" w:hAnsi="Allstate Sans;sans-serif"/>
                          <w:b w:val="false"/>
                          <w:color w:val="000000"/>
                          <w:sz w:val="18"/>
                        </w:rPr>
                        <w:t xml:space="preserve">Second Quarter 2026 Form 10-Q </w:t>
                      </w:r>
                      <w:r>
                        <w:rPr>
                          <w:rFonts w:ascii="Allstate Sans;sans-serif" w:hAnsi="Allstate Sans;sans-serif"/>
                          <w:b w:val="false"/>
                          <w:color w:val="0033A0"/>
                          <w:sz w:val="18"/>
                        </w:rPr>
                        <w:t>5</w:t>
                      </w:r>
                    </w:p>
                  </w:txbxContent>
                </v:textbox>
                <w10:wrap type="none"/>
              </v:rect>
            </w:pict>
          </mc:Fallback>
        </mc:AlternateContent>
      </w:r>
    </w:p>
    <w:p>
      <w:pPr>
        <w:pStyle w:val="TextBody"/>
        <w:bidi w:val="0"/>
        <w:spacing w:lineRule="auto" w:line="288" w:before="0" w:after="0"/>
        <w:jc w:val="left"/>
        <w:rPr>
          <w:rFonts w:ascii="Allstate Sans;sans-serif" w:hAnsi="Allstate Sans;sans-serif"/>
          <w:b w:val="false"/>
          <w:color w:val="0033A0"/>
          <w:sz w:val="18"/>
        </w:rPr>
      </w:pPr>
      <w:r>
        <w:rPr>
          <w:rFonts w:ascii="Allstate Sans;sans-serif" w:hAnsi="Allstate Sans;sans-serif"/>
          <w:b w:val="false"/>
          <w:color w:val="0033A0"/>
          <w:sz w:val="18"/>
        </w:rPr>
        <w:t>Notes to Condensed Consolidated Financial Statements</w:t>
      </w:r>
    </w:p>
    <w:p>
      <w:pPr>
        <w:pStyle w:val="TextBody"/>
        <w:bidi w:val="0"/>
        <w:spacing w:lineRule="auto" w:line="288" w:before="0" w:after="0"/>
        <w:jc w:val="center"/>
        <w:rPr>
          <w:rFonts w:ascii="Allstate Sans;sans-serif" w:hAnsi="Allstate Sans;sans-serif"/>
          <w:b/>
          <w:color w:val="0033A0"/>
          <w:sz w:val="22"/>
        </w:rPr>
      </w:pPr>
      <w:r>
        <w:rPr>
          <w:rFonts w:ascii="Allstate Sans;sans-serif" w:hAnsi="Allstate Sans;sans-serif"/>
          <w:b/>
          <w:color w:val="0033A0"/>
          <w:sz w:val="22"/>
        </w:rPr>
        <w:t>The Allstate Corporation and Subsidiaries</w:t>
      </w:r>
    </w:p>
    <w:p>
      <w:pPr>
        <w:pStyle w:val="TextBody"/>
        <w:bidi w:val="0"/>
        <w:spacing w:lineRule="auto" w:line="288" w:before="0" w:after="0"/>
        <w:jc w:val="center"/>
        <w:rPr>
          <w:rFonts w:ascii="Allstate Sans;sans-serif" w:hAnsi="Allstate Sans;sans-serif"/>
          <w:b/>
          <w:color w:val="0033A0"/>
          <w:sz w:val="22"/>
        </w:rPr>
      </w:pPr>
      <w:r>
        <w:rPr>
          <w:rFonts w:ascii="Allstate Sans;sans-serif" w:hAnsi="Allstate Sans;sans-serif"/>
          <w:b/>
          <w:color w:val="0033A0"/>
          <w:sz w:val="22"/>
        </w:rPr>
        <w:t>Notes to Condensed Consolidated Financial Statements</w:t>
      </w:r>
    </w:p>
    <w:p>
      <w:pPr>
        <w:pStyle w:val="TextBody"/>
        <w:bidi w:val="0"/>
        <w:spacing w:lineRule="auto" w:line="288" w:before="0" w:after="0"/>
        <w:jc w:val="center"/>
        <w:rPr>
          <w:rFonts w:ascii="Allstate Sans;sans-serif" w:hAnsi="Allstate Sans;sans-serif"/>
          <w:b/>
          <w:color w:val="0033A0"/>
          <w:sz w:val="22"/>
        </w:rPr>
      </w:pPr>
      <w:r>
        <w:rPr>
          <w:rFonts w:ascii="Allstate Sans;sans-serif" w:hAnsi="Allstate Sans;sans-serif"/>
          <w:b/>
          <w:color w:val="0033A0"/>
          <w:sz w:val="22"/>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072" w:type="dxa"/>
        <w:jc w:val="left"/>
        <w:tblInd w:w="0" w:type="dxa"/>
        <w:tblLayout w:type="fixed"/>
        <w:tblCellMar>
          <w:top w:w="28" w:type="dxa"/>
          <w:left w:w="28" w:type="dxa"/>
          <w:bottom w:w="28" w:type="dxa"/>
          <w:right w:w="28" w:type="dxa"/>
        </w:tblCellMar>
      </w:tblPr>
      <w:tblGrid>
        <w:gridCol w:w="342"/>
        <w:gridCol w:w="301"/>
        <w:gridCol w:w="303"/>
        <w:gridCol w:w="329"/>
        <w:gridCol w:w="329"/>
        <w:gridCol w:w="468"/>
      </w:tblGrid>
      <w:tr>
        <w:trPr/>
        <w:tc>
          <w:tcPr>
            <w:tcW w:w="3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bottom w:val="single" w:sz="8" w:space="0" w:color="0033A0"/>
            </w:tcBorders>
            <w:tcMar>
              <w:top w:w="0" w:type="dxa"/>
              <w:left w:w="0" w:type="dxa"/>
              <w:bottom w:w="30" w:type="dxa"/>
              <w:right w:w="0" w:type="dxa"/>
            </w:tcMar>
            <w:vAlign w:val="center"/>
          </w:tcPr>
          <w:p>
            <w:pPr>
              <w:pStyle w:val="TableContents"/>
              <w:bidi w:val="0"/>
              <w:spacing w:lineRule="auto" w:line="240" w:before="0" w:after="283"/>
              <w:jc w:val="left"/>
              <w:rPr>
                <w:rFonts w:ascii="Allstate Sans;sans-serif" w:hAnsi="Allstate Sans;sans-serif"/>
                <w:b/>
                <w:color w:val="0033A0"/>
                <w:sz w:val="22"/>
              </w:rPr>
            </w:pPr>
            <w:r>
              <w:rPr>
                <w:rFonts w:ascii="Allstate Sans;sans-serif" w:hAnsi="Allstate Sans;sans-serif"/>
                <w:b/>
                <w:color w:val="0033A0"/>
                <w:sz w:val="22"/>
              </w:rPr>
              <w:t>Note 1</w:t>
            </w:r>
          </w:p>
        </w:tc>
        <w:tc>
          <w:tcPr>
            <w:tcW w:w="1126" w:type="dxa"/>
            <w:gridSpan w:val="3"/>
            <w:tcBorders>
              <w:bottom w:val="single" w:sz="8" w:space="0" w:color="0033A0"/>
            </w:tcBorders>
            <w:tcMar>
              <w:top w:w="0" w:type="dxa"/>
              <w:left w:w="0" w:type="dxa"/>
              <w:bottom w:w="30" w:type="dxa"/>
              <w:right w:w="0" w:type="dxa"/>
            </w:tcMar>
            <w:vAlign w:val="center"/>
          </w:tcPr>
          <w:p>
            <w:pPr>
              <w:pStyle w:val="TableContents"/>
              <w:bidi w:val="0"/>
              <w:spacing w:lineRule="auto" w:line="240" w:before="0" w:after="283"/>
              <w:jc w:val="left"/>
              <w:rPr>
                <w:rFonts w:ascii="Allstate Sans;sans-serif" w:hAnsi="Allstate Sans;sans-serif"/>
                <w:b/>
                <w:color w:val="000000"/>
                <w:sz w:val="22"/>
              </w:rPr>
            </w:pPr>
            <w:r>
              <w:rPr>
                <w:rFonts w:ascii="Allstate Sans;sans-serif" w:hAnsi="Allstate Sans;sans-serif"/>
                <w:b/>
                <w:color w:val="000000"/>
                <w:sz w:val="22"/>
              </w:rPr>
              <w:t>General</w:t>
            </w:r>
          </w:p>
        </w:tc>
      </w:tr>
    </w:tbl>
    <w:p>
      <w:pPr>
        <w:pStyle w:val="TextBody"/>
        <w:bidi w:val="0"/>
        <w:spacing w:lineRule="auto" w:line="288" w:before="0" w:after="120"/>
        <w:jc w:val="left"/>
        <w:rPr>
          <w:rFonts w:ascii="Allstate Sans;sans-serif" w:hAnsi="Allstate Sans;sans-serif"/>
          <w:b/>
          <w:color w:val="0033A0"/>
          <w:sz w:val="18"/>
        </w:rPr>
      </w:pPr>
      <w:r>
        <w:rPr>
          <w:rFonts w:ascii="Allstate Sans;sans-serif" w:hAnsi="Allstate Sans;sans-serif"/>
          <w:b/>
          <w:color w:val="0033A0"/>
          <w:sz w:val="18"/>
        </w:rPr>
        <w:t>Basis of presentation</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 xml:space="preserve">The accompanying condensed consolidated financial statements include the accounts of The Allstate Corporation (the “Corporation”) and its wholly owned subsidiaries, primarily Allstate Insurance Company (“AIC”), a property and casualty insurance company (collectively referred to as the “Company” or “Allstate”) and variable interest entities (“VIEs”) in which the Company is considered a primary beneficiary. These condensed consolidated financial statements have been prepared in conformity with accounting principles generally accepted in the United States of America (“GAAP”). </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The condensed consolidated financial statements and notes as of June 30, 2026 and for the three and six-month periods ended June 30, 2026 and 2025 are unaudited. The condensed consolidated financial statements reflect all adjustments (consisting only of normal recurring accruals) which are, in the opinion of management, necessary for the fair presentation of the financial position, results of operations and cash flows for the interim periods.</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These condensed consolidated financial statements and notes should be read in conjunction with the consolidated financial statements and notes thereto included in the Company’s annual report on Form 10-K for the year ended December 31, 2025. The results of operations for the interim periods should not be considered indicative of results to be expected for the full year. All significant intercompany accounts and transactions have been eliminated. Certain amounts have been reclassified to conform to current year presentation.</w:t>
      </w:r>
    </w:p>
    <w:p>
      <w:pPr>
        <w:pStyle w:val="TextBody"/>
        <w:bidi w:val="0"/>
        <w:spacing w:lineRule="auto" w:line="288" w:before="0" w:after="120"/>
        <w:jc w:val="left"/>
        <w:rPr>
          <w:rFonts w:ascii="Allstate Sans;sans-serif" w:hAnsi="Allstate Sans;sans-serif"/>
          <w:b/>
          <w:color w:val="0033A0"/>
          <w:sz w:val="18"/>
        </w:rPr>
      </w:pPr>
      <w:r>
        <w:rPr>
          <w:rFonts w:ascii="Allstate Sans;sans-serif" w:hAnsi="Allstate Sans;sans-serif"/>
          <w:b/>
          <w:color w:val="0033A0"/>
          <w:sz w:val="18"/>
        </w:rPr>
        <w:t>Adopted accounting standard</w:t>
      </w:r>
    </w:p>
    <w:p>
      <w:pPr>
        <w:pStyle w:val="TextBody"/>
        <w:bidi w:val="0"/>
        <w:spacing w:lineRule="auto" w:line="288" w:before="0" w:after="120"/>
        <w:ind w:left="0" w:right="0" w:firstLine="360"/>
        <w:jc w:val="left"/>
        <w:rPr/>
      </w:pPr>
      <w:r>
        <w:rPr>
          <w:rFonts w:ascii="Allstate Sans;sans-serif" w:hAnsi="Allstate Sans;sans-serif"/>
          <w:b w:val="false"/>
          <w:i/>
          <w:color w:val="0033A0"/>
          <w:sz w:val="18"/>
        </w:rPr>
        <w:t>Credit losses</w:t>
      </w:r>
      <w:r>
        <w:rPr>
          <w:color w:val="000000"/>
        </w:rPr>
        <w:t xml:space="preserve"> </w:t>
      </w:r>
      <w:r>
        <w:rPr>
          <w:rFonts w:ascii="Allstate Sans;sans-serif" w:hAnsi="Allstate Sans;sans-serif"/>
          <w:b w:val="false"/>
          <w:color w:val="000000"/>
          <w:sz w:val="18"/>
        </w:rPr>
        <w:t>Effective January 1, 2026, the Company adopted new Financial Accounting Standards Board (“FASB”) guidance that provides a practical expedient for estimating credit losses on current accounts receivable and contract assets arising from revenue transactions accounted for under the guidance for revenue from contracts with customers. The guidance permits entities to assume current conditions remain unchanged over the asset’s remaining life when estimating expected credit losses, simplifying the estimation process. The adoption did not have a material impact on the Company’s financial statements or disclosures.</w:t>
      </w:r>
    </w:p>
    <w:p>
      <w:pPr>
        <w:pStyle w:val="TextBody"/>
        <w:bidi w:val="0"/>
        <w:spacing w:lineRule="auto" w:line="288" w:before="0" w:after="120"/>
        <w:jc w:val="left"/>
        <w:rPr>
          <w:rFonts w:ascii="Allstate Sans;sans-serif" w:hAnsi="Allstate Sans;sans-serif"/>
          <w:b/>
          <w:color w:val="0033A0"/>
          <w:sz w:val="18"/>
        </w:rPr>
      </w:pPr>
      <w:r>
        <w:rPr>
          <w:rFonts w:ascii="Allstate Sans;sans-serif" w:hAnsi="Allstate Sans;sans-serif"/>
          <w:b/>
          <w:color w:val="0033A0"/>
          <w:sz w:val="18"/>
        </w:rPr>
        <w:t>Pending accounting standards</w:t>
      </w:r>
    </w:p>
    <w:p>
      <w:pPr>
        <w:pStyle w:val="TextBody"/>
        <w:bidi w:val="0"/>
        <w:spacing w:lineRule="auto" w:line="288" w:before="0" w:after="120"/>
        <w:ind w:left="0" w:right="0" w:firstLine="360"/>
        <w:jc w:val="left"/>
        <w:rPr/>
      </w:pPr>
      <w:r>
        <w:rPr>
          <w:rFonts w:ascii="Allstate Sans;sans-serif" w:hAnsi="Allstate Sans;sans-serif"/>
          <w:b w:val="false"/>
          <w:i/>
          <w:color w:val="0033A0"/>
          <w:sz w:val="18"/>
        </w:rPr>
        <w:t xml:space="preserve">Disaggregated income statement disclosures </w:t>
      </w:r>
      <w:r>
        <w:rPr>
          <w:rFonts w:ascii="Allstate Sans;sans-serif" w:hAnsi="Allstate Sans;sans-serif"/>
          <w:b w:val="false"/>
          <w:color w:val="000000"/>
          <w:sz w:val="18"/>
        </w:rPr>
        <w:t xml:space="preserve">In November 2024, the FASB issued guidance requiring disaggregated information about specific expense categories included in certain income statement expense line items. The guidance outlines the specific costs that are required to be disclosed, which include costs such as: employee compensation, depreciation, </w:t>
      </w:r>
    </w:p>
    <w:p>
      <w:pPr>
        <w:pStyle w:val="TextBody"/>
        <w:bidi w:val="0"/>
        <w:spacing w:lineRule="auto" w:line="288" w:before="0" w:after="120"/>
        <w:jc w:val="left"/>
        <w:rPr>
          <w:rFonts w:ascii="Allstate Sans;sans-serif" w:hAnsi="Allstate Sans;sans-serif"/>
          <w:b w:val="false"/>
          <w:color w:val="000000"/>
          <w:sz w:val="18"/>
        </w:rPr>
      </w:pPr>
      <w:r>
        <w:rPr>
          <w:rFonts w:ascii="Allstate Sans;sans-serif" w:hAnsi="Allstate Sans;sans-serif"/>
          <w:b w:val="false"/>
          <w:color w:val="000000"/>
          <w:sz w:val="18"/>
        </w:rPr>
        <w:t xml:space="preserve">lease expense, credit losses and selling costs. It also requires qualitative descriptions of the amounts remaining in the relevant income statement captions that are not separately disaggregated quantitatively in the notes to the financial statements and the Company's definition of selling expenses. </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The new guidance is effective for annual reporting periods beginning after December 15, 2026, and interim reporting periods beginning after December 15, 2027, with early adoption permitted. The standard is effective on a prospective basis, with the option for retrospective application. The guidance affects disclosures only.</w:t>
      </w:r>
    </w:p>
    <w:p>
      <w:pPr>
        <w:pStyle w:val="TextBody"/>
        <w:bidi w:val="0"/>
        <w:spacing w:lineRule="auto" w:line="288" w:before="0" w:after="120"/>
        <w:ind w:left="0" w:right="0" w:firstLine="360"/>
        <w:jc w:val="left"/>
        <w:rPr/>
      </w:pPr>
      <w:r>
        <w:rPr>
          <w:rFonts w:ascii="Allstate Sans;sans-serif" w:hAnsi="Allstate Sans;sans-serif"/>
          <w:b w:val="false"/>
          <w:i/>
          <w:color w:val="0033A0"/>
          <w:sz w:val="18"/>
        </w:rPr>
        <w:t xml:space="preserve">Internal-use software </w:t>
      </w:r>
      <w:r>
        <w:rPr>
          <w:rFonts w:ascii="Allstate Sans;sans-serif" w:hAnsi="Allstate Sans;sans-serif"/>
          <w:b w:val="false"/>
          <w:color w:val="000000"/>
          <w:sz w:val="18"/>
        </w:rPr>
        <w:t xml:space="preserve">In September 2025, the FASB issued guidance which modernizes the accounting for internal-use software by replacing the stage-based model with a principles-based approach. The new guidance requires capitalization once management commits to funding and it is probable the software will be completed and used as intended (probable-to-complete recognition threshold). The standard also clarifies that costs cannot be capitalized when significant development uncertainty exists, such as unresolved technological innovations or unclear performance requirements. In addition, website development costs are now included under the same guidance. </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The new guidance is effective for annual reporting periods beginning after December 15, 2027, and interim reporting periods within those annual reporting periods. Early adoption is permitted as of the beginning of an annual reporting period. The standard may be adopted prospectively, retrospectively, or using a modified transition approach. The Company is currently evaluating the impact of this standard on its financial statements and disclosures.</w:t>
      </w:r>
    </w:p>
    <w:p>
      <w:pPr>
        <w:pStyle w:val="TextBody"/>
        <w:bidi w:val="0"/>
        <w:spacing w:lineRule="auto" w:line="288" w:before="0" w:after="120"/>
        <w:ind w:left="0" w:right="0" w:firstLine="360"/>
        <w:jc w:val="left"/>
        <w:rPr/>
      </w:pPr>
      <w:r>
        <w:rPr>
          <w:rFonts w:ascii="Allstate Sans;sans-serif" w:hAnsi="Allstate Sans;sans-serif"/>
          <w:b w:val="false"/>
          <w:i/>
          <w:color w:val="0033A0"/>
          <w:sz w:val="18"/>
        </w:rPr>
        <w:t xml:space="preserve">Codification Improvements </w:t>
      </w:r>
      <w:r>
        <w:rPr>
          <w:rFonts w:ascii="Allstate Sans;sans-serif" w:hAnsi="Allstate Sans;sans-serif"/>
          <w:b w:val="false"/>
          <w:color w:val="000000"/>
          <w:sz w:val="18"/>
        </w:rPr>
        <w:t>In December 2025, the FASB issued guidance introducing targeted amendments and clarifications across multiple areas. Key changes include updates to diluted earnings per share calculations when losses occur from continuing operations and there are potentially dilutive instruments, clarified guidance for treasury stock retirement methods, refinements to accounting for beneficial interests and related interest income and expanded eligibility for the proportional amortization method to all income tax credit investments. The guidance also clarifies the treatment of receivable transfers and excludes certain lease receivables from enhanced credit loss disclosures.</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The new guidance is effective for annual reporting periods beginning after December 15, 2026, including interim periods within those annual periods. Early adoption is permitted, and transition methods vary by topic. The Company is currently evaluating the impact of this standard on its financial statements and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120"/>
                              <w:jc w:val="left"/>
                              <w:rPr/>
                            </w:pPr>
                            <w:r>
                              <w:rPr>
                                <w:rFonts w:ascii="Allstate Sans;sans-serif" w:hAnsi="Allstate Sans;sans-serif"/>
                                <w:b w:val="false"/>
                                <w:color w:val="0033A0"/>
                                <w:sz w:val="18"/>
                              </w:rPr>
                              <w:t>6</w:t>
                            </w:r>
                            <w:r>
                              <w:rPr>
                                <w:color w:val="1666AF"/>
                              </w:rPr>
                              <w:t xml:space="preserve"> </w:t>
                            </w:r>
                            <w:r>
                              <w:rPr>
                                <w:rFonts w:ascii="Allstate Sans;sans-serif" w:hAnsi="Allstate Sans;sans-serif"/>
                                <w:b w:val="false"/>
                                <w:color w:val="000000"/>
                                <w:sz w:val="18"/>
                              </w:rPr>
                              <w:t>www.allstate.com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left"/>
                        <w:rPr/>
                      </w:pPr>
                      <w:r>
                        <w:rPr>
                          <w:rFonts w:ascii="Allstate Sans;sans-serif" w:hAnsi="Allstate Sans;sans-serif"/>
                          <w:b w:val="false"/>
                          <w:color w:val="0033A0"/>
                          <w:sz w:val="18"/>
                        </w:rPr>
                        <w:t>6</w:t>
                      </w:r>
                      <w:r>
                        <w:rPr>
                          <w:color w:val="1666AF"/>
                        </w:rPr>
                        <w:t xml:space="preserve"> </w:t>
                      </w:r>
                      <w:r>
                        <w:rPr>
                          <w:rFonts w:ascii="Allstate Sans;sans-serif" w:hAnsi="Allstate Sans;sans-serif"/>
                          <w:b w:val="false"/>
                          <w:color w:val="000000"/>
                          <w:sz w:val="18"/>
                        </w:rPr>
                        <w:t>www.allstate.com</w:t>
                      </w:r>
                    </w:p>
                  </w:txbxContent>
                </v:textbox>
                <w10:wrap type="none"/>
              </v:rect>
            </w:pict>
          </mc:Fallback>
        </mc:AlternateContent>
      </w:r>
    </w:p>
    <w:p>
      <w:pPr>
        <w:pStyle w:val="TextBody"/>
        <w:bidi w:val="0"/>
        <w:spacing w:lineRule="auto" w:line="288" w:before="0" w:after="0"/>
        <w:jc w:val="right"/>
        <w:rPr>
          <w:rFonts w:ascii="Allstate Sans;sans-serif" w:hAnsi="Allstate Sans;sans-serif"/>
          <w:b w:val="false"/>
          <w:color w:val="0033A0"/>
          <w:sz w:val="18"/>
        </w:rPr>
      </w:pPr>
      <w:r>
        <w:rPr>
          <w:rFonts w:ascii="Allstate Sans;sans-serif" w:hAnsi="Allstate Sans;sans-serif"/>
          <w:b w:val="false"/>
          <w:color w:val="0033A0"/>
          <w:sz w:val="18"/>
        </w:rPr>
        <w:t>Notes to Condensed Consolidated Financial Statements</w:t>
      </w:r>
    </w:p>
    <w:p>
      <w:pPr>
        <w:pStyle w:val="TextBody"/>
        <w:bidi w:val="0"/>
        <w:spacing w:before="0" w:after="120"/>
        <w:ind w:left="0" w:right="0" w:firstLine="360"/>
        <w:jc w:val="left"/>
        <w:rPr/>
      </w:pPr>
      <w:r>
        <w:rPr/>
      </w:r>
    </w:p>
    <w:tbl>
      <w:tblPr>
        <w:tblW w:w="4695" w:type="dxa"/>
        <w:jc w:val="center"/>
        <w:tblInd w:w="0" w:type="dxa"/>
        <w:tblLayout w:type="fixed"/>
        <w:tblCellMar>
          <w:top w:w="28" w:type="dxa"/>
          <w:left w:w="28" w:type="dxa"/>
          <w:bottom w:w="28" w:type="dxa"/>
          <w:right w:w="28" w:type="dxa"/>
        </w:tblCellMar>
      </w:tblPr>
      <w:tblGrid>
        <w:gridCol w:w="342"/>
        <w:gridCol w:w="301"/>
        <w:gridCol w:w="303"/>
        <w:gridCol w:w="1097"/>
        <w:gridCol w:w="1097"/>
        <w:gridCol w:w="1555"/>
      </w:tblGrid>
      <w:tr>
        <w:trPr/>
        <w:tc>
          <w:tcPr>
            <w:tcW w:w="3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bottom w:val="single" w:sz="8" w:space="0" w:color="0033A0"/>
            </w:tcBorders>
            <w:tcMar>
              <w:top w:w="0" w:type="dxa"/>
              <w:left w:w="0" w:type="dxa"/>
              <w:bottom w:w="30" w:type="dxa"/>
              <w:right w:w="0" w:type="dxa"/>
            </w:tcMar>
            <w:vAlign w:val="center"/>
          </w:tcPr>
          <w:p>
            <w:pPr>
              <w:pStyle w:val="TableContents"/>
              <w:bidi w:val="0"/>
              <w:spacing w:lineRule="auto" w:line="240" w:before="0" w:after="283"/>
              <w:jc w:val="left"/>
              <w:rPr>
                <w:rFonts w:ascii="Allstate Sans;sans-serif" w:hAnsi="Allstate Sans;sans-serif"/>
                <w:b/>
                <w:color w:val="0033A0"/>
                <w:sz w:val="22"/>
              </w:rPr>
            </w:pPr>
            <w:r>
              <w:rPr>
                <w:rFonts w:ascii="Allstate Sans;sans-serif" w:hAnsi="Allstate Sans;sans-serif"/>
                <w:b/>
                <w:color w:val="0033A0"/>
                <w:sz w:val="22"/>
              </w:rPr>
              <w:t>Note 2</w:t>
            </w:r>
          </w:p>
        </w:tc>
        <w:tc>
          <w:tcPr>
            <w:tcW w:w="3749" w:type="dxa"/>
            <w:gridSpan w:val="3"/>
            <w:tcBorders>
              <w:bottom w:val="single" w:sz="8" w:space="0" w:color="0033A0"/>
            </w:tcBorders>
            <w:tcMar>
              <w:top w:w="0" w:type="dxa"/>
              <w:left w:w="0" w:type="dxa"/>
              <w:bottom w:w="30" w:type="dxa"/>
              <w:right w:w="0" w:type="dxa"/>
            </w:tcMar>
            <w:vAlign w:val="center"/>
          </w:tcPr>
          <w:p>
            <w:pPr>
              <w:pStyle w:val="TableContents"/>
              <w:bidi w:val="0"/>
              <w:spacing w:lineRule="auto" w:line="240" w:before="0" w:after="283"/>
              <w:jc w:val="left"/>
              <w:rPr>
                <w:rFonts w:ascii="Allstate Sans;sans-serif" w:hAnsi="Allstate Sans;sans-serif"/>
                <w:b/>
                <w:color w:val="000000"/>
                <w:sz w:val="22"/>
              </w:rPr>
            </w:pPr>
            <w:r>
              <w:rPr>
                <w:rFonts w:ascii="Allstate Sans;sans-serif" w:hAnsi="Allstate Sans;sans-serif"/>
                <w:b/>
                <w:color w:val="000000"/>
                <w:sz w:val="22"/>
              </w:rPr>
              <w:t>Earnings per Common Share</w:t>
            </w:r>
          </w:p>
        </w:tc>
      </w:tr>
    </w:tbl>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 xml:space="preserve">Basic earnings per common share is computed using the weighted average number of common shares outstanding, including vested unissued participating restricted stock units. Diluted earnings per common share is computed using the weighted average number of common and dilutive potential common shares outstanding. </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 xml:space="preserve">For the Company, dilutive potential common shares consist of outstanding stock options, unvested </w:t>
      </w:r>
    </w:p>
    <w:p>
      <w:pPr>
        <w:pStyle w:val="TextBody"/>
        <w:bidi w:val="0"/>
        <w:spacing w:lineRule="auto" w:line="288" w:before="0" w:after="120"/>
        <w:jc w:val="left"/>
        <w:rPr>
          <w:rFonts w:ascii="Allstate Sans;sans-serif" w:hAnsi="Allstate Sans;sans-serif"/>
          <w:b w:val="false"/>
          <w:color w:val="000000"/>
          <w:sz w:val="18"/>
        </w:rPr>
      </w:pPr>
      <w:r>
        <w:rPr>
          <w:rFonts w:ascii="Allstate Sans;sans-serif" w:hAnsi="Allstate Sans;sans-serif"/>
          <w:b w:val="false"/>
          <w:color w:val="000000"/>
          <w:sz w:val="18"/>
        </w:rPr>
        <w:t>non-participating restricted stock units and contingently issuable performance stock awards. The effect of dilutive potential common shares does not include share-based awards with an anti-dilutive effect on earnings per common share, primarily options, where exercise prices exceed the average market price of Allstate common shares during the period or for which the unrecognized compensation cost would have an anti-dilutive effect.</w:t>
      </w:r>
    </w:p>
    <w:tbl>
      <w:tblPr>
        <w:tblW w:w="10626" w:type="dxa"/>
        <w:jc w:val="left"/>
        <w:tblInd w:w="0" w:type="dxa"/>
        <w:tblLayout w:type="fixed"/>
        <w:tblCellMar>
          <w:top w:w="28" w:type="dxa"/>
          <w:left w:w="28" w:type="dxa"/>
          <w:bottom w:w="28" w:type="dxa"/>
          <w:right w:w="28" w:type="dxa"/>
        </w:tblCellMar>
      </w:tblPr>
      <w:tblGrid>
        <w:gridCol w:w="1316"/>
        <w:gridCol w:w="1157"/>
        <w:gridCol w:w="1158"/>
        <w:gridCol w:w="204"/>
        <w:gridCol w:w="133"/>
        <w:gridCol w:w="109"/>
        <w:gridCol w:w="226"/>
        <w:gridCol w:w="721"/>
        <w:gridCol w:w="109"/>
        <w:gridCol w:w="204"/>
        <w:gridCol w:w="133"/>
        <w:gridCol w:w="109"/>
        <w:gridCol w:w="360"/>
        <w:gridCol w:w="721"/>
        <w:gridCol w:w="446"/>
        <w:gridCol w:w="148"/>
        <w:gridCol w:w="148"/>
        <w:gridCol w:w="150"/>
        <w:gridCol w:w="226"/>
        <w:gridCol w:w="721"/>
        <w:gridCol w:w="109"/>
        <w:gridCol w:w="148"/>
        <w:gridCol w:w="148"/>
        <w:gridCol w:w="150"/>
        <w:gridCol w:w="257"/>
        <w:gridCol w:w="824"/>
        <w:gridCol w:w="491"/>
      </w:tblGrid>
      <w:tr>
        <w:trPr/>
        <w:tc>
          <w:tcPr>
            <w:tcW w:w="1316"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7106" w:type="dxa"/>
            <w:gridSpan w:val="15"/>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left"/>
              <w:rPr>
                <w:rFonts w:ascii="Allstate Sans;sans-serif" w:hAnsi="Allstate Sans;sans-serif"/>
                <w:b/>
                <w:color w:val="000000"/>
                <w:sz w:val="18"/>
              </w:rPr>
            </w:pPr>
            <w:r>
              <w:rPr>
                <w:rFonts w:ascii="Allstate Sans;sans-serif" w:hAnsi="Allstate Sans;sans-serif"/>
                <w:b/>
                <w:color w:val="000000"/>
                <w:sz w:val="18"/>
              </w:rPr>
              <w:t>Computation of basic and diluted earnings per common share</w:t>
            </w:r>
          </w:p>
        </w:tc>
        <w:tc>
          <w:tcPr>
            <w:tcW w:w="44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63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(In millions, except per share data)</w:t>
            </w:r>
          </w:p>
        </w:tc>
        <w:tc>
          <w:tcPr>
            <w:tcW w:w="4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Three months ended June 30,</w:t>
            </w:r>
          </w:p>
        </w:tc>
        <w:tc>
          <w:tcPr>
            <w:tcW w:w="4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Six months ended June 30,</w:t>
            </w:r>
          </w:p>
        </w:tc>
      </w:tr>
      <w:tr>
        <w:trPr/>
        <w:tc>
          <w:tcPr>
            <w:tcW w:w="363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ind w:left="0" w:right="0" w:firstLine="360"/>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2026</w:t>
            </w:r>
          </w:p>
        </w:tc>
        <w:tc>
          <w:tcPr>
            <w:tcW w:w="446" w:type="dxa"/>
            <w:gridSpan w:val="3"/>
            <w:tcBorders/>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15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2025</w:t>
            </w:r>
          </w:p>
        </w:tc>
        <w:tc>
          <w:tcPr>
            <w:tcW w:w="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2026</w:t>
            </w:r>
          </w:p>
        </w:tc>
        <w:tc>
          <w:tcPr>
            <w:tcW w:w="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2025</w:t>
            </w:r>
          </w:p>
        </w:tc>
      </w:tr>
      <w:tr>
        <w:trPr/>
        <w:tc>
          <w:tcPr>
            <w:tcW w:w="3631"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Numerator:</w:t>
            </w:r>
          </w:p>
        </w:tc>
        <w:tc>
          <w:tcPr>
            <w:tcW w:w="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r>
      <w:tr>
        <w:trPr/>
        <w:tc>
          <w:tcPr>
            <w:tcW w:w="363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12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Net income</w:t>
            </w:r>
          </w:p>
        </w:tc>
        <w:tc>
          <w:tcPr>
            <w:tcW w:w="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tcBorders>
            <w:tcMar>
              <w:top w:w="30" w:type="dxa"/>
              <w:left w:w="0" w:type="dxa"/>
              <w:bottom w:w="0" w:type="dxa"/>
              <w:right w:w="0" w:type="dxa"/>
            </w:tcMar>
            <w:vAlign w:val="center"/>
          </w:tcPr>
          <w:p>
            <w:pPr>
              <w:pStyle w:val="TableContents"/>
              <w:bidi w:val="0"/>
              <w:spacing w:lineRule="auto" w:line="288" w:before="0" w:after="120"/>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721" w:type="dxa"/>
            <w:tcBorders>
              <w:top w:val="single" w:sz="4" w:space="0" w:color="B6B6B6"/>
            </w:tcBorders>
            <w:tcMar>
              <w:top w:w="30" w:type="dxa"/>
              <w:left w:w="0" w:type="dxa"/>
              <w:bottom w:w="0" w:type="dxa"/>
              <w:right w:w="0" w:type="dxa"/>
            </w:tcMar>
            <w:vAlign w:val="center"/>
          </w:tcPr>
          <w:p>
            <w:pPr>
              <w:pStyle w:val="TableContents"/>
              <w:bidi w:val="0"/>
              <w:spacing w:lineRule="auto" w:line="288" w:before="0" w:after="120"/>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3,271 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4" w:space="0" w:color="B6B6B6"/>
            </w:tcBorders>
            <w:tcMar>
              <w:top w:w="30" w:type="dxa"/>
              <w:left w:w="0" w:type="dxa"/>
              <w:bottom w:w="0" w:type="dxa"/>
              <w:right w:w="0" w:type="dxa"/>
            </w:tcMar>
            <w:vAlign w:val="center"/>
          </w:tcPr>
          <w:p>
            <w:pPr>
              <w:pStyle w:val="TableContents"/>
              <w:bidi w:val="0"/>
              <w:spacing w:lineRule="auto" w:line="288" w:before="0" w:after="120"/>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721" w:type="dxa"/>
            <w:tcBorders>
              <w:top w:val="single" w:sz="4" w:space="0" w:color="B6B6B6"/>
            </w:tcBorders>
            <w:tcMar>
              <w:top w:w="30" w:type="dxa"/>
              <w:left w:w="0" w:type="dxa"/>
              <w:bottom w:w="0" w:type="dxa"/>
              <w:right w:w="0" w:type="dxa"/>
            </w:tcMar>
            <w:vAlign w:val="center"/>
          </w:tcPr>
          <w:p>
            <w:pPr>
              <w:pStyle w:val="TableContents"/>
              <w:bidi w:val="0"/>
              <w:spacing w:lineRule="auto" w:line="288" w:before="0" w:after="120"/>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2,099 </w:t>
            </w:r>
          </w:p>
        </w:tc>
        <w:tc>
          <w:tcPr>
            <w:tcW w:w="44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tcBorders>
            <w:tcMar>
              <w:top w:w="30" w:type="dxa"/>
              <w:left w:w="0" w:type="dxa"/>
              <w:bottom w:w="0" w:type="dxa"/>
              <w:right w:w="0" w:type="dxa"/>
            </w:tcMar>
            <w:vAlign w:val="center"/>
          </w:tcPr>
          <w:p>
            <w:pPr>
              <w:pStyle w:val="TableContents"/>
              <w:bidi w:val="0"/>
              <w:spacing w:lineRule="auto" w:line="288" w:before="0" w:after="120"/>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721" w:type="dxa"/>
            <w:tcBorders>
              <w:top w:val="single" w:sz="4" w:space="0" w:color="B6B6B6"/>
            </w:tcBorders>
            <w:tcMar>
              <w:top w:w="30" w:type="dxa"/>
              <w:left w:w="0" w:type="dxa"/>
              <w:bottom w:w="0" w:type="dxa"/>
              <w:right w:w="0" w:type="dxa"/>
            </w:tcMar>
            <w:vAlign w:val="center"/>
          </w:tcPr>
          <w:p>
            <w:pPr>
              <w:pStyle w:val="TableContents"/>
              <w:bidi w:val="0"/>
              <w:spacing w:lineRule="auto" w:line="288" w:before="0" w:after="120"/>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5,729 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4" w:space="0" w:color="B6B6B6"/>
            </w:tcBorders>
            <w:tcMar>
              <w:top w:w="30" w:type="dxa"/>
              <w:left w:w="0" w:type="dxa"/>
              <w:bottom w:w="0" w:type="dxa"/>
              <w:right w:w="0" w:type="dxa"/>
            </w:tcMar>
            <w:vAlign w:val="center"/>
          </w:tcPr>
          <w:p>
            <w:pPr>
              <w:pStyle w:val="TableContents"/>
              <w:bidi w:val="0"/>
              <w:spacing w:lineRule="auto" w:line="288" w:before="0" w:after="120"/>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824" w:type="dxa"/>
            <w:tcBorders>
              <w:top w:val="single" w:sz="4" w:space="0" w:color="B6B6B6"/>
            </w:tcBorders>
            <w:tcMar>
              <w:top w:w="30" w:type="dxa"/>
              <w:left w:w="0" w:type="dxa"/>
              <w:bottom w:w="0" w:type="dxa"/>
              <w:right w:w="0" w:type="dxa"/>
            </w:tcMar>
            <w:vAlign w:val="center"/>
          </w:tcPr>
          <w:p>
            <w:pPr>
              <w:pStyle w:val="TableContents"/>
              <w:bidi w:val="0"/>
              <w:spacing w:lineRule="auto" w:line="288" w:before="0" w:after="120"/>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2,695 </w:t>
            </w:r>
          </w:p>
        </w:tc>
        <w:tc>
          <w:tcPr>
            <w:tcW w:w="49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12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Less: Net income (loss) attributable to noncontrolling interest</w:t>
            </w:r>
          </w:p>
        </w:tc>
        <w:tc>
          <w:tcPr>
            <w:tcW w:w="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88" w:before="0" w:after="120"/>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88" w:before="0" w:after="120"/>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(10)</w:t>
            </w:r>
          </w:p>
        </w:tc>
        <w:tc>
          <w:tcPr>
            <w:tcW w:w="44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88" w:before="0" w:after="120"/>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88" w:before="0" w:after="120"/>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(9)</w:t>
            </w:r>
          </w:p>
        </w:tc>
        <w:tc>
          <w:tcPr>
            <w:tcW w:w="49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Net income attributable to Allstate</w:t>
            </w:r>
          </w:p>
        </w:tc>
        <w:tc>
          <w:tcPr>
            <w:tcW w:w="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88" w:before="0" w:after="120"/>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3,271 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88" w:before="0" w:after="120"/>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2,109 </w:t>
            </w:r>
          </w:p>
        </w:tc>
        <w:tc>
          <w:tcPr>
            <w:tcW w:w="44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88" w:before="0" w:after="120"/>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5,728 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88" w:before="0" w:after="120"/>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2,704 </w:t>
            </w:r>
          </w:p>
        </w:tc>
        <w:tc>
          <w:tcPr>
            <w:tcW w:w="49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Less: Preferred stock dividends</w:t>
            </w:r>
          </w:p>
        </w:tc>
        <w:tc>
          <w:tcPr>
            <w:tcW w:w="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88" w:before="0" w:after="120"/>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30 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88" w:before="0" w:after="120"/>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30 </w:t>
            </w:r>
          </w:p>
        </w:tc>
        <w:tc>
          <w:tcPr>
            <w:tcW w:w="44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88" w:before="0" w:after="120"/>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59 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88" w:before="0" w:after="120"/>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59 </w:t>
            </w:r>
          </w:p>
        </w:tc>
        <w:tc>
          <w:tcPr>
            <w:tcW w:w="49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1" w:type="dxa"/>
            <w:gridSpan w:val="3"/>
            <w:tcBorders/>
            <w:vAlign w:val="center"/>
          </w:tcPr>
          <w:p>
            <w:pPr>
              <w:pStyle w:val="TableContents"/>
              <w:bidi w:val="0"/>
              <w:spacing w:before="0" w:after="283"/>
              <w:jc w:val="left"/>
              <w:rPr>
                <w:sz w:val="4"/>
                <w:szCs w:val="4"/>
              </w:rPr>
            </w:pPr>
            <w:r>
              <w:rPr>
                <w:sz w:val="4"/>
                <w:szCs w:val="4"/>
              </w:rPr>
            </w:r>
          </w:p>
        </w:tc>
        <w:tc>
          <w:tcPr>
            <w:tcW w:w="44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446" w:type="dxa"/>
            <w:gridSpan w:val="3"/>
            <w:tcBorders/>
            <w:vAlign w:val="center"/>
          </w:tcPr>
          <w:p>
            <w:pPr>
              <w:pStyle w:val="TableContents"/>
              <w:bidi w:val="0"/>
              <w:spacing w:before="0" w:after="283"/>
              <w:jc w:val="left"/>
              <w:rPr>
                <w:sz w:val="4"/>
                <w:szCs w:val="4"/>
              </w:rPr>
            </w:pPr>
            <w:r>
              <w:rPr>
                <w:sz w:val="4"/>
                <w:szCs w:val="4"/>
              </w:rPr>
            </w:r>
          </w:p>
        </w:tc>
        <w:tc>
          <w:tcPr>
            <w:tcW w:w="1527" w:type="dxa"/>
            <w:gridSpan w:val="3"/>
            <w:tcBorders/>
            <w:vAlign w:val="center"/>
          </w:tcPr>
          <w:p>
            <w:pPr>
              <w:pStyle w:val="TableContents"/>
              <w:bidi w:val="0"/>
              <w:spacing w:before="0" w:after="283"/>
              <w:jc w:val="left"/>
              <w:rPr>
                <w:sz w:val="4"/>
                <w:szCs w:val="4"/>
              </w:rPr>
            </w:pPr>
            <w:r>
              <w:rPr>
                <w:sz w:val="4"/>
                <w:szCs w:val="4"/>
              </w:rPr>
            </w:r>
          </w:p>
        </w:tc>
        <w:tc>
          <w:tcPr>
            <w:tcW w:w="44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446" w:type="dxa"/>
            <w:gridSpan w:val="3"/>
            <w:tcBorders/>
            <w:vAlign w:val="center"/>
          </w:tcPr>
          <w:p>
            <w:pPr>
              <w:pStyle w:val="TableContents"/>
              <w:bidi w:val="0"/>
              <w:spacing w:before="0" w:after="283"/>
              <w:jc w:val="left"/>
              <w:rPr>
                <w:sz w:val="4"/>
                <w:szCs w:val="4"/>
              </w:rPr>
            </w:pPr>
            <w:r>
              <w:rPr>
                <w:sz w:val="4"/>
                <w:szCs w:val="4"/>
              </w:rPr>
            </w:r>
          </w:p>
        </w:tc>
        <w:tc>
          <w:tcPr>
            <w:tcW w:w="1572" w:type="dxa"/>
            <w:gridSpan w:val="3"/>
            <w:tcBorders/>
            <w:vAlign w:val="center"/>
          </w:tcPr>
          <w:p>
            <w:pPr>
              <w:pStyle w:val="TableContents"/>
              <w:bidi w:val="0"/>
              <w:spacing w:before="0" w:after="283"/>
              <w:jc w:val="left"/>
              <w:rPr>
                <w:sz w:val="4"/>
                <w:szCs w:val="4"/>
              </w:rPr>
            </w:pPr>
            <w:r>
              <w:rPr>
                <w:sz w:val="4"/>
                <w:szCs w:val="4"/>
              </w:rPr>
            </w:r>
          </w:p>
        </w:tc>
      </w:tr>
      <w:tr>
        <w:trPr/>
        <w:tc>
          <w:tcPr>
            <w:tcW w:w="3631" w:type="dxa"/>
            <w:gridSpan w:val="3"/>
            <w:tcBorders/>
            <w:vAlign w:val="center"/>
          </w:tcPr>
          <w:p>
            <w:pPr>
              <w:pStyle w:val="TableContents"/>
              <w:bidi w:val="0"/>
              <w:spacing w:before="0" w:after="283"/>
              <w:jc w:val="left"/>
              <w:rPr>
                <w:sz w:val="4"/>
                <w:szCs w:val="4"/>
              </w:rPr>
            </w:pPr>
            <w:r>
              <w:rPr>
                <w:sz w:val="4"/>
                <w:szCs w:val="4"/>
              </w:rPr>
            </w:r>
          </w:p>
        </w:tc>
        <w:tc>
          <w:tcPr>
            <w:tcW w:w="44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446" w:type="dxa"/>
            <w:gridSpan w:val="3"/>
            <w:tcBorders/>
            <w:vAlign w:val="center"/>
          </w:tcPr>
          <w:p>
            <w:pPr>
              <w:pStyle w:val="TableContents"/>
              <w:bidi w:val="0"/>
              <w:spacing w:before="0" w:after="283"/>
              <w:jc w:val="left"/>
              <w:rPr>
                <w:sz w:val="4"/>
                <w:szCs w:val="4"/>
              </w:rPr>
            </w:pPr>
            <w:r>
              <w:rPr>
                <w:sz w:val="4"/>
                <w:szCs w:val="4"/>
              </w:rPr>
            </w:r>
          </w:p>
        </w:tc>
        <w:tc>
          <w:tcPr>
            <w:tcW w:w="1527" w:type="dxa"/>
            <w:gridSpan w:val="3"/>
            <w:tcBorders/>
            <w:vAlign w:val="center"/>
          </w:tcPr>
          <w:p>
            <w:pPr>
              <w:pStyle w:val="TableContents"/>
              <w:bidi w:val="0"/>
              <w:spacing w:before="0" w:after="283"/>
              <w:jc w:val="left"/>
              <w:rPr>
                <w:sz w:val="4"/>
                <w:szCs w:val="4"/>
              </w:rPr>
            </w:pPr>
            <w:r>
              <w:rPr>
                <w:sz w:val="4"/>
                <w:szCs w:val="4"/>
              </w:rPr>
            </w:r>
          </w:p>
        </w:tc>
        <w:tc>
          <w:tcPr>
            <w:tcW w:w="44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446" w:type="dxa"/>
            <w:gridSpan w:val="3"/>
            <w:tcBorders/>
            <w:vAlign w:val="center"/>
          </w:tcPr>
          <w:p>
            <w:pPr>
              <w:pStyle w:val="TableContents"/>
              <w:bidi w:val="0"/>
              <w:spacing w:before="0" w:after="283"/>
              <w:jc w:val="left"/>
              <w:rPr>
                <w:sz w:val="4"/>
                <w:szCs w:val="4"/>
              </w:rPr>
            </w:pPr>
            <w:r>
              <w:rPr>
                <w:sz w:val="4"/>
                <w:szCs w:val="4"/>
              </w:rPr>
            </w:r>
          </w:p>
        </w:tc>
        <w:tc>
          <w:tcPr>
            <w:tcW w:w="1572" w:type="dxa"/>
            <w:gridSpan w:val="3"/>
            <w:tcBorders/>
            <w:vAlign w:val="center"/>
          </w:tcPr>
          <w:p>
            <w:pPr>
              <w:pStyle w:val="TableContents"/>
              <w:bidi w:val="0"/>
              <w:spacing w:before="0" w:after="283"/>
              <w:ind w:left="0" w:right="0" w:firstLine="180"/>
              <w:jc w:val="left"/>
              <w:rPr>
                <w:sz w:val="4"/>
                <w:szCs w:val="4"/>
              </w:rPr>
            </w:pPr>
            <w:r>
              <w:rPr>
                <w:sz w:val="4"/>
                <w:szCs w:val="4"/>
              </w:rPr>
            </w:r>
          </w:p>
        </w:tc>
      </w:tr>
      <w:tr>
        <w:trPr/>
        <w:tc>
          <w:tcPr>
            <w:tcW w:w="363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120"/>
              <w:ind w:left="0" w:right="0" w:firstLine="180"/>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Net income applicable to common shareholders</w:t>
            </w:r>
          </w:p>
        </w:tc>
        <w:tc>
          <w:tcPr>
            <w:tcW w:w="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72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3,241</w:t>
            </w: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72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2,079</w:t>
            </w:r>
            <w:r>
              <w:rPr>
                <w:color w:val="000000"/>
              </w:rPr>
              <w:t> </w:t>
            </w:r>
          </w:p>
        </w:tc>
        <w:tc>
          <w:tcPr>
            <w:tcW w:w="44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72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5,669</w:t>
            </w: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824"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2,645</w:t>
            </w:r>
            <w:r>
              <w:rPr>
                <w:color w:val="000000"/>
              </w:rPr>
              <w:t> </w:t>
            </w:r>
          </w:p>
        </w:tc>
        <w:tc>
          <w:tcPr>
            <w:tcW w:w="49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Denominator:</w:t>
            </w:r>
          </w:p>
        </w:tc>
        <w:tc>
          <w:tcPr>
            <w:tcW w:w="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446" w:type="dxa"/>
            <w:gridSpan w:val="3"/>
            <w:tcBorders/>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1056"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r>
      <w:tr>
        <w:trPr/>
        <w:tc>
          <w:tcPr>
            <w:tcW w:w="363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Weighted average common shares outstanding</w:t>
            </w:r>
          </w:p>
        </w:tc>
        <w:tc>
          <w:tcPr>
            <w:tcW w:w="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88" w:before="0" w:after="120"/>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256.0 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108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88" w:before="0" w:after="120"/>
              <w:ind w:left="0" w:right="0" w:firstLine="360"/>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264.6 </w:t>
            </w:r>
          </w:p>
        </w:tc>
        <w:tc>
          <w:tcPr>
            <w:tcW w:w="446" w:type="dxa"/>
            <w:tcBorders>
              <w:top w:val="single" w:sz="4" w:space="0" w:color="B6B6B6"/>
            </w:tcBorders>
            <w:tcMar>
              <w:top w:w="3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88" w:before="0" w:after="120"/>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257.7 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108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88" w:before="0" w:after="120"/>
              <w:ind w:left="0" w:right="0" w:firstLine="360"/>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264.9 </w:t>
            </w:r>
          </w:p>
        </w:tc>
        <w:tc>
          <w:tcPr>
            <w:tcW w:w="491" w:type="dxa"/>
            <w:tcBorders>
              <w:top w:val="single" w:sz="4" w:space="0" w:color="B6B6B6"/>
            </w:tcBorders>
            <w:tcMar>
              <w:top w:w="3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363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Effect of dilutive potential common shares:</w:t>
            </w:r>
          </w:p>
        </w:tc>
        <w:tc>
          <w:tcPr>
            <w:tcW w:w="446" w:type="dxa"/>
            <w:gridSpan w:val="3"/>
            <w:tcBorders/>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1056"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446" w:type="dxa"/>
            <w:gridSpan w:val="3"/>
            <w:tcBorders/>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1527"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r>
      <w:tr>
        <w:trPr/>
        <w:tc>
          <w:tcPr>
            <w:tcW w:w="363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Stock options</w:t>
            </w:r>
          </w:p>
        </w:tc>
        <w:tc>
          <w:tcPr>
            <w:tcW w:w="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88" w:before="0" w:after="120"/>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2.3 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108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88" w:before="0" w:after="120"/>
              <w:ind w:left="0" w:right="0" w:firstLine="360"/>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2.5 </w:t>
            </w:r>
          </w:p>
        </w:tc>
        <w:tc>
          <w:tcPr>
            <w:tcW w:w="446" w:type="dxa"/>
            <w:tcBorders>
              <w:top w:val="single" w:sz="4" w:space="0" w:color="B6B6B6"/>
            </w:tcBorders>
            <w:tcMar>
              <w:top w:w="3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88" w:before="0" w:after="120"/>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2.3 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108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88" w:before="0" w:after="120"/>
              <w:ind w:left="0" w:right="0" w:firstLine="360"/>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2.6 </w:t>
            </w:r>
          </w:p>
        </w:tc>
        <w:tc>
          <w:tcPr>
            <w:tcW w:w="491" w:type="dxa"/>
            <w:tcBorders>
              <w:top w:val="single" w:sz="4" w:space="0" w:color="B6B6B6"/>
            </w:tcBorders>
            <w:tcMar>
              <w:top w:w="3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363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Restricted stock units (non-participating) and performance stock awards</w:t>
            </w:r>
          </w:p>
        </w:tc>
        <w:tc>
          <w:tcPr>
            <w:tcW w:w="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88" w:before="0" w:after="120"/>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0.8 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108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88" w:before="0" w:after="120"/>
              <w:ind w:left="0" w:right="0" w:firstLine="360"/>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0.8 </w:t>
            </w:r>
          </w:p>
        </w:tc>
        <w:tc>
          <w:tcPr>
            <w:tcW w:w="446" w:type="dxa"/>
            <w:tcBorders>
              <w:top w:val="single" w:sz="4" w:space="0" w:color="B6B6B6"/>
            </w:tcBorders>
            <w:tcMar>
              <w:top w:w="3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88" w:before="0" w:after="120"/>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0.9 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108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88" w:before="0" w:after="120"/>
              <w:ind w:left="0" w:right="0" w:firstLine="360"/>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0.9 </w:t>
            </w:r>
          </w:p>
        </w:tc>
        <w:tc>
          <w:tcPr>
            <w:tcW w:w="491" w:type="dxa"/>
            <w:tcBorders>
              <w:top w:val="single" w:sz="4" w:space="0" w:color="B6B6B6"/>
            </w:tcBorders>
            <w:tcMar>
              <w:top w:w="3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363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Weighted average common and dilutive potential common shares outstanding</w:t>
            </w:r>
          </w:p>
        </w:tc>
        <w:tc>
          <w:tcPr>
            <w:tcW w:w="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120"/>
              <w:jc w:val="right"/>
              <w:rPr/>
            </w:pPr>
            <w:r>
              <w:rPr>
                <w:rFonts w:ascii="Helvetica_Neue_LT_W1G_55_Roman;sans-serif" w:hAnsi="Helvetica_Neue_LT_W1G_55_Roman;sans-serif"/>
                <w:b/>
                <w:color w:val="000000"/>
                <w:sz w:val="18"/>
              </w:rPr>
              <w:t>259.1</w:t>
            </w: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108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120"/>
              <w:ind w:left="0" w:right="0" w:firstLine="360"/>
              <w:jc w:val="right"/>
              <w:rPr/>
            </w:pPr>
            <w:r>
              <w:rPr>
                <w:rFonts w:ascii="Helvetica_Neue_LT_W1G_55_Roman;sans-serif" w:hAnsi="Helvetica_Neue_LT_W1G_55_Roman;sans-serif"/>
                <w:b/>
                <w:color w:val="000000"/>
                <w:sz w:val="18"/>
              </w:rPr>
              <w:t>267.9</w:t>
            </w:r>
            <w:r>
              <w:rPr>
                <w:color w:val="000000"/>
              </w:rPr>
              <w:t> </w:t>
            </w:r>
          </w:p>
        </w:tc>
        <w:tc>
          <w:tcPr>
            <w:tcW w:w="446" w:type="dxa"/>
            <w:tcBorders>
              <w:top w:val="single" w:sz="4" w:space="0" w:color="B6B6B6"/>
            </w:tcBorders>
            <w:tcMar>
              <w:top w:w="3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120"/>
              <w:jc w:val="right"/>
              <w:rPr/>
            </w:pPr>
            <w:r>
              <w:rPr>
                <w:rFonts w:ascii="Helvetica_Neue_LT_W1G_55_Roman;sans-serif" w:hAnsi="Helvetica_Neue_LT_W1G_55_Roman;sans-serif"/>
                <w:b/>
                <w:color w:val="000000"/>
                <w:sz w:val="18"/>
              </w:rPr>
              <w:t>260.9</w:t>
            </w: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108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120"/>
              <w:ind w:left="0" w:right="0" w:firstLine="360"/>
              <w:jc w:val="right"/>
              <w:rPr/>
            </w:pPr>
            <w:r>
              <w:rPr>
                <w:rFonts w:ascii="Helvetica_Neue_LT_W1G_55_Roman;sans-serif" w:hAnsi="Helvetica_Neue_LT_W1G_55_Roman;sans-serif"/>
                <w:b/>
                <w:color w:val="000000"/>
                <w:sz w:val="18"/>
              </w:rPr>
              <w:t>268.4</w:t>
            </w:r>
            <w:r>
              <w:rPr>
                <w:color w:val="000000"/>
              </w:rPr>
              <w:t> </w:t>
            </w:r>
          </w:p>
        </w:tc>
        <w:tc>
          <w:tcPr>
            <w:tcW w:w="491" w:type="dxa"/>
            <w:tcBorders>
              <w:top w:val="single" w:sz="4" w:space="0" w:color="B6B6B6"/>
            </w:tcBorders>
            <w:tcMar>
              <w:top w:w="3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363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12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Earnings per common share - Basic</w:t>
            </w:r>
          </w:p>
        </w:tc>
        <w:tc>
          <w:tcPr>
            <w:tcW w:w="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72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12.66 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72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7.86 </w:t>
            </w:r>
          </w:p>
        </w:tc>
        <w:tc>
          <w:tcPr>
            <w:tcW w:w="44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72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22.00 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824"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9.98 </w:t>
            </w:r>
          </w:p>
        </w:tc>
        <w:tc>
          <w:tcPr>
            <w:tcW w:w="49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12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 xml:space="preserve">Earnings per common share - Diluted </w:t>
            </w:r>
          </w:p>
        </w:tc>
        <w:tc>
          <w:tcPr>
            <w:tcW w:w="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72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12.51 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72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7.76 </w:t>
            </w:r>
          </w:p>
        </w:tc>
        <w:tc>
          <w:tcPr>
            <w:tcW w:w="44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72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21.73 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824"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9.85 </w:t>
            </w:r>
          </w:p>
        </w:tc>
        <w:tc>
          <w:tcPr>
            <w:tcW w:w="49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1" w:type="dxa"/>
            <w:gridSpan w:val="3"/>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12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Anti-dilutive share-based awards excluded from diluted earnings per common share</w:t>
            </w:r>
          </w:p>
        </w:tc>
        <w:tc>
          <w:tcPr>
            <w:tcW w:w="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0.7 </w:t>
            </w:r>
          </w:p>
        </w:tc>
        <w:tc>
          <w:tcPr>
            <w:tcW w:w="109"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0.5 </w:t>
            </w:r>
          </w:p>
        </w:tc>
        <w:tc>
          <w:tcPr>
            <w:tcW w:w="44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0.6 </w:t>
            </w:r>
          </w:p>
        </w:tc>
        <w:tc>
          <w:tcPr>
            <w:tcW w:w="109"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0.4 </w:t>
            </w:r>
          </w:p>
        </w:tc>
        <w:tc>
          <w:tcPr>
            <w:tcW w:w="491"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631" w:type="dxa"/>
            <w:gridSpan w:val="3"/>
            <w:tcBorders/>
            <w:vAlign w:val="center"/>
          </w:tcPr>
          <w:p>
            <w:pPr>
              <w:pStyle w:val="TableContents"/>
              <w:bidi w:val="0"/>
              <w:spacing w:before="0" w:after="283"/>
              <w:jc w:val="left"/>
              <w:rPr>
                <w:sz w:val="4"/>
                <w:szCs w:val="4"/>
              </w:rPr>
            </w:pPr>
            <w:r>
              <w:rPr>
                <w:sz w:val="4"/>
                <w:szCs w:val="4"/>
              </w:rPr>
            </w:r>
          </w:p>
        </w:tc>
        <w:tc>
          <w:tcPr>
            <w:tcW w:w="44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446" w:type="dxa"/>
            <w:gridSpan w:val="3"/>
            <w:tcBorders/>
            <w:vAlign w:val="center"/>
          </w:tcPr>
          <w:p>
            <w:pPr>
              <w:pStyle w:val="TableContents"/>
              <w:bidi w:val="0"/>
              <w:spacing w:before="0" w:after="283"/>
              <w:jc w:val="left"/>
              <w:rPr>
                <w:sz w:val="4"/>
                <w:szCs w:val="4"/>
              </w:rPr>
            </w:pPr>
            <w:r>
              <w:rPr>
                <w:sz w:val="4"/>
                <w:szCs w:val="4"/>
              </w:rPr>
            </w:r>
          </w:p>
        </w:tc>
        <w:tc>
          <w:tcPr>
            <w:tcW w:w="1527" w:type="dxa"/>
            <w:gridSpan w:val="3"/>
            <w:tcBorders/>
            <w:vAlign w:val="center"/>
          </w:tcPr>
          <w:p>
            <w:pPr>
              <w:pStyle w:val="TableContents"/>
              <w:bidi w:val="0"/>
              <w:spacing w:before="0" w:after="283"/>
              <w:jc w:val="left"/>
              <w:rPr>
                <w:sz w:val="4"/>
                <w:szCs w:val="4"/>
              </w:rPr>
            </w:pPr>
            <w:r>
              <w:rPr>
                <w:sz w:val="4"/>
                <w:szCs w:val="4"/>
              </w:rPr>
            </w:r>
          </w:p>
        </w:tc>
        <w:tc>
          <w:tcPr>
            <w:tcW w:w="44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446" w:type="dxa"/>
            <w:gridSpan w:val="3"/>
            <w:tcBorders/>
            <w:vAlign w:val="center"/>
          </w:tcPr>
          <w:p>
            <w:pPr>
              <w:pStyle w:val="TableContents"/>
              <w:bidi w:val="0"/>
              <w:spacing w:before="0" w:after="283"/>
              <w:jc w:val="left"/>
              <w:rPr>
                <w:sz w:val="4"/>
                <w:szCs w:val="4"/>
              </w:rPr>
            </w:pPr>
            <w:r>
              <w:rPr>
                <w:sz w:val="4"/>
                <w:szCs w:val="4"/>
              </w:rPr>
            </w:r>
          </w:p>
        </w:tc>
        <w:tc>
          <w:tcPr>
            <w:tcW w:w="1572"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33350"/>
                <wp:effectExtent l="0" t="0" r="0" b="0"/>
                <wp:wrapNone/>
                <wp:docPr id="10" name="Frame9"/>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ind w:left="0" w:right="0" w:firstLine="360"/>
                              <w:jc w:val="right"/>
                              <w:rPr/>
                            </w:pPr>
                            <w:r>
                              <w:rPr>
                                <w:rFonts w:ascii="Allstate Sans;sans-serif" w:hAnsi="Allstate Sans;sans-serif"/>
                                <w:b w:val="false"/>
                                <w:color w:val="000000"/>
                                <w:sz w:val="18"/>
                              </w:rPr>
                              <w:t xml:space="preserve">Second Quarter 2026 Form 10-Q </w:t>
                            </w:r>
                            <w:r>
                              <w:rPr>
                                <w:rFonts w:ascii="Allstate Sans;sans-serif" w:hAnsi="Allstate Sans;sans-serif"/>
                                <w:b w:val="false"/>
                                <w:color w:val="0033A0"/>
                                <w:sz w:val="18"/>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right"/>
                        <w:rPr/>
                      </w:pPr>
                      <w:r>
                        <w:rPr>
                          <w:rFonts w:ascii="Allstate Sans;sans-serif" w:hAnsi="Allstate Sans;sans-serif"/>
                          <w:b w:val="false"/>
                          <w:color w:val="000000"/>
                          <w:sz w:val="18"/>
                        </w:rPr>
                        <w:t xml:space="preserve">Second Quarter 2026 Form 10-Q </w:t>
                      </w:r>
                      <w:r>
                        <w:rPr>
                          <w:rFonts w:ascii="Allstate Sans;sans-serif" w:hAnsi="Allstate Sans;sans-serif"/>
                          <w:b w:val="false"/>
                          <w:color w:val="0033A0"/>
                          <w:sz w:val="18"/>
                        </w:rPr>
                        <w:t>7</w:t>
                      </w:r>
                    </w:p>
                  </w:txbxContent>
                </v:textbox>
                <w10:wrap type="none"/>
              </v:rect>
            </w:pict>
          </mc:Fallback>
        </mc:AlternateContent>
      </w:r>
    </w:p>
    <w:p>
      <w:pPr>
        <w:pStyle w:val="TextBody"/>
        <w:bidi w:val="0"/>
        <w:spacing w:lineRule="auto" w:line="288" w:before="0" w:after="0"/>
        <w:jc w:val="left"/>
        <w:rPr>
          <w:rFonts w:ascii="Allstate Sans;sans-serif" w:hAnsi="Allstate Sans;sans-serif"/>
          <w:b w:val="false"/>
          <w:color w:val="0033A0"/>
          <w:sz w:val="18"/>
        </w:rPr>
      </w:pPr>
      <w:r>
        <w:rPr>
          <w:rFonts w:ascii="Allstate Sans;sans-serif" w:hAnsi="Allstate Sans;sans-serif"/>
          <w:b w:val="false"/>
          <w:color w:val="0033A0"/>
          <w:sz w:val="18"/>
        </w:rPr>
        <w:t>Notes to Condensed Consolidated Financial Statements</w:t>
      </w:r>
    </w:p>
    <w:tbl>
      <w:tblPr>
        <w:tblW w:w="3840" w:type="dxa"/>
        <w:jc w:val="center"/>
        <w:tblInd w:w="0" w:type="dxa"/>
        <w:tblLayout w:type="fixed"/>
        <w:tblCellMar>
          <w:top w:w="28" w:type="dxa"/>
          <w:left w:w="28" w:type="dxa"/>
          <w:bottom w:w="28" w:type="dxa"/>
          <w:right w:w="28" w:type="dxa"/>
        </w:tblCellMar>
      </w:tblPr>
      <w:tblGrid>
        <w:gridCol w:w="342"/>
        <w:gridCol w:w="301"/>
        <w:gridCol w:w="303"/>
        <w:gridCol w:w="846"/>
        <w:gridCol w:w="846"/>
        <w:gridCol w:w="1202"/>
      </w:tblGrid>
      <w:tr>
        <w:trPr/>
        <w:tc>
          <w:tcPr>
            <w:tcW w:w="3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bottom w:val="single" w:sz="8" w:space="0" w:color="0033A0"/>
            </w:tcBorders>
            <w:tcMar>
              <w:top w:w="0" w:type="dxa"/>
              <w:left w:w="0" w:type="dxa"/>
              <w:bottom w:w="30" w:type="dxa"/>
              <w:right w:w="0" w:type="dxa"/>
            </w:tcMar>
            <w:vAlign w:val="center"/>
          </w:tcPr>
          <w:p>
            <w:pPr>
              <w:pStyle w:val="TableContents"/>
              <w:bidi w:val="0"/>
              <w:spacing w:lineRule="auto" w:line="240" w:before="0" w:after="283"/>
              <w:jc w:val="left"/>
              <w:rPr>
                <w:rFonts w:ascii="Allstate Sans;sans-serif" w:hAnsi="Allstate Sans;sans-serif"/>
                <w:b/>
                <w:color w:val="0033A0"/>
                <w:sz w:val="22"/>
              </w:rPr>
            </w:pPr>
            <w:r>
              <w:rPr>
                <w:rFonts w:ascii="Allstate Sans;sans-serif" w:hAnsi="Allstate Sans;sans-serif"/>
                <w:b/>
                <w:color w:val="0033A0"/>
                <w:sz w:val="22"/>
              </w:rPr>
              <w:t>Note 3</w:t>
            </w:r>
          </w:p>
        </w:tc>
        <w:tc>
          <w:tcPr>
            <w:tcW w:w="2894" w:type="dxa"/>
            <w:gridSpan w:val="3"/>
            <w:tcBorders>
              <w:bottom w:val="single" w:sz="8" w:space="0" w:color="0033A0"/>
            </w:tcBorders>
            <w:tcMar>
              <w:top w:w="0" w:type="dxa"/>
              <w:left w:w="0" w:type="dxa"/>
              <w:bottom w:w="30" w:type="dxa"/>
              <w:right w:w="0" w:type="dxa"/>
            </w:tcMar>
            <w:vAlign w:val="center"/>
          </w:tcPr>
          <w:p>
            <w:pPr>
              <w:pStyle w:val="TableContents"/>
              <w:bidi w:val="0"/>
              <w:spacing w:lineRule="auto" w:line="240" w:before="0" w:after="283"/>
              <w:jc w:val="left"/>
              <w:rPr>
                <w:rFonts w:ascii="Allstate Sans;sans-serif" w:hAnsi="Allstate Sans;sans-serif"/>
                <w:b/>
                <w:color w:val="000000"/>
                <w:sz w:val="22"/>
              </w:rPr>
            </w:pPr>
            <w:r>
              <w:rPr>
                <w:rFonts w:ascii="Allstate Sans;sans-serif" w:hAnsi="Allstate Sans;sans-serif"/>
                <w:b/>
                <w:color w:val="000000"/>
                <w:sz w:val="22"/>
              </w:rPr>
              <w:t>Reportable Segments</w:t>
            </w:r>
          </w:p>
        </w:tc>
      </w:tr>
    </w:tbl>
    <w:p>
      <w:pPr>
        <w:pStyle w:val="TextBody"/>
        <w:bidi w:val="0"/>
        <w:spacing w:lineRule="auto" w:line="288" w:before="0" w:after="120"/>
        <w:jc w:val="left"/>
        <w:rPr>
          <w:rFonts w:ascii="Allstate Sans;sans-serif" w:hAnsi="Allstate Sans;sans-serif"/>
          <w:b/>
          <w:color w:val="0033A0"/>
          <w:sz w:val="18"/>
        </w:rPr>
      </w:pPr>
      <w:r>
        <w:rPr>
          <w:rFonts w:ascii="Allstate Sans;sans-serif" w:hAnsi="Allstate Sans;sans-serif"/>
          <w:b/>
          <w:color w:val="0033A0"/>
          <w:sz w:val="18"/>
        </w:rPr>
        <w:t>Measuring segment profit or loss</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The measure of segment profit or loss used in evaluating performance is underwriting income for the Allstate Protection and Run-off Property-Liability segments and adjusted net income for the Protection Services and Corporate segments and Allstate Health and Benefits when it was a reportable segment.</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 xml:space="preserve">Allstate Protection and Run-off Property-Liability segments comprise Property-Liability. The Company does not allocate investment income, net gains and losses on investments and derivatives, or assets to the Allstate Protection and Run-off Property-Liability segments. Management reviews assets at the Property-Liability, Protection Services and Corporate levels for decision-making purposes. </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The dispositions of the employer voluntary benefits (“EVB”) and group health businesses in 2025 did not qualify for discontinued operations. The Allstate Health and Benefits segment is no longer a reportable segment, with results of this segment recast to reflect only the results of the EVB and group health businesses. The retained individual health business, previously included in the Allstate Health and Benefits segment, is a non-reportable segment with results included in all other for all periods presented.</w:t>
      </w:r>
    </w:p>
    <w:p>
      <w:pPr>
        <w:pStyle w:val="TextBody"/>
        <w:bidi w:val="0"/>
        <w:spacing w:lineRule="auto" w:line="288" w:before="0" w:after="120"/>
        <w:ind w:left="0" w:right="0" w:firstLine="360"/>
        <w:jc w:val="left"/>
        <w:rPr/>
      </w:pPr>
      <w:r>
        <w:rPr>
          <w:rFonts w:ascii="Allstate Sans;sans-serif" w:hAnsi="Allstate Sans;sans-serif"/>
          <w:b w:val="false"/>
          <w:i/>
          <w:color w:val="0033A0"/>
          <w:sz w:val="18"/>
        </w:rPr>
        <w:t>Underwriting income</w:t>
      </w:r>
      <w:r>
        <w:rPr>
          <w:color w:val="000000"/>
        </w:rPr>
        <w:t xml:space="preserve"> </w:t>
      </w:r>
      <w:r>
        <w:rPr>
          <w:rFonts w:ascii="Allstate Sans;sans-serif" w:hAnsi="Allstate Sans;sans-serif"/>
          <w:b w:val="false"/>
          <w:color w:val="000000"/>
          <w:sz w:val="18"/>
        </w:rPr>
        <w:t>is calculated as premiums earned and other revenue, less claims and claims expenses, amortization of deferred policy acquisition costs (“DAC”), operating costs and expenses, amortization or impairment of purchased intangibles and restructuring and related charges as determined using GAAP.</w:t>
      </w:r>
    </w:p>
    <w:p>
      <w:pPr>
        <w:pStyle w:val="TextBody"/>
        <w:bidi w:val="0"/>
        <w:spacing w:lineRule="auto" w:line="288" w:before="0" w:after="120"/>
        <w:ind w:left="0" w:right="0" w:firstLine="360"/>
        <w:jc w:val="left"/>
        <w:rPr/>
      </w:pPr>
      <w:r>
        <w:rPr>
          <w:rFonts w:ascii="Allstate Sans;sans-serif" w:hAnsi="Allstate Sans;sans-serif"/>
          <w:b w:val="false"/>
          <w:i/>
          <w:color w:val="0033A0"/>
          <w:sz w:val="18"/>
        </w:rPr>
        <w:t>Adjusted net income (loss)</w:t>
      </w:r>
      <w:r>
        <w:rPr>
          <w:color w:val="000000"/>
        </w:rPr>
        <w:t xml:space="preserve"> </w:t>
      </w:r>
      <w:r>
        <w:rPr>
          <w:rFonts w:ascii="Allstate Sans;sans-serif" w:hAnsi="Allstate Sans;sans-serif"/>
          <w:b w:val="false"/>
          <w:color w:val="000000"/>
          <w:sz w:val="18"/>
        </w:rPr>
        <w:t>is net income (loss) applicable to common shareholders, excluding:</w:t>
      </w:r>
    </w:p>
    <w:tbl>
      <w:tblPr>
        <w:tblW w:w="10205" w:type="dxa"/>
        <w:jc w:val="left"/>
        <w:tblInd w:w="0" w:type="dxa"/>
        <w:tblLayout w:type="fixed"/>
        <w:tblCellMar>
          <w:top w:w="28" w:type="dxa"/>
          <w:left w:w="28" w:type="dxa"/>
          <w:bottom w:w="28" w:type="dxa"/>
          <w:right w:w="28" w:type="dxa"/>
        </w:tblCellMar>
      </w:tblPr>
      <w:tblGrid>
        <w:gridCol w:w="124"/>
        <w:gridCol w:w="109"/>
        <w:gridCol w:w="109"/>
        <w:gridCol w:w="3026"/>
        <w:gridCol w:w="2823"/>
        <w:gridCol w:w="401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6" w:type="dxa"/>
            <w:tcBorders/>
            <w:vAlign w:val="center"/>
          </w:tcPr>
          <w:p>
            <w:pPr>
              <w:pStyle w:val="TableContents"/>
              <w:bidi w:val="0"/>
              <w:spacing w:before="0" w:after="283"/>
              <w:jc w:val="left"/>
              <w:rPr>
                <w:sz w:val="4"/>
                <w:szCs w:val="4"/>
              </w:rPr>
            </w:pPr>
            <w:r>
              <w:rPr>
                <w:sz w:val="4"/>
                <w:szCs w:val="4"/>
              </w:rPr>
            </w:r>
          </w:p>
        </w:tc>
        <w:tc>
          <w:tcPr>
            <w:tcW w:w="2823" w:type="dxa"/>
            <w:tcBorders/>
            <w:vAlign w:val="center"/>
          </w:tcPr>
          <w:p>
            <w:pPr>
              <w:pStyle w:val="TableContents"/>
              <w:bidi w:val="0"/>
              <w:spacing w:before="0" w:after="283"/>
              <w:jc w:val="left"/>
              <w:rPr>
                <w:sz w:val="4"/>
                <w:szCs w:val="4"/>
              </w:rPr>
            </w:pPr>
            <w:r>
              <w:rPr>
                <w:sz w:val="4"/>
                <w:szCs w:val="4"/>
              </w:rPr>
            </w:r>
          </w:p>
        </w:tc>
        <w:tc>
          <w:tcPr>
            <w:tcW w:w="401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42"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ind w:left="0" w:right="0" w:hanging="18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Net gains and losses on investments and derivatives</w:t>
            </w:r>
          </w:p>
        </w:tc>
      </w:tr>
      <w:tr>
        <w:trPr/>
        <w:tc>
          <w:tcPr>
            <w:tcW w:w="342"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ind w:left="0" w:right="0" w:hanging="18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Pension and other postretirement remeasurement gains and losses</w:t>
            </w:r>
          </w:p>
        </w:tc>
      </w:tr>
      <w:tr>
        <w:trPr/>
        <w:tc>
          <w:tcPr>
            <w:tcW w:w="342"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ind w:left="0" w:right="0" w:hanging="18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Amortization or impairment of purchased intangibles</w:t>
            </w:r>
          </w:p>
        </w:tc>
      </w:tr>
      <w:tr>
        <w:trPr/>
        <w:tc>
          <w:tcPr>
            <w:tcW w:w="342"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ind w:left="0" w:right="0" w:hanging="18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Gain or loss on disposition</w:t>
            </w:r>
          </w:p>
        </w:tc>
      </w:tr>
      <w:tr>
        <w:trPr/>
        <w:tc>
          <w:tcPr>
            <w:tcW w:w="342"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ind w:left="0" w:right="0" w:hanging="18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Adjustments for other significant non-recurring, infrequent or unusual items, when (a) the nature of the charge or gain is such that it is reasonably unlikely to recur within two years, or (b) there has been no similar charge or gain within the prior two years</w:t>
            </w:r>
          </w:p>
        </w:tc>
      </w:tr>
      <w:tr>
        <w:trPr/>
        <w:tc>
          <w:tcPr>
            <w:tcW w:w="342" w:type="dxa"/>
            <w:gridSpan w:val="3"/>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Income tax expense or benefit on reconciling items</w:t>
            </w:r>
          </w:p>
        </w:tc>
      </w:tr>
    </w:tbl>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A reconciliation of these measures to net income (loss) applicable to common shareholders is provided below.</w:t>
      </w:r>
    </w:p>
    <w:tbl>
      <w:tblPr>
        <w:tblW w:w="10205" w:type="dxa"/>
        <w:jc w:val="left"/>
        <w:tblInd w:w="0" w:type="dxa"/>
        <w:tblLayout w:type="fixed"/>
        <w:tblCellMar>
          <w:top w:w="28" w:type="dxa"/>
          <w:left w:w="28" w:type="dxa"/>
          <w:bottom w:w="28" w:type="dxa"/>
          <w:right w:w="28" w:type="dxa"/>
        </w:tblCellMar>
      </w:tblPr>
      <w:tblGrid>
        <w:gridCol w:w="1627"/>
        <w:gridCol w:w="1336"/>
        <w:gridCol w:w="1351"/>
        <w:gridCol w:w="109"/>
        <w:gridCol w:w="109"/>
        <w:gridCol w:w="109"/>
        <w:gridCol w:w="244"/>
        <w:gridCol w:w="778"/>
        <w:gridCol w:w="117"/>
        <w:gridCol w:w="117"/>
        <w:gridCol w:w="117"/>
        <w:gridCol w:w="117"/>
        <w:gridCol w:w="244"/>
        <w:gridCol w:w="778"/>
        <w:gridCol w:w="117"/>
        <w:gridCol w:w="109"/>
        <w:gridCol w:w="109"/>
        <w:gridCol w:w="109"/>
        <w:gridCol w:w="236"/>
        <w:gridCol w:w="755"/>
        <w:gridCol w:w="114"/>
        <w:gridCol w:w="114"/>
        <w:gridCol w:w="114"/>
        <w:gridCol w:w="114"/>
        <w:gridCol w:w="236"/>
        <w:gridCol w:w="755"/>
        <w:gridCol w:w="170"/>
      </w:tblGrid>
      <w:tr>
        <w:trPr/>
        <w:tc>
          <w:tcPr>
            <w:tcW w:w="1627"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0205" w:type="dxa"/>
            <w:gridSpan w:val="27"/>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left"/>
              <w:rPr>
                <w:rFonts w:ascii="Allstate Sans;sans-serif" w:hAnsi="Allstate Sans;sans-serif"/>
                <w:b/>
                <w:color w:val="000000"/>
                <w:sz w:val="18"/>
              </w:rPr>
            </w:pPr>
            <w:r>
              <w:rPr>
                <w:rFonts w:ascii="Allstate Sans;sans-serif" w:hAnsi="Allstate Sans;sans-serif"/>
                <w:b/>
                <w:color w:val="000000"/>
                <w:sz w:val="18"/>
              </w:rPr>
              <w:t>Reportable segments financial performance</w:t>
            </w:r>
          </w:p>
        </w:tc>
      </w:tr>
      <w:tr>
        <w:trPr/>
        <w:tc>
          <w:tcPr>
            <w:tcW w:w="43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Six months ended June 30,</w:t>
            </w:r>
          </w:p>
        </w:tc>
      </w:tr>
      <w:tr>
        <w:trPr/>
        <w:tc>
          <w:tcPr>
            <w:tcW w:w="4314" w:type="dxa"/>
            <w:gridSpan w:val="3"/>
            <w:tcBorders>
              <w:bottom w:val="single" w:sz="8" w:space="0" w:color="0033A0"/>
            </w:tcBorders>
            <w:tcMar>
              <w:top w:w="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bottom w:val="single" w:sz="8" w:space="0" w:color="0033A0"/>
            </w:tcBorders>
            <w:tcMar>
              <w:top w:w="0" w:type="dxa"/>
              <w:left w:w="0" w:type="dxa"/>
              <w:bottom w:w="3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2026</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bottom w:val="single" w:sz="8" w:space="0" w:color="0033A0"/>
            </w:tcBorders>
            <w:tcMar>
              <w:top w:w="0" w:type="dxa"/>
              <w:left w:w="0" w:type="dxa"/>
              <w:bottom w:w="3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bottom w:val="single" w:sz="8" w:space="0" w:color="0033A0"/>
            </w:tcBorders>
            <w:tcMar>
              <w:top w:w="0" w:type="dxa"/>
              <w:left w:w="0" w:type="dxa"/>
              <w:bottom w:w="3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2026</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bottom w:val="single" w:sz="8" w:space="0" w:color="0033A0"/>
            </w:tcBorders>
            <w:tcMar>
              <w:top w:w="0" w:type="dxa"/>
              <w:left w:w="0" w:type="dxa"/>
              <w:bottom w:w="3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2025</w:t>
            </w:r>
          </w:p>
        </w:tc>
      </w:tr>
      <w:tr>
        <w:trPr/>
        <w:tc>
          <w:tcPr>
            <w:tcW w:w="4314"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i/>
                <w:color w:val="0033A0"/>
                <w:sz w:val="18"/>
              </w:rPr>
            </w:pPr>
            <w:r>
              <w:rPr>
                <w:rFonts w:ascii="Helvetica_Neue_LT_W1G_55_Roman;sans-serif" w:hAnsi="Helvetica_Neue_LT_W1G_55_Roman;sans-serif"/>
                <w:b/>
                <w:i/>
                <w:color w:val="0033A0"/>
                <w:sz w:val="18"/>
              </w:rPr>
              <w:t>Underwriting income (loss) by segment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4"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Allstate Protection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778"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2,006 </w:t>
            </w:r>
          </w:p>
        </w:tc>
        <w:tc>
          <w:tcPr>
            <w:tcW w:w="11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778"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1,283 </w:t>
            </w:r>
          </w:p>
        </w:tc>
        <w:tc>
          <w:tcPr>
            <w:tcW w:w="11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755"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4,665 </w:t>
            </w:r>
          </w:p>
        </w:tc>
        <w:tc>
          <w:tcPr>
            <w:tcW w:w="11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755"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1,647 </w:t>
            </w:r>
          </w:p>
        </w:tc>
        <w:tc>
          <w:tcPr>
            <w:tcW w:w="17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4"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Run-off Property-Liability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w:t>
            </w:r>
          </w:p>
        </w:tc>
        <w:tc>
          <w:tcPr>
            <w:tcW w:w="11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w:t>
            </w:r>
          </w:p>
        </w:tc>
        <w:tc>
          <w:tcPr>
            <w:tcW w:w="11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w:t>
            </w:r>
          </w:p>
        </w:tc>
        <w:tc>
          <w:tcPr>
            <w:tcW w:w="17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314"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4"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i/>
                <w:color w:val="0033A0"/>
                <w:sz w:val="18"/>
              </w:rPr>
            </w:pPr>
            <w:r>
              <w:rPr>
                <w:rFonts w:ascii="Helvetica_Neue_LT_W1G_55_Roman;sans-serif" w:hAnsi="Helvetica_Neue_LT_W1G_55_Roman;sans-serif"/>
                <w:b/>
                <w:i/>
                <w:color w:val="0033A0"/>
                <w:sz w:val="18"/>
              </w:rPr>
              <w:t>Adjusted net income (loss) by segment, after-tax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4"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Protection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53 </w:t>
            </w:r>
          </w:p>
        </w:tc>
        <w:tc>
          <w:tcPr>
            <w:tcW w:w="11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60 </w:t>
            </w:r>
          </w:p>
        </w:tc>
        <w:tc>
          <w:tcPr>
            <w:tcW w:w="11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100 </w:t>
            </w:r>
          </w:p>
        </w:tc>
        <w:tc>
          <w:tcPr>
            <w:tcW w:w="11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115 </w:t>
            </w:r>
          </w:p>
        </w:tc>
        <w:tc>
          <w:tcPr>
            <w:tcW w:w="17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4"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Allstate Health and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9 </w:t>
            </w:r>
          </w:p>
        </w:tc>
        <w:tc>
          <w:tcPr>
            <w:tcW w:w="11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43 </w:t>
            </w:r>
          </w:p>
        </w:tc>
        <w:tc>
          <w:tcPr>
            <w:tcW w:w="17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4"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Corporate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(48)</w:t>
            </w:r>
          </w:p>
        </w:tc>
        <w:tc>
          <w:tcPr>
            <w:tcW w:w="11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(94)</w:t>
            </w:r>
          </w:p>
        </w:tc>
        <w:tc>
          <w:tcPr>
            <w:tcW w:w="11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(107)</w:t>
            </w:r>
          </w:p>
        </w:tc>
        <w:tc>
          <w:tcPr>
            <w:tcW w:w="11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(191)</w:t>
            </w:r>
          </w:p>
        </w:tc>
        <w:tc>
          <w:tcPr>
            <w:tcW w:w="17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4"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4"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i/>
                <w:color w:val="0033A0"/>
                <w:sz w:val="18"/>
              </w:rPr>
            </w:pPr>
            <w:r>
              <w:rPr>
                <w:rFonts w:ascii="Helvetica_Neue_LT_W1G_55_Roman;sans-serif" w:hAnsi="Helvetica_Neue_LT_W1G_55_Roman;sans-serif"/>
                <w:b/>
                <w:i/>
                <w:color w:val="0033A0"/>
                <w:sz w:val="18"/>
              </w:rPr>
              <w:t>Reconciliation of segment performance measures to net income (loss) applicable to common shareholders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4"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Allstate Protection and Run-off Property-Liability net investment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885 </w:t>
            </w:r>
          </w:p>
        </w:tc>
        <w:tc>
          <w:tcPr>
            <w:tcW w:w="11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687 </w:t>
            </w:r>
          </w:p>
        </w:tc>
        <w:tc>
          <w:tcPr>
            <w:tcW w:w="11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1,730 </w:t>
            </w:r>
          </w:p>
        </w:tc>
        <w:tc>
          <w:tcPr>
            <w:tcW w:w="11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1,470 </w:t>
            </w:r>
          </w:p>
        </w:tc>
        <w:tc>
          <w:tcPr>
            <w:tcW w:w="17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4"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Net gains (losses) on investments and derivatives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1,055 </w:t>
            </w:r>
          </w:p>
        </w:tc>
        <w:tc>
          <w:tcPr>
            <w:tcW w:w="11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(144)</w:t>
            </w:r>
          </w:p>
        </w:tc>
        <w:tc>
          <w:tcPr>
            <w:tcW w:w="11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650 </w:t>
            </w:r>
          </w:p>
        </w:tc>
        <w:tc>
          <w:tcPr>
            <w:tcW w:w="11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(493)</w:t>
            </w:r>
          </w:p>
        </w:tc>
        <w:tc>
          <w:tcPr>
            <w:tcW w:w="17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4"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Pension and other postretirement remeasurement gains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146 </w:t>
            </w:r>
          </w:p>
        </w:tc>
        <w:tc>
          <w:tcPr>
            <w:tcW w:w="11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127 </w:t>
            </w:r>
          </w:p>
        </w:tc>
        <w:tc>
          <w:tcPr>
            <w:tcW w:w="11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(78)</w:t>
            </w:r>
          </w:p>
        </w:tc>
        <w:tc>
          <w:tcPr>
            <w:tcW w:w="17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314"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pPr>
            <w:r>
              <w:rPr>
                <w:rFonts w:ascii="Helvetica_Neue_LT_W1G_55_Roman;sans-serif" w:hAnsi="Helvetica_Neue_LT_W1G_55_Roman;sans-serif"/>
                <w:b w:val="false"/>
                <w:color w:val="000000"/>
                <w:sz w:val="18"/>
              </w:rPr>
              <w:t>Amortization of purchased intangibles</w:t>
            </w:r>
            <w:r>
              <w:rPr>
                <w:color w:val="000000"/>
              </w:rPr>
              <w:t xml:space="preserve"> </w:t>
            </w:r>
            <w:r>
              <w:rPr>
                <w:rFonts w:ascii="Helvetica_Neue_LT_W1G_55_Roman;sans-serif" w:hAnsi="Helvetica_Neue_LT_W1G_55_Roman;sans-serif"/>
                <w:b w:val="false"/>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w:t>
            </w:r>
          </w:p>
        </w:tc>
        <w:tc>
          <w:tcPr>
            <w:tcW w:w="11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(11)</w:t>
            </w:r>
          </w:p>
        </w:tc>
        <w:tc>
          <w:tcPr>
            <w:tcW w:w="11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(16)</w:t>
            </w:r>
          </w:p>
        </w:tc>
        <w:tc>
          <w:tcPr>
            <w:tcW w:w="11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(24)</w:t>
            </w:r>
          </w:p>
        </w:tc>
        <w:tc>
          <w:tcPr>
            <w:tcW w:w="17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314"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Gain on disposition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1 </w:t>
            </w:r>
          </w:p>
        </w:tc>
        <w:tc>
          <w:tcPr>
            <w:tcW w:w="11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893 </w:t>
            </w:r>
          </w:p>
        </w:tc>
        <w:tc>
          <w:tcPr>
            <w:tcW w:w="11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7 </w:t>
            </w:r>
          </w:p>
        </w:tc>
        <w:tc>
          <w:tcPr>
            <w:tcW w:w="11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893 </w:t>
            </w:r>
          </w:p>
        </w:tc>
        <w:tc>
          <w:tcPr>
            <w:tcW w:w="17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314"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pPr>
            <w:r>
              <w:rPr>
                <w:rFonts w:ascii="Helvetica_Neue_LT_W1G_55_Roman;sans-serif" w:hAnsi="Helvetica_Neue_LT_W1G_55_Roman;sans-serif"/>
                <w:b w:val="false"/>
                <w:color w:val="000000"/>
                <w:sz w:val="18"/>
              </w:rPr>
              <w:t xml:space="preserve">All other </w:t>
            </w:r>
            <w:r>
              <w:rPr>
                <w:rFonts w:ascii="Helvetica_Neue_LT_W1G_55_Roman;sans-serif" w:hAnsi="Helvetica_Neue_LT_W1G_55_Roman;sans-serif"/>
                <w:b w:val="false"/>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5 </w:t>
            </w:r>
          </w:p>
        </w:tc>
        <w:tc>
          <w:tcPr>
            <w:tcW w:w="11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w:t>
            </w:r>
          </w:p>
        </w:tc>
        <w:tc>
          <w:tcPr>
            <w:tcW w:w="11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17 </w:t>
            </w:r>
          </w:p>
        </w:tc>
        <w:tc>
          <w:tcPr>
            <w:tcW w:w="11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(9)</w:t>
            </w:r>
          </w:p>
        </w:tc>
        <w:tc>
          <w:tcPr>
            <w:tcW w:w="17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4"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pPr>
            <w:r>
              <w:rPr>
                <w:rFonts w:ascii="Helvetica_Neue_LT_W1G_55_Roman;sans-serif" w:hAnsi="Helvetica_Neue_LT_W1G_55_Roman;sans-serif"/>
                <w:b w:val="false"/>
                <w:color w:val="000000"/>
                <w:sz w:val="18"/>
              </w:rPr>
              <w:t xml:space="preserve">Income tax (expense) benefit on Allstate Protection and Run-off Property-Liability and reconciling items </w:t>
            </w:r>
            <w:r>
              <w:rPr>
                <w:rFonts w:ascii="Helvetica_Neue_LT_W1G_55_Roman;sans-serif" w:hAnsi="Helvetica_Neue_LT_W1G_55_Roman;sans-serif"/>
                <w:b w:val="false"/>
                <w:color w:val="000000"/>
                <w:sz w:val="12"/>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(853)</w:t>
            </w:r>
          </w:p>
        </w:tc>
        <w:tc>
          <w:tcPr>
            <w:tcW w:w="11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(606)</w:t>
            </w:r>
          </w:p>
        </w:tc>
        <w:tc>
          <w:tcPr>
            <w:tcW w:w="11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(1,501)</w:t>
            </w:r>
          </w:p>
        </w:tc>
        <w:tc>
          <w:tcPr>
            <w:tcW w:w="11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(730)</w:t>
            </w:r>
          </w:p>
        </w:tc>
        <w:tc>
          <w:tcPr>
            <w:tcW w:w="17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4"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 reconciling items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1,231</w:t>
            </w:r>
            <w:r>
              <w:rPr>
                <w:color w:val="000000"/>
              </w:rPr>
              <w:t> </w:t>
            </w:r>
          </w:p>
        </w:tc>
        <w:tc>
          <w:tcPr>
            <w:tcW w:w="11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814</w:t>
            </w:r>
            <w:r>
              <w:rPr>
                <w:color w:val="000000"/>
              </w:rPr>
              <w:t> </w:t>
            </w:r>
          </w:p>
        </w:tc>
        <w:tc>
          <w:tcPr>
            <w:tcW w:w="11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1,014</w:t>
            </w:r>
            <w:r>
              <w:rPr>
                <w:color w:val="000000"/>
              </w:rPr>
              <w:t> </w:t>
            </w:r>
          </w:p>
        </w:tc>
        <w:tc>
          <w:tcPr>
            <w:tcW w:w="11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1,029</w:t>
            </w:r>
            <w:r>
              <w:rPr>
                <w:color w:val="000000"/>
              </w:rPr>
              <w:t> </w:t>
            </w:r>
          </w:p>
        </w:tc>
        <w:tc>
          <w:tcPr>
            <w:tcW w:w="17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4"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4"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pPr>
            <w:r>
              <w:rPr>
                <w:rFonts w:ascii="Helvetica_Neue_LT_W1G_55_Roman;sans-serif" w:hAnsi="Helvetica_Neue_LT_W1G_55_Roman;sans-serif"/>
                <w:b w:val="false"/>
                <w:color w:val="000000"/>
                <w:sz w:val="18"/>
              </w:rPr>
              <w:t xml:space="preserve">Less: Net income (loss) attributable to noncontrolling interest </w:t>
            </w:r>
            <w:r>
              <w:rPr>
                <w:rFonts w:ascii="Helvetica_Neue_LT_W1G_55_Roman;sans-serif" w:hAnsi="Helvetica_Neue_LT_W1G_55_Roman;sans-serif"/>
                <w:b w:val="false"/>
                <w:color w:val="000000"/>
                <w:sz w:val="12"/>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1 </w:t>
            </w:r>
          </w:p>
        </w:tc>
        <w:tc>
          <w:tcPr>
            <w:tcW w:w="11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(10)</w:t>
            </w:r>
          </w:p>
        </w:tc>
        <w:tc>
          <w:tcPr>
            <w:tcW w:w="11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2 </w:t>
            </w:r>
          </w:p>
        </w:tc>
        <w:tc>
          <w:tcPr>
            <w:tcW w:w="11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(9)</w:t>
            </w:r>
          </w:p>
        </w:tc>
        <w:tc>
          <w:tcPr>
            <w:tcW w:w="17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4"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4" w:type="dxa"/>
            <w:gridSpan w:val="3"/>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Net income applicable to common shareholders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778"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3,241</w:t>
            </w:r>
            <w:r>
              <w:rPr>
                <w:color w:val="000000"/>
              </w:rPr>
              <w:t> </w:t>
            </w:r>
          </w:p>
        </w:tc>
        <w:tc>
          <w:tcPr>
            <w:tcW w:w="117"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778"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2,079</w:t>
            </w:r>
            <w:r>
              <w:rPr>
                <w:color w:val="000000"/>
              </w:rPr>
              <w:t> </w:t>
            </w:r>
          </w:p>
        </w:tc>
        <w:tc>
          <w:tcPr>
            <w:tcW w:w="117"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755"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5,669</w:t>
            </w:r>
            <w:r>
              <w:rPr>
                <w:color w:val="000000"/>
              </w:rPr>
              <w:t> </w:t>
            </w:r>
          </w:p>
        </w:tc>
        <w:tc>
          <w:tcPr>
            <w:tcW w:w="114"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755"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2,645</w:t>
            </w:r>
            <w:r>
              <w:rPr>
                <w:color w:val="000000"/>
              </w:rPr>
              <w:t> </w:t>
            </w:r>
          </w:p>
        </w:tc>
        <w:tc>
          <w:tcPr>
            <w:tcW w:w="170"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180"/>
        <w:jc w:val="left"/>
        <w:rPr/>
      </w:pPr>
      <w:r>
        <w:rPr>
          <w:rFonts w:ascii="Allstate Sans;sans-serif" w:hAnsi="Allstate Sans;sans-serif"/>
          <w:b w:val="false"/>
          <w:color w:val="000000"/>
          <w:sz w:val="10"/>
        </w:rPr>
        <w:t>(1)</w:t>
      </w:r>
      <w:r>
        <w:rPr>
          <w:rFonts w:ascii="Allstate Sans;sans-serif" w:hAnsi="Allstate Sans;sans-serif"/>
          <w:b w:val="false"/>
          <w:color w:val="000000"/>
          <w:sz w:val="16"/>
        </w:rPr>
        <w:t>Excludes amortization of purchased intangibles in Allstate Protection, which is already included above in underwriting income.</w:t>
      </w:r>
    </w:p>
    <w:p>
      <w:pPr>
        <w:pStyle w:val="TextBody"/>
        <w:bidi w:val="0"/>
        <w:spacing w:lineRule="auto" w:line="288" w:before="0" w:after="60"/>
        <w:ind w:left="0" w:right="0" w:hanging="180"/>
        <w:jc w:val="left"/>
        <w:rPr/>
      </w:pPr>
      <w:r>
        <w:rPr>
          <w:rFonts w:ascii="Allstate Sans;sans-serif" w:hAnsi="Allstate Sans;sans-serif"/>
          <w:b w:val="false"/>
          <w:color w:val="000000"/>
          <w:sz w:val="10"/>
        </w:rPr>
        <w:t>(2)</w:t>
      </w:r>
      <w:r>
        <w:rPr>
          <w:rFonts w:ascii="Allstate Sans;sans-serif" w:hAnsi="Allstate Sans;sans-serif"/>
          <w:b w:val="false"/>
          <w:color w:val="000000"/>
          <w:sz w:val="16"/>
        </w:rPr>
        <w:t>Includes results of the individual health business, which was previously included within the Allstate Health and Benefits segment. Prior period results were recast to reflect the historical results of the individual health business.</w:t>
      </w:r>
    </w:p>
    <w:p>
      <w:pPr>
        <w:pStyle w:val="TextBody"/>
        <w:bidi w:val="0"/>
        <w:spacing w:lineRule="auto" w:line="288" w:before="0" w:after="60"/>
        <w:ind w:left="0" w:right="0" w:hanging="180"/>
        <w:jc w:val="left"/>
        <w:rPr/>
      </w:pPr>
      <w:r>
        <w:rPr>
          <w:rFonts w:ascii="Allstate Sans;sans-serif" w:hAnsi="Allstate Sans;sans-serif"/>
          <w:b w:val="false"/>
          <w:color w:val="000000"/>
          <w:sz w:val="10"/>
        </w:rPr>
        <w:t>(3)</w:t>
      </w:r>
      <w:r>
        <w:rPr>
          <w:rFonts w:ascii="Allstate Sans;sans-serif" w:hAnsi="Allstate Sans;sans-serif"/>
          <w:b w:val="false"/>
          <w:color w:val="000000"/>
          <w:sz w:val="16"/>
        </w:rPr>
        <w:t>The tax computation of the reporting segments and income tax benefit (expense) on reconciling items to net income (loss) are computed discretely based on the tax law of the jurisdictions applicable to the reporting entities.</w:t>
      </w:r>
    </w:p>
    <w:p>
      <w:pPr>
        <w:pStyle w:val="TextBody"/>
        <w:bidi w:val="0"/>
        <w:spacing w:lineRule="auto" w:line="288" w:before="0" w:after="60"/>
        <w:ind w:left="0" w:right="0" w:hanging="180"/>
        <w:jc w:val="left"/>
        <w:rPr/>
      </w:pPr>
      <w:r>
        <w:rPr>
          <w:rFonts w:ascii="Allstate Sans;sans-serif" w:hAnsi="Allstate Sans;sans-serif"/>
          <w:b w:val="false"/>
          <w:color w:val="000000"/>
          <w:sz w:val="10"/>
        </w:rPr>
        <w:t>(4)</w:t>
      </w:r>
      <w:r>
        <w:rPr>
          <w:rFonts w:ascii="Allstate Sans;sans-serif" w:hAnsi="Allstate Sans;sans-serif"/>
          <w:b w:val="false"/>
          <w:color w:val="000000"/>
          <w:sz w:val="16"/>
        </w:rPr>
        <w:t>Reflects net income (loss) attributable to noncontrolling interest in Allstate Protection.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120"/>
                              <w:jc w:val="left"/>
                              <w:rPr/>
                            </w:pPr>
                            <w:r>
                              <w:rPr>
                                <w:rFonts w:ascii="Allstate Sans;sans-serif" w:hAnsi="Allstate Sans;sans-serif"/>
                                <w:b w:val="false"/>
                                <w:color w:val="0033A0"/>
                                <w:sz w:val="18"/>
                              </w:rPr>
                              <w:t>8</w:t>
                            </w:r>
                            <w:r>
                              <w:rPr>
                                <w:color w:val="1666AF"/>
                              </w:rPr>
                              <w:t xml:space="preserve"> </w:t>
                            </w:r>
                            <w:r>
                              <w:rPr>
                                <w:rFonts w:ascii="Allstate Sans;sans-serif" w:hAnsi="Allstate Sans;sans-serif"/>
                                <w:b w:val="false"/>
                                <w:color w:val="000000"/>
                                <w:sz w:val="18"/>
                              </w:rPr>
                              <w:t>www.allstate.com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left"/>
                        <w:rPr/>
                      </w:pPr>
                      <w:r>
                        <w:rPr>
                          <w:rFonts w:ascii="Allstate Sans;sans-serif" w:hAnsi="Allstate Sans;sans-serif"/>
                          <w:b w:val="false"/>
                          <w:color w:val="0033A0"/>
                          <w:sz w:val="18"/>
                        </w:rPr>
                        <w:t>8</w:t>
                      </w:r>
                      <w:r>
                        <w:rPr>
                          <w:color w:val="1666AF"/>
                        </w:rPr>
                        <w:t xml:space="preserve"> </w:t>
                      </w:r>
                      <w:r>
                        <w:rPr>
                          <w:rFonts w:ascii="Allstate Sans;sans-serif" w:hAnsi="Allstate Sans;sans-serif"/>
                          <w:b w:val="false"/>
                          <w:color w:val="000000"/>
                          <w:sz w:val="18"/>
                        </w:rPr>
                        <w:t>www.allstate.com</w:t>
                      </w:r>
                    </w:p>
                  </w:txbxContent>
                </v:textbox>
                <w10:wrap type="none"/>
              </v:rect>
            </w:pict>
          </mc:Fallback>
        </mc:AlternateContent>
      </w:r>
    </w:p>
    <w:p>
      <w:pPr>
        <w:pStyle w:val="TextBody"/>
        <w:bidi w:val="0"/>
        <w:spacing w:lineRule="auto" w:line="288" w:before="0" w:after="0"/>
        <w:jc w:val="right"/>
        <w:rPr>
          <w:rFonts w:ascii="Allstate Sans;sans-serif" w:hAnsi="Allstate Sans;sans-serif"/>
          <w:b w:val="false"/>
          <w:color w:val="0033A0"/>
          <w:sz w:val="18"/>
        </w:rPr>
      </w:pPr>
      <w:r>
        <w:rPr>
          <w:rFonts w:ascii="Allstate Sans;sans-serif" w:hAnsi="Allstate Sans;sans-serif"/>
          <w:b w:val="false"/>
          <w:color w:val="0033A0"/>
          <w:sz w:val="18"/>
        </w:rPr>
        <w:t>Notes to Condensed Consolidated Financial Statements</w:t>
      </w:r>
    </w:p>
    <w:p>
      <w:pPr>
        <w:pStyle w:val="TextBody"/>
        <w:bidi w:val="0"/>
        <w:spacing w:before="0" w:after="120"/>
        <w:ind w:left="0" w:right="0" w:firstLine="360"/>
        <w:jc w:val="left"/>
        <w:rPr/>
      </w:pPr>
      <w:r>
        <w:rPr/>
      </w:r>
    </w:p>
    <w:tbl>
      <w:tblPr>
        <w:tblW w:w="10205" w:type="dxa"/>
        <w:jc w:val="left"/>
        <w:tblInd w:w="0" w:type="dxa"/>
        <w:tblLayout w:type="fixed"/>
        <w:tblCellMar>
          <w:top w:w="28" w:type="dxa"/>
          <w:left w:w="28" w:type="dxa"/>
          <w:bottom w:w="28" w:type="dxa"/>
          <w:right w:w="28" w:type="dxa"/>
        </w:tblCellMar>
      </w:tblPr>
      <w:tblGrid>
        <w:gridCol w:w="1835"/>
        <w:gridCol w:w="1104"/>
        <w:gridCol w:w="1033"/>
        <w:gridCol w:w="109"/>
        <w:gridCol w:w="109"/>
        <w:gridCol w:w="109"/>
        <w:gridCol w:w="236"/>
        <w:gridCol w:w="881"/>
        <w:gridCol w:w="113"/>
        <w:gridCol w:w="113"/>
        <w:gridCol w:w="113"/>
        <w:gridCol w:w="113"/>
        <w:gridCol w:w="236"/>
        <w:gridCol w:w="881"/>
        <w:gridCol w:w="113"/>
        <w:gridCol w:w="109"/>
        <w:gridCol w:w="109"/>
        <w:gridCol w:w="109"/>
        <w:gridCol w:w="230"/>
        <w:gridCol w:w="856"/>
        <w:gridCol w:w="110"/>
        <w:gridCol w:w="110"/>
        <w:gridCol w:w="110"/>
        <w:gridCol w:w="110"/>
        <w:gridCol w:w="230"/>
        <w:gridCol w:w="856"/>
        <w:gridCol w:w="168"/>
      </w:tblGrid>
      <w:tr>
        <w:trPr/>
        <w:tc>
          <w:tcPr>
            <w:tcW w:w="1835"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0205" w:type="dxa"/>
            <w:gridSpan w:val="27"/>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120"/>
              <w:jc w:val="left"/>
              <w:rPr>
                <w:rFonts w:ascii="Allstate Sans;sans-serif" w:hAnsi="Allstate Sans;sans-serif"/>
                <w:b/>
                <w:color w:val="000000"/>
                <w:sz w:val="18"/>
              </w:rPr>
            </w:pPr>
            <w:r>
              <w:rPr>
                <w:rFonts w:ascii="Allstate Sans;sans-serif" w:hAnsi="Allstate Sans;sans-serif"/>
                <w:b/>
                <w:color w:val="000000"/>
                <w:sz w:val="18"/>
              </w:rPr>
              <w:t>Reportable segments revenue information</w:t>
            </w:r>
          </w:p>
        </w:tc>
      </w:tr>
      <w:tr>
        <w:trPr/>
        <w:tc>
          <w:tcPr>
            <w:tcW w:w="3972"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 in 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Six months ended June 30,</w:t>
            </w:r>
          </w:p>
        </w:tc>
      </w:tr>
      <w:tr>
        <w:trPr/>
        <w:tc>
          <w:tcPr>
            <w:tcW w:w="3972"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2026</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2026</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2025</w:t>
            </w:r>
          </w:p>
        </w:tc>
      </w:tr>
      <w:tr>
        <w:trPr/>
        <w:tc>
          <w:tcPr>
            <w:tcW w:w="3972"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i/>
                <w:color w:val="0033A0"/>
                <w:sz w:val="18"/>
              </w:rPr>
            </w:pPr>
            <w:r>
              <w:rPr>
                <w:rFonts w:ascii="Helvetica_Neue_LT_W1G_55_Roman;sans-serif" w:hAnsi="Helvetica_Neue_LT_W1G_55_Roman;sans-serif"/>
                <w:b/>
                <w:i/>
                <w:color w:val="0033A0"/>
                <w:sz w:val="18"/>
              </w:rPr>
              <w:t>Allstate Protection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2"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Insurance premiums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2"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Auto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88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9,644 </w:t>
            </w:r>
          </w:p>
        </w:tc>
        <w:tc>
          <w:tcPr>
            <w:tcW w:w="11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88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9,528 </w:t>
            </w:r>
          </w:p>
        </w:tc>
        <w:tc>
          <w:tcPr>
            <w:tcW w:w="11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85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19,191 </w:t>
            </w:r>
          </w:p>
        </w:tc>
        <w:tc>
          <w:tcPr>
            <w:tcW w:w="11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856"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18,875 </w:t>
            </w:r>
          </w:p>
        </w:tc>
        <w:tc>
          <w:tcPr>
            <w:tcW w:w="168"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2"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Homeowners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4,201 </w:t>
            </w:r>
          </w:p>
        </w:tc>
        <w:tc>
          <w:tcPr>
            <w:tcW w:w="11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3,771 </w:t>
            </w:r>
          </w:p>
        </w:tc>
        <w:tc>
          <w:tcPr>
            <w:tcW w:w="11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8,365 </w:t>
            </w:r>
          </w:p>
        </w:tc>
        <w:tc>
          <w:tcPr>
            <w:tcW w:w="110"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7,428 </w:t>
            </w:r>
          </w:p>
        </w:tc>
        <w:tc>
          <w:tcPr>
            <w:tcW w:w="168"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2"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Specialty lines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822 </w:t>
            </w:r>
          </w:p>
        </w:tc>
        <w:tc>
          <w:tcPr>
            <w:tcW w:w="11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779 </w:t>
            </w:r>
          </w:p>
        </w:tc>
        <w:tc>
          <w:tcPr>
            <w:tcW w:w="11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1,642 </w:t>
            </w:r>
          </w:p>
        </w:tc>
        <w:tc>
          <w:tcPr>
            <w:tcW w:w="110"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1,520 </w:t>
            </w:r>
          </w:p>
        </w:tc>
        <w:tc>
          <w:tcPr>
            <w:tcW w:w="168"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2"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Commercial lines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107 </w:t>
            </w:r>
          </w:p>
        </w:tc>
        <w:tc>
          <w:tcPr>
            <w:tcW w:w="11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104 </w:t>
            </w:r>
          </w:p>
        </w:tc>
        <w:tc>
          <w:tcPr>
            <w:tcW w:w="11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208 </w:t>
            </w:r>
          </w:p>
        </w:tc>
        <w:tc>
          <w:tcPr>
            <w:tcW w:w="11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217 </w:t>
            </w:r>
          </w:p>
        </w:tc>
        <w:tc>
          <w:tcPr>
            <w:tcW w:w="168"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2"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Brokered solutions and collateral protection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144 </w:t>
            </w:r>
          </w:p>
        </w:tc>
        <w:tc>
          <w:tcPr>
            <w:tcW w:w="11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164 </w:t>
            </w:r>
          </w:p>
        </w:tc>
        <w:tc>
          <w:tcPr>
            <w:tcW w:w="11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314 </w:t>
            </w:r>
          </w:p>
        </w:tc>
        <w:tc>
          <w:tcPr>
            <w:tcW w:w="11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333 </w:t>
            </w:r>
          </w:p>
        </w:tc>
        <w:tc>
          <w:tcPr>
            <w:tcW w:w="168"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2"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Helvetica_Neue_LT_W1G_55_Roman;sans-serif" w:hAnsi="Helvetica_Neue_LT_W1G_55_Roman;sans-serif"/>
                <w:b w:val="false"/>
                <w:color w:val="000000"/>
                <w:sz w:val="18"/>
              </w:rPr>
              <w:t>Total Allstate Protection insurance premiums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14,918 </w:t>
            </w:r>
          </w:p>
        </w:tc>
        <w:tc>
          <w:tcPr>
            <w:tcW w:w="11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14,346 </w:t>
            </w:r>
          </w:p>
        </w:tc>
        <w:tc>
          <w:tcPr>
            <w:tcW w:w="11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29,720 </w:t>
            </w:r>
          </w:p>
        </w:tc>
        <w:tc>
          <w:tcPr>
            <w:tcW w:w="11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28,373 </w:t>
            </w:r>
          </w:p>
        </w:tc>
        <w:tc>
          <w:tcPr>
            <w:tcW w:w="16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2"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Other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568 </w:t>
            </w:r>
          </w:p>
        </w:tc>
        <w:tc>
          <w:tcPr>
            <w:tcW w:w="11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504 </w:t>
            </w:r>
          </w:p>
        </w:tc>
        <w:tc>
          <w:tcPr>
            <w:tcW w:w="11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1,112 </w:t>
            </w:r>
          </w:p>
        </w:tc>
        <w:tc>
          <w:tcPr>
            <w:tcW w:w="110"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992 </w:t>
            </w:r>
          </w:p>
        </w:tc>
        <w:tc>
          <w:tcPr>
            <w:tcW w:w="168"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2"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 Allstate Protection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15,486</w:t>
            </w:r>
            <w:r>
              <w:rPr>
                <w:color w:val="000000"/>
              </w:rPr>
              <w:t> </w:t>
            </w:r>
          </w:p>
        </w:tc>
        <w:tc>
          <w:tcPr>
            <w:tcW w:w="11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14,850</w:t>
            </w:r>
            <w:r>
              <w:rPr>
                <w:color w:val="000000"/>
              </w:rPr>
              <w:t> </w:t>
            </w:r>
          </w:p>
        </w:tc>
        <w:tc>
          <w:tcPr>
            <w:tcW w:w="11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30,832</w:t>
            </w:r>
            <w:r>
              <w:rPr>
                <w:color w:val="000000"/>
              </w:rPr>
              <w:t> </w:t>
            </w:r>
          </w:p>
        </w:tc>
        <w:tc>
          <w:tcPr>
            <w:tcW w:w="11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29,365</w:t>
            </w:r>
            <w:r>
              <w:rPr>
                <w:color w:val="000000"/>
              </w:rPr>
              <w:t> </w:t>
            </w:r>
          </w:p>
        </w:tc>
        <w:tc>
          <w:tcPr>
            <w:tcW w:w="16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2"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2"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i/>
                <w:color w:val="0033A0"/>
                <w:sz w:val="18"/>
              </w:rPr>
            </w:pPr>
            <w:r>
              <w:rPr>
                <w:rFonts w:ascii="Helvetica_Neue_LT_W1G_55_Roman;sans-serif" w:hAnsi="Helvetica_Neue_LT_W1G_55_Roman;sans-serif"/>
                <w:b/>
                <w:i/>
                <w:color w:val="0033A0"/>
                <w:sz w:val="18"/>
              </w:rPr>
              <w:t>Run-off Property-Liability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2"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2"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i/>
                <w:color w:val="0033A0"/>
                <w:sz w:val="18"/>
              </w:rPr>
            </w:pPr>
            <w:r>
              <w:rPr>
                <w:rFonts w:ascii="Helvetica_Neue_LT_W1G_55_Roman;sans-serif" w:hAnsi="Helvetica_Neue_LT_W1G_55_Roman;sans-serif"/>
                <w:b/>
                <w:i/>
                <w:color w:val="0033A0"/>
                <w:sz w:val="18"/>
              </w:rPr>
              <w:t>Protection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2"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Protection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578 </w:t>
            </w:r>
          </w:p>
        </w:tc>
        <w:tc>
          <w:tcPr>
            <w:tcW w:w="11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531 </w:t>
            </w:r>
          </w:p>
        </w:tc>
        <w:tc>
          <w:tcPr>
            <w:tcW w:w="11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1,156 </w:t>
            </w:r>
          </w:p>
        </w:tc>
        <w:tc>
          <w:tcPr>
            <w:tcW w:w="11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1,041 </w:t>
            </w:r>
          </w:p>
        </w:tc>
        <w:tc>
          <w:tcPr>
            <w:tcW w:w="16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2"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Roadside assistance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49 </w:t>
            </w:r>
          </w:p>
        </w:tc>
        <w:tc>
          <w:tcPr>
            <w:tcW w:w="11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39 </w:t>
            </w:r>
          </w:p>
        </w:tc>
        <w:tc>
          <w:tcPr>
            <w:tcW w:w="11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96 </w:t>
            </w:r>
          </w:p>
        </w:tc>
        <w:tc>
          <w:tcPr>
            <w:tcW w:w="110"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75 </w:t>
            </w:r>
          </w:p>
        </w:tc>
        <w:tc>
          <w:tcPr>
            <w:tcW w:w="168"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2"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Protection and insurance products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125 </w:t>
            </w:r>
          </w:p>
        </w:tc>
        <w:tc>
          <w:tcPr>
            <w:tcW w:w="11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125 </w:t>
            </w:r>
          </w:p>
        </w:tc>
        <w:tc>
          <w:tcPr>
            <w:tcW w:w="11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251 </w:t>
            </w:r>
          </w:p>
        </w:tc>
        <w:tc>
          <w:tcPr>
            <w:tcW w:w="110"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250 </w:t>
            </w:r>
          </w:p>
        </w:tc>
        <w:tc>
          <w:tcPr>
            <w:tcW w:w="168"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2"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pPr>
            <w:r>
              <w:rPr>
                <w:rFonts w:ascii="Helvetica_Neue_LT_W1G_55_Roman;sans-serif" w:hAnsi="Helvetica_Neue_LT_W1G_55_Roman;sans-serif"/>
                <w:b w:val="false"/>
                <w:color w:val="000000"/>
                <w:sz w:val="18"/>
              </w:rPr>
              <w:t xml:space="preserve">Intersegment premiums and service fees </w:t>
            </w:r>
            <w:r>
              <w:rPr>
                <w:rFonts w:ascii="Helvetica_Neue_LT_W1G_55_Roman;sans-serif" w:hAnsi="Helvetica_Neue_LT_W1G_55_Roman;sans-serif"/>
                <w:b w:val="false"/>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35 </w:t>
            </w:r>
          </w:p>
        </w:tc>
        <w:tc>
          <w:tcPr>
            <w:tcW w:w="11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36 </w:t>
            </w:r>
          </w:p>
        </w:tc>
        <w:tc>
          <w:tcPr>
            <w:tcW w:w="11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66 </w:t>
            </w:r>
          </w:p>
        </w:tc>
        <w:tc>
          <w:tcPr>
            <w:tcW w:w="110"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73 </w:t>
            </w:r>
          </w:p>
        </w:tc>
        <w:tc>
          <w:tcPr>
            <w:tcW w:w="168"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2"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Other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123 </w:t>
            </w:r>
          </w:p>
        </w:tc>
        <w:tc>
          <w:tcPr>
            <w:tcW w:w="11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111 </w:t>
            </w:r>
          </w:p>
        </w:tc>
        <w:tc>
          <w:tcPr>
            <w:tcW w:w="11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240 </w:t>
            </w:r>
          </w:p>
        </w:tc>
        <w:tc>
          <w:tcPr>
            <w:tcW w:w="110"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239 </w:t>
            </w:r>
          </w:p>
        </w:tc>
        <w:tc>
          <w:tcPr>
            <w:tcW w:w="168"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2"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Net investment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25 </w:t>
            </w:r>
          </w:p>
        </w:tc>
        <w:tc>
          <w:tcPr>
            <w:tcW w:w="11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25 </w:t>
            </w:r>
          </w:p>
        </w:tc>
        <w:tc>
          <w:tcPr>
            <w:tcW w:w="11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48 </w:t>
            </w:r>
          </w:p>
        </w:tc>
        <w:tc>
          <w:tcPr>
            <w:tcW w:w="110"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49 </w:t>
            </w:r>
          </w:p>
        </w:tc>
        <w:tc>
          <w:tcPr>
            <w:tcW w:w="168"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2"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Net gains (losses) on investments and derivatives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26 </w:t>
            </w:r>
          </w:p>
        </w:tc>
        <w:tc>
          <w:tcPr>
            <w:tcW w:w="11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1 </w:t>
            </w:r>
          </w:p>
        </w:tc>
        <w:tc>
          <w:tcPr>
            <w:tcW w:w="11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19 </w:t>
            </w:r>
          </w:p>
        </w:tc>
        <w:tc>
          <w:tcPr>
            <w:tcW w:w="110"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(9)</w:t>
            </w:r>
          </w:p>
        </w:tc>
        <w:tc>
          <w:tcPr>
            <w:tcW w:w="168"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2"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 Protection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961</w:t>
            </w:r>
            <w:r>
              <w:rPr>
                <w:color w:val="000000"/>
              </w:rPr>
              <w:t> </w:t>
            </w:r>
          </w:p>
        </w:tc>
        <w:tc>
          <w:tcPr>
            <w:tcW w:w="11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868</w:t>
            </w:r>
            <w:r>
              <w:rPr>
                <w:color w:val="000000"/>
              </w:rPr>
              <w:t> </w:t>
            </w:r>
          </w:p>
        </w:tc>
        <w:tc>
          <w:tcPr>
            <w:tcW w:w="11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1,876</w:t>
            </w:r>
            <w:r>
              <w:rPr>
                <w:color w:val="000000"/>
              </w:rPr>
              <w:t> </w:t>
            </w:r>
          </w:p>
        </w:tc>
        <w:tc>
          <w:tcPr>
            <w:tcW w:w="11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1,718</w:t>
            </w:r>
            <w:r>
              <w:rPr>
                <w:color w:val="000000"/>
              </w:rPr>
              <w:t> </w:t>
            </w:r>
          </w:p>
        </w:tc>
        <w:tc>
          <w:tcPr>
            <w:tcW w:w="16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2"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2"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i/>
                <w:color w:val="0033A0"/>
                <w:sz w:val="18"/>
              </w:rPr>
            </w:pPr>
            <w:r>
              <w:rPr>
                <w:rFonts w:ascii="Helvetica_Neue_LT_W1G_55_Roman;sans-serif" w:hAnsi="Helvetica_Neue_LT_W1G_55_Roman;sans-serif"/>
                <w:b/>
                <w:i/>
                <w:color w:val="0033A0"/>
                <w:sz w:val="18"/>
              </w:rPr>
              <w:t>Allstate Health and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2"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Employer voluntary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243 </w:t>
            </w:r>
          </w:p>
        </w:tc>
        <w:tc>
          <w:tcPr>
            <w:tcW w:w="16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2"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Group health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123 </w:t>
            </w:r>
          </w:p>
        </w:tc>
        <w:tc>
          <w:tcPr>
            <w:tcW w:w="11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247 </w:t>
            </w:r>
          </w:p>
        </w:tc>
        <w:tc>
          <w:tcPr>
            <w:tcW w:w="168"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2"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Other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79 </w:t>
            </w:r>
          </w:p>
        </w:tc>
        <w:tc>
          <w:tcPr>
            <w:tcW w:w="11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163 </w:t>
            </w:r>
          </w:p>
        </w:tc>
        <w:tc>
          <w:tcPr>
            <w:tcW w:w="168"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2"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Net investment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1 </w:t>
            </w:r>
          </w:p>
        </w:tc>
        <w:tc>
          <w:tcPr>
            <w:tcW w:w="11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24 </w:t>
            </w:r>
          </w:p>
        </w:tc>
        <w:tc>
          <w:tcPr>
            <w:tcW w:w="168"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2"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Net gains (losses) on investments and derivatives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w:t>
            </w:r>
          </w:p>
        </w:tc>
        <w:tc>
          <w:tcPr>
            <w:tcW w:w="11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w:t>
            </w:r>
          </w:p>
        </w:tc>
        <w:tc>
          <w:tcPr>
            <w:tcW w:w="168"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2"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 Allstate Health and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202</w:t>
            </w:r>
            <w:r>
              <w:rPr>
                <w:color w:val="000000"/>
              </w:rPr>
              <w:t> </w:t>
            </w:r>
          </w:p>
        </w:tc>
        <w:tc>
          <w:tcPr>
            <w:tcW w:w="11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676</w:t>
            </w:r>
            <w:r>
              <w:rPr>
                <w:color w:val="000000"/>
              </w:rPr>
              <w:t> </w:t>
            </w:r>
          </w:p>
        </w:tc>
        <w:tc>
          <w:tcPr>
            <w:tcW w:w="16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2"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2"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i/>
                <w:color w:val="0033A0"/>
                <w:sz w:val="18"/>
              </w:rPr>
            </w:pPr>
            <w:r>
              <w:rPr>
                <w:rFonts w:ascii="Helvetica_Neue_LT_W1G_55_Roman;sans-serif" w:hAnsi="Helvetica_Neue_LT_W1G_55_Roman;sans-serif"/>
                <w:b/>
                <w:i/>
                <w:color w:val="0033A0"/>
                <w:sz w:val="18"/>
              </w:rPr>
              <w:t>Corporate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2"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Other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12 </w:t>
            </w:r>
          </w:p>
        </w:tc>
        <w:tc>
          <w:tcPr>
            <w:tcW w:w="11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23 </w:t>
            </w:r>
          </w:p>
        </w:tc>
        <w:tc>
          <w:tcPr>
            <w:tcW w:w="11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29 </w:t>
            </w:r>
          </w:p>
        </w:tc>
        <w:tc>
          <w:tcPr>
            <w:tcW w:w="11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38 </w:t>
            </w:r>
          </w:p>
        </w:tc>
        <w:tc>
          <w:tcPr>
            <w:tcW w:w="16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2"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Net investment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96 </w:t>
            </w:r>
          </w:p>
        </w:tc>
        <w:tc>
          <w:tcPr>
            <w:tcW w:w="11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37 </w:t>
            </w:r>
          </w:p>
        </w:tc>
        <w:tc>
          <w:tcPr>
            <w:tcW w:w="11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164 </w:t>
            </w:r>
          </w:p>
        </w:tc>
        <w:tc>
          <w:tcPr>
            <w:tcW w:w="11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59 </w:t>
            </w:r>
          </w:p>
        </w:tc>
        <w:tc>
          <w:tcPr>
            <w:tcW w:w="16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2"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Net gains (losses) on investments and derivatives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31 </w:t>
            </w:r>
          </w:p>
        </w:tc>
        <w:tc>
          <w:tcPr>
            <w:tcW w:w="11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46 </w:t>
            </w:r>
          </w:p>
        </w:tc>
        <w:tc>
          <w:tcPr>
            <w:tcW w:w="11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(39)</w:t>
            </w:r>
          </w:p>
        </w:tc>
        <w:tc>
          <w:tcPr>
            <w:tcW w:w="11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37 </w:t>
            </w:r>
          </w:p>
        </w:tc>
        <w:tc>
          <w:tcPr>
            <w:tcW w:w="16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2"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 Corporate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139</w:t>
            </w:r>
            <w:r>
              <w:rPr>
                <w:color w:val="000000"/>
              </w:rPr>
              <w:t> </w:t>
            </w:r>
          </w:p>
        </w:tc>
        <w:tc>
          <w:tcPr>
            <w:tcW w:w="11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106</w:t>
            </w:r>
            <w:r>
              <w:rPr>
                <w:color w:val="000000"/>
              </w:rPr>
              <w:t> </w:t>
            </w:r>
          </w:p>
        </w:tc>
        <w:tc>
          <w:tcPr>
            <w:tcW w:w="11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154</w:t>
            </w:r>
            <w:r>
              <w:rPr>
                <w:color w:val="000000"/>
              </w:rPr>
              <w:t> </w:t>
            </w:r>
          </w:p>
        </w:tc>
        <w:tc>
          <w:tcPr>
            <w:tcW w:w="11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134</w:t>
            </w:r>
            <w:r>
              <w:rPr>
                <w:color w:val="000000"/>
              </w:rPr>
              <w:t> </w:t>
            </w:r>
          </w:p>
        </w:tc>
        <w:tc>
          <w:tcPr>
            <w:tcW w:w="16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2"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2"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i/>
                <w:color w:val="0033A0"/>
                <w:sz w:val="18"/>
              </w:rPr>
            </w:pPr>
            <w:r>
              <w:rPr>
                <w:rFonts w:ascii="Helvetica_Neue_LT_W1G_55_Roman;sans-serif" w:hAnsi="Helvetica_Neue_LT_W1G_55_Roman;sans-serif"/>
                <w:b w:val="false"/>
                <w:i/>
                <w:color w:val="0033A0"/>
                <w:sz w:val="18"/>
              </w:rPr>
              <w:t>Reconciliation of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2"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Allstate Protection and Run-off Property-Liability net investment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885 </w:t>
            </w:r>
          </w:p>
        </w:tc>
        <w:tc>
          <w:tcPr>
            <w:tcW w:w="11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687 </w:t>
            </w:r>
          </w:p>
        </w:tc>
        <w:tc>
          <w:tcPr>
            <w:tcW w:w="11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1,730 </w:t>
            </w:r>
          </w:p>
        </w:tc>
        <w:tc>
          <w:tcPr>
            <w:tcW w:w="110"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1,470 </w:t>
            </w:r>
          </w:p>
        </w:tc>
        <w:tc>
          <w:tcPr>
            <w:tcW w:w="168"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2"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Allstate Protection and Run-off Property-Liability net gains (losses) on investments and derivatives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999 </w:t>
            </w:r>
          </w:p>
        </w:tc>
        <w:tc>
          <w:tcPr>
            <w:tcW w:w="11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(190)</w:t>
            </w:r>
          </w:p>
        </w:tc>
        <w:tc>
          <w:tcPr>
            <w:tcW w:w="11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671 </w:t>
            </w:r>
          </w:p>
        </w:tc>
        <w:tc>
          <w:tcPr>
            <w:tcW w:w="110"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(519)</w:t>
            </w:r>
          </w:p>
        </w:tc>
        <w:tc>
          <w:tcPr>
            <w:tcW w:w="168"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2"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All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161 </w:t>
            </w:r>
          </w:p>
        </w:tc>
        <w:tc>
          <w:tcPr>
            <w:tcW w:w="11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146 </w:t>
            </w:r>
          </w:p>
        </w:tc>
        <w:tc>
          <w:tcPr>
            <w:tcW w:w="11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340 </w:t>
            </w:r>
          </w:p>
        </w:tc>
        <w:tc>
          <w:tcPr>
            <w:tcW w:w="11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314 </w:t>
            </w:r>
          </w:p>
        </w:tc>
        <w:tc>
          <w:tcPr>
            <w:tcW w:w="16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2"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pPr>
            <w:r>
              <w:rPr>
                <w:rFonts w:ascii="Helvetica_Neue_LT_W1G_55_Roman;sans-serif" w:hAnsi="Helvetica_Neue_LT_W1G_55_Roman;sans-serif"/>
                <w:b w:val="false"/>
                <w:color w:val="000000"/>
                <w:sz w:val="18"/>
              </w:rPr>
              <w:t xml:space="preserve">Intersegment eliminations </w:t>
            </w:r>
            <w:r>
              <w:rPr>
                <w:rFonts w:ascii="Helvetica_Neue_LT_W1G_55_Roman;sans-serif" w:hAnsi="Helvetica_Neue_LT_W1G_55_Roman;sans-serif"/>
                <w:b w:val="false"/>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(35)</w:t>
            </w:r>
          </w:p>
        </w:tc>
        <w:tc>
          <w:tcPr>
            <w:tcW w:w="11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(36)</w:t>
            </w:r>
          </w:p>
        </w:tc>
        <w:tc>
          <w:tcPr>
            <w:tcW w:w="11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(66)</w:t>
            </w:r>
          </w:p>
        </w:tc>
        <w:tc>
          <w:tcPr>
            <w:tcW w:w="11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(73)</w:t>
            </w:r>
          </w:p>
        </w:tc>
        <w:tc>
          <w:tcPr>
            <w:tcW w:w="16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2"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2" w:type="dxa"/>
            <w:gridSpan w:val="3"/>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Consolidated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881"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18,596</w:t>
            </w:r>
            <w:r>
              <w:rPr>
                <w:color w:val="000000"/>
              </w:rPr>
              <w:t> </w:t>
            </w:r>
          </w:p>
        </w:tc>
        <w:tc>
          <w:tcPr>
            <w:tcW w:w="113"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881"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16,633</w:t>
            </w:r>
            <w:r>
              <w:rPr>
                <w:color w:val="000000"/>
              </w:rPr>
              <w:t> </w:t>
            </w:r>
          </w:p>
        </w:tc>
        <w:tc>
          <w:tcPr>
            <w:tcW w:w="113"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85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35,537</w:t>
            </w:r>
            <w:r>
              <w:rPr>
                <w:color w:val="000000"/>
              </w:rPr>
              <w:t> </w:t>
            </w:r>
          </w:p>
        </w:tc>
        <w:tc>
          <w:tcPr>
            <w:tcW w:w="110"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85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33,085</w:t>
            </w:r>
            <w:r>
              <w:rPr>
                <w:color w:val="000000"/>
              </w:rPr>
              <w:t> </w:t>
            </w:r>
          </w:p>
        </w:tc>
        <w:tc>
          <w:tcPr>
            <w:tcW w:w="168"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180"/>
        <w:jc w:val="left"/>
        <w:rPr/>
      </w:pPr>
      <w:r>
        <w:rPr>
          <w:rFonts w:ascii="Allstate Sans;sans-serif" w:hAnsi="Allstate Sans;sans-serif"/>
          <w:b w:val="false"/>
          <w:color w:val="000000"/>
          <w:sz w:val="10"/>
        </w:rPr>
        <w:t>(1)</w:t>
      </w:r>
      <w:r>
        <w:rPr>
          <w:rFonts w:ascii="Allstate Sans;sans-serif" w:hAnsi="Allstate Sans;sans-serif"/>
          <w:b w:val="false"/>
          <w:color w:val="000000"/>
          <w:sz w:val="16"/>
        </w:rPr>
        <w:t>Intersegment insurance premiums and service fees are primarily related to Arity and Roadside</w:t>
      </w:r>
      <w:r>
        <w:rPr>
          <w:color w:val="000000"/>
        </w:rPr>
        <w:t xml:space="preserve"> </w:t>
      </w:r>
      <w:r>
        <w:rPr>
          <w:rFonts w:ascii="Allstate Sans;sans-serif" w:hAnsi="Allstate Sans;sans-serif"/>
          <w:b w:val="false"/>
          <w:color w:val="000000"/>
          <w:sz w:val="16"/>
        </w:rPr>
        <w:t>and are eliminated in the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33350"/>
                <wp:effectExtent l="0" t="0" r="0" b="0"/>
                <wp:wrapNone/>
                <wp:docPr id="12" name="Frame11"/>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ind w:left="0" w:right="0" w:firstLine="360"/>
                              <w:jc w:val="right"/>
                              <w:rPr/>
                            </w:pPr>
                            <w:r>
                              <w:rPr>
                                <w:rFonts w:ascii="Allstate Sans;sans-serif" w:hAnsi="Allstate Sans;sans-serif"/>
                                <w:b w:val="false"/>
                                <w:color w:val="000000"/>
                                <w:sz w:val="18"/>
                              </w:rPr>
                              <w:t xml:space="preserve">Second Quarter 2026 Form 10-Q </w:t>
                            </w:r>
                            <w:r>
                              <w:rPr>
                                <w:rFonts w:ascii="Allstate Sans;sans-serif" w:hAnsi="Allstate Sans;sans-serif"/>
                                <w:b w:val="false"/>
                                <w:color w:val="0033A0"/>
                                <w:sz w:val="18"/>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right"/>
                        <w:rPr/>
                      </w:pPr>
                      <w:r>
                        <w:rPr>
                          <w:rFonts w:ascii="Allstate Sans;sans-serif" w:hAnsi="Allstate Sans;sans-serif"/>
                          <w:b w:val="false"/>
                          <w:color w:val="000000"/>
                          <w:sz w:val="18"/>
                        </w:rPr>
                        <w:t xml:space="preserve">Second Quarter 2026 Form 10-Q </w:t>
                      </w:r>
                      <w:r>
                        <w:rPr>
                          <w:rFonts w:ascii="Allstate Sans;sans-serif" w:hAnsi="Allstate Sans;sans-serif"/>
                          <w:b w:val="false"/>
                          <w:color w:val="0033A0"/>
                          <w:sz w:val="18"/>
                        </w:rPr>
                        <w:t>9</w:t>
                      </w:r>
                    </w:p>
                  </w:txbxContent>
                </v:textbox>
                <w10:wrap type="none"/>
              </v:rect>
            </w:pict>
          </mc:Fallback>
        </mc:AlternateContent>
      </w:r>
    </w:p>
    <w:p>
      <w:pPr>
        <w:pStyle w:val="TextBody"/>
        <w:bidi w:val="0"/>
        <w:spacing w:lineRule="auto" w:line="288" w:before="0" w:after="0"/>
        <w:jc w:val="left"/>
        <w:rPr>
          <w:rFonts w:ascii="Allstate Sans;sans-serif" w:hAnsi="Allstate Sans;sans-serif"/>
          <w:b w:val="false"/>
          <w:color w:val="0033A0"/>
          <w:sz w:val="18"/>
        </w:rPr>
      </w:pPr>
      <w:r>
        <w:rPr>
          <w:rFonts w:ascii="Allstate Sans;sans-serif" w:hAnsi="Allstate Sans;sans-serif"/>
          <w:b w:val="false"/>
          <w:color w:val="0033A0"/>
          <w:sz w:val="18"/>
        </w:rPr>
        <w:t>Notes to Condensed Consolidated Financial Statements</w:t>
      </w:r>
    </w:p>
    <w:tbl>
      <w:tblPr>
        <w:tblW w:w="10205" w:type="dxa"/>
        <w:jc w:val="left"/>
        <w:tblInd w:w="0" w:type="dxa"/>
        <w:tblLayout w:type="fixed"/>
        <w:tblCellMar>
          <w:top w:w="28" w:type="dxa"/>
          <w:left w:w="28" w:type="dxa"/>
          <w:bottom w:w="28" w:type="dxa"/>
          <w:right w:w="28" w:type="dxa"/>
        </w:tblCellMar>
      </w:tblPr>
      <w:tblGrid>
        <w:gridCol w:w="1758"/>
        <w:gridCol w:w="1021"/>
        <w:gridCol w:w="947"/>
        <w:gridCol w:w="122"/>
        <w:gridCol w:w="122"/>
        <w:gridCol w:w="122"/>
        <w:gridCol w:w="254"/>
        <w:gridCol w:w="794"/>
        <w:gridCol w:w="122"/>
        <w:gridCol w:w="122"/>
        <w:gridCol w:w="122"/>
        <w:gridCol w:w="122"/>
        <w:gridCol w:w="254"/>
        <w:gridCol w:w="794"/>
        <w:gridCol w:w="122"/>
        <w:gridCol w:w="122"/>
        <w:gridCol w:w="122"/>
        <w:gridCol w:w="122"/>
        <w:gridCol w:w="254"/>
        <w:gridCol w:w="929"/>
        <w:gridCol w:w="122"/>
        <w:gridCol w:w="122"/>
        <w:gridCol w:w="122"/>
        <w:gridCol w:w="122"/>
        <w:gridCol w:w="254"/>
        <w:gridCol w:w="929"/>
        <w:gridCol w:w="187"/>
      </w:tblGrid>
      <w:tr>
        <w:trPr/>
        <w:tc>
          <w:tcPr>
            <w:tcW w:w="1758"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0205" w:type="dxa"/>
            <w:gridSpan w:val="27"/>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120"/>
              <w:jc w:val="left"/>
              <w:rPr>
                <w:rFonts w:ascii="Allstate Sans;sans-serif" w:hAnsi="Allstate Sans;sans-serif"/>
                <w:b/>
                <w:color w:val="000000"/>
                <w:sz w:val="18"/>
              </w:rPr>
            </w:pPr>
            <w:r>
              <w:rPr>
                <w:rFonts w:ascii="Allstate Sans;sans-serif" w:hAnsi="Allstate Sans;sans-serif"/>
                <w:b/>
                <w:color w:val="000000"/>
                <w:sz w:val="18"/>
              </w:rPr>
              <w:t>Reportable segments expense information used in measure for segment profit or loss</w:t>
            </w:r>
          </w:p>
        </w:tc>
      </w:tr>
      <w:tr>
        <w:trPr/>
        <w:tc>
          <w:tcPr>
            <w:tcW w:w="3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Three months ended June 30,</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Six months ended June 30,</w:t>
            </w:r>
          </w:p>
        </w:tc>
      </w:tr>
      <w:tr>
        <w:trPr/>
        <w:tc>
          <w:tcPr>
            <w:tcW w:w="37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 in millions)</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2026</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2025</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2026</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2025</w:t>
            </w:r>
          </w:p>
        </w:tc>
      </w:tr>
      <w:tr>
        <w:trPr/>
        <w:tc>
          <w:tcPr>
            <w:tcW w:w="3726"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i/>
                <w:color w:val="0033A0"/>
                <w:sz w:val="18"/>
              </w:rPr>
            </w:pPr>
            <w:r>
              <w:rPr>
                <w:rFonts w:ascii="Helvetica_Neue_LT_W1G_55_Roman;sans-serif" w:hAnsi="Helvetica_Neue_LT_W1G_55_Roman;sans-serif"/>
                <w:b/>
                <w:i/>
                <w:color w:val="0033A0"/>
                <w:sz w:val="18"/>
              </w:rPr>
              <w:t>Allstate Protection</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pPr>
            <w:r>
              <w:rPr>
                <w:rFonts w:ascii="Helvetica_Neue_LT_W1G_55_Roman;sans-serif" w:hAnsi="Helvetica_Neue_LT_W1G_55_Roman;sans-serif"/>
                <w:b w:val="false"/>
                <w:color w:val="000000"/>
                <w:sz w:val="18"/>
              </w:rPr>
              <w:t xml:space="preserve">Claims and claims expense excluding catastrophe losses and prior year reserve reestimates </w:t>
            </w:r>
            <w:r>
              <w:rPr>
                <w:rFonts w:ascii="Helvetica_Neue_LT_W1G_55_Roman;sans-serif" w:hAnsi="Helvetica_Neue_LT_W1G_55_Roman;sans-serif"/>
                <w:b w:val="false"/>
                <w:color w:val="000000"/>
                <w:sz w:val="12"/>
              </w:rPr>
              <w:t>(1)</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794"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8,638 </w:t>
            </w:r>
          </w:p>
        </w:tc>
        <w:tc>
          <w:tcPr>
            <w:tcW w:w="12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794"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8,470 </w:t>
            </w:r>
          </w:p>
        </w:tc>
        <w:tc>
          <w:tcPr>
            <w:tcW w:w="12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929"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17,406 </w:t>
            </w:r>
          </w:p>
        </w:tc>
        <w:tc>
          <w:tcPr>
            <w:tcW w:w="12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929"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17,163 </w:t>
            </w:r>
          </w:p>
        </w:tc>
        <w:tc>
          <w:tcPr>
            <w:tcW w:w="18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Catastrophe losses</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1,722 </w:t>
            </w:r>
          </w:p>
        </w:tc>
        <w:tc>
          <w:tcPr>
            <w:tcW w:w="122"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1,990 </w:t>
            </w:r>
          </w:p>
        </w:tc>
        <w:tc>
          <w:tcPr>
            <w:tcW w:w="122"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2,962 </w:t>
            </w:r>
          </w:p>
        </w:tc>
        <w:tc>
          <w:tcPr>
            <w:tcW w:w="122"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4,192 </w:t>
            </w:r>
          </w:p>
        </w:tc>
        <w:tc>
          <w:tcPr>
            <w:tcW w:w="187"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Prior year reserve reestimates excluding catastrophes</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(692)</w:t>
            </w:r>
          </w:p>
        </w:tc>
        <w:tc>
          <w:tcPr>
            <w:tcW w:w="122"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(378)</w:t>
            </w:r>
          </w:p>
        </w:tc>
        <w:tc>
          <w:tcPr>
            <w:tcW w:w="122"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(1,708)</w:t>
            </w:r>
          </w:p>
        </w:tc>
        <w:tc>
          <w:tcPr>
            <w:tcW w:w="12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(616)</w:t>
            </w:r>
          </w:p>
        </w:tc>
        <w:tc>
          <w:tcPr>
            <w:tcW w:w="18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Amortization of DAC</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1,840 </w:t>
            </w:r>
          </w:p>
        </w:tc>
        <w:tc>
          <w:tcPr>
            <w:tcW w:w="12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1,742 </w:t>
            </w:r>
          </w:p>
        </w:tc>
        <w:tc>
          <w:tcPr>
            <w:tcW w:w="12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3,661 </w:t>
            </w:r>
          </w:p>
        </w:tc>
        <w:tc>
          <w:tcPr>
            <w:tcW w:w="12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3,474 </w:t>
            </w:r>
          </w:p>
        </w:tc>
        <w:tc>
          <w:tcPr>
            <w:tcW w:w="18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Advertising expense</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524 </w:t>
            </w:r>
          </w:p>
        </w:tc>
        <w:tc>
          <w:tcPr>
            <w:tcW w:w="12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442 </w:t>
            </w:r>
          </w:p>
        </w:tc>
        <w:tc>
          <w:tcPr>
            <w:tcW w:w="12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1,068 </w:t>
            </w:r>
          </w:p>
        </w:tc>
        <w:tc>
          <w:tcPr>
            <w:tcW w:w="12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965 </w:t>
            </w:r>
          </w:p>
        </w:tc>
        <w:tc>
          <w:tcPr>
            <w:tcW w:w="18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Amortization of purchased intangibles</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38 </w:t>
            </w:r>
          </w:p>
        </w:tc>
        <w:tc>
          <w:tcPr>
            <w:tcW w:w="12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46 </w:t>
            </w:r>
          </w:p>
        </w:tc>
        <w:tc>
          <w:tcPr>
            <w:tcW w:w="12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77 </w:t>
            </w:r>
          </w:p>
        </w:tc>
        <w:tc>
          <w:tcPr>
            <w:tcW w:w="12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92 </w:t>
            </w:r>
          </w:p>
        </w:tc>
        <w:tc>
          <w:tcPr>
            <w:tcW w:w="187"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Restructuring and related charges</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6 </w:t>
            </w:r>
          </w:p>
        </w:tc>
        <w:tc>
          <w:tcPr>
            <w:tcW w:w="12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13 </w:t>
            </w:r>
          </w:p>
        </w:tc>
        <w:tc>
          <w:tcPr>
            <w:tcW w:w="12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7 </w:t>
            </w:r>
          </w:p>
        </w:tc>
        <w:tc>
          <w:tcPr>
            <w:tcW w:w="12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29 </w:t>
            </w:r>
          </w:p>
        </w:tc>
        <w:tc>
          <w:tcPr>
            <w:tcW w:w="18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pPr>
            <w:r>
              <w:rPr>
                <w:rFonts w:ascii="Helvetica_Neue_LT_W1G_55_Roman;sans-serif" w:hAnsi="Helvetica_Neue_LT_W1G_55_Roman;sans-serif"/>
                <w:b w:val="false"/>
                <w:color w:val="000000"/>
                <w:sz w:val="18"/>
              </w:rPr>
              <w:t xml:space="preserve">Other segment expenses </w:t>
            </w:r>
            <w:r>
              <w:rPr>
                <w:rFonts w:ascii="Helvetica_Neue_LT_W1G_55_Roman;sans-serif" w:hAnsi="Helvetica_Neue_LT_W1G_55_Roman;sans-serif"/>
                <w:b w:val="false"/>
                <w:color w:val="000000"/>
                <w:sz w:val="12"/>
              </w:rPr>
              <w:t>(2)</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1,404 </w:t>
            </w:r>
          </w:p>
        </w:tc>
        <w:tc>
          <w:tcPr>
            <w:tcW w:w="12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1,242 </w:t>
            </w:r>
          </w:p>
        </w:tc>
        <w:tc>
          <w:tcPr>
            <w:tcW w:w="12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2,694 </w:t>
            </w:r>
          </w:p>
        </w:tc>
        <w:tc>
          <w:tcPr>
            <w:tcW w:w="12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2,419 </w:t>
            </w:r>
          </w:p>
        </w:tc>
        <w:tc>
          <w:tcPr>
            <w:tcW w:w="18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13,480</w:t>
            </w:r>
            <w:r>
              <w:rPr>
                <w:color w:val="000000"/>
              </w:rPr>
              <w:t> </w:t>
            </w:r>
          </w:p>
        </w:tc>
        <w:tc>
          <w:tcPr>
            <w:tcW w:w="12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13,567</w:t>
            </w:r>
            <w:r>
              <w:rPr>
                <w:color w:val="000000"/>
              </w:rPr>
              <w:t> </w:t>
            </w:r>
          </w:p>
        </w:tc>
        <w:tc>
          <w:tcPr>
            <w:tcW w:w="122"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26,167</w:t>
            </w:r>
            <w:r>
              <w:rPr>
                <w:color w:val="000000"/>
              </w:rPr>
              <w:t> </w:t>
            </w:r>
          </w:p>
        </w:tc>
        <w:tc>
          <w:tcPr>
            <w:tcW w:w="122"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27,718</w:t>
            </w:r>
            <w:r>
              <w:rPr>
                <w:color w:val="000000"/>
              </w:rPr>
              <w:t> </w:t>
            </w:r>
          </w:p>
        </w:tc>
        <w:tc>
          <w:tcPr>
            <w:tcW w:w="187"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6"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i/>
                <w:color w:val="0033A0"/>
                <w:sz w:val="18"/>
              </w:rPr>
            </w:pPr>
            <w:r>
              <w:rPr>
                <w:rFonts w:ascii="Helvetica_Neue_LT_W1G_55_Roman;sans-serif" w:hAnsi="Helvetica_Neue_LT_W1G_55_Roman;sans-serif"/>
                <w:b/>
                <w:i/>
                <w:color w:val="0033A0"/>
                <w:sz w:val="18"/>
              </w:rPr>
              <w:t>Run-off Property-Liability</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Claims and claims expense prior year reserve reestimates</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2 </w:t>
            </w:r>
          </w:p>
        </w:tc>
        <w:tc>
          <w:tcPr>
            <w:tcW w:w="12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5 </w:t>
            </w:r>
          </w:p>
        </w:tc>
        <w:tc>
          <w:tcPr>
            <w:tcW w:w="18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pPr>
            <w:r>
              <w:rPr>
                <w:rFonts w:ascii="Helvetica_Neue_LT_W1G_55_Roman;sans-serif" w:hAnsi="Helvetica_Neue_LT_W1G_55_Roman;sans-serif"/>
                <w:b w:val="false"/>
                <w:color w:val="000000"/>
                <w:sz w:val="18"/>
              </w:rPr>
              <w:t xml:space="preserve">Other segment expenses </w:t>
            </w:r>
            <w:r>
              <w:rPr>
                <w:rFonts w:ascii="Helvetica_Neue_LT_W1G_55_Roman;sans-serif" w:hAnsi="Helvetica_Neue_LT_W1G_55_Roman;sans-serif"/>
                <w:b w:val="false"/>
                <w:color w:val="000000"/>
                <w:sz w:val="12"/>
              </w:rPr>
              <w:t>(2)</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1 </w:t>
            </w:r>
          </w:p>
        </w:tc>
        <w:tc>
          <w:tcPr>
            <w:tcW w:w="12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1 </w:t>
            </w:r>
          </w:p>
        </w:tc>
        <w:tc>
          <w:tcPr>
            <w:tcW w:w="12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2 </w:t>
            </w:r>
          </w:p>
        </w:tc>
        <w:tc>
          <w:tcPr>
            <w:tcW w:w="18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3</w:t>
            </w:r>
            <w:r>
              <w:rPr>
                <w:color w:val="000000"/>
              </w:rPr>
              <w:t> </w:t>
            </w:r>
          </w:p>
        </w:tc>
        <w:tc>
          <w:tcPr>
            <w:tcW w:w="12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w:t>
            </w:r>
            <w:r>
              <w:rPr>
                <w:color w:val="000000"/>
              </w:rPr>
              <w:t> </w:t>
            </w:r>
          </w:p>
        </w:tc>
        <w:tc>
          <w:tcPr>
            <w:tcW w:w="12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7</w:t>
            </w:r>
            <w:r>
              <w:rPr>
                <w:color w:val="000000"/>
              </w:rPr>
              <w:t> </w:t>
            </w:r>
          </w:p>
        </w:tc>
        <w:tc>
          <w:tcPr>
            <w:tcW w:w="18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6"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i/>
                <w:color w:val="0033A0"/>
                <w:sz w:val="18"/>
              </w:rPr>
            </w:pPr>
            <w:r>
              <w:rPr>
                <w:rFonts w:ascii="Helvetica_Neue_LT_W1G_55_Roman;sans-serif" w:hAnsi="Helvetica_Neue_LT_W1G_55_Roman;sans-serif"/>
                <w:b/>
                <w:i/>
                <w:color w:val="0033A0"/>
                <w:sz w:val="18"/>
              </w:rPr>
              <w:t>Protection Services</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Claims and claims expense</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198 </w:t>
            </w:r>
          </w:p>
        </w:tc>
        <w:tc>
          <w:tcPr>
            <w:tcW w:w="12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4"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170 </w:t>
            </w:r>
          </w:p>
        </w:tc>
        <w:tc>
          <w:tcPr>
            <w:tcW w:w="12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397 </w:t>
            </w:r>
          </w:p>
        </w:tc>
        <w:tc>
          <w:tcPr>
            <w:tcW w:w="12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331 </w:t>
            </w:r>
          </w:p>
        </w:tc>
        <w:tc>
          <w:tcPr>
            <w:tcW w:w="18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Amortization of DAC</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356 </w:t>
            </w:r>
          </w:p>
        </w:tc>
        <w:tc>
          <w:tcPr>
            <w:tcW w:w="12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328 </w:t>
            </w:r>
          </w:p>
        </w:tc>
        <w:tc>
          <w:tcPr>
            <w:tcW w:w="12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704 </w:t>
            </w:r>
          </w:p>
        </w:tc>
        <w:tc>
          <w:tcPr>
            <w:tcW w:w="12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646 </w:t>
            </w:r>
          </w:p>
        </w:tc>
        <w:tc>
          <w:tcPr>
            <w:tcW w:w="18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Non-deferrable commissions</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124 </w:t>
            </w:r>
          </w:p>
        </w:tc>
        <w:tc>
          <w:tcPr>
            <w:tcW w:w="12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4"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110 </w:t>
            </w:r>
          </w:p>
        </w:tc>
        <w:tc>
          <w:tcPr>
            <w:tcW w:w="12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250 </w:t>
            </w:r>
          </w:p>
        </w:tc>
        <w:tc>
          <w:tcPr>
            <w:tcW w:w="12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211 </w:t>
            </w:r>
          </w:p>
        </w:tc>
        <w:tc>
          <w:tcPr>
            <w:tcW w:w="18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Restructuring and related charges</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4"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1 </w:t>
            </w:r>
          </w:p>
        </w:tc>
        <w:tc>
          <w:tcPr>
            <w:tcW w:w="12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4 </w:t>
            </w:r>
          </w:p>
        </w:tc>
        <w:tc>
          <w:tcPr>
            <w:tcW w:w="12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1 </w:t>
            </w:r>
          </w:p>
        </w:tc>
        <w:tc>
          <w:tcPr>
            <w:tcW w:w="18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pPr>
            <w:r>
              <w:rPr>
                <w:rFonts w:ascii="Helvetica_Neue_LT_W1G_55_Roman;sans-serif" w:hAnsi="Helvetica_Neue_LT_W1G_55_Roman;sans-serif"/>
                <w:b w:val="false"/>
                <w:color w:val="000000"/>
                <w:sz w:val="18"/>
              </w:rPr>
              <w:t xml:space="preserve">Other segment expenses </w:t>
            </w:r>
            <w:r>
              <w:rPr>
                <w:rFonts w:ascii="Helvetica_Neue_LT_W1G_55_Roman;sans-serif" w:hAnsi="Helvetica_Neue_LT_W1G_55_Roman;sans-serif"/>
                <w:b w:val="false"/>
                <w:color w:val="000000"/>
                <w:sz w:val="12"/>
              </w:rPr>
              <w:t>(2)</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186 </w:t>
            </w:r>
          </w:p>
        </w:tc>
        <w:tc>
          <w:tcPr>
            <w:tcW w:w="12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180 </w:t>
            </w:r>
          </w:p>
        </w:tc>
        <w:tc>
          <w:tcPr>
            <w:tcW w:w="12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369 </w:t>
            </w:r>
          </w:p>
        </w:tc>
        <w:tc>
          <w:tcPr>
            <w:tcW w:w="12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388 </w:t>
            </w:r>
          </w:p>
        </w:tc>
        <w:tc>
          <w:tcPr>
            <w:tcW w:w="18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pPr>
            <w:r>
              <w:rPr>
                <w:rFonts w:ascii="Helvetica_Neue_LT_W1G_55_Roman;sans-serif" w:hAnsi="Helvetica_Neue_LT_W1G_55_Roman;sans-serif"/>
                <w:b w:val="false"/>
                <w:color w:val="000000"/>
                <w:sz w:val="18"/>
              </w:rPr>
              <w:t xml:space="preserve">Income taxes on operations </w:t>
            </w:r>
            <w:r>
              <w:rPr>
                <w:rFonts w:ascii="Helvetica_Neue_LT_W1G_55_Roman;sans-serif" w:hAnsi="Helvetica_Neue_LT_W1G_55_Roman;sans-serif"/>
                <w:b w:val="false"/>
                <w:color w:val="000000"/>
                <w:sz w:val="12"/>
              </w:rPr>
              <w:t>(3)</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19 </w:t>
            </w:r>
          </w:p>
        </w:tc>
        <w:tc>
          <w:tcPr>
            <w:tcW w:w="12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4"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18 </w:t>
            </w:r>
          </w:p>
        </w:tc>
        <w:tc>
          <w:tcPr>
            <w:tcW w:w="12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34 </w:t>
            </w:r>
          </w:p>
        </w:tc>
        <w:tc>
          <w:tcPr>
            <w:tcW w:w="12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35 </w:t>
            </w:r>
          </w:p>
        </w:tc>
        <w:tc>
          <w:tcPr>
            <w:tcW w:w="18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883</w:t>
            </w:r>
            <w:r>
              <w:rPr>
                <w:color w:val="000000"/>
              </w:rPr>
              <w:t> </w:t>
            </w:r>
          </w:p>
        </w:tc>
        <w:tc>
          <w:tcPr>
            <w:tcW w:w="12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807</w:t>
            </w:r>
            <w:r>
              <w:rPr>
                <w:color w:val="000000"/>
              </w:rPr>
              <w:t> </w:t>
            </w:r>
          </w:p>
        </w:tc>
        <w:tc>
          <w:tcPr>
            <w:tcW w:w="12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1,758</w:t>
            </w:r>
            <w:r>
              <w:rPr>
                <w:color w:val="000000"/>
              </w:rPr>
              <w:t> </w:t>
            </w:r>
          </w:p>
        </w:tc>
        <w:tc>
          <w:tcPr>
            <w:tcW w:w="12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1,612</w:t>
            </w:r>
            <w:r>
              <w:rPr>
                <w:color w:val="000000"/>
              </w:rPr>
              <w:t> </w:t>
            </w:r>
          </w:p>
        </w:tc>
        <w:tc>
          <w:tcPr>
            <w:tcW w:w="18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6"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4"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4"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4"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op w:val="single" w:sz="4"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i/>
                <w:color w:val="0033A0"/>
                <w:sz w:val="18"/>
              </w:rPr>
            </w:pPr>
            <w:r>
              <w:rPr>
                <w:rFonts w:ascii="Helvetica_Neue_LT_W1G_55_Roman;sans-serif" w:hAnsi="Helvetica_Neue_LT_W1G_55_Roman;sans-serif"/>
                <w:b/>
                <w:i/>
                <w:color w:val="0033A0"/>
                <w:sz w:val="18"/>
              </w:rPr>
              <w:t>Allstate Health and Benefits</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Accident, health and other policy benefits</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121 </w:t>
            </w:r>
          </w:p>
        </w:tc>
        <w:tc>
          <w:tcPr>
            <w:tcW w:w="12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379 </w:t>
            </w:r>
          </w:p>
        </w:tc>
        <w:tc>
          <w:tcPr>
            <w:tcW w:w="18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Amortization of DAC</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30 </w:t>
            </w:r>
          </w:p>
        </w:tc>
        <w:tc>
          <w:tcPr>
            <w:tcW w:w="18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370" w:type="dxa"/>
            <w:gridSpan w:val="3"/>
            <w:tcBorders/>
            <w:vAlign w:val="center"/>
          </w:tcPr>
          <w:p>
            <w:pPr>
              <w:pStyle w:val="TableContents"/>
              <w:bidi w:val="0"/>
              <w:spacing w:before="0" w:after="283"/>
              <w:jc w:val="left"/>
              <w:rPr>
                <w:sz w:val="4"/>
                <w:szCs w:val="4"/>
              </w:rPr>
            </w:pPr>
            <w:r>
              <w:rPr>
                <w:sz w:val="4"/>
                <w:szCs w:val="4"/>
              </w:rPr>
            </w:r>
          </w:p>
        </w:tc>
      </w:tr>
      <w:tr>
        <w:trPr/>
        <w:tc>
          <w:tcPr>
            <w:tcW w:w="372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pPr>
            <w:r>
              <w:rPr>
                <w:rFonts w:ascii="Helvetica_Neue_LT_W1G_55_Roman;sans-serif" w:hAnsi="Helvetica_Neue_LT_W1G_55_Roman;sans-serif"/>
                <w:b w:val="false"/>
                <w:color w:val="000000"/>
                <w:sz w:val="18"/>
              </w:rPr>
              <w:t xml:space="preserve">Other segment expenses </w:t>
            </w:r>
            <w:r>
              <w:rPr>
                <w:rFonts w:ascii="Helvetica_Neue_LT_W1G_55_Roman;sans-serif" w:hAnsi="Helvetica_Neue_LT_W1G_55_Roman;sans-serif"/>
                <w:b w:val="false"/>
                <w:color w:val="000000"/>
                <w:sz w:val="12"/>
              </w:rPr>
              <w:t>(2)</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71 </w:t>
            </w:r>
          </w:p>
        </w:tc>
        <w:tc>
          <w:tcPr>
            <w:tcW w:w="12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213 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pPr>
            <w:r>
              <w:rPr>
                <w:rFonts w:ascii="Helvetica_Neue_LT_W1G_55_Roman;sans-serif" w:hAnsi="Helvetica_Neue_LT_W1G_55_Roman;sans-serif"/>
                <w:b w:val="false"/>
                <w:color w:val="000000"/>
                <w:sz w:val="18"/>
              </w:rPr>
              <w:t xml:space="preserve">Income taxes on operations </w:t>
            </w:r>
            <w:r>
              <w:rPr>
                <w:rFonts w:ascii="Helvetica_Neue_LT_W1G_55_Roman;sans-serif" w:hAnsi="Helvetica_Neue_LT_W1G_55_Roman;sans-serif"/>
                <w:b w:val="false"/>
                <w:color w:val="000000"/>
                <w:sz w:val="12"/>
              </w:rPr>
              <w:t>(3)</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2 </w:t>
            </w:r>
          </w:p>
        </w:tc>
        <w:tc>
          <w:tcPr>
            <w:tcW w:w="12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12 </w:t>
            </w:r>
          </w:p>
        </w:tc>
        <w:tc>
          <w:tcPr>
            <w:tcW w:w="18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194</w:t>
            </w:r>
            <w:r>
              <w:rPr>
                <w:color w:val="000000"/>
              </w:rPr>
              <w:t> </w:t>
            </w:r>
          </w:p>
        </w:tc>
        <w:tc>
          <w:tcPr>
            <w:tcW w:w="12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634</w:t>
            </w:r>
            <w:r>
              <w:rPr>
                <w:color w:val="000000"/>
              </w:rPr>
              <w:t> </w:t>
            </w:r>
          </w:p>
        </w:tc>
        <w:tc>
          <w:tcPr>
            <w:tcW w:w="18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6"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4"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4"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4"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op w:val="single" w:sz="4"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i/>
                <w:color w:val="0033A0"/>
                <w:sz w:val="18"/>
              </w:rPr>
            </w:pPr>
            <w:r>
              <w:rPr>
                <w:rFonts w:ascii="Helvetica_Neue_LT_W1G_55_Roman;sans-serif" w:hAnsi="Helvetica_Neue_LT_W1G_55_Roman;sans-serif"/>
                <w:b/>
                <w:i/>
                <w:color w:val="0033A0"/>
                <w:sz w:val="18"/>
              </w:rPr>
              <w:t>Corporate</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Interest expense</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96 </w:t>
            </w:r>
          </w:p>
        </w:tc>
        <w:tc>
          <w:tcPr>
            <w:tcW w:w="12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100 </w:t>
            </w:r>
          </w:p>
        </w:tc>
        <w:tc>
          <w:tcPr>
            <w:tcW w:w="12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194 </w:t>
            </w:r>
          </w:p>
        </w:tc>
        <w:tc>
          <w:tcPr>
            <w:tcW w:w="12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200 </w:t>
            </w:r>
          </w:p>
        </w:tc>
        <w:tc>
          <w:tcPr>
            <w:tcW w:w="18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370" w:type="dxa"/>
            <w:gridSpan w:val="3"/>
            <w:tcBorders/>
            <w:vAlign w:val="center"/>
          </w:tcPr>
          <w:p>
            <w:pPr>
              <w:pStyle w:val="TableContents"/>
              <w:bidi w:val="0"/>
              <w:spacing w:before="0" w:after="283"/>
              <w:jc w:val="left"/>
              <w:rPr>
                <w:sz w:val="4"/>
                <w:szCs w:val="4"/>
              </w:rPr>
            </w:pPr>
            <w:r>
              <w:rPr>
                <w:sz w:val="4"/>
                <w:szCs w:val="4"/>
              </w:rPr>
            </w:r>
          </w:p>
        </w:tc>
      </w:tr>
      <w:tr>
        <w:trPr/>
        <w:tc>
          <w:tcPr>
            <w:tcW w:w="372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pPr>
            <w:r>
              <w:rPr>
                <w:rFonts w:ascii="Helvetica_Neue_LT_W1G_55_Roman;sans-serif" w:hAnsi="Helvetica_Neue_LT_W1G_55_Roman;sans-serif"/>
                <w:b w:val="false"/>
                <w:color w:val="000000"/>
                <w:sz w:val="18"/>
              </w:rPr>
              <w:t xml:space="preserve">Other segment expenses </w:t>
            </w:r>
            <w:r>
              <w:rPr>
                <w:rFonts w:ascii="Helvetica_Neue_LT_W1G_55_Roman;sans-serif" w:hAnsi="Helvetica_Neue_LT_W1G_55_Roman;sans-serif"/>
                <w:b w:val="false"/>
                <w:color w:val="000000"/>
                <w:sz w:val="12"/>
              </w:rPr>
              <w:t>(2)</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33 </w:t>
            </w:r>
          </w:p>
        </w:tc>
        <w:tc>
          <w:tcPr>
            <w:tcW w:w="122"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45 </w:t>
            </w:r>
          </w:p>
        </w:tc>
        <w:tc>
          <w:tcPr>
            <w:tcW w:w="122"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66 </w:t>
            </w:r>
          </w:p>
        </w:tc>
        <w:tc>
          <w:tcPr>
            <w:tcW w:w="122"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77 </w:t>
            </w:r>
          </w:p>
        </w:tc>
        <w:tc>
          <w:tcPr>
            <w:tcW w:w="187"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pPr>
            <w:r>
              <w:rPr>
                <w:rFonts w:ascii="Helvetica_Neue_LT_W1G_55_Roman;sans-serif" w:hAnsi="Helvetica_Neue_LT_W1G_55_Roman;sans-serif"/>
                <w:b w:val="false"/>
                <w:color w:val="000000"/>
                <w:sz w:val="18"/>
              </w:rPr>
              <w:t xml:space="preserve">Income taxes on operations </w:t>
            </w:r>
            <w:r>
              <w:rPr>
                <w:rFonts w:ascii="Helvetica_Neue_LT_W1G_55_Roman;sans-serif" w:hAnsi="Helvetica_Neue_LT_W1G_55_Roman;sans-serif"/>
                <w:b w:val="false"/>
                <w:color w:val="000000"/>
                <w:sz w:val="12"/>
              </w:rPr>
              <w:t>(3)</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w:t>
            </w:r>
          </w:p>
        </w:tc>
        <w:tc>
          <w:tcPr>
            <w:tcW w:w="12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(21)</w:t>
            </w:r>
          </w:p>
        </w:tc>
        <w:tc>
          <w:tcPr>
            <w:tcW w:w="12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(19)</w:t>
            </w:r>
          </w:p>
        </w:tc>
        <w:tc>
          <w:tcPr>
            <w:tcW w:w="12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(48)</w:t>
            </w:r>
          </w:p>
        </w:tc>
        <w:tc>
          <w:tcPr>
            <w:tcW w:w="18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Preferred stock dividends</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30 </w:t>
            </w:r>
          </w:p>
        </w:tc>
        <w:tc>
          <w:tcPr>
            <w:tcW w:w="12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30 </w:t>
            </w:r>
          </w:p>
        </w:tc>
        <w:tc>
          <w:tcPr>
            <w:tcW w:w="12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59 </w:t>
            </w:r>
          </w:p>
        </w:tc>
        <w:tc>
          <w:tcPr>
            <w:tcW w:w="12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59 </w:t>
            </w:r>
          </w:p>
        </w:tc>
        <w:tc>
          <w:tcPr>
            <w:tcW w:w="18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6" w:type="dxa"/>
            <w:gridSpan w:val="3"/>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794"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156</w:t>
            </w:r>
            <w:r>
              <w:rPr>
                <w:color w:val="000000"/>
              </w:rPr>
              <w:t> </w:t>
            </w:r>
          </w:p>
        </w:tc>
        <w:tc>
          <w:tcPr>
            <w:tcW w:w="122"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794"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154</w:t>
            </w:r>
            <w:r>
              <w:rPr>
                <w:color w:val="000000"/>
              </w:rPr>
              <w:t> </w:t>
            </w:r>
          </w:p>
        </w:tc>
        <w:tc>
          <w:tcPr>
            <w:tcW w:w="122"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929"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300</w:t>
            </w:r>
            <w:r>
              <w:rPr>
                <w:color w:val="000000"/>
              </w:rPr>
              <w:t> </w:t>
            </w:r>
          </w:p>
        </w:tc>
        <w:tc>
          <w:tcPr>
            <w:tcW w:w="122"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929"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288</w:t>
            </w:r>
            <w:r>
              <w:rPr>
                <w:color w:val="000000"/>
              </w:rPr>
              <w:t> </w:t>
            </w:r>
          </w:p>
        </w:tc>
        <w:tc>
          <w:tcPr>
            <w:tcW w:w="187"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180"/>
        <w:jc w:val="left"/>
        <w:rPr/>
      </w:pPr>
      <w:r>
        <w:rPr>
          <w:rFonts w:ascii="Allstate Sans;sans-serif" w:hAnsi="Allstate Sans;sans-serif"/>
          <w:b w:val="false"/>
          <w:color w:val="000000"/>
          <w:sz w:val="10"/>
        </w:rPr>
        <w:t>(1)</w:t>
      </w:r>
      <w:r>
        <w:rPr>
          <w:rFonts w:ascii="Allstate Sans;sans-serif" w:hAnsi="Allstate Sans;sans-serif"/>
          <w:b w:val="false"/>
          <w:color w:val="000000"/>
          <w:sz w:val="16"/>
        </w:rPr>
        <w:t>Includes Allstate Protection incurred loss adjustment expenses, net of reinsurance of $799 million and $750 million during the three months ended June 30, 2026 and 2025, respectively, and $1.58 billion</w:t>
      </w:r>
      <w:r>
        <w:rPr>
          <w:color w:val="000000"/>
        </w:rPr>
        <w:t xml:space="preserve"> </w:t>
      </w:r>
      <w:r>
        <w:rPr>
          <w:rFonts w:ascii="Allstate Sans;sans-serif" w:hAnsi="Allstate Sans;sans-serif"/>
          <w:b w:val="false"/>
          <w:color w:val="000000"/>
          <w:sz w:val="18"/>
        </w:rPr>
        <w:t xml:space="preserve">and </w:t>
      </w:r>
      <w:r>
        <w:rPr>
          <w:rFonts w:ascii="Allstate Sans;sans-serif" w:hAnsi="Allstate Sans;sans-serif"/>
          <w:b w:val="false"/>
          <w:color w:val="000000"/>
          <w:sz w:val="16"/>
        </w:rPr>
        <w:t xml:space="preserve">$1.48 billion during the six months ended June 30, 2026 and 2025, respectively. </w:t>
      </w:r>
    </w:p>
    <w:p>
      <w:pPr>
        <w:pStyle w:val="TextBody"/>
        <w:bidi w:val="0"/>
        <w:spacing w:lineRule="auto" w:line="288" w:before="60" w:after="60"/>
        <w:ind w:left="0" w:right="0" w:hanging="180"/>
        <w:jc w:val="left"/>
        <w:rPr/>
      </w:pPr>
      <w:r>
        <w:rPr>
          <w:rFonts w:ascii="Allstate Sans;sans-serif" w:hAnsi="Allstate Sans;sans-serif"/>
          <w:b w:val="false"/>
          <w:color w:val="000000"/>
          <w:sz w:val="10"/>
        </w:rPr>
        <w:t>(2)</w:t>
      </w:r>
      <w:r>
        <w:rPr>
          <w:rFonts w:ascii="Allstate Sans;sans-serif" w:hAnsi="Allstate Sans;sans-serif"/>
          <w:b w:val="false"/>
          <w:color w:val="000000"/>
          <w:sz w:val="16"/>
        </w:rPr>
        <w:t>Includes employee-related costs, professional services, technology and other operating costs and expenses.</w:t>
      </w:r>
    </w:p>
    <w:p>
      <w:pPr>
        <w:pStyle w:val="TextBody"/>
        <w:bidi w:val="0"/>
        <w:spacing w:lineRule="auto" w:line="288" w:before="60" w:after="60"/>
        <w:ind w:left="0" w:right="0" w:hanging="180"/>
        <w:jc w:val="left"/>
        <w:rPr/>
      </w:pPr>
      <w:r>
        <w:rPr>
          <w:rFonts w:ascii="Allstate Sans;sans-serif" w:hAnsi="Allstate Sans;sans-serif"/>
          <w:b w:val="false"/>
          <w:color w:val="000000"/>
          <w:sz w:val="10"/>
        </w:rPr>
        <w:t>(3)</w:t>
      </w:r>
      <w:r>
        <w:rPr>
          <w:rFonts w:ascii="Allstate Sans;sans-serif" w:hAnsi="Allstate Sans;sans-serif"/>
          <w:b w:val="false"/>
          <w:color w:val="000000"/>
          <w:sz w:val="16"/>
        </w:rPr>
        <w:t xml:space="preserve">Excludes taxes attributable to items excluded from the segment’s reported measure of profit or loss.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13"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120"/>
                              <w:jc w:val="left"/>
                              <w:rPr/>
                            </w:pPr>
                            <w:r>
                              <w:rPr>
                                <w:rFonts w:ascii="Allstate Sans;sans-serif" w:hAnsi="Allstate Sans;sans-serif"/>
                                <w:b w:val="false"/>
                                <w:color w:val="0033A0"/>
                                <w:sz w:val="18"/>
                              </w:rPr>
                              <w:t>10</w:t>
                            </w:r>
                            <w:r>
                              <w:rPr>
                                <w:color w:val="1666AF"/>
                              </w:rPr>
                              <w:t xml:space="preserve"> </w:t>
                            </w:r>
                            <w:r>
                              <w:rPr>
                                <w:rFonts w:ascii="Allstate Sans;sans-serif" w:hAnsi="Allstate Sans;sans-serif"/>
                                <w:b w:val="false"/>
                                <w:color w:val="000000"/>
                                <w:sz w:val="18"/>
                              </w:rPr>
                              <w:t>www.allstate.com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left"/>
                        <w:rPr/>
                      </w:pPr>
                      <w:r>
                        <w:rPr>
                          <w:rFonts w:ascii="Allstate Sans;sans-serif" w:hAnsi="Allstate Sans;sans-serif"/>
                          <w:b w:val="false"/>
                          <w:color w:val="0033A0"/>
                          <w:sz w:val="18"/>
                        </w:rPr>
                        <w:t>10</w:t>
                      </w:r>
                      <w:r>
                        <w:rPr>
                          <w:color w:val="1666AF"/>
                        </w:rPr>
                        <w:t xml:space="preserve"> </w:t>
                      </w:r>
                      <w:r>
                        <w:rPr>
                          <w:rFonts w:ascii="Allstate Sans;sans-serif" w:hAnsi="Allstate Sans;sans-serif"/>
                          <w:b w:val="false"/>
                          <w:color w:val="000000"/>
                          <w:sz w:val="18"/>
                        </w:rPr>
                        <w:t>www.allstate.com</w:t>
                      </w:r>
                    </w:p>
                  </w:txbxContent>
                </v:textbox>
                <w10:wrap type="none"/>
              </v:rect>
            </w:pict>
          </mc:Fallback>
        </mc:AlternateContent>
      </w:r>
    </w:p>
    <w:p>
      <w:pPr>
        <w:pStyle w:val="TextBody"/>
        <w:bidi w:val="0"/>
        <w:spacing w:lineRule="auto" w:line="288" w:before="0" w:after="0"/>
        <w:jc w:val="right"/>
        <w:rPr>
          <w:rFonts w:ascii="Allstate Sans;sans-serif" w:hAnsi="Allstate Sans;sans-serif"/>
          <w:b w:val="false"/>
          <w:color w:val="0033A0"/>
          <w:sz w:val="18"/>
        </w:rPr>
      </w:pPr>
      <w:r>
        <w:rPr>
          <w:rFonts w:ascii="Allstate Sans;sans-serif" w:hAnsi="Allstate Sans;sans-serif"/>
          <w:b w:val="false"/>
          <w:color w:val="0033A0"/>
          <w:sz w:val="18"/>
        </w:rPr>
        <w:t>Notes to Condensed Consolidated Financial Statements</w:t>
      </w:r>
    </w:p>
    <w:p>
      <w:pPr>
        <w:pStyle w:val="TextBody"/>
        <w:bidi w:val="0"/>
        <w:spacing w:before="0" w:after="120"/>
        <w:ind w:left="0" w:right="0" w:firstLine="360"/>
        <w:jc w:val="left"/>
        <w:rPr/>
      </w:pPr>
      <w:r>
        <w:rPr/>
      </w:r>
    </w:p>
    <w:tbl>
      <w:tblPr>
        <w:tblW w:w="10205" w:type="dxa"/>
        <w:jc w:val="left"/>
        <w:tblInd w:w="0" w:type="dxa"/>
        <w:tblLayout w:type="fixed"/>
        <w:tblCellMar>
          <w:top w:w="28" w:type="dxa"/>
          <w:left w:w="28" w:type="dxa"/>
          <w:bottom w:w="28" w:type="dxa"/>
          <w:right w:w="28" w:type="dxa"/>
        </w:tblCellMar>
      </w:tblPr>
      <w:tblGrid>
        <w:gridCol w:w="1400"/>
        <w:gridCol w:w="1190"/>
        <w:gridCol w:w="1200"/>
        <w:gridCol w:w="109"/>
        <w:gridCol w:w="109"/>
        <w:gridCol w:w="109"/>
        <w:gridCol w:w="274"/>
        <w:gridCol w:w="875"/>
        <w:gridCol w:w="132"/>
        <w:gridCol w:w="132"/>
        <w:gridCol w:w="132"/>
        <w:gridCol w:w="132"/>
        <w:gridCol w:w="274"/>
        <w:gridCol w:w="875"/>
        <w:gridCol w:w="132"/>
        <w:gridCol w:w="109"/>
        <w:gridCol w:w="109"/>
        <w:gridCol w:w="109"/>
        <w:gridCol w:w="254"/>
        <w:gridCol w:w="812"/>
        <w:gridCol w:w="122"/>
        <w:gridCol w:w="122"/>
        <w:gridCol w:w="122"/>
        <w:gridCol w:w="122"/>
        <w:gridCol w:w="254"/>
        <w:gridCol w:w="812"/>
        <w:gridCol w:w="183"/>
      </w:tblGrid>
      <w:tr>
        <w:trPr/>
        <w:tc>
          <w:tcPr>
            <w:tcW w:w="140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10205" w:type="dxa"/>
            <w:gridSpan w:val="27"/>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120"/>
              <w:jc w:val="left"/>
              <w:rPr>
                <w:rFonts w:ascii="Allstate Sans;sans-serif" w:hAnsi="Allstate Sans;sans-serif"/>
                <w:b/>
                <w:color w:val="000000"/>
                <w:sz w:val="18"/>
              </w:rPr>
            </w:pPr>
            <w:r>
              <w:rPr>
                <w:rFonts w:ascii="Allstate Sans;sans-serif" w:hAnsi="Allstate Sans;sans-serif"/>
                <w:b/>
                <w:color w:val="000000"/>
                <w:sz w:val="18"/>
              </w:rPr>
              <w:t>Additional significant financial performance data</w:t>
            </w:r>
          </w:p>
        </w:tc>
      </w:tr>
      <w:tr>
        <w:trPr/>
        <w:tc>
          <w:tcPr>
            <w:tcW w:w="37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Six months ended June 30,</w:t>
            </w:r>
          </w:p>
        </w:tc>
      </w:tr>
      <w:tr>
        <w:trPr/>
        <w:tc>
          <w:tcPr>
            <w:tcW w:w="3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2026</w:t>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2026</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2025</w:t>
            </w:r>
          </w:p>
        </w:tc>
      </w:tr>
      <w:tr>
        <w:trPr/>
        <w:tc>
          <w:tcPr>
            <w:tcW w:w="3790"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Amortization of DAC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Allstate Protection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875"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1,840 </w:t>
            </w:r>
          </w:p>
        </w:tc>
        <w:tc>
          <w:tcPr>
            <w:tcW w:w="13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875"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1,742 </w:t>
            </w:r>
          </w:p>
        </w:tc>
        <w:tc>
          <w:tcPr>
            <w:tcW w:w="13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812"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3,661 </w:t>
            </w:r>
          </w:p>
        </w:tc>
        <w:tc>
          <w:tcPr>
            <w:tcW w:w="12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812"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3,474 </w:t>
            </w:r>
          </w:p>
        </w:tc>
        <w:tc>
          <w:tcPr>
            <w:tcW w:w="18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Protection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356 </w:t>
            </w:r>
          </w:p>
        </w:tc>
        <w:tc>
          <w:tcPr>
            <w:tcW w:w="13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328 </w:t>
            </w:r>
          </w:p>
        </w:tc>
        <w:tc>
          <w:tcPr>
            <w:tcW w:w="13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704 </w:t>
            </w:r>
          </w:p>
        </w:tc>
        <w:tc>
          <w:tcPr>
            <w:tcW w:w="12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646 </w:t>
            </w:r>
          </w:p>
        </w:tc>
        <w:tc>
          <w:tcPr>
            <w:tcW w:w="18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0"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Allstate Health and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30 </w:t>
            </w:r>
          </w:p>
        </w:tc>
        <w:tc>
          <w:tcPr>
            <w:tcW w:w="18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All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6 </w:t>
            </w:r>
          </w:p>
        </w:tc>
        <w:tc>
          <w:tcPr>
            <w:tcW w:w="13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6 </w:t>
            </w:r>
          </w:p>
        </w:tc>
        <w:tc>
          <w:tcPr>
            <w:tcW w:w="13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15 </w:t>
            </w:r>
          </w:p>
        </w:tc>
        <w:tc>
          <w:tcPr>
            <w:tcW w:w="12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13 </w:t>
            </w:r>
          </w:p>
        </w:tc>
        <w:tc>
          <w:tcPr>
            <w:tcW w:w="18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0"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Consolidated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875"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2,202</w:t>
            </w:r>
            <w:r>
              <w:rPr>
                <w:color w:val="000000"/>
              </w:rPr>
              <w:t> </w:t>
            </w:r>
          </w:p>
        </w:tc>
        <w:tc>
          <w:tcPr>
            <w:tcW w:w="13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875"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2,076</w:t>
            </w:r>
            <w:r>
              <w:rPr>
                <w:color w:val="000000"/>
              </w:rPr>
              <w:t> </w:t>
            </w:r>
          </w:p>
        </w:tc>
        <w:tc>
          <w:tcPr>
            <w:tcW w:w="13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812"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4,380</w:t>
            </w:r>
            <w:r>
              <w:rPr>
                <w:color w:val="000000"/>
              </w:rPr>
              <w:t> </w:t>
            </w:r>
          </w:p>
        </w:tc>
        <w:tc>
          <w:tcPr>
            <w:tcW w:w="12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812"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4,163</w:t>
            </w:r>
            <w:r>
              <w:rPr>
                <w:color w:val="000000"/>
              </w:rPr>
              <w:t> </w:t>
            </w:r>
          </w:p>
        </w:tc>
        <w:tc>
          <w:tcPr>
            <w:tcW w:w="18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0"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Amortization of purchased intangibles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Allstate Protection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875"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38 </w:t>
            </w:r>
          </w:p>
        </w:tc>
        <w:tc>
          <w:tcPr>
            <w:tcW w:w="13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875"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46 </w:t>
            </w:r>
          </w:p>
        </w:tc>
        <w:tc>
          <w:tcPr>
            <w:tcW w:w="13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812"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77 </w:t>
            </w:r>
          </w:p>
        </w:tc>
        <w:tc>
          <w:tcPr>
            <w:tcW w:w="12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812"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92 </w:t>
            </w:r>
          </w:p>
        </w:tc>
        <w:tc>
          <w:tcPr>
            <w:tcW w:w="18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Protection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6 </w:t>
            </w:r>
          </w:p>
        </w:tc>
        <w:tc>
          <w:tcPr>
            <w:tcW w:w="13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9 </w:t>
            </w:r>
          </w:p>
        </w:tc>
        <w:tc>
          <w:tcPr>
            <w:tcW w:w="13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12 </w:t>
            </w:r>
          </w:p>
        </w:tc>
        <w:tc>
          <w:tcPr>
            <w:tcW w:w="12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18 </w:t>
            </w:r>
          </w:p>
        </w:tc>
        <w:tc>
          <w:tcPr>
            <w:tcW w:w="18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0"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Allstate Health and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1 </w:t>
            </w:r>
          </w:p>
        </w:tc>
        <w:tc>
          <w:tcPr>
            <w:tcW w:w="183"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All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2 </w:t>
            </w:r>
          </w:p>
        </w:tc>
        <w:tc>
          <w:tcPr>
            <w:tcW w:w="13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2 </w:t>
            </w:r>
          </w:p>
        </w:tc>
        <w:tc>
          <w:tcPr>
            <w:tcW w:w="13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4 </w:t>
            </w:r>
          </w:p>
        </w:tc>
        <w:tc>
          <w:tcPr>
            <w:tcW w:w="12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5 </w:t>
            </w:r>
          </w:p>
        </w:tc>
        <w:tc>
          <w:tcPr>
            <w:tcW w:w="18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0"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Consolidated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875"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46</w:t>
            </w:r>
            <w:r>
              <w:rPr>
                <w:color w:val="000000"/>
              </w:rPr>
              <w:t> </w:t>
            </w:r>
          </w:p>
        </w:tc>
        <w:tc>
          <w:tcPr>
            <w:tcW w:w="13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875"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57</w:t>
            </w:r>
            <w:r>
              <w:rPr>
                <w:color w:val="000000"/>
              </w:rPr>
              <w:t> </w:t>
            </w:r>
          </w:p>
        </w:tc>
        <w:tc>
          <w:tcPr>
            <w:tcW w:w="13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812"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93</w:t>
            </w:r>
            <w:r>
              <w:rPr>
                <w:color w:val="000000"/>
              </w:rPr>
              <w:t> </w:t>
            </w:r>
          </w:p>
        </w:tc>
        <w:tc>
          <w:tcPr>
            <w:tcW w:w="12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812"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116</w:t>
            </w:r>
            <w:r>
              <w:rPr>
                <w:color w:val="000000"/>
              </w:rPr>
              <w:t> </w:t>
            </w:r>
          </w:p>
        </w:tc>
        <w:tc>
          <w:tcPr>
            <w:tcW w:w="18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0"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Income tax expense (benefit)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Allstate Protection and Run-off Property-Liability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875"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812 </w:t>
            </w:r>
          </w:p>
        </w:tc>
        <w:tc>
          <w:tcPr>
            <w:tcW w:w="13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875"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350 </w:t>
            </w:r>
          </w:p>
        </w:tc>
        <w:tc>
          <w:tcPr>
            <w:tcW w:w="13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812"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1,480 </w:t>
            </w:r>
          </w:p>
        </w:tc>
        <w:tc>
          <w:tcPr>
            <w:tcW w:w="12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812"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498 </w:t>
            </w:r>
          </w:p>
        </w:tc>
        <w:tc>
          <w:tcPr>
            <w:tcW w:w="18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0"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Protection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23 </w:t>
            </w:r>
          </w:p>
        </w:tc>
        <w:tc>
          <w:tcPr>
            <w:tcW w:w="132"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16 </w:t>
            </w:r>
          </w:p>
        </w:tc>
        <w:tc>
          <w:tcPr>
            <w:tcW w:w="13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35 </w:t>
            </w:r>
          </w:p>
        </w:tc>
        <w:tc>
          <w:tcPr>
            <w:tcW w:w="12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29 </w:t>
            </w:r>
          </w:p>
        </w:tc>
        <w:tc>
          <w:tcPr>
            <w:tcW w:w="18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0"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Allstate Health and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249 </w:t>
            </w:r>
          </w:p>
        </w:tc>
        <w:tc>
          <w:tcPr>
            <w:tcW w:w="13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258 </w:t>
            </w:r>
          </w:p>
        </w:tc>
        <w:tc>
          <w:tcPr>
            <w:tcW w:w="18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Corporate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35 </w:t>
            </w:r>
          </w:p>
        </w:tc>
        <w:tc>
          <w:tcPr>
            <w:tcW w:w="13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(9)</w:t>
            </w:r>
          </w:p>
        </w:tc>
        <w:tc>
          <w:tcPr>
            <w:tcW w:w="13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2 </w:t>
            </w:r>
          </w:p>
        </w:tc>
        <w:tc>
          <w:tcPr>
            <w:tcW w:w="12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(55)</w:t>
            </w:r>
          </w:p>
        </w:tc>
        <w:tc>
          <w:tcPr>
            <w:tcW w:w="18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All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1 </w:t>
            </w:r>
          </w:p>
        </w:tc>
        <w:tc>
          <w:tcPr>
            <w:tcW w:w="13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w:t>
            </w:r>
          </w:p>
        </w:tc>
        <w:tc>
          <w:tcPr>
            <w:tcW w:w="13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4 </w:t>
            </w:r>
          </w:p>
        </w:tc>
        <w:tc>
          <w:tcPr>
            <w:tcW w:w="12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w:t>
            </w:r>
          </w:p>
        </w:tc>
        <w:tc>
          <w:tcPr>
            <w:tcW w:w="18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0" w:type="dxa"/>
            <w:gridSpan w:val="3"/>
            <w:tcBorders>
              <w:top w:val="single" w:sz="4" w:space="0" w:color="ACACAC"/>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Consolidated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875"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871</w:t>
            </w:r>
            <w:r>
              <w:rPr>
                <w:color w:val="000000"/>
              </w:rPr>
              <w:t> </w:t>
            </w:r>
          </w:p>
        </w:tc>
        <w:tc>
          <w:tcPr>
            <w:tcW w:w="132"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875"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604</w:t>
            </w:r>
            <w:r>
              <w:rPr>
                <w:color w:val="000000"/>
              </w:rPr>
              <w:t> </w:t>
            </w:r>
          </w:p>
        </w:tc>
        <w:tc>
          <w:tcPr>
            <w:tcW w:w="132"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812"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1,521</w:t>
            </w:r>
            <w:r>
              <w:rPr>
                <w:color w:val="000000"/>
              </w:rPr>
              <w:t> </w:t>
            </w:r>
          </w:p>
        </w:tc>
        <w:tc>
          <w:tcPr>
            <w:tcW w:w="122"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812"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727</w:t>
            </w:r>
            <w:r>
              <w:rPr>
                <w:color w:val="000000"/>
              </w:rPr>
              <w:t> </w:t>
            </w:r>
          </w:p>
        </w:tc>
        <w:tc>
          <w:tcPr>
            <w:tcW w:w="183"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 xml:space="preserve">Capital expenditures for long-lived assets are generally made at the Property-Liability level as the Company does not allocate assets to the Allstate Protection and Run-off Property-Liability segments. A portion of these long-lived assets are used by entities included in the Protection Services and Corporate segments and accordingly, are charged to these segments in proportion to their use. </w:t>
      </w:r>
    </w:p>
    <w:tbl>
      <w:tblPr>
        <w:tblW w:w="10205" w:type="dxa"/>
        <w:jc w:val="left"/>
        <w:tblInd w:w="0" w:type="dxa"/>
        <w:tblLayout w:type="fixed"/>
        <w:tblCellMar>
          <w:top w:w="28" w:type="dxa"/>
          <w:left w:w="28" w:type="dxa"/>
          <w:bottom w:w="28" w:type="dxa"/>
          <w:right w:w="28" w:type="dxa"/>
        </w:tblCellMar>
      </w:tblPr>
      <w:tblGrid>
        <w:gridCol w:w="1302"/>
        <w:gridCol w:w="1145"/>
        <w:gridCol w:w="1157"/>
        <w:gridCol w:w="218"/>
        <w:gridCol w:w="218"/>
        <w:gridCol w:w="218"/>
        <w:gridCol w:w="452"/>
        <w:gridCol w:w="1927"/>
        <w:gridCol w:w="218"/>
        <w:gridCol w:w="218"/>
        <w:gridCol w:w="218"/>
        <w:gridCol w:w="218"/>
        <w:gridCol w:w="452"/>
        <w:gridCol w:w="1927"/>
        <w:gridCol w:w="317"/>
      </w:tblGrid>
      <w:tr>
        <w:trPr/>
        <w:tc>
          <w:tcPr>
            <w:tcW w:w="130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op w:val="single" w:sz="4" w:space="0" w:color="000000"/>
            </w:tcBorders>
            <w:tcMar>
              <w:top w:w="30" w:type="dxa"/>
              <w:left w:w="0" w:type="dxa"/>
              <w:bottom w:w="0" w:type="dxa"/>
              <w:right w:w="0" w:type="dxa"/>
            </w:tcMar>
            <w:vAlign w:val="center"/>
          </w:tcPr>
          <w:p>
            <w:pPr>
              <w:pStyle w:val="TableContents"/>
              <w:bidi w:val="0"/>
              <w:spacing w:lineRule="auto" w:line="288" w:before="0" w:after="120"/>
              <w:jc w:val="left"/>
              <w:rPr>
                <w:rFonts w:ascii="Allstate Sans;sans-serif" w:hAnsi="Allstate Sans;sans-serif"/>
                <w:b/>
                <w:color w:val="000000"/>
                <w:sz w:val="18"/>
              </w:rPr>
            </w:pPr>
            <w:r>
              <w:rPr>
                <w:rFonts w:ascii="Allstate Sans;sans-serif" w:hAnsi="Allstate Sans;sans-serif"/>
                <w:b/>
                <w:color w:val="000000"/>
                <w:sz w:val="18"/>
              </w:rPr>
              <w:t>Reportable segments total assets, investments and deferred policy acquisition costs</w:t>
            </w:r>
          </w:p>
        </w:tc>
      </w:tr>
      <w:tr>
        <w:trPr/>
        <w:tc>
          <w:tcPr>
            <w:tcW w:w="36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 in millions)</w:t>
            </w:r>
          </w:p>
        </w:tc>
        <w:tc>
          <w:tcPr>
            <w:tcW w:w="6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June 30, 2026</w:t>
            </w:r>
          </w:p>
        </w:tc>
        <w:tc>
          <w:tcPr>
            <w:tcW w:w="6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December 31, 2025</w:t>
            </w:r>
          </w:p>
        </w:tc>
      </w:tr>
      <w:tr>
        <w:trPr/>
        <w:tc>
          <w:tcPr>
            <w:tcW w:w="3604"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Assets</w:t>
            </w:r>
          </w:p>
        </w:tc>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7"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6"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4"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Allstate Protection and Run-off Property-Liability</w:t>
            </w:r>
          </w:p>
        </w:tc>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1927"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105,240 </w:t>
            </w:r>
          </w:p>
        </w:tc>
        <w:tc>
          <w:tcPr>
            <w:tcW w:w="21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1927"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102,801 </w:t>
            </w:r>
          </w:p>
        </w:tc>
        <w:tc>
          <w:tcPr>
            <w:tcW w:w="31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4"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 xml:space="preserve">Protection Services </w:t>
            </w:r>
          </w:p>
        </w:tc>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8,512 </w:t>
            </w:r>
          </w:p>
        </w:tc>
        <w:tc>
          <w:tcPr>
            <w:tcW w:w="21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8,372 </w:t>
            </w:r>
          </w:p>
        </w:tc>
        <w:tc>
          <w:tcPr>
            <w:tcW w:w="31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4"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Corporate</w:t>
            </w:r>
          </w:p>
        </w:tc>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10,020 </w:t>
            </w:r>
          </w:p>
        </w:tc>
        <w:tc>
          <w:tcPr>
            <w:tcW w:w="21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7,610 </w:t>
            </w:r>
          </w:p>
        </w:tc>
        <w:tc>
          <w:tcPr>
            <w:tcW w:w="31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4"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All other</w:t>
            </w:r>
          </w:p>
        </w:tc>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984 </w:t>
            </w:r>
          </w:p>
        </w:tc>
        <w:tc>
          <w:tcPr>
            <w:tcW w:w="21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975 </w:t>
            </w:r>
          </w:p>
        </w:tc>
        <w:tc>
          <w:tcPr>
            <w:tcW w:w="31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4"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Consolidated</w:t>
            </w:r>
          </w:p>
        </w:tc>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1927"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124,756</w:t>
            </w:r>
            <w:r>
              <w:rPr>
                <w:color w:val="000000"/>
              </w:rPr>
              <w:t> </w:t>
            </w:r>
          </w:p>
        </w:tc>
        <w:tc>
          <w:tcPr>
            <w:tcW w:w="21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1927"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119,758</w:t>
            </w:r>
            <w:r>
              <w:rPr>
                <w:color w:val="000000"/>
              </w:rPr>
              <w:t> </w:t>
            </w:r>
          </w:p>
        </w:tc>
        <w:tc>
          <w:tcPr>
            <w:tcW w:w="31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4"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7"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6"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4"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pPr>
            <w:r>
              <w:rPr>
                <w:rFonts w:ascii="Helvetica_Neue_LT_W1G_55_Roman;sans-serif" w:hAnsi="Helvetica_Neue_LT_W1G_55_Roman;sans-serif"/>
                <w:b/>
                <w:color w:val="000000"/>
                <w:sz w:val="18"/>
              </w:rPr>
              <w:t xml:space="preserve">Investments </w:t>
            </w:r>
            <w:r>
              <w:rPr>
                <w:rFonts w:ascii="Helvetica_Neue_LT_W1G_55_Roman;sans-serif" w:hAnsi="Helvetica_Neue_LT_W1G_55_Roman;sans-serif"/>
                <w:b/>
                <w:color w:val="000000"/>
                <w:sz w:val="12"/>
              </w:rPr>
              <w:t>(1)</w:t>
            </w:r>
          </w:p>
        </w:tc>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7"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6"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4"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Allstate Protection and Run-off Property-Liability</w:t>
            </w:r>
          </w:p>
        </w:tc>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1927"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75,307 </w:t>
            </w:r>
          </w:p>
        </w:tc>
        <w:tc>
          <w:tcPr>
            <w:tcW w:w="21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1927"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73,222 </w:t>
            </w:r>
          </w:p>
        </w:tc>
        <w:tc>
          <w:tcPr>
            <w:tcW w:w="31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4"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 xml:space="preserve">Protection Services </w:t>
            </w:r>
          </w:p>
        </w:tc>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2,528 </w:t>
            </w:r>
          </w:p>
        </w:tc>
        <w:tc>
          <w:tcPr>
            <w:tcW w:w="21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2,312 </w:t>
            </w:r>
          </w:p>
        </w:tc>
        <w:tc>
          <w:tcPr>
            <w:tcW w:w="31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4"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Corporate</w:t>
            </w:r>
          </w:p>
        </w:tc>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9,774 </w:t>
            </w:r>
          </w:p>
        </w:tc>
        <w:tc>
          <w:tcPr>
            <w:tcW w:w="21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7,503 </w:t>
            </w:r>
          </w:p>
        </w:tc>
        <w:tc>
          <w:tcPr>
            <w:tcW w:w="31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4"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All other</w:t>
            </w:r>
          </w:p>
        </w:tc>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193 </w:t>
            </w:r>
          </w:p>
        </w:tc>
        <w:tc>
          <w:tcPr>
            <w:tcW w:w="21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200 </w:t>
            </w:r>
          </w:p>
        </w:tc>
        <w:tc>
          <w:tcPr>
            <w:tcW w:w="31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4"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Consolidated</w:t>
            </w:r>
          </w:p>
        </w:tc>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1927"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87,802</w:t>
            </w:r>
            <w:r>
              <w:rPr>
                <w:color w:val="000000"/>
              </w:rPr>
              <w:t> </w:t>
            </w:r>
          </w:p>
        </w:tc>
        <w:tc>
          <w:tcPr>
            <w:tcW w:w="21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1927"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83,237</w:t>
            </w:r>
            <w:r>
              <w:rPr>
                <w:color w:val="000000"/>
              </w:rPr>
              <w:t> </w:t>
            </w:r>
          </w:p>
        </w:tc>
        <w:tc>
          <w:tcPr>
            <w:tcW w:w="31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4"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7"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6"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4"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Deferred policy acquisition costs</w:t>
            </w:r>
          </w:p>
        </w:tc>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7"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6"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4"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Allstate Protection</w:t>
            </w:r>
          </w:p>
        </w:tc>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1927"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2,806 </w:t>
            </w:r>
          </w:p>
        </w:tc>
        <w:tc>
          <w:tcPr>
            <w:tcW w:w="21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1927"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2,803 </w:t>
            </w:r>
          </w:p>
        </w:tc>
        <w:tc>
          <w:tcPr>
            <w:tcW w:w="31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4"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 xml:space="preserve">Protection Services </w:t>
            </w:r>
          </w:p>
        </w:tc>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3,232 </w:t>
            </w:r>
          </w:p>
        </w:tc>
        <w:tc>
          <w:tcPr>
            <w:tcW w:w="21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3,274 </w:t>
            </w:r>
          </w:p>
        </w:tc>
        <w:tc>
          <w:tcPr>
            <w:tcW w:w="31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4"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All other</w:t>
            </w:r>
          </w:p>
        </w:tc>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101 </w:t>
            </w:r>
          </w:p>
        </w:tc>
        <w:tc>
          <w:tcPr>
            <w:tcW w:w="21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86 </w:t>
            </w:r>
          </w:p>
        </w:tc>
        <w:tc>
          <w:tcPr>
            <w:tcW w:w="31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4" w:type="dxa"/>
            <w:gridSpan w:val="3"/>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Consolidated</w:t>
            </w:r>
          </w:p>
        </w:tc>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1927"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6,139</w:t>
            </w:r>
            <w:r>
              <w:rPr>
                <w:color w:val="000000"/>
              </w:rPr>
              <w:t> </w:t>
            </w:r>
          </w:p>
        </w:tc>
        <w:tc>
          <w:tcPr>
            <w:tcW w:w="218"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1927"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6,163</w:t>
            </w:r>
            <w:r>
              <w:rPr>
                <w:color w:val="000000"/>
              </w:rPr>
              <w:t> </w:t>
            </w:r>
          </w:p>
        </w:tc>
        <w:tc>
          <w:tcPr>
            <w:tcW w:w="317"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ind w:left="0" w:right="0" w:hanging="180"/>
        <w:jc w:val="left"/>
        <w:rPr/>
      </w:pPr>
      <w:r>
        <w:rPr>
          <w:rFonts w:ascii="Allstate Sans;sans-serif" w:hAnsi="Allstate Sans;sans-serif"/>
          <w:b w:val="false"/>
          <w:color w:val="000000"/>
          <w:sz w:val="10"/>
        </w:rPr>
        <w:t>(1)</w:t>
      </w:r>
      <w:r>
        <w:rPr>
          <w:rFonts w:ascii="Allstate Sans;sans-serif" w:hAnsi="Allstate Sans;sans-serif"/>
          <w:b w:val="false"/>
          <w:color w:val="000000"/>
          <w:sz w:val="16"/>
        </w:rPr>
        <w:t>The balances reflect the elimination of related party investments between segments.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33350"/>
                <wp:effectExtent l="0" t="0" r="0" b="0"/>
                <wp:wrapNone/>
                <wp:docPr id="14" name="Frame13"/>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ind w:left="0" w:right="0" w:firstLine="360"/>
                              <w:jc w:val="right"/>
                              <w:rPr/>
                            </w:pPr>
                            <w:r>
                              <w:rPr>
                                <w:rFonts w:ascii="Allstate Sans;sans-serif" w:hAnsi="Allstate Sans;sans-serif"/>
                                <w:b w:val="false"/>
                                <w:color w:val="000000"/>
                                <w:sz w:val="18"/>
                              </w:rPr>
                              <w:t xml:space="preserve">Second Quarter 2026 Form 10-Q </w:t>
                            </w:r>
                            <w:r>
                              <w:rPr>
                                <w:rFonts w:ascii="Allstate Sans;sans-serif" w:hAnsi="Allstate Sans;sans-serif"/>
                                <w:b w:val="false"/>
                                <w:color w:val="0033A0"/>
                                <w:sz w:val="18"/>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right"/>
                        <w:rPr/>
                      </w:pPr>
                      <w:r>
                        <w:rPr>
                          <w:rFonts w:ascii="Allstate Sans;sans-serif" w:hAnsi="Allstate Sans;sans-serif"/>
                          <w:b w:val="false"/>
                          <w:color w:val="000000"/>
                          <w:sz w:val="18"/>
                        </w:rPr>
                        <w:t xml:space="preserve">Second Quarter 2026 Form 10-Q </w:t>
                      </w:r>
                      <w:r>
                        <w:rPr>
                          <w:rFonts w:ascii="Allstate Sans;sans-serif" w:hAnsi="Allstate Sans;sans-serif"/>
                          <w:b w:val="false"/>
                          <w:color w:val="0033A0"/>
                          <w:sz w:val="18"/>
                        </w:rPr>
                        <w:t>11</w:t>
                      </w:r>
                    </w:p>
                  </w:txbxContent>
                </v:textbox>
                <w10:wrap type="none"/>
              </v:rect>
            </w:pict>
          </mc:Fallback>
        </mc:AlternateContent>
      </w:r>
    </w:p>
    <w:p>
      <w:pPr>
        <w:pStyle w:val="TextBody"/>
        <w:bidi w:val="0"/>
        <w:spacing w:lineRule="auto" w:line="288" w:before="0" w:after="0"/>
        <w:jc w:val="left"/>
        <w:rPr>
          <w:rFonts w:ascii="Allstate Sans;sans-serif" w:hAnsi="Allstate Sans;sans-serif"/>
          <w:b w:val="false"/>
          <w:color w:val="0033A0"/>
          <w:sz w:val="18"/>
        </w:rPr>
      </w:pPr>
      <w:r>
        <w:rPr>
          <w:rFonts w:ascii="Allstate Sans;sans-serif" w:hAnsi="Allstate Sans;sans-serif"/>
          <w:b w:val="false"/>
          <w:color w:val="0033A0"/>
          <w:sz w:val="18"/>
        </w:rPr>
        <w:t>Notes to Condensed Consolidated Financial Statements</w:t>
      </w:r>
    </w:p>
    <w:tbl>
      <w:tblPr>
        <w:tblW w:w="2760" w:type="dxa"/>
        <w:jc w:val="left"/>
        <w:tblInd w:w="0" w:type="dxa"/>
        <w:tblLayout w:type="fixed"/>
        <w:tblCellMar>
          <w:top w:w="28" w:type="dxa"/>
          <w:left w:w="28" w:type="dxa"/>
          <w:bottom w:w="28" w:type="dxa"/>
          <w:right w:w="28" w:type="dxa"/>
        </w:tblCellMar>
      </w:tblPr>
      <w:tblGrid>
        <w:gridCol w:w="342"/>
        <w:gridCol w:w="301"/>
        <w:gridCol w:w="303"/>
        <w:gridCol w:w="531"/>
        <w:gridCol w:w="531"/>
        <w:gridCol w:w="752"/>
      </w:tblGrid>
      <w:tr>
        <w:trPr/>
        <w:tc>
          <w:tcPr>
            <w:tcW w:w="3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bottom w:val="single" w:sz="8" w:space="0" w:color="0033A0"/>
            </w:tcBorders>
            <w:tcMar>
              <w:top w:w="0" w:type="dxa"/>
              <w:left w:w="0" w:type="dxa"/>
              <w:bottom w:w="30" w:type="dxa"/>
              <w:right w:w="0" w:type="dxa"/>
            </w:tcMar>
            <w:vAlign w:val="center"/>
          </w:tcPr>
          <w:p>
            <w:pPr>
              <w:pStyle w:val="TableContents"/>
              <w:bidi w:val="0"/>
              <w:spacing w:lineRule="auto" w:line="240" w:before="0" w:after="283"/>
              <w:jc w:val="left"/>
              <w:rPr>
                <w:rFonts w:ascii="Allstate Sans;sans-serif" w:hAnsi="Allstate Sans;sans-serif"/>
                <w:b/>
                <w:color w:val="0033A0"/>
                <w:sz w:val="22"/>
              </w:rPr>
            </w:pPr>
            <w:r>
              <w:rPr>
                <w:rFonts w:ascii="Allstate Sans;sans-serif" w:hAnsi="Allstate Sans;sans-serif"/>
                <w:b/>
                <w:color w:val="0033A0"/>
                <w:sz w:val="22"/>
              </w:rPr>
              <w:t>Note 4</w:t>
            </w:r>
          </w:p>
        </w:tc>
        <w:tc>
          <w:tcPr>
            <w:tcW w:w="1814" w:type="dxa"/>
            <w:gridSpan w:val="3"/>
            <w:tcBorders>
              <w:bottom w:val="single" w:sz="8" w:space="0" w:color="0033A0"/>
            </w:tcBorders>
            <w:tcMar>
              <w:top w:w="0" w:type="dxa"/>
              <w:left w:w="0" w:type="dxa"/>
              <w:bottom w:w="30" w:type="dxa"/>
              <w:right w:w="0" w:type="dxa"/>
            </w:tcMar>
            <w:vAlign w:val="center"/>
          </w:tcPr>
          <w:p>
            <w:pPr>
              <w:pStyle w:val="TableContents"/>
              <w:bidi w:val="0"/>
              <w:spacing w:lineRule="auto" w:line="240" w:before="0" w:after="283"/>
              <w:jc w:val="left"/>
              <w:rPr>
                <w:rFonts w:ascii="Allstate Sans;sans-serif" w:hAnsi="Allstate Sans;sans-serif"/>
                <w:b/>
                <w:color w:val="000000"/>
                <w:sz w:val="22"/>
              </w:rPr>
            </w:pPr>
            <w:r>
              <w:rPr>
                <w:rFonts w:ascii="Allstate Sans;sans-serif" w:hAnsi="Allstate Sans;sans-serif"/>
                <w:b/>
                <w:color w:val="000000"/>
                <w:sz w:val="22"/>
              </w:rPr>
              <w:t xml:space="preserve">Investments </w:t>
            </w:r>
          </w:p>
        </w:tc>
      </w:tr>
    </w:tbl>
    <w:tbl>
      <w:tblPr>
        <w:tblW w:w="7686" w:type="dxa"/>
        <w:jc w:val="left"/>
        <w:tblInd w:w="0" w:type="dxa"/>
        <w:tblLayout w:type="fixed"/>
        <w:tblCellMar>
          <w:top w:w="28" w:type="dxa"/>
          <w:left w:w="28" w:type="dxa"/>
          <w:bottom w:w="28" w:type="dxa"/>
          <w:right w:w="28" w:type="dxa"/>
        </w:tblCellMar>
      </w:tblPr>
      <w:tblGrid>
        <w:gridCol w:w="1257"/>
        <w:gridCol w:w="1102"/>
        <w:gridCol w:w="1105"/>
        <w:gridCol w:w="109"/>
        <w:gridCol w:w="109"/>
        <w:gridCol w:w="109"/>
        <w:gridCol w:w="282"/>
        <w:gridCol w:w="1051"/>
        <w:gridCol w:w="136"/>
        <w:gridCol w:w="109"/>
        <w:gridCol w:w="109"/>
        <w:gridCol w:w="109"/>
        <w:gridCol w:w="388"/>
        <w:gridCol w:w="1447"/>
        <w:gridCol w:w="264"/>
      </w:tblGrid>
      <w:tr>
        <w:trPr/>
        <w:tc>
          <w:tcPr>
            <w:tcW w:w="1257"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r>
      <w:tr>
        <w:trPr/>
        <w:tc>
          <w:tcPr>
            <w:tcW w:w="7686" w:type="dxa"/>
            <w:gridSpan w:val="15"/>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left"/>
              <w:rPr>
                <w:rFonts w:ascii="Allstate Sans;sans-serif" w:hAnsi="Allstate Sans;sans-serif"/>
                <w:b/>
                <w:color w:val="000000"/>
                <w:sz w:val="18"/>
              </w:rPr>
            </w:pPr>
            <w:r>
              <w:rPr>
                <w:rFonts w:ascii="Allstate Sans;sans-serif" w:hAnsi="Allstate Sans;sans-serif"/>
                <w:b/>
                <w:color w:val="000000"/>
                <w:sz w:val="18"/>
              </w:rPr>
              <w:t>Portfolio composition</w:t>
            </w:r>
          </w:p>
        </w:tc>
      </w:tr>
      <w:tr>
        <w:trPr/>
        <w:tc>
          <w:tcPr>
            <w:tcW w:w="34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 in 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December 31, 2025</w:t>
            </w:r>
          </w:p>
        </w:tc>
      </w:tr>
      <w:tr>
        <w:trPr/>
        <w:tc>
          <w:tcPr>
            <w:tcW w:w="3464"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Fixed income securities, at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1051"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60,809 </w:t>
            </w:r>
          </w:p>
        </w:tc>
        <w:tc>
          <w:tcPr>
            <w:tcW w:w="136"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1447"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59,115 </w:t>
            </w:r>
          </w:p>
        </w:tc>
        <w:tc>
          <w:tcPr>
            <w:tcW w:w="264"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Equity securities, at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11,159 </w:t>
            </w:r>
          </w:p>
        </w:tc>
        <w:tc>
          <w:tcPr>
            <w:tcW w:w="136"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8,398 </w:t>
            </w:r>
          </w:p>
        </w:tc>
        <w:tc>
          <w:tcPr>
            <w:tcW w:w="264"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Mortgage loans,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842 </w:t>
            </w:r>
          </w:p>
        </w:tc>
        <w:tc>
          <w:tcPr>
            <w:tcW w:w="136"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879 </w:t>
            </w:r>
          </w:p>
        </w:tc>
        <w:tc>
          <w:tcPr>
            <w:tcW w:w="264"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 xml:space="preserve">Limited partnership interests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8,967 </w:t>
            </w:r>
          </w:p>
        </w:tc>
        <w:tc>
          <w:tcPr>
            <w:tcW w:w="136"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8,844 </w:t>
            </w:r>
          </w:p>
        </w:tc>
        <w:tc>
          <w:tcPr>
            <w:tcW w:w="264"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Short-term investments, at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4,872 </w:t>
            </w:r>
          </w:p>
        </w:tc>
        <w:tc>
          <w:tcPr>
            <w:tcW w:w="136"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4,887 </w:t>
            </w:r>
          </w:p>
        </w:tc>
        <w:tc>
          <w:tcPr>
            <w:tcW w:w="264"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Other investments,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1,153 </w:t>
            </w:r>
          </w:p>
        </w:tc>
        <w:tc>
          <w:tcPr>
            <w:tcW w:w="136"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1,114 </w:t>
            </w:r>
          </w:p>
        </w:tc>
        <w:tc>
          <w:tcPr>
            <w:tcW w:w="264"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1051"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87,802</w:t>
            </w:r>
            <w:r>
              <w:rPr>
                <w:color w:val="000000"/>
              </w:rPr>
              <w:t> </w:t>
            </w:r>
          </w:p>
        </w:tc>
        <w:tc>
          <w:tcPr>
            <w:tcW w:w="13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1447"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83,237</w:t>
            </w:r>
            <w:r>
              <w:rPr>
                <w:color w:val="000000"/>
              </w:rPr>
              <w:t> </w:t>
            </w:r>
          </w:p>
        </w:tc>
        <w:tc>
          <w:tcPr>
            <w:tcW w:w="264"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135"/>
        <w:gridCol w:w="808"/>
        <w:gridCol w:w="756"/>
        <w:gridCol w:w="145"/>
        <w:gridCol w:w="145"/>
        <w:gridCol w:w="145"/>
        <w:gridCol w:w="332"/>
        <w:gridCol w:w="1239"/>
        <w:gridCol w:w="160"/>
        <w:gridCol w:w="145"/>
        <w:gridCol w:w="145"/>
        <w:gridCol w:w="145"/>
        <w:gridCol w:w="301"/>
        <w:gridCol w:w="703"/>
        <w:gridCol w:w="145"/>
        <w:gridCol w:w="145"/>
        <w:gridCol w:w="145"/>
        <w:gridCol w:w="145"/>
        <w:gridCol w:w="301"/>
        <w:gridCol w:w="792"/>
        <w:gridCol w:w="145"/>
        <w:gridCol w:w="145"/>
        <w:gridCol w:w="145"/>
        <w:gridCol w:w="145"/>
        <w:gridCol w:w="301"/>
        <w:gridCol w:w="1124"/>
        <w:gridCol w:w="223"/>
      </w:tblGrid>
      <w:tr>
        <w:trPr/>
        <w:tc>
          <w:tcPr>
            <w:tcW w:w="1135"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10205" w:type="dxa"/>
            <w:gridSpan w:val="27"/>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left"/>
              <w:rPr>
                <w:rFonts w:ascii="Allstate Sans;sans-serif" w:hAnsi="Allstate Sans;sans-serif"/>
                <w:b/>
                <w:color w:val="000000"/>
                <w:sz w:val="18"/>
              </w:rPr>
            </w:pPr>
            <w:r>
              <w:rPr>
                <w:rFonts w:ascii="Allstate Sans;sans-serif" w:hAnsi="Allstate Sans;sans-serif"/>
                <w:b/>
                <w:color w:val="000000"/>
                <w:sz w:val="18"/>
              </w:rPr>
              <w:t>Amortized cost, gross unrealized gains (losses) and fair value for fixed income securities</w:t>
            </w:r>
          </w:p>
        </w:tc>
      </w:tr>
      <w:tr>
        <w:trPr/>
        <w:tc>
          <w:tcPr>
            <w:tcW w:w="2699"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 in millions)</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Amortized cost, net</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Gross unrealized</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Fair</w:t>
            </w:r>
          </w:p>
          <w:p>
            <w:pPr>
              <w:pStyle w:val="TableContents"/>
              <w:bidi w:val="0"/>
              <w:spacing w:lineRule="auto" w:line="240" w:before="0" w:after="0"/>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value</w:t>
            </w:r>
          </w:p>
        </w:tc>
      </w:tr>
      <w:tr>
        <w:trPr/>
        <w:tc>
          <w:tcPr>
            <w:tcW w:w="2699"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Gains</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Losses</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2699"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June 30, 2026</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3"/>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U.S. government and agencies</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1239"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12,442 </w:t>
            </w:r>
          </w:p>
        </w:tc>
        <w:tc>
          <w:tcPr>
            <w:tcW w:w="160"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703"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12 </w:t>
            </w:r>
          </w:p>
        </w:tc>
        <w:tc>
          <w:tcPr>
            <w:tcW w:w="145"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792"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(103)</w:t>
            </w:r>
          </w:p>
        </w:tc>
        <w:tc>
          <w:tcPr>
            <w:tcW w:w="145"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1124"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12,351 </w:t>
            </w:r>
          </w:p>
        </w:tc>
        <w:tc>
          <w:tcPr>
            <w:tcW w:w="223"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Municipal</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6,282 </w:t>
            </w:r>
          </w:p>
        </w:tc>
        <w:tc>
          <w:tcPr>
            <w:tcW w:w="16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92 </w:t>
            </w:r>
          </w:p>
        </w:tc>
        <w:tc>
          <w:tcPr>
            <w:tcW w:w="14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(40)</w:t>
            </w:r>
          </w:p>
        </w:tc>
        <w:tc>
          <w:tcPr>
            <w:tcW w:w="14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6,334 </w:t>
            </w:r>
          </w:p>
        </w:tc>
        <w:tc>
          <w:tcPr>
            <w:tcW w:w="22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Corporate</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36,452 </w:t>
            </w:r>
          </w:p>
        </w:tc>
        <w:tc>
          <w:tcPr>
            <w:tcW w:w="16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310 </w:t>
            </w:r>
          </w:p>
        </w:tc>
        <w:tc>
          <w:tcPr>
            <w:tcW w:w="14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(355)</w:t>
            </w:r>
          </w:p>
        </w:tc>
        <w:tc>
          <w:tcPr>
            <w:tcW w:w="14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36,407 </w:t>
            </w:r>
          </w:p>
        </w:tc>
        <w:tc>
          <w:tcPr>
            <w:tcW w:w="22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Foreign government</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1,626 </w:t>
            </w:r>
          </w:p>
        </w:tc>
        <w:tc>
          <w:tcPr>
            <w:tcW w:w="16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13 </w:t>
            </w:r>
          </w:p>
        </w:tc>
        <w:tc>
          <w:tcPr>
            <w:tcW w:w="14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(14)</w:t>
            </w:r>
          </w:p>
        </w:tc>
        <w:tc>
          <w:tcPr>
            <w:tcW w:w="14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1,625 </w:t>
            </w:r>
          </w:p>
        </w:tc>
        <w:tc>
          <w:tcPr>
            <w:tcW w:w="22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Asset-backed securities (“ABS”)</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1,976 </w:t>
            </w:r>
          </w:p>
        </w:tc>
        <w:tc>
          <w:tcPr>
            <w:tcW w:w="16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7 </w:t>
            </w:r>
          </w:p>
        </w:tc>
        <w:tc>
          <w:tcPr>
            <w:tcW w:w="14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(12)</w:t>
            </w:r>
          </w:p>
        </w:tc>
        <w:tc>
          <w:tcPr>
            <w:tcW w:w="14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1,971 </w:t>
            </w:r>
          </w:p>
        </w:tc>
        <w:tc>
          <w:tcPr>
            <w:tcW w:w="22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Mortgage-backed securities (“MBS”)</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2,124 </w:t>
            </w:r>
          </w:p>
        </w:tc>
        <w:tc>
          <w:tcPr>
            <w:tcW w:w="16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11 </w:t>
            </w:r>
          </w:p>
        </w:tc>
        <w:tc>
          <w:tcPr>
            <w:tcW w:w="14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(14)</w:t>
            </w:r>
          </w:p>
        </w:tc>
        <w:tc>
          <w:tcPr>
            <w:tcW w:w="14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2,121 </w:t>
            </w:r>
          </w:p>
        </w:tc>
        <w:tc>
          <w:tcPr>
            <w:tcW w:w="22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 fixed income securities</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1239"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60,902</w:t>
            </w:r>
            <w:r>
              <w:rPr>
                <w:color w:val="000000"/>
              </w:rPr>
              <w:t> </w:t>
            </w:r>
          </w:p>
        </w:tc>
        <w:tc>
          <w:tcPr>
            <w:tcW w:w="16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703"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445</w:t>
            </w:r>
            <w:r>
              <w:rPr>
                <w:color w:val="000000"/>
              </w:rPr>
              <w:t> </w:t>
            </w:r>
          </w:p>
        </w:tc>
        <w:tc>
          <w:tcPr>
            <w:tcW w:w="14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792"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(538)</w:t>
            </w:r>
          </w:p>
        </w:tc>
        <w:tc>
          <w:tcPr>
            <w:tcW w:w="14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1124"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60,809</w:t>
            </w:r>
            <w:r>
              <w:rPr>
                <w:color w:val="000000"/>
              </w:rPr>
              <w:t> </w:t>
            </w:r>
          </w:p>
        </w:tc>
        <w:tc>
          <w:tcPr>
            <w:tcW w:w="22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December 31, 2025</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3"/>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U.S. government and agencies</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1239"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18,165 </w:t>
            </w:r>
          </w:p>
        </w:tc>
        <w:tc>
          <w:tcPr>
            <w:tcW w:w="160"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703"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43 </w:t>
            </w:r>
          </w:p>
        </w:tc>
        <w:tc>
          <w:tcPr>
            <w:tcW w:w="145"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792"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(75)</w:t>
            </w:r>
          </w:p>
        </w:tc>
        <w:tc>
          <w:tcPr>
            <w:tcW w:w="145"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1124"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18,133 </w:t>
            </w:r>
          </w:p>
        </w:tc>
        <w:tc>
          <w:tcPr>
            <w:tcW w:w="223"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Municipal</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5,617 </w:t>
            </w:r>
          </w:p>
        </w:tc>
        <w:tc>
          <w:tcPr>
            <w:tcW w:w="160"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87 </w:t>
            </w:r>
          </w:p>
        </w:tc>
        <w:tc>
          <w:tcPr>
            <w:tcW w:w="145"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(61)</w:t>
            </w:r>
          </w:p>
        </w:tc>
        <w:tc>
          <w:tcPr>
            <w:tcW w:w="145"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5,643 </w:t>
            </w:r>
          </w:p>
        </w:tc>
        <w:tc>
          <w:tcPr>
            <w:tcW w:w="22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Corporate</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30,050 </w:t>
            </w:r>
          </w:p>
        </w:tc>
        <w:tc>
          <w:tcPr>
            <w:tcW w:w="160"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585 </w:t>
            </w:r>
          </w:p>
        </w:tc>
        <w:tc>
          <w:tcPr>
            <w:tcW w:w="145"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(234)</w:t>
            </w:r>
          </w:p>
        </w:tc>
        <w:tc>
          <w:tcPr>
            <w:tcW w:w="145"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30,401 </w:t>
            </w:r>
          </w:p>
        </w:tc>
        <w:tc>
          <w:tcPr>
            <w:tcW w:w="22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Foreign government</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1,464 </w:t>
            </w:r>
          </w:p>
        </w:tc>
        <w:tc>
          <w:tcPr>
            <w:tcW w:w="16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13 </w:t>
            </w:r>
          </w:p>
        </w:tc>
        <w:tc>
          <w:tcPr>
            <w:tcW w:w="14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(17)</w:t>
            </w:r>
          </w:p>
        </w:tc>
        <w:tc>
          <w:tcPr>
            <w:tcW w:w="14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1,460 </w:t>
            </w:r>
          </w:p>
        </w:tc>
        <w:tc>
          <w:tcPr>
            <w:tcW w:w="22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ABS</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1,348 </w:t>
            </w:r>
          </w:p>
        </w:tc>
        <w:tc>
          <w:tcPr>
            <w:tcW w:w="160"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8 </w:t>
            </w:r>
          </w:p>
        </w:tc>
        <w:tc>
          <w:tcPr>
            <w:tcW w:w="145"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w:t>
            </w:r>
          </w:p>
        </w:tc>
        <w:tc>
          <w:tcPr>
            <w:tcW w:w="145"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1,352 </w:t>
            </w:r>
          </w:p>
        </w:tc>
        <w:tc>
          <w:tcPr>
            <w:tcW w:w="22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MBS</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2,086 </w:t>
            </w:r>
          </w:p>
        </w:tc>
        <w:tc>
          <w:tcPr>
            <w:tcW w:w="160"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41 </w:t>
            </w:r>
          </w:p>
        </w:tc>
        <w:tc>
          <w:tcPr>
            <w:tcW w:w="145"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w:t>
            </w:r>
          </w:p>
        </w:tc>
        <w:tc>
          <w:tcPr>
            <w:tcW w:w="145"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2,126 </w:t>
            </w:r>
          </w:p>
        </w:tc>
        <w:tc>
          <w:tcPr>
            <w:tcW w:w="22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 fixed income securities</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1239"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58,730</w:t>
            </w:r>
            <w:r>
              <w:rPr>
                <w:color w:val="000000"/>
              </w:rPr>
              <w:t> </w:t>
            </w:r>
          </w:p>
        </w:tc>
        <w:tc>
          <w:tcPr>
            <w:tcW w:w="160"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703"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777</w:t>
            </w:r>
            <w:r>
              <w:rPr>
                <w:color w:val="000000"/>
              </w:rPr>
              <w:t> </w:t>
            </w:r>
          </w:p>
        </w:tc>
        <w:tc>
          <w:tcPr>
            <w:tcW w:w="145"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792"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(392)</w:t>
            </w:r>
          </w:p>
        </w:tc>
        <w:tc>
          <w:tcPr>
            <w:tcW w:w="145"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1124"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59,115</w:t>
            </w:r>
            <w:r>
              <w:rPr>
                <w:color w:val="000000"/>
              </w:rPr>
              <w:t> </w:t>
            </w:r>
          </w:p>
        </w:tc>
        <w:tc>
          <w:tcPr>
            <w:tcW w:w="223"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983"/>
        <w:gridCol w:w="864"/>
        <w:gridCol w:w="870"/>
        <w:gridCol w:w="109"/>
        <w:gridCol w:w="109"/>
        <w:gridCol w:w="109"/>
        <w:gridCol w:w="356"/>
        <w:gridCol w:w="1328"/>
        <w:gridCol w:w="171"/>
        <w:gridCol w:w="109"/>
        <w:gridCol w:w="109"/>
        <w:gridCol w:w="109"/>
        <w:gridCol w:w="226"/>
        <w:gridCol w:w="841"/>
        <w:gridCol w:w="109"/>
        <w:gridCol w:w="109"/>
        <w:gridCol w:w="109"/>
        <w:gridCol w:w="109"/>
        <w:gridCol w:w="348"/>
        <w:gridCol w:w="1298"/>
        <w:gridCol w:w="168"/>
        <w:gridCol w:w="109"/>
        <w:gridCol w:w="109"/>
        <w:gridCol w:w="109"/>
        <w:gridCol w:w="226"/>
        <w:gridCol w:w="841"/>
        <w:gridCol w:w="109"/>
        <w:gridCol w:w="159"/>
      </w:tblGrid>
      <w:tr>
        <w:trPr/>
        <w:tc>
          <w:tcPr>
            <w:tcW w:w="983"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0046" w:type="dxa"/>
            <w:gridSpan w:val="27"/>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left"/>
              <w:rPr>
                <w:rFonts w:ascii="Allstate Sans;sans-serif" w:hAnsi="Allstate Sans;sans-serif"/>
                <w:b/>
                <w:color w:val="000000"/>
                <w:sz w:val="18"/>
              </w:rPr>
            </w:pPr>
            <w:r>
              <w:rPr>
                <w:rFonts w:ascii="Allstate Sans;sans-serif" w:hAnsi="Allstate Sans;sans-serif"/>
                <w:b/>
                <w:color w:val="000000"/>
                <w:sz w:val="18"/>
              </w:rPr>
              <w:t>Scheduled maturities for fixed income securities</w:t>
            </w:r>
          </w:p>
        </w:tc>
        <w:tc>
          <w:tcPr>
            <w:tcW w:w="159" w:type="dxa"/>
            <w:tcBorders/>
          </w:tcPr>
          <w:p>
            <w:pPr>
              <w:pStyle w:val="TableContents"/>
              <w:bidi w:val="0"/>
              <w:spacing w:before="0" w:after="283"/>
              <w:jc w:val="left"/>
              <w:rPr>
                <w:sz w:val="4"/>
                <w:szCs w:val="4"/>
              </w:rPr>
            </w:pPr>
            <w:r>
              <w:rPr>
                <w:sz w:val="4"/>
                <w:szCs w:val="4"/>
              </w:rPr>
            </w:r>
          </w:p>
        </w:tc>
      </w:tr>
      <w:tr>
        <w:trPr/>
        <w:tc>
          <w:tcPr>
            <w:tcW w:w="2717"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 in 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December 31, 2025</w:t>
            </w:r>
          </w:p>
        </w:tc>
        <w:tc>
          <w:tcPr>
            <w:tcW w:w="159" w:type="dxa"/>
            <w:tcBorders/>
            <w:vAlign w:val="center"/>
          </w:tcPr>
          <w:p>
            <w:pPr>
              <w:pStyle w:val="TableContents"/>
              <w:bidi w:val="0"/>
              <w:spacing w:before="0" w:after="283"/>
              <w:jc w:val="left"/>
              <w:rPr>
                <w:sz w:val="4"/>
                <w:szCs w:val="4"/>
              </w:rPr>
            </w:pPr>
            <w:r>
              <w:rPr>
                <w:sz w:val="4"/>
                <w:szCs w:val="4"/>
              </w:rPr>
            </w:r>
          </w:p>
        </w:tc>
      </w:tr>
      <w:tr>
        <w:trPr/>
        <w:tc>
          <w:tcPr>
            <w:tcW w:w="2717"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 xml:space="preserve">Amortized cost, net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 xml:space="preserve">Fair </w:t>
            </w:r>
          </w:p>
          <w:p>
            <w:pPr>
              <w:pStyle w:val="TableContents"/>
              <w:bidi w:val="0"/>
              <w:spacing w:lineRule="auto" w:line="240" w:before="0" w:after="0"/>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Amortized cost,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 xml:space="preserve">Fair </w:t>
            </w:r>
          </w:p>
          <w:p>
            <w:pPr>
              <w:pStyle w:val="TableContents"/>
              <w:bidi w:val="0"/>
              <w:spacing w:lineRule="auto" w:line="240" w:before="0" w:after="0"/>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value</w:t>
            </w:r>
          </w:p>
        </w:tc>
        <w:tc>
          <w:tcPr>
            <w:tcW w:w="159" w:type="dxa"/>
            <w:tcBorders/>
            <w:vAlign w:val="center"/>
          </w:tcPr>
          <w:p>
            <w:pPr>
              <w:pStyle w:val="TableContents"/>
              <w:bidi w:val="0"/>
              <w:spacing w:before="0" w:after="283"/>
              <w:jc w:val="left"/>
              <w:rPr>
                <w:sz w:val="4"/>
                <w:szCs w:val="4"/>
              </w:rPr>
            </w:pPr>
            <w:r>
              <w:rPr>
                <w:sz w:val="4"/>
                <w:szCs w:val="4"/>
              </w:rPr>
            </w:r>
          </w:p>
        </w:tc>
      </w:tr>
      <w:tr>
        <w:trPr/>
        <w:tc>
          <w:tcPr>
            <w:tcW w:w="2717"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Due in one year or less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1328"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1,599 </w:t>
            </w:r>
          </w:p>
        </w:tc>
        <w:tc>
          <w:tcPr>
            <w:tcW w:w="171"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841"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1,597 </w:t>
            </w:r>
          </w:p>
        </w:tc>
        <w:tc>
          <w:tcPr>
            <w:tcW w:w="109"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1298"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1,464 </w:t>
            </w:r>
          </w:p>
        </w:tc>
        <w:tc>
          <w:tcPr>
            <w:tcW w:w="168"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841"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1,460 </w:t>
            </w:r>
          </w:p>
        </w:tc>
        <w:tc>
          <w:tcPr>
            <w:tcW w:w="109"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717"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Due after one year through five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21,229 </w:t>
            </w:r>
          </w:p>
        </w:tc>
        <w:tc>
          <w:tcPr>
            <w:tcW w:w="17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21,170 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22,582 </w:t>
            </w:r>
          </w:p>
        </w:tc>
        <w:tc>
          <w:tcPr>
            <w:tcW w:w="16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22,706 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717"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Due after five years through ten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21,101 </w:t>
            </w:r>
          </w:p>
        </w:tc>
        <w:tc>
          <w:tcPr>
            <w:tcW w:w="17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21,083 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21,538 </w:t>
            </w:r>
          </w:p>
        </w:tc>
        <w:tc>
          <w:tcPr>
            <w:tcW w:w="16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21,780 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717"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Due after ten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12,873 </w:t>
            </w:r>
          </w:p>
        </w:tc>
        <w:tc>
          <w:tcPr>
            <w:tcW w:w="17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12,867 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9,712 </w:t>
            </w:r>
          </w:p>
        </w:tc>
        <w:tc>
          <w:tcPr>
            <w:tcW w:w="16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9,691 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717"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56,802</w:t>
            </w:r>
            <w:r>
              <w:rPr>
                <w:color w:val="000000"/>
              </w:rPr>
              <w:t> </w:t>
            </w:r>
          </w:p>
        </w:tc>
        <w:tc>
          <w:tcPr>
            <w:tcW w:w="17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56,717</w:t>
            </w: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55,296</w:t>
            </w:r>
            <w:r>
              <w:rPr>
                <w:color w:val="000000"/>
              </w:rPr>
              <w:t> </w:t>
            </w:r>
          </w:p>
        </w:tc>
        <w:tc>
          <w:tcPr>
            <w:tcW w:w="16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55,637</w:t>
            </w: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717"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ABS and MBS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4,100 </w:t>
            </w:r>
          </w:p>
        </w:tc>
        <w:tc>
          <w:tcPr>
            <w:tcW w:w="17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4,092 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3,434 </w:t>
            </w:r>
          </w:p>
        </w:tc>
        <w:tc>
          <w:tcPr>
            <w:tcW w:w="16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3,478 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717" w:type="dxa"/>
            <w:gridSpan w:val="3"/>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1328"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60,902</w:t>
            </w:r>
            <w:r>
              <w:rPr>
                <w:color w:val="000000"/>
              </w:rPr>
              <w:t> </w:t>
            </w:r>
          </w:p>
        </w:tc>
        <w:tc>
          <w:tcPr>
            <w:tcW w:w="171"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841"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60,809</w:t>
            </w:r>
            <w:r>
              <w:rPr>
                <w:color w:val="000000"/>
              </w:rPr>
              <w:t> </w:t>
            </w:r>
          </w:p>
        </w:tc>
        <w:tc>
          <w:tcPr>
            <w:tcW w:w="109"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1298"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58,730</w:t>
            </w:r>
            <w:r>
              <w:rPr>
                <w:color w:val="000000"/>
              </w:rPr>
              <w:t> </w:t>
            </w:r>
          </w:p>
        </w:tc>
        <w:tc>
          <w:tcPr>
            <w:tcW w:w="168"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841"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59,115</w:t>
            </w:r>
            <w:r>
              <w:rPr>
                <w:color w:val="000000"/>
              </w:rPr>
              <w:t> </w:t>
            </w:r>
          </w:p>
        </w:tc>
        <w:tc>
          <w:tcPr>
            <w:tcW w:w="109"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 xml:space="preserve">Actual maturities may differ from those scheduled as a result of calls and make-whole payments by the issuers. ABS and MBS are shown separately because of potential prepayment of principal prior to contractual maturity dates.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5260"/>
                <wp:effectExtent l="0" t="0" r="0" b="0"/>
                <wp:wrapNone/>
                <wp:docPr id="15"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120"/>
                              <w:jc w:val="left"/>
                              <w:rPr/>
                            </w:pPr>
                            <w:r>
                              <w:rPr>
                                <w:rFonts w:ascii="Allstate Sans;sans-serif" w:hAnsi="Allstate Sans;sans-serif"/>
                                <w:b w:val="false"/>
                                <w:color w:val="0033A0"/>
                                <w:sz w:val="18"/>
                              </w:rPr>
                              <w:t>12</w:t>
                            </w:r>
                            <w:r>
                              <w:rPr>
                                <w:color w:val="1666AF"/>
                              </w:rPr>
                              <w:t xml:space="preserve"> </w:t>
                            </w:r>
                            <w:r>
                              <w:rPr>
                                <w:rFonts w:ascii="Allstate Sans;sans-serif" w:hAnsi="Allstate Sans;sans-serif"/>
                                <w:b w:val="false"/>
                                <w:color w:val="000000"/>
                                <w:sz w:val="18"/>
                              </w:rPr>
                              <w:t>www.allstate.com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left"/>
                        <w:rPr/>
                      </w:pPr>
                      <w:r>
                        <w:rPr>
                          <w:rFonts w:ascii="Allstate Sans;sans-serif" w:hAnsi="Allstate Sans;sans-serif"/>
                          <w:b w:val="false"/>
                          <w:color w:val="0033A0"/>
                          <w:sz w:val="18"/>
                        </w:rPr>
                        <w:t>12</w:t>
                      </w:r>
                      <w:r>
                        <w:rPr>
                          <w:color w:val="1666AF"/>
                        </w:rPr>
                        <w:t xml:space="preserve"> </w:t>
                      </w:r>
                      <w:r>
                        <w:rPr>
                          <w:rFonts w:ascii="Allstate Sans;sans-serif" w:hAnsi="Allstate Sans;sans-serif"/>
                          <w:b w:val="false"/>
                          <w:color w:val="000000"/>
                          <w:sz w:val="18"/>
                        </w:rPr>
                        <w:t>www.allstate.com</w:t>
                      </w:r>
                    </w:p>
                  </w:txbxContent>
                </v:textbox>
                <w10:wrap type="none"/>
              </v:rect>
            </w:pict>
          </mc:Fallback>
        </mc:AlternateContent>
      </w:r>
    </w:p>
    <w:p>
      <w:pPr>
        <w:pStyle w:val="TextBody"/>
        <w:bidi w:val="0"/>
        <w:spacing w:lineRule="auto" w:line="288" w:before="0" w:after="0"/>
        <w:jc w:val="right"/>
        <w:rPr>
          <w:rFonts w:ascii="Allstate Sans;sans-serif" w:hAnsi="Allstate Sans;sans-serif"/>
          <w:b w:val="false"/>
          <w:color w:val="0033A0"/>
          <w:sz w:val="18"/>
        </w:rPr>
      </w:pPr>
      <w:r>
        <w:rPr>
          <w:rFonts w:ascii="Allstate Sans;sans-serif" w:hAnsi="Allstate Sans;sans-serif"/>
          <w:b w:val="false"/>
          <w:color w:val="0033A0"/>
          <w:sz w:val="18"/>
        </w:rPr>
        <w:t>Notes to Condensed Consolidated Financial Statements</w:t>
      </w:r>
    </w:p>
    <w:p>
      <w:pPr>
        <w:pStyle w:val="TextBody"/>
        <w:bidi w:val="0"/>
        <w:spacing w:before="0" w:after="120"/>
        <w:ind w:left="0" w:right="0" w:firstLine="360"/>
        <w:jc w:val="left"/>
        <w:rPr/>
      </w:pPr>
      <w:r>
        <w:rPr/>
      </w:r>
    </w:p>
    <w:tbl>
      <w:tblPr>
        <w:tblW w:w="10205" w:type="dxa"/>
        <w:jc w:val="left"/>
        <w:tblInd w:w="0" w:type="dxa"/>
        <w:tblLayout w:type="fixed"/>
        <w:tblCellMar>
          <w:top w:w="28" w:type="dxa"/>
          <w:left w:w="28" w:type="dxa"/>
          <w:bottom w:w="28" w:type="dxa"/>
          <w:right w:w="28" w:type="dxa"/>
        </w:tblCellMar>
      </w:tblPr>
      <w:tblGrid>
        <w:gridCol w:w="1316"/>
        <w:gridCol w:w="1154"/>
        <w:gridCol w:w="1158"/>
        <w:gridCol w:w="109"/>
        <w:gridCol w:w="109"/>
        <w:gridCol w:w="109"/>
        <w:gridCol w:w="307"/>
        <w:gridCol w:w="982"/>
        <w:gridCol w:w="148"/>
        <w:gridCol w:w="148"/>
        <w:gridCol w:w="148"/>
        <w:gridCol w:w="148"/>
        <w:gridCol w:w="307"/>
        <w:gridCol w:w="717"/>
        <w:gridCol w:w="148"/>
        <w:gridCol w:w="109"/>
        <w:gridCol w:w="109"/>
        <w:gridCol w:w="109"/>
        <w:gridCol w:w="260"/>
        <w:gridCol w:w="831"/>
        <w:gridCol w:w="125"/>
        <w:gridCol w:w="125"/>
        <w:gridCol w:w="125"/>
        <w:gridCol w:w="125"/>
        <w:gridCol w:w="260"/>
        <w:gridCol w:w="831"/>
        <w:gridCol w:w="188"/>
      </w:tblGrid>
      <w:tr>
        <w:trPr/>
        <w:tc>
          <w:tcPr>
            <w:tcW w:w="1316"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10205" w:type="dxa"/>
            <w:gridSpan w:val="27"/>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left"/>
              <w:rPr>
                <w:rFonts w:ascii="Allstate Sans;sans-serif" w:hAnsi="Allstate Sans;sans-serif"/>
                <w:b/>
                <w:color w:val="000000"/>
                <w:sz w:val="18"/>
              </w:rPr>
            </w:pPr>
            <w:r>
              <w:rPr>
                <w:rFonts w:ascii="Allstate Sans;sans-serif" w:hAnsi="Allstate Sans;sans-serif"/>
                <w:b/>
                <w:color w:val="000000"/>
                <w:sz w:val="18"/>
              </w:rPr>
              <w:t>Net investment income</w:t>
            </w:r>
          </w:p>
        </w:tc>
      </w:tr>
      <w:tr>
        <w:trPr/>
        <w:tc>
          <w:tcPr>
            <w:tcW w:w="3628"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 in 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Six months ended June 30,</w:t>
            </w:r>
          </w:p>
        </w:tc>
      </w:tr>
      <w:tr>
        <w:trPr/>
        <w:tc>
          <w:tcPr>
            <w:tcW w:w="3628"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2026</w:t>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2026</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2025</w:t>
            </w:r>
          </w:p>
        </w:tc>
      </w:tr>
      <w:tr>
        <w:trPr/>
        <w:tc>
          <w:tcPr>
            <w:tcW w:w="3628"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Fixed income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982"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710 </w:t>
            </w:r>
          </w:p>
        </w:tc>
        <w:tc>
          <w:tcPr>
            <w:tcW w:w="148"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717"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602 </w:t>
            </w:r>
          </w:p>
        </w:tc>
        <w:tc>
          <w:tcPr>
            <w:tcW w:w="148"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831"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1,376 </w:t>
            </w:r>
          </w:p>
        </w:tc>
        <w:tc>
          <w:tcPr>
            <w:tcW w:w="125"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831"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1,210 </w:t>
            </w:r>
          </w:p>
        </w:tc>
        <w:tc>
          <w:tcPr>
            <w:tcW w:w="188"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8"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Equity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54 </w:t>
            </w:r>
          </w:p>
        </w:tc>
        <w:tc>
          <w:tcPr>
            <w:tcW w:w="14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17 </w:t>
            </w:r>
          </w:p>
        </w:tc>
        <w:tc>
          <w:tcPr>
            <w:tcW w:w="14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95 </w:t>
            </w:r>
          </w:p>
        </w:tc>
        <w:tc>
          <w:tcPr>
            <w:tcW w:w="12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37 </w:t>
            </w:r>
          </w:p>
        </w:tc>
        <w:tc>
          <w:tcPr>
            <w:tcW w:w="18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8"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Mortgage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12 </w:t>
            </w:r>
          </w:p>
        </w:tc>
        <w:tc>
          <w:tcPr>
            <w:tcW w:w="14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9 </w:t>
            </w:r>
          </w:p>
        </w:tc>
        <w:tc>
          <w:tcPr>
            <w:tcW w:w="14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24 </w:t>
            </w:r>
          </w:p>
        </w:tc>
        <w:tc>
          <w:tcPr>
            <w:tcW w:w="12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19 </w:t>
            </w:r>
          </w:p>
        </w:tc>
        <w:tc>
          <w:tcPr>
            <w:tcW w:w="18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8"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Limited partnership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240 </w:t>
            </w:r>
          </w:p>
        </w:tc>
        <w:tc>
          <w:tcPr>
            <w:tcW w:w="14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74 </w:t>
            </w:r>
          </w:p>
        </w:tc>
        <w:tc>
          <w:tcPr>
            <w:tcW w:w="14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446 </w:t>
            </w:r>
          </w:p>
        </w:tc>
        <w:tc>
          <w:tcPr>
            <w:tcW w:w="12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268 </w:t>
            </w:r>
          </w:p>
        </w:tc>
        <w:tc>
          <w:tcPr>
            <w:tcW w:w="18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8"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Short-term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48 </w:t>
            </w:r>
          </w:p>
        </w:tc>
        <w:tc>
          <w:tcPr>
            <w:tcW w:w="14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97 </w:t>
            </w:r>
          </w:p>
        </w:tc>
        <w:tc>
          <w:tcPr>
            <w:tcW w:w="14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107 </w:t>
            </w:r>
          </w:p>
        </w:tc>
        <w:tc>
          <w:tcPr>
            <w:tcW w:w="12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169 </w:t>
            </w:r>
          </w:p>
        </w:tc>
        <w:tc>
          <w:tcPr>
            <w:tcW w:w="18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8"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Other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28 </w:t>
            </w:r>
          </w:p>
        </w:tc>
        <w:tc>
          <w:tcPr>
            <w:tcW w:w="14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24 </w:t>
            </w:r>
          </w:p>
        </w:tc>
        <w:tc>
          <w:tcPr>
            <w:tcW w:w="14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54 </w:t>
            </w:r>
          </w:p>
        </w:tc>
        <w:tc>
          <w:tcPr>
            <w:tcW w:w="12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45 </w:t>
            </w:r>
          </w:p>
        </w:tc>
        <w:tc>
          <w:tcPr>
            <w:tcW w:w="18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8"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Investment income, before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1,092</w:t>
            </w:r>
            <w:r>
              <w:rPr>
                <w:color w:val="000000"/>
              </w:rPr>
              <w:t> </w:t>
            </w:r>
          </w:p>
        </w:tc>
        <w:tc>
          <w:tcPr>
            <w:tcW w:w="14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823</w:t>
            </w:r>
            <w:r>
              <w:rPr>
                <w:color w:val="000000"/>
              </w:rPr>
              <w:t> </w:t>
            </w:r>
          </w:p>
        </w:tc>
        <w:tc>
          <w:tcPr>
            <w:tcW w:w="14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2,102</w:t>
            </w:r>
            <w:r>
              <w:rPr>
                <w:color w:val="000000"/>
              </w:rPr>
              <w:t> </w:t>
            </w:r>
          </w:p>
        </w:tc>
        <w:tc>
          <w:tcPr>
            <w:tcW w:w="12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1,748</w:t>
            </w:r>
            <w:r>
              <w:rPr>
                <w:color w:val="000000"/>
              </w:rPr>
              <w:t> </w:t>
            </w:r>
          </w:p>
        </w:tc>
        <w:tc>
          <w:tcPr>
            <w:tcW w:w="18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8"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Investment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(83)</w:t>
            </w:r>
          </w:p>
        </w:tc>
        <w:tc>
          <w:tcPr>
            <w:tcW w:w="14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(69)</w:t>
            </w:r>
          </w:p>
        </w:tc>
        <w:tc>
          <w:tcPr>
            <w:tcW w:w="14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(155)</w:t>
            </w:r>
          </w:p>
        </w:tc>
        <w:tc>
          <w:tcPr>
            <w:tcW w:w="12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(140)</w:t>
            </w:r>
          </w:p>
        </w:tc>
        <w:tc>
          <w:tcPr>
            <w:tcW w:w="18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8" w:type="dxa"/>
            <w:gridSpan w:val="3"/>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0"/>
              <w:jc w:val="left"/>
              <w:rPr/>
            </w:pPr>
            <w:r>
              <w:rPr>
                <w:rFonts w:ascii="Helvetica_Neue_LT_W1G_55_Roman;sans-serif" w:hAnsi="Helvetica_Neue_LT_W1G_55_Roman;sans-serif"/>
                <w:b/>
                <w:color w:val="000000"/>
                <w:sz w:val="18"/>
              </w:rPr>
              <w:t>Net investment income</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982"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1,009</w:t>
            </w:r>
            <w:r>
              <w:rPr>
                <w:color w:val="000000"/>
              </w:rPr>
              <w:t> </w:t>
            </w:r>
          </w:p>
        </w:tc>
        <w:tc>
          <w:tcPr>
            <w:tcW w:w="148"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717"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754</w:t>
            </w:r>
            <w:r>
              <w:rPr>
                <w:color w:val="000000"/>
              </w:rPr>
              <w:t> </w:t>
            </w:r>
          </w:p>
        </w:tc>
        <w:tc>
          <w:tcPr>
            <w:tcW w:w="148"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831"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1,947</w:t>
            </w:r>
            <w:r>
              <w:rPr>
                <w:color w:val="000000"/>
              </w:rPr>
              <w:t> </w:t>
            </w:r>
          </w:p>
        </w:tc>
        <w:tc>
          <w:tcPr>
            <w:tcW w:w="125"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831"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1,608</w:t>
            </w:r>
            <w:r>
              <w:rPr>
                <w:color w:val="000000"/>
              </w:rPr>
              <w:t> </w:t>
            </w:r>
          </w:p>
        </w:tc>
        <w:tc>
          <w:tcPr>
            <w:tcW w:w="188"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462"/>
        <w:gridCol w:w="1274"/>
        <w:gridCol w:w="1278"/>
        <w:gridCol w:w="115"/>
        <w:gridCol w:w="115"/>
        <w:gridCol w:w="115"/>
        <w:gridCol w:w="278"/>
        <w:gridCol w:w="888"/>
        <w:gridCol w:w="133"/>
        <w:gridCol w:w="133"/>
        <w:gridCol w:w="133"/>
        <w:gridCol w:w="133"/>
        <w:gridCol w:w="278"/>
        <w:gridCol w:w="735"/>
        <w:gridCol w:w="133"/>
        <w:gridCol w:w="115"/>
        <w:gridCol w:w="115"/>
        <w:gridCol w:w="115"/>
        <w:gridCol w:w="268"/>
        <w:gridCol w:w="708"/>
        <w:gridCol w:w="128"/>
        <w:gridCol w:w="128"/>
        <w:gridCol w:w="128"/>
        <w:gridCol w:w="128"/>
        <w:gridCol w:w="268"/>
        <w:gridCol w:w="708"/>
        <w:gridCol w:w="193"/>
      </w:tblGrid>
      <w:tr>
        <w:trPr/>
        <w:tc>
          <w:tcPr>
            <w:tcW w:w="1462"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10205" w:type="dxa"/>
            <w:gridSpan w:val="27"/>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left"/>
              <w:rPr>
                <w:rFonts w:ascii="Allstate Sans;sans-serif" w:hAnsi="Allstate Sans;sans-serif"/>
                <w:b/>
                <w:color w:val="000000"/>
                <w:sz w:val="18"/>
              </w:rPr>
            </w:pPr>
            <w:r>
              <w:rPr>
                <w:rFonts w:ascii="Allstate Sans;sans-serif" w:hAnsi="Allstate Sans;sans-serif"/>
                <w:b/>
                <w:color w:val="000000"/>
                <w:sz w:val="18"/>
              </w:rPr>
              <w:t>Net gains (losses) on investments and derivatives by type</w:t>
            </w:r>
          </w:p>
        </w:tc>
      </w:tr>
      <w:tr>
        <w:trPr/>
        <w:tc>
          <w:tcPr>
            <w:tcW w:w="4014"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 in millions)</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Three months ended June 30,</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Six months ended June 30,</w:t>
            </w:r>
          </w:p>
        </w:tc>
      </w:tr>
      <w:tr>
        <w:trPr/>
        <w:tc>
          <w:tcPr>
            <w:tcW w:w="4014"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2026</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2025</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2026</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2025</w:t>
            </w:r>
          </w:p>
        </w:tc>
      </w:tr>
      <w:tr>
        <w:trPr/>
        <w:tc>
          <w:tcPr>
            <w:tcW w:w="4014"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Fixed income securities</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888"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(117)</w:t>
            </w:r>
          </w:p>
        </w:tc>
        <w:tc>
          <w:tcPr>
            <w:tcW w:w="133"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735"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(250)</w:t>
            </w:r>
          </w:p>
        </w:tc>
        <w:tc>
          <w:tcPr>
            <w:tcW w:w="133"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708"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(116)</w:t>
            </w:r>
          </w:p>
        </w:tc>
        <w:tc>
          <w:tcPr>
            <w:tcW w:w="128"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708"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(378)</w:t>
            </w:r>
          </w:p>
        </w:tc>
        <w:tc>
          <w:tcPr>
            <w:tcW w:w="193"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4"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Equity securities</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1,158 </w:t>
            </w:r>
          </w:p>
        </w:tc>
        <w:tc>
          <w:tcPr>
            <w:tcW w:w="13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164 </w:t>
            </w:r>
          </w:p>
        </w:tc>
        <w:tc>
          <w:tcPr>
            <w:tcW w:w="13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777 </w:t>
            </w:r>
          </w:p>
        </w:tc>
        <w:tc>
          <w:tcPr>
            <w:tcW w:w="12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52 </w:t>
            </w:r>
          </w:p>
        </w:tc>
        <w:tc>
          <w:tcPr>
            <w:tcW w:w="19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4"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Mortgage loans</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w:t>
            </w:r>
          </w:p>
        </w:tc>
        <w:tc>
          <w:tcPr>
            <w:tcW w:w="13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w:t>
            </w:r>
          </w:p>
        </w:tc>
        <w:tc>
          <w:tcPr>
            <w:tcW w:w="12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4"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Limited partnership interests</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20 </w:t>
            </w:r>
          </w:p>
        </w:tc>
        <w:tc>
          <w:tcPr>
            <w:tcW w:w="13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13 </w:t>
            </w:r>
          </w:p>
        </w:tc>
        <w:tc>
          <w:tcPr>
            <w:tcW w:w="13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4 </w:t>
            </w:r>
          </w:p>
        </w:tc>
        <w:tc>
          <w:tcPr>
            <w:tcW w:w="12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8 </w:t>
            </w:r>
          </w:p>
        </w:tc>
        <w:tc>
          <w:tcPr>
            <w:tcW w:w="19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4"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Derivatives</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(26)</w:t>
            </w:r>
          </w:p>
        </w:tc>
        <w:tc>
          <w:tcPr>
            <w:tcW w:w="13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(65)</w:t>
            </w:r>
          </w:p>
        </w:tc>
        <w:tc>
          <w:tcPr>
            <w:tcW w:w="13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(32)</w:t>
            </w:r>
          </w:p>
        </w:tc>
        <w:tc>
          <w:tcPr>
            <w:tcW w:w="12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(84)</w:t>
            </w:r>
          </w:p>
        </w:tc>
        <w:tc>
          <w:tcPr>
            <w:tcW w:w="19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4"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pPr>
            <w:r>
              <w:rPr>
                <w:rFonts w:ascii="Helvetica_Neue_LT_W1G_55_Roman;sans-serif" w:hAnsi="Helvetica_Neue_LT_W1G_55_Roman;sans-serif"/>
                <w:b w:val="false"/>
                <w:color w:val="000000"/>
                <w:sz w:val="18"/>
              </w:rPr>
              <w:t xml:space="preserve">Other investments </w:t>
            </w:r>
            <w:r>
              <w:rPr>
                <w:rFonts w:ascii="Helvetica_Neue_LT_W1G_55_Roman;sans-serif" w:hAnsi="Helvetica_Neue_LT_W1G_55_Roman;sans-serif"/>
                <w:b w:val="false"/>
                <w:color w:val="000000"/>
                <w:sz w:val="12"/>
              </w:rPr>
              <w:t>(1)</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23 </w:t>
            </w:r>
          </w:p>
        </w:tc>
        <w:tc>
          <w:tcPr>
            <w:tcW w:w="13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w:t>
            </w:r>
          </w:p>
        </w:tc>
        <w:tc>
          <w:tcPr>
            <w:tcW w:w="13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20 </w:t>
            </w:r>
          </w:p>
        </w:tc>
        <w:tc>
          <w:tcPr>
            <w:tcW w:w="12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(91)</w:t>
            </w:r>
          </w:p>
        </w:tc>
        <w:tc>
          <w:tcPr>
            <w:tcW w:w="19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4" w:type="dxa"/>
            <w:gridSpan w:val="3"/>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Net gains (losses) on investments and derivatives</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888"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1,055</w:t>
            </w:r>
            <w:r>
              <w:rPr>
                <w:color w:val="000000"/>
              </w:rPr>
              <w:t> </w:t>
            </w:r>
          </w:p>
        </w:tc>
        <w:tc>
          <w:tcPr>
            <w:tcW w:w="133"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735"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(144)</w:t>
            </w:r>
          </w:p>
        </w:tc>
        <w:tc>
          <w:tcPr>
            <w:tcW w:w="133"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708"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650</w:t>
            </w:r>
            <w:r>
              <w:rPr>
                <w:color w:val="000000"/>
              </w:rPr>
              <w:t> </w:t>
            </w:r>
          </w:p>
        </w:tc>
        <w:tc>
          <w:tcPr>
            <w:tcW w:w="128"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708"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(493)</w:t>
            </w:r>
          </w:p>
        </w:tc>
        <w:tc>
          <w:tcPr>
            <w:tcW w:w="193"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180"/>
        <w:jc w:val="left"/>
        <w:rPr/>
      </w:pPr>
      <w:r>
        <w:rPr>
          <w:rFonts w:ascii="Allstate Sans;sans-serif" w:hAnsi="Allstate Sans;sans-serif"/>
          <w:b w:val="false"/>
          <w:color w:val="000000"/>
          <w:sz w:val="10"/>
        </w:rPr>
        <w:t>(1)</w:t>
      </w:r>
      <w:r>
        <w:rPr>
          <w:rFonts w:ascii="Allstate Sans;sans-serif" w:hAnsi="Allstate Sans;sans-serif"/>
          <w:b w:val="false"/>
          <w:color w:val="000000"/>
          <w:sz w:val="16"/>
        </w:rPr>
        <w:t xml:space="preserve">2025 includes $67 million of losses related to variable interests in Adirondack Insurance Exchange (“Adirondack”) and New Jersey Skylands Insurance Association (“Skylands”) (together “Reciprocal Exchanges”). </w:t>
      </w:r>
    </w:p>
    <w:tbl>
      <w:tblPr>
        <w:tblW w:w="10205" w:type="dxa"/>
        <w:jc w:val="left"/>
        <w:tblInd w:w="0" w:type="dxa"/>
        <w:tblLayout w:type="fixed"/>
        <w:tblCellMar>
          <w:top w:w="28" w:type="dxa"/>
          <w:left w:w="28" w:type="dxa"/>
          <w:bottom w:w="28" w:type="dxa"/>
          <w:right w:w="28" w:type="dxa"/>
        </w:tblCellMar>
      </w:tblPr>
      <w:tblGrid>
        <w:gridCol w:w="1436"/>
        <w:gridCol w:w="1251"/>
        <w:gridCol w:w="1254"/>
        <w:gridCol w:w="132"/>
        <w:gridCol w:w="132"/>
        <w:gridCol w:w="132"/>
        <w:gridCol w:w="275"/>
        <w:gridCol w:w="882"/>
        <w:gridCol w:w="132"/>
        <w:gridCol w:w="132"/>
        <w:gridCol w:w="132"/>
        <w:gridCol w:w="132"/>
        <w:gridCol w:w="275"/>
        <w:gridCol w:w="728"/>
        <w:gridCol w:w="132"/>
        <w:gridCol w:w="132"/>
        <w:gridCol w:w="132"/>
        <w:gridCol w:w="132"/>
        <w:gridCol w:w="275"/>
        <w:gridCol w:w="641"/>
        <w:gridCol w:w="132"/>
        <w:gridCol w:w="132"/>
        <w:gridCol w:w="132"/>
        <w:gridCol w:w="132"/>
        <w:gridCol w:w="275"/>
        <w:gridCol w:w="726"/>
        <w:gridCol w:w="207"/>
      </w:tblGrid>
      <w:tr>
        <w:trPr/>
        <w:tc>
          <w:tcPr>
            <w:tcW w:w="1436"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r>
      <w:tr>
        <w:trPr/>
        <w:tc>
          <w:tcPr>
            <w:tcW w:w="10205" w:type="dxa"/>
            <w:gridSpan w:val="27"/>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left"/>
              <w:rPr>
                <w:rFonts w:ascii="Allstate Sans;sans-serif" w:hAnsi="Allstate Sans;sans-serif"/>
                <w:b/>
                <w:color w:val="000000"/>
                <w:sz w:val="18"/>
              </w:rPr>
            </w:pPr>
            <w:r>
              <w:rPr>
                <w:rFonts w:ascii="Allstate Sans;sans-serif" w:hAnsi="Allstate Sans;sans-serif"/>
                <w:b/>
                <w:color w:val="000000"/>
                <w:sz w:val="18"/>
              </w:rPr>
              <w:t>Net gains (losses) on investments and derivatives by transaction type</w:t>
            </w:r>
          </w:p>
        </w:tc>
      </w:tr>
      <w:tr>
        <w:trPr/>
        <w:tc>
          <w:tcPr>
            <w:tcW w:w="394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 in millions)</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Three months ended June 30,</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Six months ended June 30,</w:t>
            </w:r>
          </w:p>
        </w:tc>
      </w:tr>
      <w:tr>
        <w:trPr/>
        <w:tc>
          <w:tcPr>
            <w:tcW w:w="394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2026</w:t>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2025</w:t>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2026</w:t>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2025</w:t>
            </w:r>
          </w:p>
        </w:tc>
      </w:tr>
      <w:tr>
        <w:trPr/>
        <w:tc>
          <w:tcPr>
            <w:tcW w:w="3941"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Sales</w:t>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882"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(80)</w:t>
            </w:r>
          </w:p>
        </w:tc>
        <w:tc>
          <w:tcPr>
            <w:tcW w:w="132"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728"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(245)</w:t>
            </w:r>
          </w:p>
        </w:tc>
        <w:tc>
          <w:tcPr>
            <w:tcW w:w="132"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641"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(84)</w:t>
            </w:r>
          </w:p>
        </w:tc>
        <w:tc>
          <w:tcPr>
            <w:tcW w:w="132"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726"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(382)</w:t>
            </w:r>
          </w:p>
        </w:tc>
        <w:tc>
          <w:tcPr>
            <w:tcW w:w="207"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Credit losses</w:t>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(18)</w:t>
            </w:r>
          </w:p>
        </w:tc>
        <w:tc>
          <w:tcPr>
            <w:tcW w:w="132"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w:t>
            </w:r>
          </w:p>
        </w:tc>
        <w:tc>
          <w:tcPr>
            <w:tcW w:w="132"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(25)</w:t>
            </w:r>
          </w:p>
        </w:tc>
        <w:tc>
          <w:tcPr>
            <w:tcW w:w="13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(80)</w:t>
            </w:r>
          </w:p>
        </w:tc>
        <w:tc>
          <w:tcPr>
            <w:tcW w:w="20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pPr>
            <w:r>
              <w:rPr>
                <w:rFonts w:ascii="Helvetica_Neue_LT_W1G_55_Roman;sans-serif" w:hAnsi="Helvetica_Neue_LT_W1G_55_Roman;sans-serif"/>
                <w:b w:val="false"/>
                <w:color w:val="000000"/>
                <w:sz w:val="18"/>
              </w:rPr>
              <w:t xml:space="preserve">Valuation change of equity investments </w:t>
            </w:r>
            <w:r>
              <w:rPr>
                <w:rFonts w:ascii="Helvetica_Neue_LT_W1G_55_Roman;sans-serif" w:hAnsi="Helvetica_Neue_LT_W1G_55_Roman;sans-serif"/>
                <w:b w:val="false"/>
                <w:color w:val="000000"/>
                <w:sz w:val="12"/>
              </w:rPr>
              <w:t>(1)</w:t>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1,179 </w:t>
            </w:r>
          </w:p>
        </w:tc>
        <w:tc>
          <w:tcPr>
            <w:tcW w:w="132"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170 </w:t>
            </w:r>
          </w:p>
        </w:tc>
        <w:tc>
          <w:tcPr>
            <w:tcW w:w="132"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791 </w:t>
            </w:r>
          </w:p>
        </w:tc>
        <w:tc>
          <w:tcPr>
            <w:tcW w:w="13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53 </w:t>
            </w:r>
          </w:p>
        </w:tc>
        <w:tc>
          <w:tcPr>
            <w:tcW w:w="20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Valuation change and settlements of derivatives</w:t>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(26)</w:t>
            </w:r>
          </w:p>
        </w:tc>
        <w:tc>
          <w:tcPr>
            <w:tcW w:w="132"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(65)</w:t>
            </w:r>
          </w:p>
        </w:tc>
        <w:tc>
          <w:tcPr>
            <w:tcW w:w="132"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(32)</w:t>
            </w:r>
          </w:p>
        </w:tc>
        <w:tc>
          <w:tcPr>
            <w:tcW w:w="13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(84)</w:t>
            </w:r>
          </w:p>
        </w:tc>
        <w:tc>
          <w:tcPr>
            <w:tcW w:w="20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1" w:type="dxa"/>
            <w:gridSpan w:val="3"/>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Net gains (losses) on investments and derivatives</w:t>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882"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1,055</w:t>
            </w:r>
            <w:r>
              <w:rPr>
                <w:color w:val="000000"/>
              </w:rPr>
              <w:t> </w:t>
            </w:r>
          </w:p>
        </w:tc>
        <w:tc>
          <w:tcPr>
            <w:tcW w:w="132"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728"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(144)</w:t>
            </w:r>
          </w:p>
        </w:tc>
        <w:tc>
          <w:tcPr>
            <w:tcW w:w="132"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641"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650</w:t>
            </w:r>
            <w:r>
              <w:rPr>
                <w:color w:val="000000"/>
              </w:rPr>
              <w:t> </w:t>
            </w:r>
          </w:p>
        </w:tc>
        <w:tc>
          <w:tcPr>
            <w:tcW w:w="132"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72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(493)</w:t>
            </w:r>
          </w:p>
        </w:tc>
        <w:tc>
          <w:tcPr>
            <w:tcW w:w="207"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180"/>
        <w:jc w:val="left"/>
        <w:rPr/>
      </w:pPr>
      <w:r>
        <w:rPr>
          <w:rFonts w:ascii="Allstate Sans;sans-serif" w:hAnsi="Allstate Sans;sans-serif"/>
          <w:b w:val="false"/>
          <w:color w:val="000000"/>
          <w:sz w:val="10"/>
        </w:rPr>
        <w:t>(1)</w:t>
      </w:r>
      <w:r>
        <w:rPr>
          <w:rFonts w:ascii="Allstate Sans;sans-serif" w:hAnsi="Allstate Sans;sans-serif"/>
          <w:b w:val="false"/>
          <w:color w:val="000000"/>
          <w:sz w:val="16"/>
        </w:rPr>
        <w:t>Includes valuation change of equity securities and certain limited partnership interests where the underlying assets are predominately public equity securities.</w:t>
      </w:r>
    </w:p>
    <w:tbl>
      <w:tblPr>
        <w:tblW w:w="8875" w:type="dxa"/>
        <w:jc w:val="left"/>
        <w:tblInd w:w="0" w:type="dxa"/>
        <w:tblLayout w:type="fixed"/>
        <w:tblCellMar>
          <w:top w:w="28" w:type="dxa"/>
          <w:left w:w="28" w:type="dxa"/>
          <w:bottom w:w="28" w:type="dxa"/>
          <w:right w:w="28" w:type="dxa"/>
        </w:tblCellMar>
      </w:tblPr>
      <w:tblGrid>
        <w:gridCol w:w="729"/>
        <w:gridCol w:w="640"/>
        <w:gridCol w:w="641"/>
        <w:gridCol w:w="143"/>
        <w:gridCol w:w="143"/>
        <w:gridCol w:w="143"/>
        <w:gridCol w:w="365"/>
        <w:gridCol w:w="656"/>
        <w:gridCol w:w="176"/>
        <w:gridCol w:w="176"/>
        <w:gridCol w:w="176"/>
        <w:gridCol w:w="176"/>
        <w:gridCol w:w="365"/>
        <w:gridCol w:w="851"/>
        <w:gridCol w:w="176"/>
        <w:gridCol w:w="143"/>
        <w:gridCol w:w="143"/>
        <w:gridCol w:w="143"/>
        <w:gridCol w:w="312"/>
        <w:gridCol w:w="727"/>
        <w:gridCol w:w="150"/>
        <w:gridCol w:w="150"/>
        <w:gridCol w:w="150"/>
        <w:gridCol w:w="150"/>
        <w:gridCol w:w="312"/>
        <w:gridCol w:w="727"/>
        <w:gridCol w:w="212"/>
      </w:tblGrid>
      <w:tr>
        <w:trPr/>
        <w:tc>
          <w:tcPr>
            <w:tcW w:w="729"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8875" w:type="dxa"/>
            <w:gridSpan w:val="27"/>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Gross realized gains (losses) on sales of fixed income securities</w:t>
            </w:r>
          </w:p>
        </w:tc>
      </w:tr>
      <w:tr>
        <w:trPr/>
        <w:tc>
          <w:tcPr>
            <w:tcW w:w="2010"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 in millions)</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Three months ended June 30,</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Six months ended June 30,</w:t>
            </w:r>
          </w:p>
        </w:tc>
      </w:tr>
      <w:tr>
        <w:trPr/>
        <w:tc>
          <w:tcPr>
            <w:tcW w:w="2010"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2026</w:t>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2025</w:t>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2026</w:t>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2025</w:t>
            </w:r>
          </w:p>
        </w:tc>
      </w:tr>
      <w:tr>
        <w:trPr/>
        <w:tc>
          <w:tcPr>
            <w:tcW w:w="2010"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Gross realized gains</w:t>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656"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61 </w:t>
            </w:r>
          </w:p>
        </w:tc>
        <w:tc>
          <w:tcPr>
            <w:tcW w:w="176"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851"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116 </w:t>
            </w:r>
          </w:p>
        </w:tc>
        <w:tc>
          <w:tcPr>
            <w:tcW w:w="176"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727"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185 </w:t>
            </w:r>
          </w:p>
        </w:tc>
        <w:tc>
          <w:tcPr>
            <w:tcW w:w="150"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727"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187 </w:t>
            </w:r>
          </w:p>
        </w:tc>
        <w:tc>
          <w:tcPr>
            <w:tcW w:w="212"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top w:val="single" w:sz="4" w:space="0" w:color="ACACAC"/>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 xml:space="preserve">Gross realized losses </w:t>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4" w:space="0" w:color="ACACAC"/>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(178)</w:t>
            </w:r>
          </w:p>
        </w:tc>
        <w:tc>
          <w:tcPr>
            <w:tcW w:w="176" w:type="dxa"/>
            <w:tcBorders>
              <w:top w:val="single" w:sz="4" w:space="0" w:color="ACACAC"/>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top w:val="single" w:sz="4" w:space="0" w:color="ACACAC"/>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(367)</w:t>
            </w:r>
          </w:p>
        </w:tc>
        <w:tc>
          <w:tcPr>
            <w:tcW w:w="176" w:type="dxa"/>
            <w:tcBorders>
              <w:top w:val="single" w:sz="4" w:space="0" w:color="ACACAC"/>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op w:val="single" w:sz="4" w:space="0" w:color="ACACAC"/>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(301)</w:t>
            </w:r>
          </w:p>
        </w:tc>
        <w:tc>
          <w:tcPr>
            <w:tcW w:w="150" w:type="dxa"/>
            <w:tcBorders>
              <w:top w:val="single" w:sz="4" w:space="0" w:color="ACACAC"/>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op w:val="single" w:sz="4" w:space="0" w:color="ACACAC"/>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(565)</w:t>
            </w:r>
          </w:p>
        </w:tc>
        <w:tc>
          <w:tcPr>
            <w:tcW w:w="212" w:type="dxa"/>
            <w:tcBorders>
              <w:top w:val="single" w:sz="4" w:space="0" w:color="ACACAC"/>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62"/>
        <w:gridCol w:w="1106"/>
        <w:gridCol w:w="1110"/>
        <w:gridCol w:w="152"/>
        <w:gridCol w:w="152"/>
        <w:gridCol w:w="152"/>
        <w:gridCol w:w="316"/>
        <w:gridCol w:w="738"/>
        <w:gridCol w:w="152"/>
        <w:gridCol w:w="152"/>
        <w:gridCol w:w="152"/>
        <w:gridCol w:w="152"/>
        <w:gridCol w:w="316"/>
        <w:gridCol w:w="738"/>
        <w:gridCol w:w="152"/>
        <w:gridCol w:w="152"/>
        <w:gridCol w:w="152"/>
        <w:gridCol w:w="152"/>
        <w:gridCol w:w="316"/>
        <w:gridCol w:w="738"/>
        <w:gridCol w:w="152"/>
        <w:gridCol w:w="152"/>
        <w:gridCol w:w="152"/>
        <w:gridCol w:w="152"/>
        <w:gridCol w:w="316"/>
        <w:gridCol w:w="738"/>
        <w:gridCol w:w="231"/>
      </w:tblGrid>
      <w:tr>
        <w:trPr/>
        <w:tc>
          <w:tcPr>
            <w:tcW w:w="1262"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10205" w:type="dxa"/>
            <w:gridSpan w:val="27"/>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Net appreciation (decline) recognized in net income for assets that are still held</w:t>
            </w:r>
          </w:p>
        </w:tc>
      </w:tr>
      <w:tr>
        <w:trPr/>
        <w:tc>
          <w:tcPr>
            <w:tcW w:w="3478"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 in millions)</w:t>
            </w:r>
          </w:p>
        </w:tc>
        <w:tc>
          <w:tcPr>
            <w:tcW w:w="4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Three months ended June 30,</w:t>
            </w:r>
          </w:p>
        </w:tc>
        <w:tc>
          <w:tcPr>
            <w:tcW w:w="4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Six months ended June 30,</w:t>
            </w:r>
          </w:p>
        </w:tc>
      </w:tr>
      <w:tr>
        <w:trPr/>
        <w:tc>
          <w:tcPr>
            <w:tcW w:w="3478"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2026</w:t>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2025</w:t>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2026</w:t>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2025</w:t>
            </w:r>
          </w:p>
        </w:tc>
      </w:tr>
      <w:tr>
        <w:trPr/>
        <w:tc>
          <w:tcPr>
            <w:tcW w:w="3478"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Equity securities</w:t>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738"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960 </w:t>
            </w:r>
          </w:p>
        </w:tc>
        <w:tc>
          <w:tcPr>
            <w:tcW w:w="152"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738"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129 </w:t>
            </w:r>
          </w:p>
        </w:tc>
        <w:tc>
          <w:tcPr>
            <w:tcW w:w="152"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738"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821 </w:t>
            </w:r>
          </w:p>
        </w:tc>
        <w:tc>
          <w:tcPr>
            <w:tcW w:w="152"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738"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125 </w:t>
            </w:r>
          </w:p>
        </w:tc>
        <w:tc>
          <w:tcPr>
            <w:tcW w:w="231"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8"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0"/>
              <w:jc w:val="left"/>
              <w:rPr/>
            </w:pPr>
            <w:r>
              <w:rPr>
                <w:rFonts w:ascii="Helvetica_Neue_LT_W1G_55_Roman;sans-serif" w:hAnsi="Helvetica_Neue_LT_W1G_55_Roman;sans-serif"/>
                <w:b w:val="false"/>
                <w:color w:val="000000"/>
                <w:sz w:val="18"/>
              </w:rPr>
              <w:t>Limited partnership interests carried at fair value</w:t>
            </w:r>
            <w:r>
              <w:rPr>
                <w:color w:val="005BA5"/>
              </w:rPr>
              <w:t xml:space="preserve"> </w:t>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(10)</w:t>
            </w:r>
          </w:p>
        </w:tc>
        <w:tc>
          <w:tcPr>
            <w:tcW w:w="152"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(12)</w:t>
            </w:r>
          </w:p>
        </w:tc>
        <w:tc>
          <w:tcPr>
            <w:tcW w:w="152"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w:t>
            </w:r>
          </w:p>
        </w:tc>
        <w:tc>
          <w:tcPr>
            <w:tcW w:w="152"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(29)</w:t>
            </w:r>
          </w:p>
        </w:tc>
        <w:tc>
          <w:tcPr>
            <w:tcW w:w="231"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8" w:type="dxa"/>
            <w:gridSpan w:val="3"/>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w:t>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4" w:space="0" w:color="ACACAC"/>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738" w:type="dxa"/>
            <w:tcBorders>
              <w:top w:val="single" w:sz="4" w:space="0" w:color="ACACAC"/>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950</w:t>
            </w:r>
            <w:r>
              <w:rPr>
                <w:color w:val="000000"/>
              </w:rPr>
              <w:t> </w:t>
            </w:r>
          </w:p>
        </w:tc>
        <w:tc>
          <w:tcPr>
            <w:tcW w:w="152" w:type="dxa"/>
            <w:tcBorders>
              <w:top w:val="single" w:sz="4" w:space="0" w:color="ACACAC"/>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738"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117</w:t>
            </w:r>
            <w:r>
              <w:rPr>
                <w:color w:val="000000"/>
              </w:rPr>
              <w:t> </w:t>
            </w:r>
          </w:p>
        </w:tc>
        <w:tc>
          <w:tcPr>
            <w:tcW w:w="152"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4" w:space="0" w:color="ACACAC"/>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738" w:type="dxa"/>
            <w:tcBorders>
              <w:top w:val="single" w:sz="4" w:space="0" w:color="ACACAC"/>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816</w:t>
            </w:r>
            <w:r>
              <w:rPr>
                <w:color w:val="000000"/>
              </w:rPr>
              <w:t> </w:t>
            </w:r>
          </w:p>
        </w:tc>
        <w:tc>
          <w:tcPr>
            <w:tcW w:w="152" w:type="dxa"/>
            <w:tcBorders>
              <w:top w:val="single" w:sz="4" w:space="0" w:color="ACACAC"/>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738"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96</w:t>
            </w:r>
            <w:r>
              <w:rPr>
                <w:color w:val="000000"/>
              </w:rPr>
              <w:t> </w:t>
            </w:r>
          </w:p>
        </w:tc>
        <w:tc>
          <w:tcPr>
            <w:tcW w:w="231"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33350"/>
                <wp:effectExtent l="0" t="0" r="0" b="0"/>
                <wp:wrapNone/>
                <wp:docPr id="16" name="Frame15"/>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ind w:left="0" w:right="0" w:firstLine="360"/>
                              <w:jc w:val="right"/>
                              <w:rPr/>
                            </w:pPr>
                            <w:r>
                              <w:rPr>
                                <w:rFonts w:ascii="Allstate Sans;sans-serif" w:hAnsi="Allstate Sans;sans-serif"/>
                                <w:b w:val="false"/>
                                <w:color w:val="000000"/>
                                <w:sz w:val="18"/>
                              </w:rPr>
                              <w:t xml:space="preserve">Second Quarter 2026 Form 10-Q </w:t>
                            </w:r>
                            <w:r>
                              <w:rPr>
                                <w:rFonts w:ascii="Allstate Sans;sans-serif" w:hAnsi="Allstate Sans;sans-serif"/>
                                <w:b w:val="false"/>
                                <w:color w:val="0033A0"/>
                                <w:sz w:val="18"/>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right"/>
                        <w:rPr/>
                      </w:pPr>
                      <w:r>
                        <w:rPr>
                          <w:rFonts w:ascii="Allstate Sans;sans-serif" w:hAnsi="Allstate Sans;sans-serif"/>
                          <w:b w:val="false"/>
                          <w:color w:val="000000"/>
                          <w:sz w:val="18"/>
                        </w:rPr>
                        <w:t xml:space="preserve">Second Quarter 2026 Form 10-Q </w:t>
                      </w:r>
                      <w:r>
                        <w:rPr>
                          <w:rFonts w:ascii="Allstate Sans;sans-serif" w:hAnsi="Allstate Sans;sans-serif"/>
                          <w:b w:val="false"/>
                          <w:color w:val="0033A0"/>
                          <w:sz w:val="18"/>
                        </w:rPr>
                        <w:t>13</w:t>
                      </w:r>
                    </w:p>
                  </w:txbxContent>
                </v:textbox>
                <w10:wrap type="none"/>
              </v:rect>
            </w:pict>
          </mc:Fallback>
        </mc:AlternateContent>
      </w:r>
    </w:p>
    <w:p>
      <w:pPr>
        <w:pStyle w:val="TextBody"/>
        <w:bidi w:val="0"/>
        <w:spacing w:lineRule="auto" w:line="288" w:before="0" w:after="0"/>
        <w:jc w:val="left"/>
        <w:rPr>
          <w:rFonts w:ascii="Allstate Sans;sans-serif" w:hAnsi="Allstate Sans;sans-serif"/>
          <w:b w:val="false"/>
          <w:color w:val="0033A0"/>
          <w:sz w:val="18"/>
        </w:rPr>
      </w:pPr>
      <w:r>
        <w:rPr>
          <w:rFonts w:ascii="Allstate Sans;sans-serif" w:hAnsi="Allstate Sans;sans-serif"/>
          <w:b w:val="false"/>
          <w:color w:val="0033A0"/>
          <w:sz w:val="18"/>
        </w:rPr>
        <w:t>Notes to Condensed Consolidated Financial Statements</w:t>
      </w:r>
    </w:p>
    <w:tbl>
      <w:tblPr>
        <w:tblW w:w="10205" w:type="dxa"/>
        <w:jc w:val="left"/>
        <w:tblInd w:w="0" w:type="dxa"/>
        <w:tblLayout w:type="fixed"/>
        <w:tblCellMar>
          <w:top w:w="28" w:type="dxa"/>
          <w:left w:w="28" w:type="dxa"/>
          <w:bottom w:w="28" w:type="dxa"/>
          <w:right w:w="28" w:type="dxa"/>
        </w:tblCellMar>
      </w:tblPr>
      <w:tblGrid>
        <w:gridCol w:w="1691"/>
        <w:gridCol w:w="1473"/>
        <w:gridCol w:w="1476"/>
        <w:gridCol w:w="109"/>
        <w:gridCol w:w="109"/>
        <w:gridCol w:w="109"/>
        <w:gridCol w:w="307"/>
        <w:gridCol w:w="641"/>
        <w:gridCol w:w="148"/>
        <w:gridCol w:w="148"/>
        <w:gridCol w:w="148"/>
        <w:gridCol w:w="148"/>
        <w:gridCol w:w="307"/>
        <w:gridCol w:w="477"/>
        <w:gridCol w:w="148"/>
        <w:gridCol w:w="109"/>
        <w:gridCol w:w="109"/>
        <w:gridCol w:w="109"/>
        <w:gridCol w:w="277"/>
        <w:gridCol w:w="575"/>
        <w:gridCol w:w="133"/>
        <w:gridCol w:w="133"/>
        <w:gridCol w:w="133"/>
        <w:gridCol w:w="133"/>
        <w:gridCol w:w="277"/>
        <w:gridCol w:w="575"/>
        <w:gridCol w:w="203"/>
      </w:tblGrid>
      <w:tr>
        <w:trPr/>
        <w:tc>
          <w:tcPr>
            <w:tcW w:w="1691"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10205" w:type="dxa"/>
            <w:gridSpan w:val="27"/>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120"/>
              <w:jc w:val="left"/>
              <w:rPr>
                <w:rFonts w:ascii="Allstate Sans;sans-serif" w:hAnsi="Allstate Sans;sans-serif"/>
                <w:b/>
                <w:color w:val="000000"/>
                <w:sz w:val="18"/>
              </w:rPr>
            </w:pPr>
            <w:r>
              <w:rPr>
                <w:rFonts w:ascii="Allstate Sans;sans-serif" w:hAnsi="Allstate Sans;sans-serif"/>
                <w:b/>
                <w:color w:val="000000"/>
                <w:sz w:val="18"/>
              </w:rPr>
              <w:t>Credit losses recognized in net income</w:t>
            </w:r>
          </w:p>
        </w:tc>
      </w:tr>
      <w:tr>
        <w:trPr/>
        <w:tc>
          <w:tcPr>
            <w:tcW w:w="4640"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 in 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Six months ended June 30,</w:t>
            </w:r>
          </w:p>
        </w:tc>
      </w:tr>
      <w:tr>
        <w:trPr/>
        <w:tc>
          <w:tcPr>
            <w:tcW w:w="4640"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2026</w:t>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2026</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2025</w:t>
            </w:r>
          </w:p>
        </w:tc>
      </w:tr>
      <w:tr>
        <w:trPr/>
        <w:tc>
          <w:tcPr>
            <w:tcW w:w="4640"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Fixed income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r>
      <w:tr>
        <w:trPr/>
        <w:tc>
          <w:tcPr>
            <w:tcW w:w="464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Corporate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64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477"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1 </w:t>
            </w:r>
          </w:p>
        </w:tc>
        <w:tc>
          <w:tcPr>
            <w:tcW w:w="14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575"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575"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r>
      <w:tr>
        <w:trPr/>
        <w:tc>
          <w:tcPr>
            <w:tcW w:w="4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r>
      <w:tr>
        <w:trPr/>
        <w:tc>
          <w:tcPr>
            <w:tcW w:w="464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 fixed income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w:t>
            </w:r>
            <w:r>
              <w:rPr>
                <w:color w:val="000000"/>
              </w:rPr>
              <w:t> </w:t>
            </w:r>
          </w:p>
        </w:tc>
        <w:tc>
          <w:tcPr>
            <w:tcW w:w="14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Limited partnership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w:t>
            </w:r>
          </w:p>
        </w:tc>
        <w:tc>
          <w:tcPr>
            <w:tcW w:w="14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w:t>
            </w:r>
          </w:p>
        </w:tc>
        <w:tc>
          <w:tcPr>
            <w:tcW w:w="14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(14)</w:t>
            </w:r>
          </w:p>
        </w:tc>
        <w:tc>
          <w:tcPr>
            <w:tcW w:w="13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w:t>
            </w:r>
          </w:p>
        </w:tc>
        <w:tc>
          <w:tcPr>
            <w:tcW w:w="20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Mortgage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w:t>
            </w:r>
          </w:p>
        </w:tc>
        <w:tc>
          <w:tcPr>
            <w:tcW w:w="14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w:t>
            </w:r>
          </w:p>
        </w:tc>
        <w:tc>
          <w:tcPr>
            <w:tcW w:w="13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r>
      <w:tr>
        <w:trPr/>
        <w:tc>
          <w:tcPr>
            <w:tcW w:w="464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Other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Bank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w:t>
            </w:r>
          </w:p>
        </w:tc>
        <w:tc>
          <w:tcPr>
            <w:tcW w:w="14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w:t>
            </w:r>
          </w:p>
        </w:tc>
        <w:tc>
          <w:tcPr>
            <w:tcW w:w="14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w:t>
            </w:r>
          </w:p>
        </w:tc>
        <w:tc>
          <w:tcPr>
            <w:tcW w:w="13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(9)</w:t>
            </w:r>
          </w:p>
        </w:tc>
        <w:tc>
          <w:tcPr>
            <w:tcW w:w="20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r>
      <w:tr>
        <w:trPr/>
        <w:tc>
          <w:tcPr>
            <w:tcW w:w="4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r>
      <w:tr>
        <w:trPr/>
        <w:tc>
          <w:tcPr>
            <w:tcW w:w="464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Other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w:t>
            </w:r>
          </w:p>
        </w:tc>
        <w:tc>
          <w:tcPr>
            <w:tcW w:w="14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w:t>
            </w:r>
          </w:p>
        </w:tc>
        <w:tc>
          <w:tcPr>
            <w:tcW w:w="13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(52)</w:t>
            </w:r>
          </w:p>
        </w:tc>
        <w:tc>
          <w:tcPr>
            <w:tcW w:w="20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Commitments to fund line of credit, commercial mortgage loans and bank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(15)</w:t>
            </w:r>
          </w:p>
        </w:tc>
        <w:tc>
          <w:tcPr>
            <w:tcW w:w="20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0" w:type="dxa"/>
            <w:gridSpan w:val="3"/>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 xml:space="preserve">Total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641"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(18)</w:t>
            </w:r>
          </w:p>
        </w:tc>
        <w:tc>
          <w:tcPr>
            <w:tcW w:w="148"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477"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(4)</w:t>
            </w:r>
          </w:p>
        </w:tc>
        <w:tc>
          <w:tcPr>
            <w:tcW w:w="148"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575"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(25)</w:t>
            </w:r>
          </w:p>
        </w:tc>
        <w:tc>
          <w:tcPr>
            <w:tcW w:w="133"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575"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(80)</w:t>
            </w:r>
          </w:p>
        </w:tc>
        <w:tc>
          <w:tcPr>
            <w:tcW w:w="203"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11"/>
        <w:gridCol w:w="886"/>
        <w:gridCol w:w="887"/>
        <w:gridCol w:w="146"/>
        <w:gridCol w:w="146"/>
        <w:gridCol w:w="146"/>
        <w:gridCol w:w="305"/>
        <w:gridCol w:w="1115"/>
        <w:gridCol w:w="146"/>
        <w:gridCol w:w="146"/>
        <w:gridCol w:w="146"/>
        <w:gridCol w:w="146"/>
        <w:gridCol w:w="305"/>
        <w:gridCol w:w="710"/>
        <w:gridCol w:w="146"/>
        <w:gridCol w:w="146"/>
        <w:gridCol w:w="146"/>
        <w:gridCol w:w="146"/>
        <w:gridCol w:w="305"/>
        <w:gridCol w:w="785"/>
        <w:gridCol w:w="146"/>
        <w:gridCol w:w="146"/>
        <w:gridCol w:w="146"/>
        <w:gridCol w:w="146"/>
        <w:gridCol w:w="437"/>
        <w:gridCol w:w="1017"/>
        <w:gridCol w:w="252"/>
      </w:tblGrid>
      <w:tr>
        <w:trPr/>
        <w:tc>
          <w:tcPr>
            <w:tcW w:w="101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r>
      <w:tr>
        <w:trPr/>
        <w:tc>
          <w:tcPr>
            <w:tcW w:w="10205" w:type="dxa"/>
            <w:gridSpan w:val="27"/>
            <w:tcBorders>
              <w:top w:val="single" w:sz="4" w:space="0" w:color="000000"/>
            </w:tcBorders>
            <w:tcMar>
              <w:top w:w="30" w:type="dxa"/>
              <w:left w:w="0" w:type="dxa"/>
              <w:bottom w:w="0" w:type="dxa"/>
              <w:right w:w="0" w:type="dxa"/>
            </w:tcMar>
            <w:vAlign w:val="center"/>
          </w:tcPr>
          <w:p>
            <w:pPr>
              <w:pStyle w:val="TableContents"/>
              <w:bidi w:val="0"/>
              <w:spacing w:lineRule="auto" w:line="240" w:before="0" w:after="120"/>
              <w:jc w:val="left"/>
              <w:rPr>
                <w:rFonts w:ascii="Allstate Sans;sans-serif" w:hAnsi="Allstate Sans;sans-serif"/>
                <w:b/>
                <w:color w:val="000000"/>
                <w:sz w:val="18"/>
              </w:rPr>
            </w:pPr>
            <w:r>
              <w:rPr>
                <w:rFonts w:ascii="Allstate Sans;sans-serif" w:hAnsi="Allstate Sans;sans-serif"/>
                <w:b/>
                <w:color w:val="000000"/>
                <w:sz w:val="18"/>
              </w:rPr>
              <w:t>Unrealized net capital gains and losses included in accumulated other comprehensive income (“AOCI”)</w:t>
            </w:r>
          </w:p>
        </w:tc>
      </w:tr>
      <w:tr>
        <w:trPr/>
        <w:tc>
          <w:tcPr>
            <w:tcW w:w="27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 in millions)</w:t>
            </w:r>
          </w:p>
        </w:tc>
        <w:tc>
          <w:tcPr>
            <w:tcW w:w="4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Fair</w:t>
            </w:r>
          </w:p>
          <w:p>
            <w:pPr>
              <w:pStyle w:val="TableContents"/>
              <w:bidi w:val="0"/>
              <w:spacing w:lineRule="auto" w:line="240" w:before="0" w:after="0"/>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value</w:t>
            </w:r>
          </w:p>
        </w:tc>
        <w:tc>
          <w:tcPr>
            <w:tcW w:w="4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Gross unrealized</w:t>
            </w:r>
          </w:p>
        </w:tc>
        <w:tc>
          <w:tcPr>
            <w:tcW w:w="4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Unrealized net</w:t>
            </w:r>
          </w:p>
          <w:p>
            <w:pPr>
              <w:pStyle w:val="TableContents"/>
              <w:bidi w:val="0"/>
              <w:spacing w:lineRule="auto" w:line="240" w:before="0" w:after="0"/>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gains (losses)</w:t>
            </w:r>
          </w:p>
        </w:tc>
      </w:tr>
      <w:tr>
        <w:trPr/>
        <w:tc>
          <w:tcPr>
            <w:tcW w:w="2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June 30, 2026</w:t>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Gains</w:t>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Losses</w:t>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2784"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Fixed income securities</w:t>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1115"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60,809 </w:t>
            </w:r>
          </w:p>
        </w:tc>
        <w:tc>
          <w:tcPr>
            <w:tcW w:w="146"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710"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445 </w:t>
            </w:r>
          </w:p>
        </w:tc>
        <w:tc>
          <w:tcPr>
            <w:tcW w:w="146"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785"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(538)</w:t>
            </w:r>
          </w:p>
        </w:tc>
        <w:tc>
          <w:tcPr>
            <w:tcW w:w="146"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1017"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(93)</w:t>
            </w:r>
          </w:p>
        </w:tc>
        <w:tc>
          <w:tcPr>
            <w:tcW w:w="252"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4"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Short-term investments</w:t>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4,872 </w:t>
            </w:r>
          </w:p>
        </w:tc>
        <w:tc>
          <w:tcPr>
            <w:tcW w:w="14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w:t>
            </w:r>
          </w:p>
        </w:tc>
        <w:tc>
          <w:tcPr>
            <w:tcW w:w="14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w:t>
            </w:r>
          </w:p>
        </w:tc>
        <w:tc>
          <w:tcPr>
            <w:tcW w:w="25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4"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pPr>
            <w:r>
              <w:rPr>
                <w:rFonts w:ascii="Helvetica_Neue_LT_W1G_55_Roman;sans-serif" w:hAnsi="Helvetica_Neue_LT_W1G_55_Roman;sans-serif"/>
                <w:b w:val="false"/>
                <w:color w:val="000000"/>
                <w:sz w:val="18"/>
              </w:rPr>
              <w:t xml:space="preserve">Derivative instruments </w:t>
            </w:r>
            <w:r>
              <w:rPr>
                <w:rFonts w:ascii="Helvetica_Neue_LT_W1G_55_Roman;sans-serif" w:hAnsi="Helvetica_Neue_LT_W1G_55_Roman;sans-serif"/>
                <w:b w:val="false"/>
                <w:color w:val="000000"/>
                <w:sz w:val="12"/>
              </w:rPr>
              <w:t>(1)</w:t>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w:t>
            </w:r>
          </w:p>
        </w:tc>
        <w:tc>
          <w:tcPr>
            <w:tcW w:w="14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w:t>
            </w:r>
          </w:p>
        </w:tc>
        <w:tc>
          <w:tcPr>
            <w:tcW w:w="25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4"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566"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706" w:type="dxa"/>
            <w:gridSpan w:val="3"/>
            <w:tcBorders/>
            <w:vAlign w:val="center"/>
          </w:tcPr>
          <w:p>
            <w:pPr>
              <w:pStyle w:val="TableContents"/>
              <w:bidi w:val="0"/>
              <w:spacing w:before="0" w:after="283"/>
              <w:jc w:val="left"/>
              <w:rPr>
                <w:sz w:val="4"/>
                <w:szCs w:val="4"/>
              </w:rPr>
            </w:pPr>
            <w:r>
              <w:rPr>
                <w:sz w:val="4"/>
                <w:szCs w:val="4"/>
              </w:rPr>
            </w:r>
          </w:p>
        </w:tc>
      </w:tr>
      <w:tr>
        <w:trPr/>
        <w:tc>
          <w:tcPr>
            <w:tcW w:w="2784"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566"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706" w:type="dxa"/>
            <w:gridSpan w:val="3"/>
            <w:tcBorders/>
            <w:vAlign w:val="center"/>
          </w:tcPr>
          <w:p>
            <w:pPr>
              <w:pStyle w:val="TableContents"/>
              <w:bidi w:val="0"/>
              <w:spacing w:before="0" w:after="283"/>
              <w:jc w:val="left"/>
              <w:rPr>
                <w:sz w:val="4"/>
                <w:szCs w:val="4"/>
              </w:rPr>
            </w:pPr>
            <w:r>
              <w:rPr>
                <w:sz w:val="4"/>
                <w:szCs w:val="4"/>
              </w:rPr>
            </w:r>
          </w:p>
        </w:tc>
      </w:tr>
      <w:tr>
        <w:trPr/>
        <w:tc>
          <w:tcPr>
            <w:tcW w:w="2784"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Unrealized net capital gains and losses, pre-tax</w:t>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(97)</w:t>
            </w:r>
          </w:p>
        </w:tc>
        <w:tc>
          <w:tcPr>
            <w:tcW w:w="25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4"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566"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706" w:type="dxa"/>
            <w:gridSpan w:val="3"/>
            <w:tcBorders/>
            <w:vAlign w:val="center"/>
          </w:tcPr>
          <w:p>
            <w:pPr>
              <w:pStyle w:val="TableContents"/>
              <w:bidi w:val="0"/>
              <w:spacing w:before="0" w:after="283"/>
              <w:jc w:val="left"/>
              <w:rPr>
                <w:sz w:val="4"/>
                <w:szCs w:val="4"/>
              </w:rPr>
            </w:pPr>
            <w:r>
              <w:rPr>
                <w:sz w:val="4"/>
                <w:szCs w:val="4"/>
              </w:rPr>
            </w:r>
          </w:p>
        </w:tc>
      </w:tr>
      <w:tr>
        <w:trPr/>
        <w:tc>
          <w:tcPr>
            <w:tcW w:w="2784"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Deferred income taxes</w:t>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18 </w:t>
            </w:r>
          </w:p>
        </w:tc>
        <w:tc>
          <w:tcPr>
            <w:tcW w:w="25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4"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Unrealized net capital gains and losses, after-tax</w:t>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1017"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(79)</w:t>
            </w:r>
          </w:p>
        </w:tc>
        <w:tc>
          <w:tcPr>
            <w:tcW w:w="25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4"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4"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December 31, 2025</w:t>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4"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Fixed income securities</w:t>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1115"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59,115 </w:t>
            </w:r>
          </w:p>
        </w:tc>
        <w:tc>
          <w:tcPr>
            <w:tcW w:w="14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710"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777 </w:t>
            </w:r>
          </w:p>
        </w:tc>
        <w:tc>
          <w:tcPr>
            <w:tcW w:w="14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785"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(392)</w:t>
            </w:r>
          </w:p>
        </w:tc>
        <w:tc>
          <w:tcPr>
            <w:tcW w:w="14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1017"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385 </w:t>
            </w:r>
          </w:p>
        </w:tc>
        <w:tc>
          <w:tcPr>
            <w:tcW w:w="25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4"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Short-term investments</w:t>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4,887 </w:t>
            </w:r>
          </w:p>
        </w:tc>
        <w:tc>
          <w:tcPr>
            <w:tcW w:w="14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w:t>
            </w:r>
          </w:p>
        </w:tc>
        <w:tc>
          <w:tcPr>
            <w:tcW w:w="14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w:t>
            </w:r>
          </w:p>
        </w:tc>
        <w:tc>
          <w:tcPr>
            <w:tcW w:w="25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4"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pPr>
            <w:r>
              <w:rPr>
                <w:rFonts w:ascii="Helvetica_Neue_LT_W1G_55_Roman;sans-serif" w:hAnsi="Helvetica_Neue_LT_W1G_55_Roman;sans-serif"/>
                <w:b w:val="false"/>
                <w:color w:val="000000"/>
                <w:sz w:val="18"/>
              </w:rPr>
              <w:t xml:space="preserve">Derivative instruments </w:t>
            </w:r>
            <w:r>
              <w:rPr>
                <w:rFonts w:ascii="Helvetica_Neue_LT_W1G_55_Roman;sans-serif" w:hAnsi="Helvetica_Neue_LT_W1G_55_Roman;sans-serif"/>
                <w:b w:val="false"/>
                <w:color w:val="000000"/>
                <w:sz w:val="12"/>
              </w:rPr>
              <w:t>(1)</w:t>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w:t>
            </w:r>
          </w:p>
        </w:tc>
        <w:tc>
          <w:tcPr>
            <w:tcW w:w="14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w:t>
            </w:r>
          </w:p>
        </w:tc>
        <w:tc>
          <w:tcPr>
            <w:tcW w:w="25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4"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566"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706" w:type="dxa"/>
            <w:gridSpan w:val="3"/>
            <w:tcBorders/>
            <w:vAlign w:val="center"/>
          </w:tcPr>
          <w:p>
            <w:pPr>
              <w:pStyle w:val="TableContents"/>
              <w:bidi w:val="0"/>
              <w:spacing w:before="0" w:after="283"/>
              <w:jc w:val="left"/>
              <w:rPr>
                <w:sz w:val="4"/>
                <w:szCs w:val="4"/>
              </w:rPr>
            </w:pPr>
            <w:r>
              <w:rPr>
                <w:sz w:val="4"/>
                <w:szCs w:val="4"/>
              </w:rPr>
            </w:r>
          </w:p>
        </w:tc>
      </w:tr>
      <w:tr>
        <w:trPr/>
        <w:tc>
          <w:tcPr>
            <w:tcW w:w="2784"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566"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706" w:type="dxa"/>
            <w:gridSpan w:val="3"/>
            <w:tcBorders/>
            <w:vAlign w:val="center"/>
          </w:tcPr>
          <w:p>
            <w:pPr>
              <w:pStyle w:val="TableContents"/>
              <w:bidi w:val="0"/>
              <w:spacing w:before="0" w:after="283"/>
              <w:jc w:val="left"/>
              <w:rPr>
                <w:sz w:val="4"/>
                <w:szCs w:val="4"/>
              </w:rPr>
            </w:pPr>
            <w:r>
              <w:rPr>
                <w:sz w:val="4"/>
                <w:szCs w:val="4"/>
              </w:rPr>
            </w:r>
          </w:p>
        </w:tc>
      </w:tr>
      <w:tr>
        <w:trPr/>
        <w:tc>
          <w:tcPr>
            <w:tcW w:w="2784"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Unrealized net capital gains and losses, pre-tax</w:t>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382</w:t>
            </w:r>
            <w:r>
              <w:rPr>
                <w:color w:val="000000"/>
              </w:rPr>
              <w:t> </w:t>
            </w:r>
          </w:p>
        </w:tc>
        <w:tc>
          <w:tcPr>
            <w:tcW w:w="25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4"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566"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706" w:type="dxa"/>
            <w:gridSpan w:val="3"/>
            <w:tcBorders/>
            <w:vAlign w:val="center"/>
          </w:tcPr>
          <w:p>
            <w:pPr>
              <w:pStyle w:val="TableContents"/>
              <w:bidi w:val="0"/>
              <w:spacing w:before="0" w:after="283"/>
              <w:jc w:val="left"/>
              <w:rPr>
                <w:sz w:val="4"/>
                <w:szCs w:val="4"/>
              </w:rPr>
            </w:pPr>
            <w:r>
              <w:rPr>
                <w:sz w:val="4"/>
                <w:szCs w:val="4"/>
              </w:rPr>
            </w:r>
          </w:p>
        </w:tc>
      </w:tr>
      <w:tr>
        <w:trPr/>
        <w:tc>
          <w:tcPr>
            <w:tcW w:w="2784"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Deferred income taxes</w:t>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(85)</w:t>
            </w:r>
          </w:p>
        </w:tc>
        <w:tc>
          <w:tcPr>
            <w:tcW w:w="25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4" w:type="dxa"/>
            <w:gridSpan w:val="3"/>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Unrealized net capital gains and losses, after-tax</w:t>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3"/>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1017"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297</w:t>
            </w:r>
            <w:r>
              <w:rPr>
                <w:color w:val="000000"/>
              </w:rPr>
              <w:t> </w:t>
            </w:r>
          </w:p>
        </w:tc>
        <w:tc>
          <w:tcPr>
            <w:tcW w:w="252"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180"/>
        <w:jc w:val="left"/>
        <w:rPr/>
      </w:pPr>
      <w:r>
        <w:rPr>
          <w:rFonts w:ascii="Allstate Sans;sans-serif" w:hAnsi="Allstate Sans;sans-serif"/>
          <w:b w:val="false"/>
          <w:color w:val="000000"/>
          <w:sz w:val="10"/>
        </w:rPr>
        <w:t>(1)</w:t>
      </w:r>
      <w:r>
        <w:rPr>
          <w:rFonts w:ascii="Allstate Sans;sans-serif" w:hAnsi="Allstate Sans;sans-serif"/>
          <w:b w:val="false"/>
          <w:color w:val="000000"/>
          <w:sz w:val="16"/>
        </w:rPr>
        <w:t>Includes the effective portion of losses on terminated cash flow hedges.</w:t>
      </w:r>
    </w:p>
    <w:tbl>
      <w:tblPr>
        <w:tblW w:w="10205" w:type="dxa"/>
        <w:jc w:val="left"/>
        <w:tblInd w:w="0" w:type="dxa"/>
        <w:tblLayout w:type="fixed"/>
        <w:tblCellMar>
          <w:top w:w="28" w:type="dxa"/>
          <w:left w:w="28" w:type="dxa"/>
          <w:bottom w:w="28" w:type="dxa"/>
          <w:right w:w="28" w:type="dxa"/>
        </w:tblCellMar>
      </w:tblPr>
      <w:tblGrid>
        <w:gridCol w:w="1922"/>
        <w:gridCol w:w="1685"/>
        <w:gridCol w:w="1690"/>
        <w:gridCol w:w="287"/>
        <w:gridCol w:w="287"/>
        <w:gridCol w:w="287"/>
        <w:gridCol w:w="696"/>
        <w:gridCol w:w="1880"/>
        <w:gridCol w:w="334"/>
        <w:gridCol w:w="109"/>
        <w:gridCol w:w="109"/>
        <w:gridCol w:w="109"/>
        <w:gridCol w:w="109"/>
        <w:gridCol w:w="109"/>
        <w:gridCol w:w="109"/>
        <w:gridCol w:w="109"/>
        <w:gridCol w:w="109"/>
        <w:gridCol w:w="109"/>
        <w:gridCol w:w="156"/>
      </w:tblGrid>
      <w:tr>
        <w:trPr/>
        <w:tc>
          <w:tcPr>
            <w:tcW w:w="1922" w:type="dxa"/>
            <w:tcBorders/>
            <w:vAlign w:val="center"/>
          </w:tcPr>
          <w:p>
            <w:pPr>
              <w:pStyle w:val="TableContents"/>
              <w:bidi w:val="0"/>
              <w:spacing w:before="0" w:after="283"/>
              <w:jc w:val="left"/>
              <w:rPr>
                <w:sz w:val="4"/>
                <w:szCs w:val="4"/>
              </w:rPr>
            </w:pPr>
            <w:r>
              <w:rPr>
                <w:sz w:val="4"/>
                <w:szCs w:val="4"/>
              </w:rPr>
            </w:r>
          </w:p>
        </w:tc>
        <w:tc>
          <w:tcPr>
            <w:tcW w:w="1685" w:type="dxa"/>
            <w:tcBorders/>
            <w:vAlign w:val="center"/>
          </w:tcPr>
          <w:p>
            <w:pPr>
              <w:pStyle w:val="TableContents"/>
              <w:bidi w:val="0"/>
              <w:spacing w:before="0" w:after="283"/>
              <w:jc w:val="left"/>
              <w:rPr>
                <w:sz w:val="4"/>
                <w:szCs w:val="4"/>
              </w:rPr>
            </w:pPr>
            <w:r>
              <w:rPr>
                <w:sz w:val="4"/>
                <w:szCs w:val="4"/>
              </w:rPr>
            </w:r>
          </w:p>
        </w:tc>
        <w:tc>
          <w:tcPr>
            <w:tcW w:w="1690"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068"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left"/>
              <w:rPr>
                <w:rFonts w:ascii="Allstate Sans;sans-serif" w:hAnsi="Allstate Sans;sans-serif"/>
                <w:b/>
                <w:color w:val="000000"/>
                <w:sz w:val="18"/>
              </w:rPr>
            </w:pPr>
            <w:r>
              <w:rPr>
                <w:rFonts w:ascii="Allstate Sans;sans-serif" w:hAnsi="Allstate Sans;sans-serif"/>
                <w:b/>
                <w:color w:val="000000"/>
                <w:sz w:val="18"/>
              </w:rPr>
              <w:t>Change in unrealized net capital gains (losses)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2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 in millions)</w:t>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Six months ended June 30,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297"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Fixed income securities</w:t>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1880"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(478)</w:t>
            </w:r>
          </w:p>
        </w:tc>
        <w:tc>
          <w:tcPr>
            <w:tcW w:w="334"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297"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Short-term investments</w:t>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w:t>
            </w:r>
          </w:p>
        </w:tc>
        <w:tc>
          <w:tcPr>
            <w:tcW w:w="33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29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29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29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29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29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29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297"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w:t>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(479)</w:t>
            </w:r>
          </w:p>
        </w:tc>
        <w:tc>
          <w:tcPr>
            <w:tcW w:w="33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29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29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297"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Deferred income taxes</w:t>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103 </w:t>
            </w:r>
          </w:p>
        </w:tc>
        <w:tc>
          <w:tcPr>
            <w:tcW w:w="33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297" w:type="dxa"/>
            <w:gridSpan w:val="3"/>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Change in unrealized net capital gains and losses, after-tax</w:t>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1880"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(376)</w:t>
            </w:r>
          </w:p>
        </w:tc>
        <w:tc>
          <w:tcPr>
            <w:tcW w:w="334"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pPr>
      <w:r>
        <w:rPr>
          <w:rFonts w:ascii="Allstate Sans;sans-serif" w:hAnsi="Allstate Sans;sans-serif"/>
          <w:b/>
          <w:color w:val="0033A0"/>
          <w:sz w:val="18"/>
        </w:rPr>
        <w:t xml:space="preserve">Mortgage loans </w:t>
      </w:r>
      <w:r>
        <w:rPr>
          <w:rFonts w:ascii="Allstate Sans;sans-serif" w:hAnsi="Allstate Sans;sans-serif"/>
          <w:b w:val="false"/>
          <w:color w:val="000000"/>
          <w:sz w:val="18"/>
        </w:rPr>
        <w:t>consist of commercial mortgage loans collateralized by a variety of commercial real estate property types located across the United States, substantially all of which are non-recourse to the borrower, and residential mortgage loans secured by collateral that have recourse to the borrower.</w:t>
      </w:r>
    </w:p>
    <w:tbl>
      <w:tblPr>
        <w:tblW w:w="6006" w:type="dxa"/>
        <w:jc w:val="left"/>
        <w:tblInd w:w="0" w:type="dxa"/>
        <w:tblLayout w:type="fixed"/>
        <w:tblCellMar>
          <w:top w:w="28" w:type="dxa"/>
          <w:left w:w="28" w:type="dxa"/>
          <w:bottom w:w="28" w:type="dxa"/>
          <w:right w:w="28" w:type="dxa"/>
        </w:tblCellMar>
      </w:tblPr>
      <w:tblGrid>
        <w:gridCol w:w="521"/>
        <w:gridCol w:w="458"/>
        <w:gridCol w:w="461"/>
        <w:gridCol w:w="166"/>
        <w:gridCol w:w="166"/>
        <w:gridCol w:w="166"/>
        <w:gridCol w:w="385"/>
        <w:gridCol w:w="899"/>
        <w:gridCol w:w="186"/>
        <w:gridCol w:w="166"/>
        <w:gridCol w:w="166"/>
        <w:gridCol w:w="166"/>
        <w:gridCol w:w="523"/>
        <w:gridCol w:w="1221"/>
        <w:gridCol w:w="356"/>
      </w:tblGrid>
      <w:tr>
        <w:trPr/>
        <w:tc>
          <w:tcPr>
            <w:tcW w:w="521"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6006" w:type="dxa"/>
            <w:gridSpan w:val="15"/>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left"/>
              <w:rPr>
                <w:rFonts w:ascii="Allstate Sans;sans-serif" w:hAnsi="Allstate Sans;sans-serif"/>
                <w:b/>
                <w:color w:val="000000"/>
                <w:sz w:val="18"/>
              </w:rPr>
            </w:pPr>
            <w:r>
              <w:rPr>
                <w:rFonts w:ascii="Allstate Sans;sans-serif" w:hAnsi="Allstate Sans;sans-serif"/>
                <w:b/>
                <w:color w:val="000000"/>
                <w:sz w:val="18"/>
              </w:rPr>
              <w:t>Mortgage loans, net of credit allowance</w:t>
            </w:r>
          </w:p>
        </w:tc>
      </w:tr>
      <w:tr>
        <w:trPr/>
        <w:tc>
          <w:tcPr>
            <w:tcW w:w="1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 in millions)</w:t>
            </w:r>
          </w:p>
        </w:tc>
        <w:tc>
          <w:tcPr>
            <w:tcW w:w="4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June 30, 2026</w:t>
            </w:r>
          </w:p>
        </w:tc>
        <w:tc>
          <w:tcPr>
            <w:tcW w:w="4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December 31, 2025</w:t>
            </w:r>
          </w:p>
        </w:tc>
      </w:tr>
      <w:tr>
        <w:trPr/>
        <w:tc>
          <w:tcPr>
            <w:tcW w:w="1440"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Commercial</w:t>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899"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548 </w:t>
            </w:r>
          </w:p>
        </w:tc>
        <w:tc>
          <w:tcPr>
            <w:tcW w:w="186"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1221"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619 </w:t>
            </w:r>
          </w:p>
        </w:tc>
        <w:tc>
          <w:tcPr>
            <w:tcW w:w="356"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Residential</w:t>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294 </w:t>
            </w:r>
          </w:p>
        </w:tc>
        <w:tc>
          <w:tcPr>
            <w:tcW w:w="18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260 </w:t>
            </w:r>
          </w:p>
        </w:tc>
        <w:tc>
          <w:tcPr>
            <w:tcW w:w="35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w:t>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899"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842</w:t>
            </w:r>
            <w:r>
              <w:rPr>
                <w:color w:val="000000"/>
              </w:rPr>
              <w:t> </w:t>
            </w:r>
          </w:p>
        </w:tc>
        <w:tc>
          <w:tcPr>
            <w:tcW w:w="18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1221"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879</w:t>
            </w:r>
            <w:r>
              <w:rPr>
                <w:color w:val="000000"/>
              </w:rPr>
              <w:t> </w:t>
            </w:r>
          </w:p>
        </w:tc>
        <w:tc>
          <w:tcPr>
            <w:tcW w:w="35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75260"/>
                <wp:effectExtent l="0" t="0" r="0" b="0"/>
                <wp:wrapNone/>
                <wp:docPr id="17"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120"/>
                              <w:jc w:val="left"/>
                              <w:rPr/>
                            </w:pPr>
                            <w:r>
                              <w:rPr>
                                <w:rFonts w:ascii="Allstate Sans;sans-serif" w:hAnsi="Allstate Sans;sans-serif"/>
                                <w:b w:val="false"/>
                                <w:color w:val="0033A0"/>
                                <w:sz w:val="18"/>
                              </w:rPr>
                              <w:t>14</w:t>
                            </w:r>
                            <w:r>
                              <w:rPr>
                                <w:color w:val="1666AF"/>
                              </w:rPr>
                              <w:t xml:space="preserve"> </w:t>
                            </w:r>
                            <w:r>
                              <w:rPr>
                                <w:rFonts w:ascii="Allstate Sans;sans-serif" w:hAnsi="Allstate Sans;sans-serif"/>
                                <w:b w:val="false"/>
                                <w:color w:val="000000"/>
                                <w:sz w:val="18"/>
                              </w:rPr>
                              <w:t>www.allstate.com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left"/>
                        <w:rPr/>
                      </w:pPr>
                      <w:r>
                        <w:rPr>
                          <w:rFonts w:ascii="Allstate Sans;sans-serif" w:hAnsi="Allstate Sans;sans-serif"/>
                          <w:b w:val="false"/>
                          <w:color w:val="0033A0"/>
                          <w:sz w:val="18"/>
                        </w:rPr>
                        <w:t>14</w:t>
                      </w:r>
                      <w:r>
                        <w:rPr>
                          <w:color w:val="1666AF"/>
                        </w:rPr>
                        <w:t xml:space="preserve"> </w:t>
                      </w:r>
                      <w:r>
                        <w:rPr>
                          <w:rFonts w:ascii="Allstate Sans;sans-serif" w:hAnsi="Allstate Sans;sans-serif"/>
                          <w:b w:val="false"/>
                          <w:color w:val="000000"/>
                          <w:sz w:val="18"/>
                        </w:rPr>
                        <w:t>www.allstate.com</w:t>
                      </w:r>
                    </w:p>
                  </w:txbxContent>
                </v:textbox>
                <w10:wrap type="none"/>
              </v:rect>
            </w:pict>
          </mc:Fallback>
        </mc:AlternateContent>
      </w:r>
    </w:p>
    <w:p>
      <w:pPr>
        <w:pStyle w:val="TextBody"/>
        <w:bidi w:val="0"/>
        <w:spacing w:lineRule="auto" w:line="288" w:before="0" w:after="0"/>
        <w:jc w:val="right"/>
        <w:rPr>
          <w:rFonts w:ascii="Allstate Sans;sans-serif" w:hAnsi="Allstate Sans;sans-serif"/>
          <w:b w:val="false"/>
          <w:color w:val="0033A0"/>
          <w:sz w:val="18"/>
        </w:rPr>
      </w:pPr>
      <w:r>
        <w:rPr>
          <w:rFonts w:ascii="Allstate Sans;sans-serif" w:hAnsi="Allstate Sans;sans-serif"/>
          <w:b w:val="false"/>
          <w:color w:val="0033A0"/>
          <w:sz w:val="18"/>
        </w:rPr>
        <w:t>Notes to Condensed Consolidated Financial Statements</w:t>
      </w:r>
    </w:p>
    <w:p>
      <w:pPr>
        <w:pStyle w:val="TextBody"/>
        <w:bidi w:val="0"/>
        <w:spacing w:before="0" w:after="120"/>
        <w:ind w:left="0" w:right="0" w:firstLine="360"/>
        <w:jc w:val="left"/>
        <w:rPr/>
      </w:pPr>
      <w:r>
        <w:rPr/>
      </w:r>
    </w:p>
    <w:p>
      <w:pPr>
        <w:pStyle w:val="TextBody"/>
        <w:bidi w:val="0"/>
        <w:spacing w:lineRule="auto" w:line="288" w:before="0" w:after="120"/>
        <w:jc w:val="left"/>
        <w:rPr>
          <w:rFonts w:ascii="Allstate Sans;sans-serif" w:hAnsi="Allstate Sans;sans-serif"/>
          <w:b/>
          <w:color w:val="0033A0"/>
          <w:sz w:val="18"/>
        </w:rPr>
      </w:pPr>
      <w:r>
        <w:rPr>
          <w:rFonts w:ascii="Allstate Sans;sans-serif" w:hAnsi="Allstate Sans;sans-serif"/>
          <w:b/>
          <w:color w:val="0033A0"/>
          <w:sz w:val="18"/>
        </w:rPr>
        <w:t>Limited partnership interests</w:t>
      </w:r>
    </w:p>
    <w:tbl>
      <w:tblPr>
        <w:tblW w:w="6270" w:type="dxa"/>
        <w:jc w:val="left"/>
        <w:tblInd w:w="0" w:type="dxa"/>
        <w:tblLayout w:type="fixed"/>
        <w:tblCellMar>
          <w:top w:w="28" w:type="dxa"/>
          <w:left w:w="28" w:type="dxa"/>
          <w:bottom w:w="28" w:type="dxa"/>
          <w:right w:w="28" w:type="dxa"/>
        </w:tblCellMar>
      </w:tblPr>
      <w:tblGrid>
        <w:gridCol w:w="521"/>
        <w:gridCol w:w="458"/>
        <w:gridCol w:w="461"/>
        <w:gridCol w:w="174"/>
        <w:gridCol w:w="174"/>
        <w:gridCol w:w="174"/>
        <w:gridCol w:w="361"/>
        <w:gridCol w:w="1152"/>
        <w:gridCol w:w="174"/>
        <w:gridCol w:w="174"/>
        <w:gridCol w:w="174"/>
        <w:gridCol w:w="174"/>
        <w:gridCol w:w="431"/>
        <w:gridCol w:w="1375"/>
        <w:gridCol w:w="293"/>
      </w:tblGrid>
      <w:tr>
        <w:trPr/>
        <w:tc>
          <w:tcPr>
            <w:tcW w:w="521"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r>
      <w:tr>
        <w:trPr/>
        <w:tc>
          <w:tcPr>
            <w:tcW w:w="6270" w:type="dxa"/>
            <w:gridSpan w:val="15"/>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left"/>
              <w:rPr>
                <w:rFonts w:ascii="Allstate Sans;sans-serif" w:hAnsi="Allstate Sans;sans-serif"/>
                <w:b/>
                <w:color w:val="000000"/>
                <w:sz w:val="18"/>
              </w:rPr>
            </w:pPr>
            <w:r>
              <w:rPr>
                <w:rFonts w:ascii="Allstate Sans;sans-serif" w:hAnsi="Allstate Sans;sans-serif"/>
                <w:b/>
                <w:color w:val="000000"/>
                <w:sz w:val="18"/>
              </w:rPr>
              <w:t>Carrying value for limited partnership interests</w:t>
            </w:r>
          </w:p>
        </w:tc>
      </w:tr>
      <w:tr>
        <w:trPr/>
        <w:tc>
          <w:tcPr>
            <w:tcW w:w="1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 in millions)</w:t>
            </w:r>
          </w:p>
        </w:tc>
        <w:tc>
          <w:tcPr>
            <w:tcW w:w="5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June 30, 2026</w:t>
            </w:r>
          </w:p>
        </w:tc>
        <w:tc>
          <w:tcPr>
            <w:tcW w:w="5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December 31, 2025</w:t>
            </w:r>
          </w:p>
        </w:tc>
      </w:tr>
      <w:tr>
        <w:trPr/>
        <w:tc>
          <w:tcPr>
            <w:tcW w:w="1440"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Private equity</w:t>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1152"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7,092 </w:t>
            </w:r>
          </w:p>
        </w:tc>
        <w:tc>
          <w:tcPr>
            <w:tcW w:w="174"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1375"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7,247 </w:t>
            </w:r>
          </w:p>
        </w:tc>
        <w:tc>
          <w:tcPr>
            <w:tcW w:w="293"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Real estate</w:t>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1,619 </w:t>
            </w:r>
          </w:p>
        </w:tc>
        <w:tc>
          <w:tcPr>
            <w:tcW w:w="17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1,451 </w:t>
            </w:r>
          </w:p>
        </w:tc>
        <w:tc>
          <w:tcPr>
            <w:tcW w:w="29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pPr>
            <w:r>
              <w:rPr>
                <w:rFonts w:ascii="Helvetica_Neue_LT_W1G_55_Roman;sans-serif" w:hAnsi="Helvetica_Neue_LT_W1G_55_Roman;sans-serif"/>
                <w:b w:val="false"/>
                <w:color w:val="000000"/>
                <w:sz w:val="18"/>
              </w:rPr>
              <w:t xml:space="preserve">Other </w:t>
            </w:r>
            <w:r>
              <w:rPr>
                <w:rFonts w:ascii="Helvetica_Neue_LT_W1G_55_Roman;sans-serif" w:hAnsi="Helvetica_Neue_LT_W1G_55_Roman;sans-serif"/>
                <w:b w:val="false"/>
                <w:color w:val="000000"/>
                <w:sz w:val="12"/>
              </w:rPr>
              <w:t>(1)</w:t>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256 </w:t>
            </w:r>
          </w:p>
        </w:tc>
        <w:tc>
          <w:tcPr>
            <w:tcW w:w="17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146 </w:t>
            </w:r>
          </w:p>
        </w:tc>
        <w:tc>
          <w:tcPr>
            <w:tcW w:w="29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w:t>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1152"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8,967</w:t>
            </w:r>
            <w:r>
              <w:rPr>
                <w:color w:val="000000"/>
              </w:rPr>
              <w:t> </w:t>
            </w:r>
          </w:p>
        </w:tc>
        <w:tc>
          <w:tcPr>
            <w:tcW w:w="174"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1375"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8,844</w:t>
            </w:r>
            <w:r>
              <w:rPr>
                <w:color w:val="000000"/>
              </w:rPr>
              <w:t> </w:t>
            </w:r>
          </w:p>
        </w:tc>
        <w:tc>
          <w:tcPr>
            <w:tcW w:w="293"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180"/>
        <w:jc w:val="left"/>
        <w:rPr/>
      </w:pPr>
      <w:r>
        <w:rPr>
          <w:rFonts w:ascii="Allstate Sans;sans-serif" w:hAnsi="Allstate Sans;sans-serif"/>
          <w:b w:val="false"/>
          <w:color w:val="000000"/>
          <w:sz w:val="10"/>
        </w:rPr>
        <w:t>(1)</w:t>
      </w:r>
      <w:r>
        <w:rPr>
          <w:rFonts w:ascii="Allstate Sans;sans-serif" w:hAnsi="Allstate Sans;sans-serif"/>
          <w:b w:val="false"/>
          <w:color w:val="000000"/>
          <w:sz w:val="16"/>
        </w:rPr>
        <w:t>Other consists of certain limited partnership interests where the underlying assets are predominately public equity and debt securities.</w:t>
      </w:r>
    </w:p>
    <w:p>
      <w:pPr>
        <w:pStyle w:val="TextBody"/>
        <w:bidi w:val="0"/>
        <w:spacing w:lineRule="auto" w:line="288" w:before="0" w:after="120"/>
        <w:jc w:val="left"/>
        <w:rPr/>
      </w:pPr>
      <w:r>
        <w:rPr>
          <w:rFonts w:ascii="Allstate Sans;sans-serif" w:hAnsi="Allstate Sans;sans-serif"/>
          <w:b/>
          <w:color w:val="0033A0"/>
          <w:sz w:val="18"/>
        </w:rPr>
        <w:t xml:space="preserve">Short-term investments, </w:t>
      </w:r>
      <w:r>
        <w:rPr>
          <w:rFonts w:ascii="Allstate Sans;sans-serif" w:hAnsi="Allstate Sans;sans-serif"/>
          <w:b w:val="false"/>
          <w:color w:val="000000"/>
          <w:sz w:val="18"/>
        </w:rPr>
        <w:t>including money market funds, commercial paper, U.S. Treasury bills, fixed income securities with a contractual maturity of one year or less at time of acquisition and other short-term investments, are carried at fair value. As of June 30, 2026 and December 31, 2025, the fair value of short-term investments totaled $4.87 billion and $4.89 billion, respectively.</w:t>
      </w:r>
    </w:p>
    <w:p>
      <w:pPr>
        <w:pStyle w:val="TextBody"/>
        <w:bidi w:val="0"/>
        <w:spacing w:lineRule="auto" w:line="288" w:before="0" w:after="120"/>
        <w:jc w:val="left"/>
        <w:rPr/>
      </w:pPr>
      <w:r>
        <w:rPr>
          <w:rFonts w:ascii="Allstate Sans;sans-serif" w:hAnsi="Allstate Sans;sans-serif"/>
          <w:b/>
          <w:color w:val="0033A0"/>
          <w:sz w:val="18"/>
        </w:rPr>
        <w:t>Other investments</w:t>
      </w:r>
      <w:r>
        <w:rPr>
          <w:color w:val="000000"/>
        </w:rPr>
        <w:t xml:space="preserve"> </w:t>
      </w:r>
      <w:r>
        <w:rPr>
          <w:rFonts w:ascii="Allstate Sans;sans-serif" w:hAnsi="Allstate Sans;sans-serif"/>
          <w:b w:val="false"/>
          <w:color w:val="000000"/>
          <w:sz w:val="18"/>
        </w:rPr>
        <w:t xml:space="preserve">primarily consist of real estate, bank loans and derivatives. Real estate is carried at cost less accumulated depreciation. Bank loans are primarily senior secured corporate loans and are carried at amortized cost, net. </w:t>
      </w:r>
    </w:p>
    <w:tbl>
      <w:tblPr>
        <w:tblW w:w="5808" w:type="dxa"/>
        <w:jc w:val="left"/>
        <w:tblInd w:w="0" w:type="dxa"/>
        <w:tblLayout w:type="fixed"/>
        <w:tblCellMar>
          <w:top w:w="28" w:type="dxa"/>
          <w:left w:w="28" w:type="dxa"/>
          <w:bottom w:w="28" w:type="dxa"/>
          <w:right w:w="28" w:type="dxa"/>
        </w:tblCellMar>
      </w:tblPr>
      <w:tblGrid>
        <w:gridCol w:w="549"/>
        <w:gridCol w:w="482"/>
        <w:gridCol w:w="483"/>
        <w:gridCol w:w="121"/>
        <w:gridCol w:w="121"/>
        <w:gridCol w:w="121"/>
        <w:gridCol w:w="314"/>
        <w:gridCol w:w="1005"/>
        <w:gridCol w:w="150"/>
        <w:gridCol w:w="121"/>
        <w:gridCol w:w="121"/>
        <w:gridCol w:w="121"/>
        <w:gridCol w:w="430"/>
        <w:gridCol w:w="1376"/>
        <w:gridCol w:w="293"/>
      </w:tblGrid>
      <w:tr>
        <w:trPr/>
        <w:tc>
          <w:tcPr>
            <w:tcW w:w="54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r>
      <w:tr>
        <w:trPr/>
        <w:tc>
          <w:tcPr>
            <w:tcW w:w="5808" w:type="dxa"/>
            <w:gridSpan w:val="15"/>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Other investments by asset type</w:t>
            </w:r>
          </w:p>
        </w:tc>
      </w:tr>
      <w:tr>
        <w:trPr/>
        <w:tc>
          <w:tcPr>
            <w:tcW w:w="15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 in millions)</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June 30, 2026</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December 31, 2025</w:t>
            </w:r>
          </w:p>
        </w:tc>
      </w:tr>
      <w:tr>
        <w:trPr/>
        <w:tc>
          <w:tcPr>
            <w:tcW w:w="1514"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Real estate</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1005"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575 </w:t>
            </w:r>
          </w:p>
        </w:tc>
        <w:tc>
          <w:tcPr>
            <w:tcW w:w="150"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1376"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630 </w:t>
            </w:r>
          </w:p>
        </w:tc>
        <w:tc>
          <w:tcPr>
            <w:tcW w:w="293"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Bank loans, net</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564 </w:t>
            </w:r>
          </w:p>
        </w:tc>
        <w:tc>
          <w:tcPr>
            <w:tcW w:w="15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473 </w:t>
            </w:r>
          </w:p>
        </w:tc>
        <w:tc>
          <w:tcPr>
            <w:tcW w:w="29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Other</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14 </w:t>
            </w:r>
          </w:p>
        </w:tc>
        <w:tc>
          <w:tcPr>
            <w:tcW w:w="15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11 </w:t>
            </w:r>
          </w:p>
        </w:tc>
        <w:tc>
          <w:tcPr>
            <w:tcW w:w="29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1005"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1,153</w:t>
            </w:r>
            <w:r>
              <w:rPr>
                <w:color w:val="000000"/>
              </w:rPr>
              <w:t> </w:t>
            </w:r>
          </w:p>
        </w:tc>
        <w:tc>
          <w:tcPr>
            <w:tcW w:w="150"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137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1,114</w:t>
            </w:r>
            <w:r>
              <w:rPr>
                <w:color w:val="000000"/>
              </w:rPr>
              <w:t> </w:t>
            </w:r>
          </w:p>
        </w:tc>
        <w:tc>
          <w:tcPr>
            <w:tcW w:w="293"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Allstate Sans;sans-serif" w:hAnsi="Allstate Sans;sans-serif"/>
          <w:b/>
          <w:color w:val="0033A0"/>
          <w:sz w:val="18"/>
        </w:rPr>
      </w:pPr>
      <w:r>
        <w:rPr>
          <w:rFonts w:ascii="Allstate Sans;sans-serif" w:hAnsi="Allstate Sans;sans-serif"/>
          <w:b/>
          <w:color w:val="0033A0"/>
          <w:sz w:val="18"/>
        </w:rPr>
        <w:t>Portfolio monitoring and credit losses</w:t>
      </w:r>
    </w:p>
    <w:p>
      <w:pPr>
        <w:pStyle w:val="TextBody"/>
        <w:bidi w:val="0"/>
        <w:spacing w:lineRule="auto" w:line="288" w:before="0" w:after="120"/>
        <w:ind w:left="0" w:right="0" w:firstLine="360"/>
        <w:jc w:val="left"/>
        <w:rPr/>
      </w:pPr>
      <w:r>
        <w:rPr>
          <w:rFonts w:ascii="Allstate Sans;sans-serif" w:hAnsi="Allstate Sans;sans-serif"/>
          <w:b/>
          <w:color w:val="0033A0"/>
          <w:sz w:val="18"/>
        </w:rPr>
        <w:t>Fixed income securities</w:t>
      </w:r>
      <w:r>
        <w:rPr>
          <w:color w:val="0033A0"/>
        </w:rPr>
        <w:t xml:space="preserve"> </w:t>
      </w:r>
      <w:r>
        <w:rPr>
          <w:rFonts w:ascii="Allstate Sans;sans-serif" w:hAnsi="Allstate Sans;sans-serif"/>
          <w:b w:val="false"/>
          <w:color w:val="000000"/>
          <w:sz w:val="18"/>
        </w:rPr>
        <w:t>The Company has a comprehensive portfolio monitoring process to identify and evaluate each fixed income security that may require a credit loss allowance</w:t>
      </w:r>
      <w:r>
        <w:rPr>
          <w:rFonts w:ascii="Allstate Sans;sans-serif" w:hAnsi="Allstate Sans;sans-serif"/>
          <w:b w:val="false"/>
          <w:i/>
          <w:color w:val="000000"/>
          <w:sz w:val="18"/>
        </w:rPr>
        <w:t>.</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For each fixed income security in an unrealized loss position, the Company assesses whether management with the appropriate authority has made the decision to sell or whether it is more likely than not the Company will be required to sell the security before recovery of the amortized cost basis for reasons such as liquidity, contractual or regulatory purposes. If a security meets either of these criteria, any existing credit loss allowance would be written off against the amortized cost basis of the asset along with any remaining unrealized losses, with incremental losses recorded in earnings.</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 xml:space="preserve">If the Company has not made the decision to sell the fixed income security and it is not more likely than not the Company will be required to sell the fixed income security before recovery of its amortized cost basis, the Company evaluates whether it expects to receive cash flows sufficient to recover the entire amortized cost basis of the security. The Company calculates the estimated recovery value based on the best estimate of future cash flows considering past events, current conditions and reasonable and supportable forecasts. The estimated future cash flows are discounted at the security’s current effective rate and is compared to the amortized cost of the security. </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 xml:space="preserve">The determination of cash flow estimates is inherently subjective, and methodologies may vary depending on facts and circumstances specific to the security. All reasonably available information relevant to the collectability of the security is considered when </w:t>
      </w:r>
    </w:p>
    <w:p>
      <w:pPr>
        <w:pStyle w:val="TextBody"/>
        <w:bidi w:val="0"/>
        <w:spacing w:lineRule="auto" w:line="288" w:before="0" w:after="120"/>
        <w:jc w:val="left"/>
        <w:rPr>
          <w:rFonts w:ascii="Allstate Sans;sans-serif" w:hAnsi="Allstate Sans;sans-serif"/>
          <w:b w:val="false"/>
          <w:color w:val="000000"/>
          <w:sz w:val="18"/>
        </w:rPr>
      </w:pPr>
      <w:r>
        <w:rPr>
          <w:rFonts w:ascii="Allstate Sans;sans-serif" w:hAnsi="Allstate Sans;sans-serif"/>
          <w:b w:val="false"/>
          <w:color w:val="000000"/>
          <w:sz w:val="18"/>
        </w:rPr>
        <w:t>developing the estimate of cash flows expected to be collected. That information generally includes, but is not limited to, the remaining payment terms of the security, prepayment speeds, the financial condition and future earnings potential of the issue or issuer, expected defaults, expected recoveries, the value of underlying collateral, origination vintage year, geographic concentration of underlying collateral, available reserves or escrows, current subordination levels, third-party guarantees and other credit enhancements. Other information, such as industry analyst reports and forecasts, credit ratings and other market data relevant to the realizability of contractual cash flows, may also be considered. The estimated fair value of collateral will be used to estimate recovery value if the Company determines that the security is dependent on the liquidation of collateral for ultimate settlement.</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 xml:space="preserve">If the Company does not expect to receive cash flows sufficient to recover the entire amortized cost basis of the fixed income security, a credit loss allowance is recorded in earnings for the shortfall in expected cash flows; however, the amortized cost, net of the credit loss allowance, may not be lower than the fair value of the security. The portion of the unrealized loss related to factors other than credit remains classified in AOCI. If the Company determines that the fixed income security does not have sufficient cash flow or other information to estimate a recovery value for the security, the Company may conclude that the entire decline in fair value is deemed to be credit related and the loss is recorded in earnings. </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 xml:space="preserve">When a security is sold or otherwise disposed or when the security is deemed uncollectible and written off, the Company reduces the credit loss allowance.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33350"/>
                <wp:effectExtent l="0" t="0" r="0" b="0"/>
                <wp:wrapNone/>
                <wp:docPr id="18" name="Frame17"/>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ind w:left="0" w:right="0" w:firstLine="360"/>
                              <w:jc w:val="right"/>
                              <w:rPr/>
                            </w:pPr>
                            <w:r>
                              <w:rPr>
                                <w:rFonts w:ascii="Allstate Sans;sans-serif" w:hAnsi="Allstate Sans;sans-serif"/>
                                <w:b w:val="false"/>
                                <w:color w:val="000000"/>
                                <w:sz w:val="18"/>
                              </w:rPr>
                              <w:t xml:space="preserve">Second Quarter 2026 Form 10-Q </w:t>
                            </w:r>
                            <w:r>
                              <w:rPr>
                                <w:rFonts w:ascii="Allstate Sans;sans-serif" w:hAnsi="Allstate Sans;sans-serif"/>
                                <w:b w:val="false"/>
                                <w:color w:val="0033A0"/>
                                <w:sz w:val="18"/>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right"/>
                        <w:rPr/>
                      </w:pPr>
                      <w:r>
                        <w:rPr>
                          <w:rFonts w:ascii="Allstate Sans;sans-serif" w:hAnsi="Allstate Sans;sans-serif"/>
                          <w:b w:val="false"/>
                          <w:color w:val="000000"/>
                          <w:sz w:val="18"/>
                        </w:rPr>
                        <w:t xml:space="preserve">Second Quarter 2026 Form 10-Q </w:t>
                      </w:r>
                      <w:r>
                        <w:rPr>
                          <w:rFonts w:ascii="Allstate Sans;sans-serif" w:hAnsi="Allstate Sans;sans-serif"/>
                          <w:b w:val="false"/>
                          <w:color w:val="0033A0"/>
                          <w:sz w:val="18"/>
                        </w:rPr>
                        <w:t>15</w:t>
                      </w:r>
                    </w:p>
                  </w:txbxContent>
                </v:textbox>
                <w10:wrap type="none"/>
              </v:rect>
            </w:pict>
          </mc:Fallback>
        </mc:AlternateContent>
      </w:r>
    </w:p>
    <w:p>
      <w:pPr>
        <w:pStyle w:val="TextBody"/>
        <w:bidi w:val="0"/>
        <w:spacing w:lineRule="auto" w:line="288" w:before="0" w:after="0"/>
        <w:jc w:val="left"/>
        <w:rPr>
          <w:rFonts w:ascii="Allstate Sans;sans-serif" w:hAnsi="Allstate Sans;sans-serif"/>
          <w:b w:val="false"/>
          <w:color w:val="0033A0"/>
          <w:sz w:val="18"/>
        </w:rPr>
      </w:pPr>
      <w:r>
        <w:rPr>
          <w:rFonts w:ascii="Allstate Sans;sans-serif" w:hAnsi="Allstate Sans;sans-serif"/>
          <w:b w:val="false"/>
          <w:color w:val="0033A0"/>
          <w:sz w:val="18"/>
        </w:rPr>
        <w:t>Notes to Condensed Consolidated Financial Statements</w:t>
      </w:r>
    </w:p>
    <w:p>
      <w:pPr>
        <w:pStyle w:val="TextBody"/>
        <w:bidi w:val="0"/>
        <w:spacing w:lineRule="auto" w:line="288" w:before="0" w:after="120"/>
        <w:jc w:val="left"/>
        <w:rPr>
          <w:rFonts w:ascii="Allstate Sans;sans-serif" w:hAnsi="Allstate Sans;sans-serif"/>
          <w:b w:val="false"/>
          <w:color w:val="000000"/>
          <w:sz w:val="18"/>
        </w:rPr>
      </w:pPr>
      <w:r>
        <w:rPr>
          <w:rFonts w:ascii="Allstate Sans;sans-serif" w:hAnsi="Allstate Sans;sans-serif"/>
          <w:b w:val="false"/>
          <w:color w:val="000000"/>
          <w:sz w:val="18"/>
        </w:rPr>
        <w:t xml:space="preserve">Recoveries after write-offs are recognized when received. </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Accrued interest excluded from the amortized cost of fixed income securities totaled $689 million and $662 million as of June 30, 2026 and December 31, 2025, respectively, and is reported within the accrued investment income line of the Condensed Consolidated Statements of Financial Position. The Company monitors accrued interest and writes off amounts when they are not expected to be received.</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 xml:space="preserve">The Company’s portfolio monitoring process includes a quarterly review of all securities to identify instances where the fair value of a security compared to its amortized cost is below internally established thresholds. The process also includes the monitoring of other credit loss indicators such as ratings, ratings downgrades and payment defaults. The securities identified, in addition to other securities for which the </w:t>
      </w:r>
    </w:p>
    <w:p>
      <w:pPr>
        <w:pStyle w:val="TextBody"/>
        <w:bidi w:val="0"/>
        <w:spacing w:lineRule="auto" w:line="288" w:before="0" w:after="120"/>
        <w:jc w:val="left"/>
        <w:rPr>
          <w:rFonts w:ascii="Allstate Sans;sans-serif" w:hAnsi="Allstate Sans;sans-serif"/>
          <w:b w:val="false"/>
          <w:color w:val="000000"/>
          <w:sz w:val="18"/>
        </w:rPr>
      </w:pPr>
      <w:r>
        <w:rPr>
          <w:rFonts w:ascii="Allstate Sans;sans-serif" w:hAnsi="Allstate Sans;sans-serif"/>
          <w:b w:val="false"/>
          <w:color w:val="000000"/>
          <w:sz w:val="18"/>
        </w:rPr>
        <w:t>Company may have a concern, are evaluated for potential credit losses using all reasonably available information relevant to the collectability or recovery of the security. Inherent in the Company’s evaluation of credit losses for these securities are assumptions and estimates about the financial condition and future earnings potential of the issue or issuer. Some of the factors that may be considered in evaluating whether a decline in fair value requires a credit loss allowance are: 1) the financial condition, near-term and long-term prospects of the issue or issuer, including relevant industry specific market conditions and trends, geographic location and implications of rating agency actions and offering prices; 2) the specific reasons that a security is in an unrealized loss position, including overall market conditions which could affect liquidity; and 3) the extent to which the fair value has been less than amortized cost.</w:t>
      </w:r>
    </w:p>
    <w:tbl>
      <w:tblPr>
        <w:tblW w:w="10205" w:type="dxa"/>
        <w:jc w:val="left"/>
        <w:tblInd w:w="0" w:type="dxa"/>
        <w:tblLayout w:type="fixed"/>
        <w:tblCellMar>
          <w:top w:w="28" w:type="dxa"/>
          <w:left w:w="28" w:type="dxa"/>
          <w:bottom w:w="28" w:type="dxa"/>
          <w:right w:w="28" w:type="dxa"/>
        </w:tblCellMar>
      </w:tblPr>
      <w:tblGrid>
        <w:gridCol w:w="1615"/>
        <w:gridCol w:w="1400"/>
        <w:gridCol w:w="1402"/>
        <w:gridCol w:w="127"/>
        <w:gridCol w:w="127"/>
        <w:gridCol w:w="127"/>
        <w:gridCol w:w="298"/>
        <w:gridCol w:w="624"/>
        <w:gridCol w:w="143"/>
        <w:gridCol w:w="143"/>
        <w:gridCol w:w="143"/>
        <w:gridCol w:w="143"/>
        <w:gridCol w:w="298"/>
        <w:gridCol w:w="624"/>
        <w:gridCol w:w="143"/>
        <w:gridCol w:w="127"/>
        <w:gridCol w:w="127"/>
        <w:gridCol w:w="127"/>
        <w:gridCol w:w="280"/>
        <w:gridCol w:w="583"/>
        <w:gridCol w:w="134"/>
        <w:gridCol w:w="134"/>
        <w:gridCol w:w="134"/>
        <w:gridCol w:w="134"/>
        <w:gridCol w:w="280"/>
        <w:gridCol w:w="583"/>
        <w:gridCol w:w="205"/>
      </w:tblGrid>
      <w:tr>
        <w:trPr/>
        <w:tc>
          <w:tcPr>
            <w:tcW w:w="1615"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10205" w:type="dxa"/>
            <w:gridSpan w:val="27"/>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both"/>
              <w:rPr>
                <w:rFonts w:ascii="Allstate Sans;sans-serif" w:hAnsi="Allstate Sans;sans-serif"/>
                <w:b/>
                <w:color w:val="000000"/>
                <w:sz w:val="18"/>
              </w:rPr>
            </w:pPr>
            <w:r>
              <w:rPr>
                <w:rFonts w:ascii="Allstate Sans;sans-serif" w:hAnsi="Allstate Sans;sans-serif"/>
                <w:b/>
                <w:color w:val="000000"/>
                <w:sz w:val="18"/>
              </w:rPr>
              <w:t>Rollforward of credit loss allowance for fixed income securities</w:t>
            </w:r>
          </w:p>
        </w:tc>
      </w:tr>
      <w:tr>
        <w:trPr/>
        <w:tc>
          <w:tcPr>
            <w:tcW w:w="4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Three months ended June 30,</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Six months ended June 30,</w:t>
            </w:r>
          </w:p>
        </w:tc>
      </w:tr>
      <w:tr>
        <w:trPr/>
        <w:tc>
          <w:tcPr>
            <w:tcW w:w="44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 in millions)</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2026</w:t>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2025</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2026</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2025</w:t>
            </w:r>
          </w:p>
        </w:tc>
      </w:tr>
      <w:tr>
        <w:trPr/>
        <w:tc>
          <w:tcPr>
            <w:tcW w:w="4417"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Beginning balance</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624"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(10)</w:t>
            </w:r>
          </w:p>
        </w:tc>
        <w:tc>
          <w:tcPr>
            <w:tcW w:w="143"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624"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(18)</w:t>
            </w:r>
          </w:p>
        </w:tc>
        <w:tc>
          <w:tcPr>
            <w:tcW w:w="143"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583"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(10)</w:t>
            </w:r>
          </w:p>
        </w:tc>
        <w:tc>
          <w:tcPr>
            <w:tcW w:w="134"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583"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(17)</w:t>
            </w:r>
          </w:p>
        </w:tc>
        <w:tc>
          <w:tcPr>
            <w:tcW w:w="205"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Credit losses on securities for which credit losses not previously reported</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w:t>
            </w:r>
          </w:p>
        </w:tc>
        <w:tc>
          <w:tcPr>
            <w:tcW w:w="20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Net (increases) decreases related to credit losses previously reported</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1 </w:t>
            </w:r>
          </w:p>
        </w:tc>
        <w:tc>
          <w:tcPr>
            <w:tcW w:w="14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1 </w:t>
            </w:r>
          </w:p>
        </w:tc>
        <w:tc>
          <w:tcPr>
            <w:tcW w:w="20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r>
      <w:tr>
        <w:trPr/>
        <w:tc>
          <w:tcPr>
            <w:tcW w:w="4417"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Write-offs</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r>
      <w:tr>
        <w:trPr/>
        <w:tc>
          <w:tcPr>
            <w:tcW w:w="4417"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Ending balance</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624"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(10)</w:t>
            </w:r>
          </w:p>
        </w:tc>
        <w:tc>
          <w:tcPr>
            <w:tcW w:w="14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624"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(17)</w:t>
            </w:r>
          </w:p>
        </w:tc>
        <w:tc>
          <w:tcPr>
            <w:tcW w:w="14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583"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(10)</w:t>
            </w:r>
          </w:p>
        </w:tc>
        <w:tc>
          <w:tcPr>
            <w:tcW w:w="13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583"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(17)</w:t>
            </w:r>
          </w:p>
        </w:tc>
        <w:tc>
          <w:tcPr>
            <w:tcW w:w="20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Components of credit loss allowance as of June 30</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r>
      <w:tr>
        <w:trPr/>
        <w:tc>
          <w:tcPr>
            <w:tcW w:w="4417"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Corporate bonds</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w:t>
            </w:r>
          </w:p>
        </w:tc>
        <w:tc>
          <w:tcPr>
            <w:tcW w:w="13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(16)</w:t>
            </w:r>
          </w:p>
        </w:tc>
        <w:tc>
          <w:tcPr>
            <w:tcW w:w="20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ABS</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w:t>
            </w:r>
          </w:p>
        </w:tc>
        <w:tc>
          <w:tcPr>
            <w:tcW w:w="13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w:t>
            </w:r>
          </w:p>
        </w:tc>
        <w:tc>
          <w:tcPr>
            <w:tcW w:w="20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r>
      <w:tr>
        <w:trPr/>
        <w:tc>
          <w:tcPr>
            <w:tcW w:w="4417" w:type="dxa"/>
            <w:gridSpan w:val="3"/>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4" w:space="0" w:color="B6B6B6"/>
              <w:bottom w:val="single" w:sz="8" w:space="0" w:color="0033A0"/>
            </w:tcBorders>
            <w:tcMar>
              <w:left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4" w:space="0" w:color="B6B6B6"/>
              <w:bottom w:val="single" w:sz="8" w:space="0" w:color="0033A0"/>
            </w:tcBorders>
            <w:tcMar>
              <w:left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583"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(10)</w:t>
            </w:r>
          </w:p>
        </w:tc>
        <w:tc>
          <w:tcPr>
            <w:tcW w:w="134"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583"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(17)</w:t>
            </w:r>
          </w:p>
        </w:tc>
        <w:tc>
          <w:tcPr>
            <w:tcW w:w="205"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75260"/>
                <wp:effectExtent l="0" t="0" r="0" b="0"/>
                <wp:wrapNone/>
                <wp:docPr id="19" name="Frame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120"/>
                              <w:jc w:val="left"/>
                              <w:rPr/>
                            </w:pPr>
                            <w:r>
                              <w:rPr>
                                <w:rFonts w:ascii="Allstate Sans;sans-serif" w:hAnsi="Allstate Sans;sans-serif"/>
                                <w:b w:val="false"/>
                                <w:color w:val="0033A0"/>
                                <w:sz w:val="18"/>
                              </w:rPr>
                              <w:t>16</w:t>
                            </w:r>
                            <w:r>
                              <w:rPr>
                                <w:color w:val="1666AF"/>
                              </w:rPr>
                              <w:t xml:space="preserve"> </w:t>
                            </w:r>
                            <w:r>
                              <w:rPr>
                                <w:rFonts w:ascii="Allstate Sans;sans-serif" w:hAnsi="Allstate Sans;sans-serif"/>
                                <w:b w:val="false"/>
                                <w:color w:val="000000"/>
                                <w:sz w:val="18"/>
                              </w:rPr>
                              <w:t>www.allstate.com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left"/>
                        <w:rPr/>
                      </w:pPr>
                      <w:r>
                        <w:rPr>
                          <w:rFonts w:ascii="Allstate Sans;sans-serif" w:hAnsi="Allstate Sans;sans-serif"/>
                          <w:b w:val="false"/>
                          <w:color w:val="0033A0"/>
                          <w:sz w:val="18"/>
                        </w:rPr>
                        <w:t>16</w:t>
                      </w:r>
                      <w:r>
                        <w:rPr>
                          <w:color w:val="1666AF"/>
                        </w:rPr>
                        <w:t xml:space="preserve"> </w:t>
                      </w:r>
                      <w:r>
                        <w:rPr>
                          <w:rFonts w:ascii="Allstate Sans;sans-serif" w:hAnsi="Allstate Sans;sans-serif"/>
                          <w:b w:val="false"/>
                          <w:color w:val="000000"/>
                          <w:sz w:val="18"/>
                        </w:rPr>
                        <w:t>www.allstate.com</w:t>
                      </w:r>
                    </w:p>
                  </w:txbxContent>
                </v:textbox>
                <w10:wrap type="none"/>
              </v:rect>
            </w:pict>
          </mc:Fallback>
        </mc:AlternateContent>
      </w:r>
    </w:p>
    <w:p>
      <w:pPr>
        <w:pStyle w:val="TextBody"/>
        <w:bidi w:val="0"/>
        <w:spacing w:lineRule="auto" w:line="288" w:before="0" w:after="0"/>
        <w:jc w:val="right"/>
        <w:rPr>
          <w:rFonts w:ascii="Allstate Sans;sans-serif" w:hAnsi="Allstate Sans;sans-serif"/>
          <w:b w:val="false"/>
          <w:color w:val="0033A0"/>
          <w:sz w:val="18"/>
        </w:rPr>
      </w:pPr>
      <w:r>
        <w:rPr>
          <w:rFonts w:ascii="Allstate Sans;sans-serif" w:hAnsi="Allstate Sans;sans-serif"/>
          <w:b w:val="false"/>
          <w:color w:val="0033A0"/>
          <w:sz w:val="18"/>
        </w:rPr>
        <w:t>Notes to Condensed Consolidated Financial Statements</w:t>
      </w:r>
    </w:p>
    <w:p>
      <w:pPr>
        <w:pStyle w:val="TextBody"/>
        <w:bidi w:val="0"/>
        <w:spacing w:before="0" w:after="120"/>
        <w:ind w:left="0" w:right="0" w:firstLine="360"/>
        <w:jc w:val="left"/>
        <w:rPr/>
      </w:pPr>
      <w:r>
        <w:rPr/>
      </w:r>
    </w:p>
    <w:tbl>
      <w:tblPr>
        <w:tblW w:w="11154" w:type="dxa"/>
        <w:jc w:val="left"/>
        <w:tblInd w:w="0" w:type="dxa"/>
        <w:tblLayout w:type="fixed"/>
        <w:tblCellMar>
          <w:top w:w="28" w:type="dxa"/>
          <w:left w:w="28" w:type="dxa"/>
          <w:bottom w:w="28" w:type="dxa"/>
          <w:right w:w="28" w:type="dxa"/>
        </w:tblCellMar>
      </w:tblPr>
      <w:tblGrid>
        <w:gridCol w:w="495"/>
        <w:gridCol w:w="435"/>
        <w:gridCol w:w="436"/>
        <w:gridCol w:w="109"/>
        <w:gridCol w:w="109"/>
        <w:gridCol w:w="109"/>
        <w:gridCol w:w="360"/>
        <w:gridCol w:w="361"/>
        <w:gridCol w:w="276"/>
        <w:gridCol w:w="109"/>
        <w:gridCol w:w="109"/>
        <w:gridCol w:w="109"/>
        <w:gridCol w:w="226"/>
        <w:gridCol w:w="841"/>
        <w:gridCol w:w="109"/>
        <w:gridCol w:w="109"/>
        <w:gridCol w:w="109"/>
        <w:gridCol w:w="109"/>
        <w:gridCol w:w="314"/>
        <w:gridCol w:w="658"/>
        <w:gridCol w:w="109"/>
        <w:gridCol w:w="109"/>
        <w:gridCol w:w="109"/>
        <w:gridCol w:w="109"/>
        <w:gridCol w:w="360"/>
        <w:gridCol w:w="361"/>
        <w:gridCol w:w="276"/>
        <w:gridCol w:w="109"/>
        <w:gridCol w:w="109"/>
        <w:gridCol w:w="109"/>
        <w:gridCol w:w="226"/>
        <w:gridCol w:w="721"/>
        <w:gridCol w:w="109"/>
        <w:gridCol w:w="109"/>
        <w:gridCol w:w="109"/>
        <w:gridCol w:w="109"/>
        <w:gridCol w:w="314"/>
        <w:gridCol w:w="658"/>
        <w:gridCol w:w="109"/>
        <w:gridCol w:w="109"/>
        <w:gridCol w:w="109"/>
        <w:gridCol w:w="109"/>
        <w:gridCol w:w="314"/>
        <w:gridCol w:w="643"/>
        <w:gridCol w:w="154"/>
      </w:tblGrid>
      <w:tr>
        <w:trPr/>
        <w:tc>
          <w:tcPr>
            <w:tcW w:w="49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54" w:type="dxa"/>
            <w:gridSpan w:val="45"/>
            <w:tcBorders>
              <w:top w:val="single" w:sz="4" w:space="0" w:color="000000"/>
            </w:tcBorders>
            <w:tcMar>
              <w:top w:w="30" w:type="dxa"/>
              <w:left w:w="0" w:type="dxa"/>
              <w:bottom w:w="0" w:type="dxa"/>
              <w:right w:w="0" w:type="dxa"/>
            </w:tcMar>
            <w:vAlign w:val="center"/>
          </w:tcPr>
          <w:p>
            <w:pPr>
              <w:pStyle w:val="TableContents"/>
              <w:bidi w:val="0"/>
              <w:spacing w:lineRule="auto" w:line="240" w:before="0" w:after="120"/>
              <w:jc w:val="left"/>
              <w:rPr/>
            </w:pPr>
            <w:r>
              <w:rPr>
                <w:rFonts w:ascii="Allstate Sans;sans-serif" w:hAnsi="Allstate Sans;sans-serif"/>
                <w:b/>
                <w:color w:val="000000"/>
                <w:sz w:val="18"/>
              </w:rPr>
              <w:t>Gross unrealized losses and fair value by type and length of time held in a continuous unrealized loss position</w:t>
            </w:r>
            <w:r>
              <w:rPr>
                <w:color w:val="000000"/>
              </w:rPr>
              <w:t xml:space="preserve"> </w:t>
            </w:r>
            <w:r>
              <w:rPr>
                <w:rFonts w:ascii="Allstate Sans;sans-serif" w:hAnsi="Allstate Sans;sans-serif"/>
                <w:b/>
                <w:color w:val="000000"/>
                <w:sz w:val="12"/>
              </w:rPr>
              <w:t>(1)</w:t>
            </w:r>
          </w:p>
        </w:tc>
      </w:tr>
      <w:tr>
        <w:trPr/>
        <w:tc>
          <w:tcPr>
            <w:tcW w:w="136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 in 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8"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8"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12 months or more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Total</w:t>
            </w:r>
          </w:p>
          <w:p>
            <w:pPr>
              <w:pStyle w:val="TableContents"/>
              <w:bidi w:val="0"/>
              <w:spacing w:lineRule="auto" w:line="240" w:before="0" w:after="0"/>
              <w:jc w:val="center"/>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unrealized</w:t>
            </w:r>
          </w:p>
          <w:p>
            <w:pPr>
              <w:pStyle w:val="TableContents"/>
              <w:bidi w:val="0"/>
              <w:spacing w:lineRule="auto" w:line="240" w:before="0" w:after="0"/>
              <w:jc w:val="center"/>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losses</w:t>
            </w:r>
          </w:p>
        </w:tc>
      </w:tr>
      <w:tr>
        <w:trPr/>
        <w:tc>
          <w:tcPr>
            <w:tcW w:w="136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Number</w:t>
            </w:r>
          </w:p>
          <w:p>
            <w:pPr>
              <w:pStyle w:val="TableContents"/>
              <w:bidi w:val="0"/>
              <w:spacing w:lineRule="auto" w:line="240" w:before="0" w:after="0"/>
              <w:jc w:val="center"/>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of </w:t>
            </w:r>
          </w:p>
          <w:p>
            <w:pPr>
              <w:pStyle w:val="TableContents"/>
              <w:bidi w:val="0"/>
              <w:spacing w:lineRule="auto" w:line="240" w:before="0" w:after="0"/>
              <w:jc w:val="center"/>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issues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Fair</w:t>
            </w:r>
          </w:p>
          <w:p>
            <w:pPr>
              <w:pStyle w:val="TableContents"/>
              <w:bidi w:val="0"/>
              <w:spacing w:lineRule="auto" w:line="240" w:before="0" w:after="0"/>
              <w:jc w:val="center"/>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value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Unrealized</w:t>
            </w:r>
          </w:p>
          <w:p>
            <w:pPr>
              <w:pStyle w:val="TableContents"/>
              <w:bidi w:val="0"/>
              <w:spacing w:lineRule="auto" w:line="240" w:before="0" w:after="0"/>
              <w:jc w:val="center"/>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Number</w:t>
            </w:r>
          </w:p>
          <w:p>
            <w:pPr>
              <w:pStyle w:val="TableContents"/>
              <w:bidi w:val="0"/>
              <w:spacing w:lineRule="auto" w:line="240" w:before="0" w:after="0"/>
              <w:jc w:val="center"/>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of </w:t>
            </w:r>
          </w:p>
          <w:p>
            <w:pPr>
              <w:pStyle w:val="TableContents"/>
              <w:bidi w:val="0"/>
              <w:spacing w:lineRule="auto" w:line="240" w:before="0" w:after="0"/>
              <w:jc w:val="center"/>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issues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Fair</w:t>
            </w:r>
          </w:p>
          <w:p>
            <w:pPr>
              <w:pStyle w:val="TableContents"/>
              <w:bidi w:val="0"/>
              <w:spacing w:lineRule="auto" w:line="240" w:before="0" w:after="0"/>
              <w:jc w:val="center"/>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value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Unrealized</w:t>
            </w:r>
          </w:p>
          <w:p>
            <w:pPr>
              <w:pStyle w:val="TableContents"/>
              <w:bidi w:val="0"/>
              <w:spacing w:lineRule="auto" w:line="240" w:before="0" w:after="0"/>
              <w:jc w:val="center"/>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366"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Fixed income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U.S. government and agencies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139 </w:t>
            </w:r>
          </w:p>
        </w:tc>
        <w:tc>
          <w:tcPr>
            <w:tcW w:w="27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84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9,622 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658"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(101)</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23 </w:t>
            </w:r>
          </w:p>
        </w:tc>
        <w:tc>
          <w:tcPr>
            <w:tcW w:w="27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72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65 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658"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643"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(103)</w:t>
            </w:r>
          </w:p>
        </w:tc>
        <w:tc>
          <w:tcPr>
            <w:tcW w:w="15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Municipal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144 </w:t>
            </w:r>
          </w:p>
        </w:tc>
        <w:tc>
          <w:tcPr>
            <w:tcW w:w="27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970 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385 </w:t>
            </w:r>
          </w:p>
        </w:tc>
        <w:tc>
          <w:tcPr>
            <w:tcW w:w="27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880 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(35)</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(40)</w:t>
            </w:r>
          </w:p>
        </w:tc>
        <w:tc>
          <w:tcPr>
            <w:tcW w:w="15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Corporate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1,400 </w:t>
            </w:r>
          </w:p>
        </w:tc>
        <w:tc>
          <w:tcPr>
            <w:tcW w:w="27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17,274 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(219)</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434 </w:t>
            </w:r>
          </w:p>
        </w:tc>
        <w:tc>
          <w:tcPr>
            <w:tcW w:w="27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2,026 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(136)</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(355)</w:t>
            </w:r>
          </w:p>
        </w:tc>
        <w:tc>
          <w:tcPr>
            <w:tcW w:w="15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Foreign government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52 </w:t>
            </w:r>
          </w:p>
        </w:tc>
        <w:tc>
          <w:tcPr>
            <w:tcW w:w="27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536 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66 </w:t>
            </w:r>
          </w:p>
        </w:tc>
        <w:tc>
          <w:tcPr>
            <w:tcW w:w="27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79 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(9)</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(14)</w:t>
            </w:r>
          </w:p>
        </w:tc>
        <w:tc>
          <w:tcPr>
            <w:tcW w:w="15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ABS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369 </w:t>
            </w:r>
          </w:p>
        </w:tc>
        <w:tc>
          <w:tcPr>
            <w:tcW w:w="27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1,227 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(10)</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15 </w:t>
            </w:r>
          </w:p>
        </w:tc>
        <w:tc>
          <w:tcPr>
            <w:tcW w:w="27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50 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(12)</w:t>
            </w:r>
          </w:p>
        </w:tc>
        <w:tc>
          <w:tcPr>
            <w:tcW w:w="15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MBS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102 </w:t>
            </w:r>
          </w:p>
        </w:tc>
        <w:tc>
          <w:tcPr>
            <w:tcW w:w="27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1,443 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(14)</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58 </w:t>
            </w:r>
          </w:p>
        </w:tc>
        <w:tc>
          <w:tcPr>
            <w:tcW w:w="27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(14)</w:t>
            </w:r>
          </w:p>
        </w:tc>
        <w:tc>
          <w:tcPr>
            <w:tcW w:w="15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 fixed income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2,206</w:t>
            </w:r>
            <w:r>
              <w:rPr>
                <w:color w:val="000000"/>
              </w:rPr>
              <w:t> </w:t>
            </w:r>
          </w:p>
        </w:tc>
        <w:tc>
          <w:tcPr>
            <w:tcW w:w="27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84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31,072</w:t>
            </w: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658"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(354)</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981</w:t>
            </w:r>
            <w:r>
              <w:rPr>
                <w:color w:val="000000"/>
              </w:rPr>
              <w:t> </w:t>
            </w:r>
          </w:p>
        </w:tc>
        <w:tc>
          <w:tcPr>
            <w:tcW w:w="27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72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3,102</w:t>
            </w: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658"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(184)</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643"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(538)</w:t>
            </w:r>
          </w:p>
        </w:tc>
        <w:tc>
          <w:tcPr>
            <w:tcW w:w="15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Investment grade fixed income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1,947 </w:t>
            </w:r>
          </w:p>
        </w:tc>
        <w:tc>
          <w:tcPr>
            <w:tcW w:w="27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84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29,491 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658"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(320)</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876 </w:t>
            </w:r>
          </w:p>
        </w:tc>
        <w:tc>
          <w:tcPr>
            <w:tcW w:w="27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72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2,665 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658"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(160)</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643"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(480)</w:t>
            </w:r>
          </w:p>
        </w:tc>
        <w:tc>
          <w:tcPr>
            <w:tcW w:w="15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Below investment grade fixed income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259 </w:t>
            </w:r>
          </w:p>
        </w:tc>
        <w:tc>
          <w:tcPr>
            <w:tcW w:w="27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1,581 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(34)</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105 </w:t>
            </w:r>
          </w:p>
        </w:tc>
        <w:tc>
          <w:tcPr>
            <w:tcW w:w="27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437 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(24)</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(58)</w:t>
            </w:r>
          </w:p>
        </w:tc>
        <w:tc>
          <w:tcPr>
            <w:tcW w:w="15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 fixed income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2,206</w:t>
            </w:r>
            <w:r>
              <w:rPr>
                <w:color w:val="000000"/>
              </w:rPr>
              <w:t> </w:t>
            </w:r>
          </w:p>
        </w:tc>
        <w:tc>
          <w:tcPr>
            <w:tcW w:w="27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84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31,072</w:t>
            </w: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658"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(354)</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981</w:t>
            </w:r>
            <w:r>
              <w:rPr>
                <w:color w:val="000000"/>
              </w:rPr>
              <w:t> </w:t>
            </w:r>
          </w:p>
        </w:tc>
        <w:tc>
          <w:tcPr>
            <w:tcW w:w="27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72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3,102</w:t>
            </w: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658"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(184)</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643"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(538)</w:t>
            </w:r>
          </w:p>
        </w:tc>
        <w:tc>
          <w:tcPr>
            <w:tcW w:w="15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top w:val="single" w:sz="2" w:space="0" w:color="939393"/>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Fixed income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U.S. government and agencies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74 </w:t>
            </w:r>
          </w:p>
        </w:tc>
        <w:tc>
          <w:tcPr>
            <w:tcW w:w="27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84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11,840 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658"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(72)</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54 </w:t>
            </w:r>
          </w:p>
        </w:tc>
        <w:tc>
          <w:tcPr>
            <w:tcW w:w="27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72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209 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658"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643"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(75)</w:t>
            </w:r>
          </w:p>
        </w:tc>
        <w:tc>
          <w:tcPr>
            <w:tcW w:w="15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Municipal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106 </w:t>
            </w:r>
          </w:p>
        </w:tc>
        <w:tc>
          <w:tcPr>
            <w:tcW w:w="27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640 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527 </w:t>
            </w:r>
          </w:p>
        </w:tc>
        <w:tc>
          <w:tcPr>
            <w:tcW w:w="27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1,423 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(55)</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(61)</w:t>
            </w:r>
          </w:p>
        </w:tc>
        <w:tc>
          <w:tcPr>
            <w:tcW w:w="15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Corporate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530 </w:t>
            </w:r>
          </w:p>
        </w:tc>
        <w:tc>
          <w:tcPr>
            <w:tcW w:w="27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3,933 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(49)</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640 </w:t>
            </w:r>
          </w:p>
        </w:tc>
        <w:tc>
          <w:tcPr>
            <w:tcW w:w="27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3,677 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(185)</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(234)</w:t>
            </w:r>
          </w:p>
        </w:tc>
        <w:tc>
          <w:tcPr>
            <w:tcW w:w="15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Foreign government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77 </w:t>
            </w:r>
          </w:p>
        </w:tc>
        <w:tc>
          <w:tcPr>
            <w:tcW w:w="27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553 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(9)</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53 </w:t>
            </w:r>
          </w:p>
        </w:tc>
        <w:tc>
          <w:tcPr>
            <w:tcW w:w="27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40 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(17)</w:t>
            </w:r>
          </w:p>
        </w:tc>
        <w:tc>
          <w:tcPr>
            <w:tcW w:w="15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ABS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58 </w:t>
            </w:r>
          </w:p>
        </w:tc>
        <w:tc>
          <w:tcPr>
            <w:tcW w:w="27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205 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12 </w:t>
            </w:r>
          </w:p>
        </w:tc>
        <w:tc>
          <w:tcPr>
            <w:tcW w:w="27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42 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w:t>
            </w:r>
          </w:p>
        </w:tc>
        <w:tc>
          <w:tcPr>
            <w:tcW w:w="15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MBS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29 </w:t>
            </w:r>
          </w:p>
        </w:tc>
        <w:tc>
          <w:tcPr>
            <w:tcW w:w="27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246 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59 </w:t>
            </w:r>
          </w:p>
        </w:tc>
        <w:tc>
          <w:tcPr>
            <w:tcW w:w="27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w:t>
            </w:r>
          </w:p>
        </w:tc>
        <w:tc>
          <w:tcPr>
            <w:tcW w:w="15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 fixed income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874</w:t>
            </w:r>
            <w:r>
              <w:rPr>
                <w:color w:val="000000"/>
              </w:rPr>
              <w:t> </w:t>
            </w:r>
          </w:p>
        </w:tc>
        <w:tc>
          <w:tcPr>
            <w:tcW w:w="27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84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17,417</w:t>
            </w: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658"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(139)</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1,345</w:t>
            </w:r>
            <w:r>
              <w:rPr>
                <w:color w:val="000000"/>
              </w:rPr>
              <w:t> </w:t>
            </w:r>
          </w:p>
        </w:tc>
        <w:tc>
          <w:tcPr>
            <w:tcW w:w="27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72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5,394</w:t>
            </w: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658"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(253)</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643"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(392)</w:t>
            </w:r>
          </w:p>
        </w:tc>
        <w:tc>
          <w:tcPr>
            <w:tcW w:w="15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Investment grade fixed income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694 </w:t>
            </w:r>
          </w:p>
        </w:tc>
        <w:tc>
          <w:tcPr>
            <w:tcW w:w="27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84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16,899 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658"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(123)</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1,212 </w:t>
            </w:r>
          </w:p>
        </w:tc>
        <w:tc>
          <w:tcPr>
            <w:tcW w:w="27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72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4,793 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658"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(229)</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643"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(352)</w:t>
            </w:r>
          </w:p>
        </w:tc>
        <w:tc>
          <w:tcPr>
            <w:tcW w:w="15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Below investment grade fixed income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180 </w:t>
            </w:r>
          </w:p>
        </w:tc>
        <w:tc>
          <w:tcPr>
            <w:tcW w:w="27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518 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(16)</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133 </w:t>
            </w:r>
          </w:p>
        </w:tc>
        <w:tc>
          <w:tcPr>
            <w:tcW w:w="27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601 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(24)</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(40)</w:t>
            </w:r>
          </w:p>
        </w:tc>
        <w:tc>
          <w:tcPr>
            <w:tcW w:w="15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 fixed income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874</w:t>
            </w:r>
            <w:r>
              <w:rPr>
                <w:color w:val="000000"/>
              </w:rPr>
              <w:t> </w:t>
            </w:r>
          </w:p>
        </w:tc>
        <w:tc>
          <w:tcPr>
            <w:tcW w:w="27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841"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17,417</w:t>
            </w:r>
            <w:r>
              <w:rPr>
                <w:color w:val="000000"/>
              </w:rPr>
              <w:t> </w:t>
            </w:r>
          </w:p>
        </w:tc>
        <w:tc>
          <w:tcPr>
            <w:tcW w:w="109"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658"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(139)</w:t>
            </w:r>
          </w:p>
        </w:tc>
        <w:tc>
          <w:tcPr>
            <w:tcW w:w="109"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1,345</w:t>
            </w:r>
            <w:r>
              <w:rPr>
                <w:color w:val="000000"/>
              </w:rPr>
              <w:t> </w:t>
            </w:r>
          </w:p>
        </w:tc>
        <w:tc>
          <w:tcPr>
            <w:tcW w:w="27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721"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5,394</w:t>
            </w:r>
            <w:r>
              <w:rPr>
                <w:color w:val="000000"/>
              </w:rPr>
              <w:t> </w:t>
            </w:r>
          </w:p>
        </w:tc>
        <w:tc>
          <w:tcPr>
            <w:tcW w:w="109"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658"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(253)</w:t>
            </w:r>
          </w:p>
        </w:tc>
        <w:tc>
          <w:tcPr>
            <w:tcW w:w="109"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643"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(392)</w:t>
            </w:r>
          </w:p>
        </w:tc>
        <w:tc>
          <w:tcPr>
            <w:tcW w:w="154"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180"/>
        <w:jc w:val="left"/>
        <w:rPr/>
      </w:pPr>
      <w:r>
        <w:rPr>
          <w:rFonts w:ascii="Allstate Sans;sans-serif" w:hAnsi="Allstate Sans;sans-serif"/>
          <w:b w:val="false"/>
          <w:color w:val="000000"/>
          <w:sz w:val="10"/>
        </w:rPr>
        <w:t>(1)</w:t>
      </w:r>
      <w:r>
        <w:rPr>
          <w:rFonts w:ascii="Allstate Sans;sans-serif" w:hAnsi="Allstate Sans;sans-serif"/>
          <w:b w:val="false"/>
          <w:color w:val="000000"/>
          <w:sz w:val="16"/>
        </w:rPr>
        <w:t>Includes fixed income securities with credit loss allowances; fair values of $23 million and $11 million, unrealized losses of $3 million and $2 million, and credit loss allowances of $1 million and $1 million as of June 30, 2026 and December 31, 2025, respectively.</w:t>
      </w:r>
    </w:p>
    <w:tbl>
      <w:tblPr>
        <w:tblW w:w="10205" w:type="dxa"/>
        <w:jc w:val="left"/>
        <w:tblInd w:w="0" w:type="dxa"/>
        <w:tblLayout w:type="fixed"/>
        <w:tblCellMar>
          <w:top w:w="28" w:type="dxa"/>
          <w:left w:w="28" w:type="dxa"/>
          <w:bottom w:w="28" w:type="dxa"/>
          <w:right w:w="28" w:type="dxa"/>
        </w:tblCellMar>
      </w:tblPr>
      <w:tblGrid>
        <w:gridCol w:w="1516"/>
        <w:gridCol w:w="1330"/>
        <w:gridCol w:w="1333"/>
        <w:gridCol w:w="154"/>
        <w:gridCol w:w="154"/>
        <w:gridCol w:w="154"/>
        <w:gridCol w:w="506"/>
        <w:gridCol w:w="901"/>
        <w:gridCol w:w="154"/>
        <w:gridCol w:w="154"/>
        <w:gridCol w:w="154"/>
        <w:gridCol w:w="154"/>
        <w:gridCol w:w="572"/>
        <w:gridCol w:w="957"/>
        <w:gridCol w:w="186"/>
        <w:gridCol w:w="154"/>
        <w:gridCol w:w="154"/>
        <w:gridCol w:w="154"/>
        <w:gridCol w:w="319"/>
        <w:gridCol w:w="821"/>
        <w:gridCol w:w="224"/>
      </w:tblGrid>
      <w:tr>
        <w:trPr/>
        <w:tc>
          <w:tcPr>
            <w:tcW w:w="1516"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r>
      <w:tr>
        <w:trPr/>
        <w:tc>
          <w:tcPr>
            <w:tcW w:w="10205" w:type="dxa"/>
            <w:gridSpan w:val="21"/>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Gross unrealized losses by unrealized loss position and credit quality as of June 30, 2026</w:t>
            </w:r>
          </w:p>
        </w:tc>
      </w:tr>
      <w:tr>
        <w:trPr/>
        <w:tc>
          <w:tcPr>
            <w:tcW w:w="41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 in millions)</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 xml:space="preserve">Investment </w:t>
            </w:r>
          </w:p>
          <w:p>
            <w:pPr>
              <w:pStyle w:val="TableContents"/>
              <w:bidi w:val="0"/>
              <w:spacing w:lineRule="auto" w:line="240" w:before="0" w:after="0"/>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grade</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Below investment grade</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w:t>
            </w:r>
          </w:p>
        </w:tc>
      </w:tr>
      <w:tr>
        <w:trPr/>
        <w:tc>
          <w:tcPr>
            <w:tcW w:w="4179"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0"/>
              <w:jc w:val="left"/>
              <w:rPr/>
            </w:pPr>
            <w:r>
              <w:rPr>
                <w:rFonts w:ascii="Helvetica_Neue_LT_W1G_55_Roman;sans-serif" w:hAnsi="Helvetica_Neue_LT_W1G_55_Roman;sans-serif"/>
                <w:b w:val="false"/>
                <w:color w:val="000000"/>
                <w:sz w:val="18"/>
              </w:rPr>
              <w:t>Fixed income securities with unrealized loss position less than 20% of amortized cost, net</w:t>
            </w:r>
            <w:r>
              <w:rPr>
                <w:color w:val="000000"/>
              </w:rPr>
              <w:t xml:space="preserve"> </w:t>
            </w:r>
            <w:r>
              <w:rPr>
                <w:rFonts w:ascii="Helvetica_Neue_LT_W1G_55_Roman;sans-serif" w:hAnsi="Helvetica_Neue_LT_W1G_55_Roman;sans-serif"/>
                <w:b w:val="false"/>
                <w:color w:val="000000"/>
                <w:sz w:val="12"/>
              </w:rPr>
              <w:t>(1)</w:t>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901"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(458)</w:t>
            </w:r>
          </w:p>
        </w:tc>
        <w:tc>
          <w:tcPr>
            <w:tcW w:w="154"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957"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(54)</w:t>
            </w:r>
          </w:p>
        </w:tc>
        <w:tc>
          <w:tcPr>
            <w:tcW w:w="186"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821"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(512)</w:t>
            </w:r>
          </w:p>
        </w:tc>
        <w:tc>
          <w:tcPr>
            <w:tcW w:w="224"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9"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0"/>
              <w:jc w:val="left"/>
              <w:rPr/>
            </w:pPr>
            <w:r>
              <w:rPr>
                <w:rFonts w:ascii="Helvetica_Neue_LT_W1G_55_Roman;sans-serif" w:hAnsi="Helvetica_Neue_LT_W1G_55_Roman;sans-serif"/>
                <w:b w:val="false"/>
                <w:color w:val="000000"/>
                <w:sz w:val="18"/>
              </w:rPr>
              <w:t xml:space="preserve">Fixed income securities with unrealized loss position greater than or equal to 20% of amortized cost, net </w:t>
            </w:r>
            <w:r>
              <w:rPr>
                <w:rFonts w:ascii="Helvetica_Neue_LT_W1G_55_Roman;sans-serif" w:hAnsi="Helvetica_Neue_LT_W1G_55_Roman;sans-serif"/>
                <w:b w:val="false"/>
                <w:color w:val="000000"/>
                <w:sz w:val="12"/>
              </w:rPr>
              <w:t>(2)</w:t>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(22)</w:t>
            </w:r>
          </w:p>
        </w:tc>
        <w:tc>
          <w:tcPr>
            <w:tcW w:w="154"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w:t>
            </w:r>
          </w:p>
        </w:tc>
        <w:tc>
          <w:tcPr>
            <w:tcW w:w="186"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(26)</w:t>
            </w:r>
          </w:p>
        </w:tc>
        <w:tc>
          <w:tcPr>
            <w:tcW w:w="224"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9" w:type="dxa"/>
            <w:gridSpan w:val="3"/>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 unrealized losses</w:t>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901"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(480)</w:t>
            </w:r>
          </w:p>
        </w:tc>
        <w:tc>
          <w:tcPr>
            <w:tcW w:w="154"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957"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(58)</w:t>
            </w:r>
          </w:p>
        </w:tc>
        <w:tc>
          <w:tcPr>
            <w:tcW w:w="18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821"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(538)</w:t>
            </w:r>
          </w:p>
        </w:tc>
        <w:tc>
          <w:tcPr>
            <w:tcW w:w="224"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180"/>
        <w:jc w:val="left"/>
        <w:rPr/>
      </w:pPr>
      <w:r>
        <w:rPr>
          <w:rFonts w:ascii="Allstate Sans;sans-serif" w:hAnsi="Allstate Sans;sans-serif"/>
          <w:b w:val="false"/>
          <w:color w:val="000000"/>
          <w:sz w:val="10"/>
        </w:rPr>
        <w:t>(1)</w:t>
      </w:r>
      <w:r>
        <w:rPr>
          <w:rFonts w:ascii="Allstate Sans;sans-serif" w:hAnsi="Allstate Sans;sans-serif"/>
          <w:b w:val="false"/>
          <w:color w:val="000000"/>
          <w:sz w:val="16"/>
        </w:rPr>
        <w:t>Related to securities with an unrealized loss position less than 20% of amortized cost, net, the degree of which suggests that these securities do not pose a high risk of having credit losses.</w:t>
      </w:r>
    </w:p>
    <w:p>
      <w:pPr>
        <w:pStyle w:val="TextBody"/>
        <w:bidi w:val="0"/>
        <w:spacing w:lineRule="auto" w:line="288" w:before="0" w:after="120"/>
        <w:ind w:left="0" w:right="0" w:hanging="180"/>
        <w:jc w:val="left"/>
        <w:rPr/>
      </w:pPr>
      <w:r>
        <w:rPr>
          <w:rFonts w:ascii="Allstate Sans;sans-serif" w:hAnsi="Allstate Sans;sans-serif"/>
          <w:b w:val="false"/>
          <w:color w:val="000000"/>
          <w:sz w:val="10"/>
        </w:rPr>
        <w:t>(2)</w:t>
      </w:r>
      <w:r>
        <w:rPr>
          <w:rFonts w:ascii="Allstate Sans;sans-serif" w:hAnsi="Allstate Sans;sans-serif"/>
          <w:b w:val="false"/>
          <w:color w:val="000000"/>
          <w:sz w:val="16"/>
        </w:rPr>
        <w:t>Evaluated based on factors such as discounted cash flows and the financial condition and near-term and long-term prospects of the issue or issuer and were determined to have adequate resources to fulfill contractual obligations.</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 xml:space="preserve">Investment grade is defined as a security having a National Association of Insurance Commissioners (“NAIC”) designation of 1 or 2, which is comparable to a rating of Aaa, Aa, A or Baa from Moody’s Investors Service (“Moody’s”) or AAA, AA, A or BBB from S&amp;P Global Ratings (“S&amp;P”), or a comparable internal rating if an externally provided rating is not available. Market prices for certain securities may have credit spreads which imply higher or lower credit quality than the current third-party rating. Unrealized losses on investment grade securities are principally related to an increase in market yields which may include increased risk-free interest rates or wider credit spreads since the time of initial purchase. The </w:t>
      </w:r>
    </w:p>
    <w:p>
      <w:pPr>
        <w:pStyle w:val="TextBody"/>
        <w:bidi w:val="0"/>
        <w:spacing w:lineRule="auto" w:line="288" w:before="0" w:after="120"/>
        <w:jc w:val="left"/>
        <w:rPr>
          <w:rFonts w:ascii="Allstate Sans;sans-serif" w:hAnsi="Allstate Sans;sans-serif"/>
          <w:b w:val="false"/>
          <w:color w:val="000000"/>
          <w:sz w:val="18"/>
        </w:rPr>
      </w:pPr>
      <w:r>
        <w:rPr>
          <w:rFonts w:ascii="Allstate Sans;sans-serif" w:hAnsi="Allstate Sans;sans-serif"/>
          <w:b w:val="false"/>
          <w:color w:val="000000"/>
          <w:sz w:val="18"/>
        </w:rPr>
        <w:t>unrealized losses are expected to reverse as the securities approach maturity.</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 xml:space="preserve">ABS and MBS in an unrealized loss position were evaluated based on actual and projected collateral losses relative to the securities’ positions in the respective securitization trusts, security specific expectations of cash flows, and credit ratings. This evaluation also takes into consideration credit enhancement, measured in terms of (i) subordination from other classes of securities in the trust that are contractually obligated to absorb losses before the class of security the Company owns, and (ii) the expected impact of other structural features embedded in the securitization trust beneficial to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33350"/>
                <wp:effectExtent l="0" t="0" r="0" b="0"/>
                <wp:wrapNone/>
                <wp:docPr id="20" name="Frame19"/>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ind w:left="0" w:right="0" w:firstLine="360"/>
                              <w:jc w:val="right"/>
                              <w:rPr/>
                            </w:pPr>
                            <w:r>
                              <w:rPr>
                                <w:rFonts w:ascii="Allstate Sans;sans-serif" w:hAnsi="Allstate Sans;sans-serif"/>
                                <w:b w:val="false"/>
                                <w:color w:val="000000"/>
                                <w:sz w:val="18"/>
                              </w:rPr>
                              <w:t xml:space="preserve">Second Quarter 2026 Form 10-Q </w:t>
                            </w:r>
                            <w:r>
                              <w:rPr>
                                <w:rFonts w:ascii="Allstate Sans;sans-serif" w:hAnsi="Allstate Sans;sans-serif"/>
                                <w:b w:val="false"/>
                                <w:color w:val="0033A0"/>
                                <w:sz w:val="18"/>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right"/>
                        <w:rPr/>
                      </w:pPr>
                      <w:r>
                        <w:rPr>
                          <w:rFonts w:ascii="Allstate Sans;sans-serif" w:hAnsi="Allstate Sans;sans-serif"/>
                          <w:b w:val="false"/>
                          <w:color w:val="000000"/>
                          <w:sz w:val="18"/>
                        </w:rPr>
                        <w:t xml:space="preserve">Second Quarter 2026 Form 10-Q </w:t>
                      </w:r>
                      <w:r>
                        <w:rPr>
                          <w:rFonts w:ascii="Allstate Sans;sans-serif" w:hAnsi="Allstate Sans;sans-serif"/>
                          <w:b w:val="false"/>
                          <w:color w:val="0033A0"/>
                          <w:sz w:val="18"/>
                        </w:rPr>
                        <w:t>17</w:t>
                      </w:r>
                    </w:p>
                  </w:txbxContent>
                </v:textbox>
                <w10:wrap type="none"/>
              </v:rect>
            </w:pict>
          </mc:Fallback>
        </mc:AlternateContent>
      </w:r>
    </w:p>
    <w:p>
      <w:pPr>
        <w:pStyle w:val="TextBody"/>
        <w:bidi w:val="0"/>
        <w:spacing w:lineRule="auto" w:line="288" w:before="0" w:after="0"/>
        <w:jc w:val="left"/>
        <w:rPr>
          <w:rFonts w:ascii="Allstate Sans;sans-serif" w:hAnsi="Allstate Sans;sans-serif"/>
          <w:b w:val="false"/>
          <w:color w:val="0033A0"/>
          <w:sz w:val="18"/>
        </w:rPr>
      </w:pPr>
      <w:r>
        <w:rPr>
          <w:rFonts w:ascii="Allstate Sans;sans-serif" w:hAnsi="Allstate Sans;sans-serif"/>
          <w:b w:val="false"/>
          <w:color w:val="0033A0"/>
          <w:sz w:val="18"/>
        </w:rPr>
        <w:t>Notes to Condensed Consolidated Financial Statements</w:t>
      </w:r>
    </w:p>
    <w:p>
      <w:pPr>
        <w:pStyle w:val="TextBody"/>
        <w:bidi w:val="0"/>
        <w:spacing w:lineRule="auto" w:line="288" w:before="0" w:after="120"/>
        <w:jc w:val="left"/>
        <w:rPr>
          <w:rFonts w:ascii="Allstate Sans;sans-serif" w:hAnsi="Allstate Sans;sans-serif"/>
          <w:b w:val="false"/>
          <w:color w:val="000000"/>
          <w:sz w:val="18"/>
        </w:rPr>
      </w:pPr>
      <w:r>
        <w:rPr>
          <w:rFonts w:ascii="Allstate Sans;sans-serif" w:hAnsi="Allstate Sans;sans-serif"/>
          <w:b w:val="false"/>
          <w:color w:val="000000"/>
          <w:sz w:val="18"/>
        </w:rPr>
        <w:t xml:space="preserve">class of securities the Company owns, such as overcollateralization and excess spread. Municipal bonds in an unrealized loss position were evaluated based on the underlying credit quality of the primary obligor, obligation type and quality of the underlying assets. </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As of June 30, 2026, the Company has not made the decision to sell and it is not more likely than not the Company will be required to sell fixed income securities with unrealized losses before recovery of the amortized cost basis.</w:t>
      </w:r>
    </w:p>
    <w:p>
      <w:pPr>
        <w:pStyle w:val="TextBody"/>
        <w:bidi w:val="0"/>
        <w:spacing w:lineRule="auto" w:line="288" w:before="0" w:after="120"/>
        <w:ind w:left="0" w:right="0" w:firstLine="360"/>
        <w:jc w:val="left"/>
        <w:rPr/>
      </w:pPr>
      <w:r>
        <w:rPr>
          <w:rFonts w:ascii="Allstate Sans;sans-serif" w:hAnsi="Allstate Sans;sans-serif"/>
          <w:b/>
          <w:color w:val="0033A0"/>
          <w:sz w:val="18"/>
        </w:rPr>
        <w:t>Loans</w:t>
      </w:r>
      <w:r>
        <w:rPr>
          <w:color w:val="000000"/>
        </w:rPr>
        <w:t xml:space="preserve"> </w:t>
      </w:r>
      <w:r>
        <w:rPr>
          <w:rFonts w:ascii="Allstate Sans;sans-serif" w:hAnsi="Allstate Sans;sans-serif"/>
          <w:b w:val="false"/>
          <w:color w:val="000000"/>
          <w:sz w:val="18"/>
        </w:rPr>
        <w:t>The Company establishes a credit loss allowance for mortgage loans and bank loans when they are originated or purchased, and for unfunded commitments unless they are unconditionally cancellable by the Company. The Company uses a probability of default and loss given default model for mortgage loans and bank loans to estimate current expected credit losses that considers all relevant information available including past events, current conditions, and reasonable and supportable forecasts over the life of an asset. The Company also considers such factors as historical losses, expected prepayments and various economic factors. For mortgage loans, the Company considers origination vintage year and property level information such as debt service coverage, property type, property location and collateral value. For bank loans, the Company considers the credit rating of the borrower, credit spreads and type of loan. After the reasonable and supportable forecast period, the Company’s model reverts to historical loss trends.</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 xml:space="preserve">Loans are evaluated on a pooled basis when they share similar risk characteristics. The Company monitors loans through a quarterly credit monitoring process to determine when they no longer share similar risk characteristics and are to be evaluated individually when estimating credit losses. </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Loans are written off against their corresponding allowances when there is no reasonable expectation of recovery. If a loan recovers after a write-off, the estimate of expected credit losses includes the expected recovery.</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 xml:space="preserve">Accrual of income is suspended for loans that are in default or when full and timely collection of principal and interest payments is not probable. Accrued income receivable is monitored for recoverability and when not expected to be collected is written off </w:t>
      </w:r>
    </w:p>
    <w:p>
      <w:pPr>
        <w:pStyle w:val="TextBody"/>
        <w:bidi w:val="0"/>
        <w:spacing w:lineRule="auto" w:line="288" w:before="0" w:after="120"/>
        <w:jc w:val="left"/>
        <w:rPr>
          <w:rFonts w:ascii="Allstate Sans;sans-serif" w:hAnsi="Allstate Sans;sans-serif"/>
          <w:b w:val="false"/>
          <w:color w:val="000000"/>
          <w:sz w:val="18"/>
        </w:rPr>
      </w:pPr>
      <w:r>
        <w:rPr>
          <w:rFonts w:ascii="Allstate Sans;sans-serif" w:hAnsi="Allstate Sans;sans-serif"/>
          <w:b w:val="false"/>
          <w:color w:val="000000"/>
          <w:sz w:val="18"/>
        </w:rPr>
        <w:t>through net investment income. Cash receipts on loans on non-accrual status are generally recorded as a reduction of amortized cost.</w:t>
      </w:r>
    </w:p>
    <w:p>
      <w:pPr>
        <w:pStyle w:val="TextBody"/>
        <w:bidi w:val="0"/>
        <w:spacing w:lineRule="auto" w:line="288" w:before="0" w:after="120"/>
        <w:ind w:left="0" w:right="0" w:firstLine="360"/>
        <w:jc w:val="left"/>
        <w:rPr/>
      </w:pPr>
      <w:r>
        <w:rPr>
          <w:rFonts w:ascii="Allstate Sans;sans-serif" w:hAnsi="Allstate Sans;sans-serif"/>
          <w:b w:val="false"/>
          <w:i/>
          <w:color w:val="0033A0"/>
          <w:sz w:val="18"/>
        </w:rPr>
        <w:t>Mortgage loans</w:t>
      </w:r>
      <w:r>
        <w:rPr>
          <w:color w:val="000000"/>
        </w:rPr>
        <w:t xml:space="preserve"> </w:t>
      </w:r>
      <w:r>
        <w:rPr>
          <w:rFonts w:ascii="Allstate Sans;sans-serif" w:hAnsi="Allstate Sans;sans-serif"/>
          <w:b w:val="false"/>
          <w:color w:val="000000"/>
          <w:sz w:val="18"/>
        </w:rPr>
        <w:t>When it is determined a mortgage loan shall be evaluated individually, the Company uses various methods to estimate credit losses on individual loans such as using collateral value less estimated costs to sell where applicable, including when foreclosure is probable or when repayment is expected to be provided substantially through the operation or sale of the collateral and the borrower is experiencing financial difficulty. When collateral value is used, the mortgage loans may not have a credit loss allowance when the fair value of the collateral exceeds the loan’s amortized cost. An alternative approach may be utilized to estimate credit losses using the present value of the loan’s expected future repayment cash flows discounted at the loan’s current effective interest rate. Individual loan credit loss allowances are adjusted for subsequent changes in the fair value of the collateral less costs to sell, when applicable, or present value of the loan’s expected future repayment cash flows.</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Debt service coverage ratio is considered a key credit quality indicator when commercial mortgage loan credit loss allowances are estimated. Debt service coverage ratio represents the amount of estimated cash flow from the property available to the borrower to meet principal and interest payment obligations. Debt service coverage ratio estimates are updated annually or more frequently if conditions are warranted based on the Company’s credit monitoring process.</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 xml:space="preserve">If the debt service coverage ratio is below 1.0 and the borrower has the financial capacity to fund the revenue shortfalls from the properties for the foreseeable term, the decrease in cash flows from the properties is considered temporary, or there are other risk mitigating circumstances such as additional collateral, escrow balances or borrower guarantees, the commercial loans may not be considered impaired. </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Residential mortgage loans primarily include fixed-rate, amortizing mortgage loans on rental properties owned by borrowers with credit scores typically considered prime or above. The primary credit quality indicator is whether a loan is performing or nonperforming. The Company defines nonperforming residential mortgage loans as those that are 90 days or more past due and/or in nonaccrual status.</w:t>
      </w:r>
    </w:p>
    <w:p>
      <w:pPr>
        <w:pStyle w:val="TextBody"/>
        <w:bidi w:val="0"/>
        <w:spacing w:before="12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21" name="Frame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120"/>
                              <w:jc w:val="left"/>
                              <w:rPr/>
                            </w:pPr>
                            <w:r>
                              <w:rPr>
                                <w:rFonts w:ascii="Allstate Sans;sans-serif" w:hAnsi="Allstate Sans;sans-serif"/>
                                <w:b w:val="false"/>
                                <w:color w:val="0033A0"/>
                                <w:sz w:val="18"/>
                              </w:rPr>
                              <w:t>18</w:t>
                            </w:r>
                            <w:r>
                              <w:rPr>
                                <w:color w:val="1666AF"/>
                              </w:rPr>
                              <w:t xml:space="preserve"> </w:t>
                            </w:r>
                            <w:r>
                              <w:rPr>
                                <w:rFonts w:ascii="Allstate Sans;sans-serif" w:hAnsi="Allstate Sans;sans-serif"/>
                                <w:b w:val="false"/>
                                <w:color w:val="000000"/>
                                <w:sz w:val="18"/>
                              </w:rPr>
                              <w:t>www.allstate.com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left"/>
                        <w:rPr/>
                      </w:pPr>
                      <w:r>
                        <w:rPr>
                          <w:rFonts w:ascii="Allstate Sans;sans-serif" w:hAnsi="Allstate Sans;sans-serif"/>
                          <w:b w:val="false"/>
                          <w:color w:val="0033A0"/>
                          <w:sz w:val="18"/>
                        </w:rPr>
                        <w:t>18</w:t>
                      </w:r>
                      <w:r>
                        <w:rPr>
                          <w:color w:val="1666AF"/>
                        </w:rPr>
                        <w:t xml:space="preserve"> </w:t>
                      </w:r>
                      <w:r>
                        <w:rPr>
                          <w:rFonts w:ascii="Allstate Sans;sans-serif" w:hAnsi="Allstate Sans;sans-serif"/>
                          <w:b w:val="false"/>
                          <w:color w:val="000000"/>
                          <w:sz w:val="18"/>
                        </w:rPr>
                        <w:t>www.allstate.com</w:t>
                      </w:r>
                    </w:p>
                  </w:txbxContent>
                </v:textbox>
                <w10:wrap type="none"/>
              </v:rect>
            </w:pict>
          </mc:Fallback>
        </mc:AlternateContent>
      </w:r>
    </w:p>
    <w:p>
      <w:pPr>
        <w:pStyle w:val="TextBody"/>
        <w:bidi w:val="0"/>
        <w:spacing w:lineRule="auto" w:line="288" w:before="0" w:after="0"/>
        <w:jc w:val="right"/>
        <w:rPr>
          <w:rFonts w:ascii="Allstate Sans;sans-serif" w:hAnsi="Allstate Sans;sans-serif"/>
          <w:b w:val="false"/>
          <w:color w:val="0033A0"/>
          <w:sz w:val="18"/>
        </w:rPr>
      </w:pPr>
      <w:r>
        <w:rPr>
          <w:rFonts w:ascii="Allstate Sans;sans-serif" w:hAnsi="Allstate Sans;sans-serif"/>
          <w:b w:val="false"/>
          <w:color w:val="0033A0"/>
          <w:sz w:val="18"/>
        </w:rPr>
        <w:t>Notes to Condensed Consolidated Financial Statements</w:t>
      </w:r>
    </w:p>
    <w:p>
      <w:pPr>
        <w:pStyle w:val="TextBody"/>
        <w:bidi w:val="0"/>
        <w:spacing w:before="0" w:after="120"/>
        <w:ind w:left="0" w:right="0" w:firstLine="360"/>
        <w:jc w:val="left"/>
        <w:rPr/>
      </w:pPr>
      <w:r>
        <w:rPr/>
      </w:r>
    </w:p>
    <w:tbl>
      <w:tblPr>
        <w:tblW w:w="10595" w:type="dxa"/>
        <w:jc w:val="left"/>
        <w:tblInd w:w="0" w:type="dxa"/>
        <w:tblLayout w:type="fixed"/>
        <w:tblCellMar>
          <w:top w:w="28" w:type="dxa"/>
          <w:left w:w="28" w:type="dxa"/>
          <w:bottom w:w="28" w:type="dxa"/>
          <w:right w:w="28" w:type="dxa"/>
        </w:tblCellMar>
      </w:tblPr>
      <w:tblGrid>
        <w:gridCol w:w="495"/>
        <w:gridCol w:w="435"/>
        <w:gridCol w:w="436"/>
        <w:gridCol w:w="109"/>
        <w:gridCol w:w="109"/>
        <w:gridCol w:w="109"/>
        <w:gridCol w:w="226"/>
        <w:gridCol w:w="526"/>
        <w:gridCol w:w="109"/>
        <w:gridCol w:w="109"/>
        <w:gridCol w:w="109"/>
        <w:gridCol w:w="109"/>
        <w:gridCol w:w="226"/>
        <w:gridCol w:w="406"/>
        <w:gridCol w:w="109"/>
        <w:gridCol w:w="109"/>
        <w:gridCol w:w="109"/>
        <w:gridCol w:w="109"/>
        <w:gridCol w:w="226"/>
        <w:gridCol w:w="406"/>
        <w:gridCol w:w="109"/>
        <w:gridCol w:w="109"/>
        <w:gridCol w:w="109"/>
        <w:gridCol w:w="109"/>
        <w:gridCol w:w="226"/>
        <w:gridCol w:w="406"/>
        <w:gridCol w:w="109"/>
        <w:gridCol w:w="109"/>
        <w:gridCol w:w="109"/>
        <w:gridCol w:w="109"/>
        <w:gridCol w:w="226"/>
        <w:gridCol w:w="406"/>
        <w:gridCol w:w="109"/>
        <w:gridCol w:w="109"/>
        <w:gridCol w:w="109"/>
        <w:gridCol w:w="109"/>
        <w:gridCol w:w="226"/>
        <w:gridCol w:w="406"/>
        <w:gridCol w:w="109"/>
        <w:gridCol w:w="109"/>
        <w:gridCol w:w="109"/>
        <w:gridCol w:w="109"/>
        <w:gridCol w:w="226"/>
        <w:gridCol w:w="526"/>
        <w:gridCol w:w="109"/>
        <w:gridCol w:w="109"/>
        <w:gridCol w:w="109"/>
        <w:gridCol w:w="109"/>
        <w:gridCol w:w="295"/>
        <w:gridCol w:w="688"/>
        <w:gridCol w:w="203"/>
      </w:tblGrid>
      <w:tr>
        <w:trPr/>
        <w:tc>
          <w:tcPr>
            <w:tcW w:w="49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10595" w:type="dxa"/>
            <w:gridSpan w:val="51"/>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both"/>
              <w:rPr>
                <w:rFonts w:ascii="Allstate Sans;sans-serif" w:hAnsi="Allstate Sans;sans-serif"/>
                <w:b/>
                <w:color w:val="000000"/>
                <w:sz w:val="18"/>
              </w:rPr>
            </w:pPr>
            <w:r>
              <w:rPr>
                <w:rFonts w:ascii="Allstate Sans;sans-serif" w:hAnsi="Allstate Sans;sans-serif"/>
                <w:b/>
                <w:color w:val="000000"/>
                <w:sz w:val="18"/>
              </w:rPr>
              <w:t>Commercial mortgage loans amortized cost by debt service coverage ratio distribution and year of origination</w:t>
            </w:r>
          </w:p>
        </w:tc>
      </w:tr>
      <w:tr>
        <w:trPr/>
        <w:tc>
          <w:tcPr>
            <w:tcW w:w="1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9" w:type="dxa"/>
            <w:gridSpan w:val="3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December 31, 2025</w:t>
            </w:r>
          </w:p>
        </w:tc>
      </w:tr>
      <w:tr>
        <w:trPr/>
        <w:tc>
          <w:tcPr>
            <w:tcW w:w="136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2021 and prior</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2022</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2023</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w:t>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1.0 - 1.25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5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10 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40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40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40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33 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40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40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5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43 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688"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71 </w:t>
            </w:r>
          </w:p>
        </w:tc>
        <w:tc>
          <w:tcPr>
            <w:tcW w:w="20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1.26 - 1.50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34 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29 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63 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95 </w:t>
            </w:r>
          </w:p>
        </w:tc>
        <w:tc>
          <w:tcPr>
            <w:tcW w:w="20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Above 1.50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339 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71 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27 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15 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452 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462 </w:t>
            </w:r>
          </w:p>
        </w:tc>
        <w:tc>
          <w:tcPr>
            <w:tcW w:w="20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Amortized cost before allowance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5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383</w:t>
            </w: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40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71</w:t>
            </w: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40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56</w:t>
            </w: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40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48</w:t>
            </w: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40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40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5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558</w:t>
            </w: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688"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628</w:t>
            </w:r>
            <w:r>
              <w:rPr>
                <w:color w:val="000000"/>
              </w:rPr>
              <w:t> </w:t>
            </w:r>
          </w:p>
        </w:tc>
        <w:tc>
          <w:tcPr>
            <w:tcW w:w="20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Allowance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(10)</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(9)</w:t>
            </w:r>
          </w:p>
        </w:tc>
        <w:tc>
          <w:tcPr>
            <w:tcW w:w="20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Amortized cost,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B6B6B6"/>
              <w:bottom w:val="single" w:sz="8" w:space="0" w:color="0033A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4" w:space="0" w:color="B6B6B6"/>
              <w:bottom w:val="single" w:sz="8" w:space="0" w:color="0033A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4" w:space="0" w:color="B6B6B6"/>
              <w:bottom w:val="single" w:sz="8" w:space="0" w:color="0033A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4" w:space="0" w:color="B6B6B6"/>
              <w:bottom w:val="single" w:sz="8" w:space="0" w:color="0033A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4" w:space="0" w:color="B6B6B6"/>
              <w:bottom w:val="single" w:sz="8" w:space="0" w:color="0033A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4" w:space="0" w:color="B6B6B6"/>
              <w:bottom w:val="single" w:sz="8" w:space="0" w:color="0033A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52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548</w:t>
            </w:r>
            <w:r>
              <w:rPr>
                <w:color w:val="000000"/>
              </w:rPr>
              <w:t> </w:t>
            </w:r>
          </w:p>
        </w:tc>
        <w:tc>
          <w:tcPr>
            <w:tcW w:w="109"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688"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619</w:t>
            </w:r>
            <w:r>
              <w:rPr>
                <w:color w:val="000000"/>
              </w:rPr>
              <w:t> </w:t>
            </w:r>
          </w:p>
        </w:tc>
        <w:tc>
          <w:tcPr>
            <w:tcW w:w="203"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391" w:type="dxa"/>
        <w:jc w:val="left"/>
        <w:tblInd w:w="0" w:type="dxa"/>
        <w:tblLayout w:type="fixed"/>
        <w:tblCellMar>
          <w:top w:w="28" w:type="dxa"/>
          <w:left w:w="28" w:type="dxa"/>
          <w:bottom w:w="28" w:type="dxa"/>
          <w:right w:w="28" w:type="dxa"/>
        </w:tblCellMar>
      </w:tblPr>
      <w:tblGrid>
        <w:gridCol w:w="1481"/>
        <w:gridCol w:w="1299"/>
        <w:gridCol w:w="1300"/>
        <w:gridCol w:w="109"/>
        <w:gridCol w:w="109"/>
        <w:gridCol w:w="109"/>
        <w:gridCol w:w="342"/>
        <w:gridCol w:w="797"/>
        <w:gridCol w:w="167"/>
        <w:gridCol w:w="109"/>
        <w:gridCol w:w="109"/>
        <w:gridCol w:w="109"/>
        <w:gridCol w:w="327"/>
        <w:gridCol w:w="761"/>
        <w:gridCol w:w="158"/>
        <w:gridCol w:w="109"/>
        <w:gridCol w:w="109"/>
        <w:gridCol w:w="109"/>
        <w:gridCol w:w="226"/>
        <w:gridCol w:w="526"/>
        <w:gridCol w:w="109"/>
        <w:gridCol w:w="109"/>
        <w:gridCol w:w="109"/>
        <w:gridCol w:w="109"/>
        <w:gridCol w:w="109"/>
        <w:gridCol w:w="109"/>
        <w:gridCol w:w="109"/>
        <w:gridCol w:w="109"/>
        <w:gridCol w:w="154"/>
      </w:tblGrid>
      <w:tr>
        <w:trPr/>
        <w:tc>
          <w:tcPr>
            <w:tcW w:w="1481"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74" w:type="dxa"/>
            <w:gridSpan w:val="21"/>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left"/>
              <w:rPr>
                <w:rFonts w:ascii="Allstate Sans;sans-serif" w:hAnsi="Allstate Sans;sans-serif"/>
                <w:b/>
                <w:color w:val="000000"/>
                <w:sz w:val="18"/>
              </w:rPr>
            </w:pPr>
            <w:r>
              <w:rPr>
                <w:rFonts w:ascii="Allstate Sans;sans-serif" w:hAnsi="Allstate Sans;sans-serif"/>
                <w:b/>
                <w:color w:val="000000"/>
                <w:sz w:val="18"/>
              </w:rPr>
              <w:t>Payment status of mortgage loans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 in 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Commercial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Residential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Less than 90 days past due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797"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76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1 </w:t>
            </w:r>
          </w:p>
        </w:tc>
        <w:tc>
          <w:tcPr>
            <w:tcW w:w="15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5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90 days or greater past due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3 </w:t>
            </w:r>
          </w:p>
        </w:tc>
        <w:tc>
          <w:tcPr>
            <w:tcW w:w="158"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 past due before allowance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4</w:t>
            </w:r>
            <w:r>
              <w:rPr>
                <w:color w:val="000000"/>
              </w:rPr>
              <w:t> </w:t>
            </w:r>
          </w:p>
        </w:tc>
        <w:tc>
          <w:tcPr>
            <w:tcW w:w="158"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4</w:t>
            </w: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Current before allowance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558 </w:t>
            </w:r>
          </w:p>
        </w:tc>
        <w:tc>
          <w:tcPr>
            <w:tcW w:w="16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293 </w:t>
            </w:r>
          </w:p>
        </w:tc>
        <w:tc>
          <w:tcPr>
            <w:tcW w:w="158"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851 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40"/>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 mortgage loans before allowance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558</w:t>
            </w:r>
            <w:r>
              <w:rPr>
                <w:color w:val="000000"/>
              </w:rPr>
              <w:t> </w:t>
            </w:r>
          </w:p>
        </w:tc>
        <w:tc>
          <w:tcPr>
            <w:tcW w:w="16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297</w:t>
            </w:r>
            <w:r>
              <w:rPr>
                <w:color w:val="000000"/>
              </w:rPr>
              <w:t> </w:t>
            </w:r>
          </w:p>
        </w:tc>
        <w:tc>
          <w:tcPr>
            <w:tcW w:w="158"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855</w:t>
            </w: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Allowance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(10)</w:t>
            </w:r>
          </w:p>
        </w:tc>
        <w:tc>
          <w:tcPr>
            <w:tcW w:w="16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w:t>
            </w:r>
          </w:p>
        </w:tc>
        <w:tc>
          <w:tcPr>
            <w:tcW w:w="158"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(13)</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 mortgage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797"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548</w:t>
            </w:r>
            <w:r>
              <w:rPr>
                <w:color w:val="000000"/>
              </w:rPr>
              <w:t> </w:t>
            </w:r>
          </w:p>
        </w:tc>
        <w:tc>
          <w:tcPr>
            <w:tcW w:w="16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761"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294</w:t>
            </w:r>
            <w:r>
              <w:rPr>
                <w:color w:val="000000"/>
              </w:rPr>
              <w:t> </w:t>
            </w:r>
          </w:p>
        </w:tc>
        <w:tc>
          <w:tcPr>
            <w:tcW w:w="158"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5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842</w:t>
            </w: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2" w:space="0" w:color="939393"/>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4"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4"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Less than 90 days past due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797"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76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2 </w:t>
            </w:r>
          </w:p>
        </w:tc>
        <w:tc>
          <w:tcPr>
            <w:tcW w:w="15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5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90 days or greater past due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2 </w:t>
            </w:r>
          </w:p>
        </w:tc>
        <w:tc>
          <w:tcPr>
            <w:tcW w:w="158"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 past due before allowance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4</w:t>
            </w:r>
            <w:r>
              <w:rPr>
                <w:color w:val="000000"/>
              </w:rPr>
              <w:t> </w:t>
            </w:r>
          </w:p>
        </w:tc>
        <w:tc>
          <w:tcPr>
            <w:tcW w:w="158"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4</w:t>
            </w: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Current before allowance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628 </w:t>
            </w:r>
          </w:p>
        </w:tc>
        <w:tc>
          <w:tcPr>
            <w:tcW w:w="16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257 </w:t>
            </w:r>
          </w:p>
        </w:tc>
        <w:tc>
          <w:tcPr>
            <w:tcW w:w="158"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885 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40"/>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 mortgage loans before allowance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628</w:t>
            </w:r>
            <w:r>
              <w:rPr>
                <w:color w:val="000000"/>
              </w:rPr>
              <w:t> </w:t>
            </w:r>
          </w:p>
        </w:tc>
        <w:tc>
          <w:tcPr>
            <w:tcW w:w="16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261</w:t>
            </w:r>
            <w:r>
              <w:rPr>
                <w:color w:val="000000"/>
              </w:rPr>
              <w:t> </w:t>
            </w:r>
          </w:p>
        </w:tc>
        <w:tc>
          <w:tcPr>
            <w:tcW w:w="158"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889</w:t>
            </w: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Allowance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(9)</w:t>
            </w:r>
          </w:p>
        </w:tc>
        <w:tc>
          <w:tcPr>
            <w:tcW w:w="16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w:t>
            </w:r>
          </w:p>
        </w:tc>
        <w:tc>
          <w:tcPr>
            <w:tcW w:w="158"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(10)</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 mortgage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797"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619</w:t>
            </w:r>
            <w:r>
              <w:rPr>
                <w:color w:val="000000"/>
              </w:rPr>
              <w:t> </w:t>
            </w:r>
          </w:p>
        </w:tc>
        <w:tc>
          <w:tcPr>
            <w:tcW w:w="167"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4" w:space="0" w:color="ACACAC"/>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761" w:type="dxa"/>
            <w:tcBorders>
              <w:top w:val="single" w:sz="4" w:space="0" w:color="ACACAC"/>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260</w:t>
            </w:r>
            <w:r>
              <w:rPr>
                <w:color w:val="000000"/>
              </w:rPr>
              <w:t> </w:t>
            </w:r>
          </w:p>
        </w:tc>
        <w:tc>
          <w:tcPr>
            <w:tcW w:w="158" w:type="dxa"/>
            <w:tcBorders>
              <w:top w:val="single" w:sz="4" w:space="0" w:color="ACACAC"/>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52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879</w:t>
            </w:r>
            <w:r>
              <w:rPr>
                <w:color w:val="000000"/>
              </w:rPr>
              <w:t> </w:t>
            </w:r>
          </w:p>
        </w:tc>
        <w:tc>
          <w:tcPr>
            <w:tcW w:w="109"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503"/>
        <w:gridCol w:w="1307"/>
        <w:gridCol w:w="1310"/>
        <w:gridCol w:w="120"/>
        <w:gridCol w:w="120"/>
        <w:gridCol w:w="120"/>
        <w:gridCol w:w="318"/>
        <w:gridCol w:w="677"/>
        <w:gridCol w:w="152"/>
        <w:gridCol w:w="152"/>
        <w:gridCol w:w="152"/>
        <w:gridCol w:w="152"/>
        <w:gridCol w:w="318"/>
        <w:gridCol w:w="677"/>
        <w:gridCol w:w="152"/>
        <w:gridCol w:w="120"/>
        <w:gridCol w:w="120"/>
        <w:gridCol w:w="120"/>
        <w:gridCol w:w="294"/>
        <w:gridCol w:w="625"/>
        <w:gridCol w:w="141"/>
        <w:gridCol w:w="141"/>
        <w:gridCol w:w="141"/>
        <w:gridCol w:w="141"/>
        <w:gridCol w:w="294"/>
        <w:gridCol w:w="625"/>
        <w:gridCol w:w="213"/>
      </w:tblGrid>
      <w:tr>
        <w:trPr/>
        <w:tc>
          <w:tcPr>
            <w:tcW w:w="1503"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10205" w:type="dxa"/>
            <w:gridSpan w:val="27"/>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left"/>
              <w:rPr>
                <w:rFonts w:ascii="Allstate Sans;sans-serif" w:hAnsi="Allstate Sans;sans-serif"/>
                <w:b/>
                <w:color w:val="000000"/>
                <w:sz w:val="18"/>
              </w:rPr>
            </w:pPr>
            <w:r>
              <w:rPr>
                <w:rFonts w:ascii="Allstate Sans;sans-serif" w:hAnsi="Allstate Sans;sans-serif"/>
                <w:b/>
                <w:color w:val="000000"/>
                <w:sz w:val="18"/>
              </w:rPr>
              <w:t>Rollforward of credit loss allowance for mortgage loans</w:t>
            </w:r>
          </w:p>
        </w:tc>
      </w:tr>
      <w:tr>
        <w:trPr/>
        <w:tc>
          <w:tcPr>
            <w:tcW w:w="41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Three months ended June 30,</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Six months ended June 30,</w:t>
            </w:r>
          </w:p>
        </w:tc>
      </w:tr>
      <w:tr>
        <w:trPr/>
        <w:tc>
          <w:tcPr>
            <w:tcW w:w="4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 in millions)</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2026</w:t>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2025</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2026</w:t>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2025</w:t>
            </w:r>
          </w:p>
        </w:tc>
      </w:tr>
      <w:tr>
        <w:trPr/>
        <w:tc>
          <w:tcPr>
            <w:tcW w:w="4120"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Beginning balance</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677"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(10)</w:t>
            </w:r>
          </w:p>
        </w:tc>
        <w:tc>
          <w:tcPr>
            <w:tcW w:w="152"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677"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(12)</w:t>
            </w:r>
          </w:p>
        </w:tc>
        <w:tc>
          <w:tcPr>
            <w:tcW w:w="152"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625"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(10)</w:t>
            </w:r>
          </w:p>
        </w:tc>
        <w:tc>
          <w:tcPr>
            <w:tcW w:w="141"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625"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(12)</w:t>
            </w:r>
          </w:p>
        </w:tc>
        <w:tc>
          <w:tcPr>
            <w:tcW w:w="213"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0"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412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Net increases related to credit losses</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w:t>
            </w:r>
          </w:p>
        </w:tc>
        <w:tc>
          <w:tcPr>
            <w:tcW w:w="152"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w:t>
            </w:r>
          </w:p>
        </w:tc>
        <w:tc>
          <w:tcPr>
            <w:tcW w:w="14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Write-offs</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0"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4120"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412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40"/>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 xml:space="preserve">Ending balance </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677"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(13)</w:t>
            </w:r>
          </w:p>
        </w:tc>
        <w:tc>
          <w:tcPr>
            <w:tcW w:w="15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677"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(12)</w:t>
            </w:r>
          </w:p>
        </w:tc>
        <w:tc>
          <w:tcPr>
            <w:tcW w:w="15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625"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(13)</w:t>
            </w:r>
          </w:p>
        </w:tc>
        <w:tc>
          <w:tcPr>
            <w:tcW w:w="14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625"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(12)</w:t>
            </w:r>
          </w:p>
        </w:tc>
        <w:tc>
          <w:tcPr>
            <w:tcW w:w="21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0"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Components of credit loss allowance as of June 30</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Commercial</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625"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(10)</w:t>
            </w:r>
          </w:p>
        </w:tc>
        <w:tc>
          <w:tcPr>
            <w:tcW w:w="14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625"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(11)</w:t>
            </w:r>
          </w:p>
        </w:tc>
        <w:tc>
          <w:tcPr>
            <w:tcW w:w="21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Residential</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w:t>
            </w:r>
          </w:p>
        </w:tc>
        <w:tc>
          <w:tcPr>
            <w:tcW w:w="14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w:t>
            </w:r>
          </w:p>
        </w:tc>
        <w:tc>
          <w:tcPr>
            <w:tcW w:w="21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0" w:type="dxa"/>
            <w:gridSpan w:val="3"/>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4" w:space="0" w:color="B6B6B6"/>
              <w:bottom w:val="single" w:sz="8" w:space="0" w:color="0033A0"/>
            </w:tcBorders>
            <w:tcMar>
              <w:left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4" w:space="0" w:color="B6B6B6"/>
              <w:bottom w:val="single" w:sz="8" w:space="0" w:color="0033A0"/>
            </w:tcBorders>
            <w:tcMar>
              <w:left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625"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(13)</w:t>
            </w:r>
          </w:p>
        </w:tc>
        <w:tc>
          <w:tcPr>
            <w:tcW w:w="141"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625"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(12)</w:t>
            </w:r>
          </w:p>
        </w:tc>
        <w:tc>
          <w:tcPr>
            <w:tcW w:w="213"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left"/>
        <w:rPr/>
      </w:pPr>
      <w:r>
        <w:rPr>
          <w:rFonts w:ascii="Allstate Sans;sans-serif" w:hAnsi="Allstate Sans;sans-serif"/>
          <w:b w:val="false"/>
          <w:i/>
          <w:color w:val="0033A0"/>
          <w:sz w:val="18"/>
        </w:rPr>
        <w:t>Bank loans</w:t>
      </w:r>
      <w:r>
        <w:rPr>
          <w:color w:val="000000"/>
        </w:rPr>
        <w:t xml:space="preserve"> </w:t>
      </w:r>
      <w:r>
        <w:rPr>
          <w:rFonts w:ascii="Allstate Sans;sans-serif" w:hAnsi="Allstate Sans;sans-serif"/>
          <w:b w:val="false"/>
          <w:color w:val="000000"/>
          <w:sz w:val="18"/>
        </w:rPr>
        <w:t xml:space="preserve">When it is determined a bank loan shall be evaluated individually, the Company uses various methods to estimate credit losses on individual loans such as the present value of the loan’s expected future repayment cash flows discounted at the loan’s current effective interest rate. </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 xml:space="preserve">Credit ratings of the borrower are considered a key credit quality indicator when bank loan credit loss </w:t>
      </w:r>
    </w:p>
    <w:p>
      <w:pPr>
        <w:pStyle w:val="TextBody"/>
        <w:bidi w:val="0"/>
        <w:spacing w:lineRule="auto" w:line="288" w:before="0" w:after="120"/>
        <w:jc w:val="left"/>
        <w:rPr>
          <w:rFonts w:ascii="Allstate Sans;sans-serif" w:hAnsi="Allstate Sans;sans-serif"/>
          <w:b w:val="false"/>
          <w:color w:val="000000"/>
          <w:sz w:val="18"/>
        </w:rPr>
      </w:pPr>
      <w:r>
        <w:rPr>
          <w:rFonts w:ascii="Allstate Sans;sans-serif" w:hAnsi="Allstate Sans;sans-serif"/>
          <w:b w:val="false"/>
          <w:color w:val="000000"/>
          <w:sz w:val="18"/>
        </w:rPr>
        <w:t xml:space="preserve">allowances are estimated. The ratings are either received from the Securities Valuation Office of the NAIC based on availability of applicable ratings from rating agencies on the NAIC credit rating provider list or a comparable internal rating. The year of origination is determined to be the year in which the asset is acquired.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33350"/>
                <wp:effectExtent l="0" t="0" r="0" b="0"/>
                <wp:wrapNone/>
                <wp:docPr id="22" name="Frame21"/>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ind w:left="0" w:right="0" w:firstLine="360"/>
                              <w:jc w:val="right"/>
                              <w:rPr/>
                            </w:pPr>
                            <w:r>
                              <w:rPr>
                                <w:rFonts w:ascii="Allstate Sans;sans-serif" w:hAnsi="Allstate Sans;sans-serif"/>
                                <w:b w:val="false"/>
                                <w:color w:val="000000"/>
                                <w:sz w:val="18"/>
                              </w:rPr>
                              <w:t xml:space="preserve">Second Quarter 2026 Form 10-Q </w:t>
                            </w:r>
                            <w:r>
                              <w:rPr>
                                <w:rFonts w:ascii="Allstate Sans;sans-serif" w:hAnsi="Allstate Sans;sans-serif"/>
                                <w:b w:val="false"/>
                                <w:color w:val="0033A0"/>
                                <w:sz w:val="18"/>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right"/>
                        <w:rPr/>
                      </w:pPr>
                      <w:r>
                        <w:rPr>
                          <w:rFonts w:ascii="Allstate Sans;sans-serif" w:hAnsi="Allstate Sans;sans-serif"/>
                          <w:b w:val="false"/>
                          <w:color w:val="000000"/>
                          <w:sz w:val="18"/>
                        </w:rPr>
                        <w:t xml:space="preserve">Second Quarter 2026 Form 10-Q </w:t>
                      </w:r>
                      <w:r>
                        <w:rPr>
                          <w:rFonts w:ascii="Allstate Sans;sans-serif" w:hAnsi="Allstate Sans;sans-serif"/>
                          <w:b w:val="false"/>
                          <w:color w:val="0033A0"/>
                          <w:sz w:val="18"/>
                        </w:rPr>
                        <w:t>19</w:t>
                      </w:r>
                    </w:p>
                  </w:txbxContent>
                </v:textbox>
                <w10:wrap type="none"/>
              </v:rect>
            </w:pict>
          </mc:Fallback>
        </mc:AlternateContent>
      </w:r>
    </w:p>
    <w:p>
      <w:pPr>
        <w:pStyle w:val="TextBody"/>
        <w:bidi w:val="0"/>
        <w:spacing w:lineRule="auto" w:line="288" w:before="0" w:after="0"/>
        <w:jc w:val="left"/>
        <w:rPr>
          <w:rFonts w:ascii="Allstate Sans;sans-serif" w:hAnsi="Allstate Sans;sans-serif"/>
          <w:b w:val="false"/>
          <w:color w:val="0033A0"/>
          <w:sz w:val="18"/>
        </w:rPr>
      </w:pPr>
      <w:r>
        <w:rPr>
          <w:rFonts w:ascii="Allstate Sans;sans-serif" w:hAnsi="Allstate Sans;sans-serif"/>
          <w:b w:val="false"/>
          <w:color w:val="0033A0"/>
          <w:sz w:val="18"/>
        </w:rPr>
        <w:t>Notes to Condensed Consolidated Financial Statements</w:t>
      </w:r>
    </w:p>
    <w:tbl>
      <w:tblPr>
        <w:tblW w:w="10715" w:type="dxa"/>
        <w:jc w:val="center"/>
        <w:tblInd w:w="0" w:type="dxa"/>
        <w:tblLayout w:type="fixed"/>
        <w:tblCellMar>
          <w:top w:w="28" w:type="dxa"/>
          <w:left w:w="28" w:type="dxa"/>
          <w:bottom w:w="28" w:type="dxa"/>
          <w:right w:w="28" w:type="dxa"/>
        </w:tblCellMar>
      </w:tblPr>
      <w:tblGrid>
        <w:gridCol w:w="495"/>
        <w:gridCol w:w="435"/>
        <w:gridCol w:w="436"/>
        <w:gridCol w:w="109"/>
        <w:gridCol w:w="109"/>
        <w:gridCol w:w="109"/>
        <w:gridCol w:w="226"/>
        <w:gridCol w:w="406"/>
        <w:gridCol w:w="109"/>
        <w:gridCol w:w="109"/>
        <w:gridCol w:w="109"/>
        <w:gridCol w:w="109"/>
        <w:gridCol w:w="226"/>
        <w:gridCol w:w="406"/>
        <w:gridCol w:w="109"/>
        <w:gridCol w:w="109"/>
        <w:gridCol w:w="109"/>
        <w:gridCol w:w="109"/>
        <w:gridCol w:w="226"/>
        <w:gridCol w:w="406"/>
        <w:gridCol w:w="109"/>
        <w:gridCol w:w="109"/>
        <w:gridCol w:w="109"/>
        <w:gridCol w:w="109"/>
        <w:gridCol w:w="226"/>
        <w:gridCol w:w="406"/>
        <w:gridCol w:w="109"/>
        <w:gridCol w:w="109"/>
        <w:gridCol w:w="109"/>
        <w:gridCol w:w="109"/>
        <w:gridCol w:w="226"/>
        <w:gridCol w:w="526"/>
        <w:gridCol w:w="109"/>
        <w:gridCol w:w="109"/>
        <w:gridCol w:w="109"/>
        <w:gridCol w:w="109"/>
        <w:gridCol w:w="226"/>
        <w:gridCol w:w="526"/>
        <w:gridCol w:w="109"/>
        <w:gridCol w:w="109"/>
        <w:gridCol w:w="109"/>
        <w:gridCol w:w="109"/>
        <w:gridCol w:w="226"/>
        <w:gridCol w:w="526"/>
        <w:gridCol w:w="109"/>
        <w:gridCol w:w="109"/>
        <w:gridCol w:w="109"/>
        <w:gridCol w:w="109"/>
        <w:gridCol w:w="295"/>
        <w:gridCol w:w="688"/>
        <w:gridCol w:w="203"/>
      </w:tblGrid>
      <w:tr>
        <w:trPr/>
        <w:tc>
          <w:tcPr>
            <w:tcW w:w="49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10715" w:type="dxa"/>
            <w:gridSpan w:val="51"/>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both"/>
              <w:rPr>
                <w:rFonts w:ascii="Allstate Sans;sans-serif" w:hAnsi="Allstate Sans;sans-serif"/>
                <w:b/>
                <w:color w:val="000000"/>
                <w:sz w:val="18"/>
              </w:rPr>
            </w:pPr>
            <w:r>
              <w:rPr>
                <w:rFonts w:ascii="Allstate Sans;sans-serif" w:hAnsi="Allstate Sans;sans-serif"/>
                <w:b/>
                <w:color w:val="000000"/>
                <w:sz w:val="18"/>
              </w:rPr>
              <w:t>Bank loans amortized cost by credit rating and year of origination</w:t>
            </w:r>
          </w:p>
        </w:tc>
      </w:tr>
      <w:tr>
        <w:trPr/>
        <w:tc>
          <w:tcPr>
            <w:tcW w:w="1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9" w:type="dxa"/>
            <w:gridSpan w:val="3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December 31, 2025</w:t>
            </w:r>
          </w:p>
        </w:tc>
      </w:tr>
      <w:tr>
        <w:trPr/>
        <w:tc>
          <w:tcPr>
            <w:tcW w:w="136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2021 and prior</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2022</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2023</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w:t>
            </w:r>
          </w:p>
        </w:tc>
      </w:tr>
      <w:tr>
        <w:trPr/>
        <w:tc>
          <w:tcPr>
            <w:tcW w:w="1366"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NAIC 1 /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406"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406"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406"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406"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43 </w:t>
            </w:r>
          </w:p>
        </w:tc>
        <w:tc>
          <w:tcPr>
            <w:tcW w:w="109"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526"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134 </w:t>
            </w:r>
          </w:p>
        </w:tc>
        <w:tc>
          <w:tcPr>
            <w:tcW w:w="109"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526"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40 </w:t>
            </w:r>
          </w:p>
        </w:tc>
        <w:tc>
          <w:tcPr>
            <w:tcW w:w="109"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526"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217 </w:t>
            </w:r>
          </w:p>
        </w:tc>
        <w:tc>
          <w:tcPr>
            <w:tcW w:w="109"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688"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199 </w:t>
            </w:r>
          </w:p>
        </w:tc>
        <w:tc>
          <w:tcPr>
            <w:tcW w:w="203"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 xml:space="preserve">NAIC 2 / BBB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141 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80 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222 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144 </w:t>
            </w:r>
          </w:p>
        </w:tc>
        <w:tc>
          <w:tcPr>
            <w:tcW w:w="20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NAIC 3 / BB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16 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28 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23 </w:t>
            </w:r>
          </w:p>
        </w:tc>
        <w:tc>
          <w:tcPr>
            <w:tcW w:w="20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NAIC 4 /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20 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12 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31 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37 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102 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106 </w:t>
            </w:r>
          </w:p>
        </w:tc>
        <w:tc>
          <w:tcPr>
            <w:tcW w:w="20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NAIC 5-6 / CCC and below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16 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18 </w:t>
            </w:r>
          </w:p>
        </w:tc>
        <w:tc>
          <w:tcPr>
            <w:tcW w:w="20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Amortized cost before allowance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40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2</w:t>
            </w: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40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w:t>
            </w: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40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29</w:t>
            </w: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40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61</w:t>
            </w: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5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312</w:t>
            </w: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5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180</w:t>
            </w: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5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585</w:t>
            </w: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688"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490</w:t>
            </w:r>
            <w:r>
              <w:rPr>
                <w:color w:val="000000"/>
              </w:rPr>
              <w:t> </w:t>
            </w:r>
          </w:p>
        </w:tc>
        <w:tc>
          <w:tcPr>
            <w:tcW w:w="20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Allowance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(21)</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(17)</w:t>
            </w:r>
          </w:p>
        </w:tc>
        <w:tc>
          <w:tcPr>
            <w:tcW w:w="20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Amortized cost,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4" w:space="0" w:color="B6B6B6"/>
              <w:bottom w:val="single" w:sz="8" w:space="0" w:color="0033A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4" w:space="0" w:color="B6B6B6"/>
              <w:bottom w:val="single" w:sz="8" w:space="0" w:color="0033A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4" w:space="0" w:color="B6B6B6"/>
              <w:bottom w:val="single" w:sz="8" w:space="0" w:color="0033A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4" w:space="0" w:color="B6B6B6"/>
              <w:bottom w:val="single" w:sz="8" w:space="0" w:color="0033A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B6B6B6"/>
              <w:bottom w:val="single" w:sz="8" w:space="0" w:color="0033A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B6B6B6"/>
              <w:bottom w:val="single" w:sz="8" w:space="0" w:color="0033A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52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564</w:t>
            </w:r>
            <w:r>
              <w:rPr>
                <w:color w:val="000000"/>
              </w:rPr>
              <w:t> </w:t>
            </w:r>
          </w:p>
        </w:tc>
        <w:tc>
          <w:tcPr>
            <w:tcW w:w="109"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688"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473</w:t>
            </w:r>
            <w:r>
              <w:rPr>
                <w:color w:val="000000"/>
              </w:rPr>
              <w:t> </w:t>
            </w:r>
          </w:p>
        </w:tc>
        <w:tc>
          <w:tcPr>
            <w:tcW w:w="203"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6145" w:type="dxa"/>
            <w:gridSpan w:val="30"/>
            <w:tcBorders/>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59"/>
        <w:gridCol w:w="918"/>
        <w:gridCol w:w="842"/>
        <w:gridCol w:w="310"/>
        <w:gridCol w:w="310"/>
        <w:gridCol w:w="310"/>
        <w:gridCol w:w="644"/>
        <w:gridCol w:w="1396"/>
        <w:gridCol w:w="310"/>
        <w:gridCol w:w="109"/>
        <w:gridCol w:w="109"/>
        <w:gridCol w:w="109"/>
        <w:gridCol w:w="226"/>
        <w:gridCol w:w="476"/>
        <w:gridCol w:w="109"/>
        <w:gridCol w:w="109"/>
        <w:gridCol w:w="109"/>
        <w:gridCol w:w="109"/>
        <w:gridCol w:w="296"/>
        <w:gridCol w:w="633"/>
        <w:gridCol w:w="143"/>
        <w:gridCol w:w="143"/>
        <w:gridCol w:w="143"/>
        <w:gridCol w:w="143"/>
        <w:gridCol w:w="296"/>
        <w:gridCol w:w="633"/>
        <w:gridCol w:w="211"/>
      </w:tblGrid>
      <w:tr>
        <w:trPr/>
        <w:tc>
          <w:tcPr>
            <w:tcW w:w="1059"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6099"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left"/>
              <w:rPr>
                <w:rFonts w:ascii="Allstate Sans;sans-serif" w:hAnsi="Allstate Sans;sans-serif"/>
                <w:b/>
                <w:color w:val="000000"/>
                <w:sz w:val="18"/>
              </w:rPr>
            </w:pPr>
            <w:r>
              <w:rPr>
                <w:rFonts w:ascii="Allstate Sans;sans-serif" w:hAnsi="Allstate Sans;sans-serif"/>
                <w:b/>
                <w:color w:val="000000"/>
                <w:sz w:val="18"/>
              </w:rPr>
              <w:t>Rollforward of credit loss allowance for bank loans</w:t>
            </w:r>
          </w:p>
        </w:tc>
        <w:tc>
          <w:tcPr>
            <w:tcW w:w="327"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 in millions)</w:t>
            </w:r>
          </w:p>
        </w:tc>
        <w:tc>
          <w:tcPr>
            <w:tcW w:w="9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Six months ended June 30,</w:t>
            </w:r>
          </w:p>
        </w:tc>
      </w:tr>
      <w:tr>
        <w:trPr/>
        <w:tc>
          <w:tcPr>
            <w:tcW w:w="2819"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2026</w:t>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2025</w:t>
            </w:r>
          </w:p>
        </w:tc>
      </w:tr>
      <w:tr>
        <w:trPr/>
        <w:tc>
          <w:tcPr>
            <w:tcW w:w="2819"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Beginning balance</w:t>
            </w:r>
          </w:p>
        </w:tc>
        <w:tc>
          <w:tcPr>
            <w:tcW w:w="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1396"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(16)</w:t>
            </w:r>
          </w:p>
        </w:tc>
        <w:tc>
          <w:tcPr>
            <w:tcW w:w="310"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476"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(16)</w:t>
            </w:r>
          </w:p>
        </w:tc>
        <w:tc>
          <w:tcPr>
            <w:tcW w:w="109"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633"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(17)</w:t>
            </w:r>
          </w:p>
        </w:tc>
        <w:tc>
          <w:tcPr>
            <w:tcW w:w="143"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633"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(10)</w:t>
            </w:r>
          </w:p>
        </w:tc>
        <w:tc>
          <w:tcPr>
            <w:tcW w:w="211"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2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Net increases related to credit losses</w:t>
            </w:r>
          </w:p>
        </w:tc>
        <w:tc>
          <w:tcPr>
            <w:tcW w:w="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w:t>
            </w:r>
          </w:p>
        </w:tc>
        <w:tc>
          <w:tcPr>
            <w:tcW w:w="31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w:t>
            </w:r>
          </w:p>
        </w:tc>
        <w:tc>
          <w:tcPr>
            <w:tcW w:w="14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(9)</w:t>
            </w:r>
          </w:p>
        </w:tc>
        <w:tc>
          <w:tcPr>
            <w:tcW w:w="21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2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Write-offs</w:t>
            </w:r>
          </w:p>
        </w:tc>
        <w:tc>
          <w:tcPr>
            <w:tcW w:w="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1 </w:t>
            </w:r>
          </w:p>
        </w:tc>
        <w:tc>
          <w:tcPr>
            <w:tcW w:w="14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2 </w:t>
            </w:r>
          </w:p>
        </w:tc>
        <w:tc>
          <w:tcPr>
            <w:tcW w:w="21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2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40"/>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Ending balance</w:t>
            </w:r>
          </w:p>
        </w:tc>
        <w:tc>
          <w:tcPr>
            <w:tcW w:w="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139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(21)</w:t>
            </w:r>
          </w:p>
        </w:tc>
        <w:tc>
          <w:tcPr>
            <w:tcW w:w="310"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ACACAC"/>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47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(17)</w:t>
            </w:r>
          </w:p>
        </w:tc>
        <w:tc>
          <w:tcPr>
            <w:tcW w:w="109"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633"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(21)</w:t>
            </w:r>
          </w:p>
        </w:tc>
        <w:tc>
          <w:tcPr>
            <w:tcW w:w="143"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633"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(17)</w:t>
            </w:r>
          </w:p>
        </w:tc>
        <w:tc>
          <w:tcPr>
            <w:tcW w:w="211"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475" w:type="dxa"/>
        <w:jc w:val="left"/>
        <w:tblInd w:w="0" w:type="dxa"/>
        <w:tblLayout w:type="fixed"/>
        <w:tblCellMar>
          <w:top w:w="28" w:type="dxa"/>
          <w:left w:w="28" w:type="dxa"/>
          <w:bottom w:w="28" w:type="dxa"/>
          <w:right w:w="28" w:type="dxa"/>
        </w:tblCellMar>
      </w:tblPr>
      <w:tblGrid>
        <w:gridCol w:w="342"/>
        <w:gridCol w:w="301"/>
        <w:gridCol w:w="303"/>
        <w:gridCol w:w="1325"/>
        <w:gridCol w:w="1325"/>
        <w:gridCol w:w="1879"/>
      </w:tblGrid>
      <w:tr>
        <w:trPr/>
        <w:tc>
          <w:tcPr>
            <w:tcW w:w="3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1879"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bottom w:val="single" w:sz="8" w:space="0" w:color="0033A0"/>
            </w:tcBorders>
            <w:tcMar>
              <w:top w:w="0" w:type="dxa"/>
              <w:left w:w="0" w:type="dxa"/>
              <w:bottom w:w="30" w:type="dxa"/>
              <w:right w:w="0" w:type="dxa"/>
            </w:tcMar>
            <w:vAlign w:val="center"/>
          </w:tcPr>
          <w:p>
            <w:pPr>
              <w:pStyle w:val="TableContents"/>
              <w:bidi w:val="0"/>
              <w:spacing w:lineRule="auto" w:line="240" w:before="0" w:after="283"/>
              <w:jc w:val="left"/>
              <w:rPr>
                <w:rFonts w:ascii="Allstate Sans;sans-serif" w:hAnsi="Allstate Sans;sans-serif"/>
                <w:b/>
                <w:color w:val="0033A0"/>
                <w:sz w:val="22"/>
              </w:rPr>
            </w:pPr>
            <w:r>
              <w:rPr>
                <w:rFonts w:ascii="Allstate Sans;sans-serif" w:hAnsi="Allstate Sans;sans-serif"/>
                <w:b/>
                <w:color w:val="0033A0"/>
                <w:sz w:val="22"/>
              </w:rPr>
              <w:t>Note 5</w:t>
            </w:r>
          </w:p>
        </w:tc>
        <w:tc>
          <w:tcPr>
            <w:tcW w:w="4529" w:type="dxa"/>
            <w:gridSpan w:val="3"/>
            <w:tcBorders>
              <w:bottom w:val="single" w:sz="8" w:space="0" w:color="0033A0"/>
            </w:tcBorders>
            <w:tcMar>
              <w:top w:w="0" w:type="dxa"/>
              <w:left w:w="0" w:type="dxa"/>
              <w:bottom w:w="30" w:type="dxa"/>
              <w:right w:w="0" w:type="dxa"/>
            </w:tcMar>
            <w:vAlign w:val="center"/>
          </w:tcPr>
          <w:p>
            <w:pPr>
              <w:pStyle w:val="TableContents"/>
              <w:bidi w:val="0"/>
              <w:spacing w:lineRule="auto" w:line="240" w:before="0" w:after="283"/>
              <w:jc w:val="left"/>
              <w:rPr>
                <w:rFonts w:ascii="Allstate Sans;sans-serif" w:hAnsi="Allstate Sans;sans-serif"/>
                <w:b/>
                <w:color w:val="000000"/>
                <w:sz w:val="22"/>
              </w:rPr>
            </w:pPr>
            <w:r>
              <w:rPr>
                <w:rFonts w:ascii="Allstate Sans;sans-serif" w:hAnsi="Allstate Sans;sans-serif"/>
                <w:b/>
                <w:color w:val="000000"/>
                <w:sz w:val="22"/>
              </w:rPr>
              <w:t>Fair Value of Assets and Liabilities</w:t>
            </w:r>
          </w:p>
        </w:tc>
      </w:tr>
    </w:tbl>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Fair value is defined as the price that would be received to sell an asset or paid to transfer a liability in an orderly transaction between market participants at the measurement date. The hierarchy for inputs used in determining fair value maximizes the use of observable inputs and minimizes the use of unobservable inputs by requiring that observable inputs be used when available. Assets and liabilities recorded on the Condensed Consolidated Statements of Financial Position at fair value are categorized in the fair value hierarchy based on the observability of inputs to the valuation techniques as follows:</w:t>
      </w:r>
    </w:p>
    <w:p>
      <w:pPr>
        <w:pStyle w:val="TextBody"/>
        <w:bidi w:val="0"/>
        <w:spacing w:lineRule="auto" w:line="288" w:before="0" w:after="120"/>
        <w:jc w:val="left"/>
        <w:rPr/>
      </w:pPr>
      <w:r>
        <w:rPr>
          <w:rFonts w:ascii="Allstate Sans;sans-serif" w:hAnsi="Allstate Sans;sans-serif"/>
          <w:b w:val="false"/>
          <w:i/>
          <w:color w:val="0033A0"/>
          <w:sz w:val="18"/>
        </w:rPr>
        <w:t>Level 1:</w:t>
      </w:r>
      <w:r>
        <w:rPr>
          <w:color w:val="000000"/>
        </w:rPr>
        <w:t xml:space="preserve"> </w:t>
      </w:r>
      <w:r>
        <w:rPr>
          <w:rFonts w:ascii="Allstate Sans;sans-serif" w:hAnsi="Allstate Sans;sans-serif"/>
          <w:b w:val="false"/>
          <w:color w:val="000000"/>
          <w:sz w:val="18"/>
        </w:rPr>
        <w:t>Assets and liabilities whose values are based on unadjusted quoted prices for identical assets or liabilities in an active market that the Company can access.</w:t>
      </w:r>
    </w:p>
    <w:p>
      <w:pPr>
        <w:pStyle w:val="TextBody"/>
        <w:bidi w:val="0"/>
        <w:spacing w:lineRule="auto" w:line="288" w:before="0" w:after="120"/>
        <w:jc w:val="left"/>
        <w:rPr/>
      </w:pPr>
      <w:r>
        <w:rPr>
          <w:rFonts w:ascii="Allstate Sans;sans-serif" w:hAnsi="Allstate Sans;sans-serif"/>
          <w:b w:val="false"/>
          <w:i/>
          <w:color w:val="0033A0"/>
          <w:sz w:val="18"/>
        </w:rPr>
        <w:t>Level 2:</w:t>
      </w:r>
      <w:r>
        <w:rPr>
          <w:color w:val="000000"/>
        </w:rPr>
        <w:t xml:space="preserve"> </w:t>
      </w:r>
      <w:r>
        <w:rPr>
          <w:rFonts w:ascii="Allstate Sans;sans-serif" w:hAnsi="Allstate Sans;sans-serif"/>
          <w:b w:val="false"/>
          <w:color w:val="000000"/>
          <w:sz w:val="18"/>
        </w:rPr>
        <w:t>Assets and liabilities whose values are based on the following:</w:t>
      </w:r>
    </w:p>
    <w:p>
      <w:pPr>
        <w:pStyle w:val="TextBody"/>
        <w:bidi w:val="0"/>
        <w:spacing w:lineRule="auto" w:line="288" w:before="0" w:after="120"/>
        <w:ind w:left="0" w:right="0" w:hanging="270"/>
        <w:jc w:val="left"/>
        <w:rPr>
          <w:rFonts w:ascii="Allstate Sans;sans-serif" w:hAnsi="Allstate Sans;sans-serif"/>
          <w:b w:val="false"/>
          <w:color w:val="000000"/>
          <w:sz w:val="18"/>
        </w:rPr>
      </w:pPr>
      <w:r>
        <w:rPr>
          <w:rFonts w:ascii="Allstate Sans;sans-serif" w:hAnsi="Allstate Sans;sans-serif"/>
          <w:b w:val="false"/>
          <w:color w:val="000000"/>
          <w:sz w:val="18"/>
        </w:rPr>
        <w:t>(a)Quoted prices for similar assets or liabilities in active markets;</w:t>
      </w:r>
    </w:p>
    <w:p>
      <w:pPr>
        <w:pStyle w:val="TextBody"/>
        <w:bidi w:val="0"/>
        <w:spacing w:lineRule="auto" w:line="288" w:before="0" w:after="120"/>
        <w:ind w:left="0" w:right="0" w:hanging="270"/>
        <w:jc w:val="left"/>
        <w:rPr>
          <w:rFonts w:ascii="Allstate Sans;sans-serif" w:hAnsi="Allstate Sans;sans-serif"/>
          <w:b w:val="false"/>
          <w:color w:val="000000"/>
          <w:sz w:val="18"/>
        </w:rPr>
      </w:pPr>
      <w:r>
        <w:rPr>
          <w:rFonts w:ascii="Allstate Sans;sans-serif" w:hAnsi="Allstate Sans;sans-serif"/>
          <w:b w:val="false"/>
          <w:color w:val="000000"/>
          <w:sz w:val="18"/>
        </w:rPr>
        <w:t>(b)Quoted prices for identical or similar assets or liabilities in markets that are not active; or</w:t>
      </w:r>
    </w:p>
    <w:p>
      <w:pPr>
        <w:pStyle w:val="TextBody"/>
        <w:bidi w:val="0"/>
        <w:spacing w:lineRule="auto" w:line="288" w:before="0" w:after="120"/>
        <w:ind w:left="0" w:right="0" w:hanging="270"/>
        <w:jc w:val="left"/>
        <w:rPr>
          <w:rFonts w:ascii="Allstate Sans;sans-serif" w:hAnsi="Allstate Sans;sans-serif"/>
          <w:b w:val="false"/>
          <w:color w:val="000000"/>
          <w:sz w:val="18"/>
        </w:rPr>
      </w:pPr>
      <w:r>
        <w:rPr>
          <w:rFonts w:ascii="Allstate Sans;sans-serif" w:hAnsi="Allstate Sans;sans-serif"/>
          <w:b w:val="false"/>
          <w:color w:val="000000"/>
          <w:sz w:val="18"/>
        </w:rPr>
        <w:t>(c)Valuation models whose inputs are observable, directly or indirectly, for substantially the full term of the asset or liability.</w:t>
      </w:r>
    </w:p>
    <w:p>
      <w:pPr>
        <w:pStyle w:val="TextBody"/>
        <w:bidi w:val="0"/>
        <w:spacing w:lineRule="auto" w:line="288" w:before="0" w:after="120"/>
        <w:jc w:val="left"/>
        <w:rPr/>
      </w:pPr>
      <w:r>
        <w:rPr>
          <w:rFonts w:ascii="Allstate Sans;sans-serif" w:hAnsi="Allstate Sans;sans-serif"/>
          <w:b w:val="false"/>
          <w:i/>
          <w:color w:val="0033A0"/>
          <w:sz w:val="18"/>
        </w:rPr>
        <w:t>Level 3:</w:t>
      </w:r>
      <w:r>
        <w:rPr>
          <w:color w:val="000000"/>
        </w:rPr>
        <w:t xml:space="preserve"> </w:t>
      </w:r>
      <w:r>
        <w:rPr>
          <w:rFonts w:ascii="Allstate Sans;sans-serif" w:hAnsi="Allstate Sans;sans-serif"/>
          <w:b w:val="false"/>
          <w:color w:val="000000"/>
          <w:sz w:val="18"/>
        </w:rPr>
        <w:t>Assets and liabilities whose values are based on prices or valuation techniques that require inputs that are both unobservable and significant to the overall fair value measurement. Unobservable inputs reflect the Company’s estimates of the assumptions that market participants would use in valuing the assets and liabilities.</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 xml:space="preserve">The availability of observable inputs varies by instrument. In situations where fair value is based on </w:t>
      </w:r>
    </w:p>
    <w:p>
      <w:pPr>
        <w:pStyle w:val="TextBody"/>
        <w:bidi w:val="0"/>
        <w:spacing w:lineRule="auto" w:line="288" w:before="0" w:after="120"/>
        <w:jc w:val="left"/>
        <w:rPr>
          <w:rFonts w:ascii="Allstate Sans;sans-serif" w:hAnsi="Allstate Sans;sans-serif"/>
          <w:b w:val="false"/>
          <w:color w:val="000000"/>
          <w:sz w:val="18"/>
        </w:rPr>
      </w:pPr>
      <w:r>
        <w:rPr>
          <w:rFonts w:ascii="Allstate Sans;sans-serif" w:hAnsi="Allstate Sans;sans-serif"/>
          <w:b w:val="false"/>
          <w:color w:val="000000"/>
          <w:sz w:val="18"/>
        </w:rPr>
        <w:t>internally developed pricing models or inputs that are unobservable in the market, the determination of fair value requires more judgment. The degree of judgment exercised by the Company in determining fair value is typically greatest for instruments categorized in Level 3. In many instances, valuation inputs used to measure fair value fall into different levels of the fair value hierarchy. The category level in the fair value hierarchy is determined based on the lowest level input that is significant to the fair value measurement in its entirety. The Company uses prices and inputs that are current as of the measurement date, including during periods of market disruption. In periods of market disruption, the ability to observe prices and inputs may be reduced for many instruments.</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 xml:space="preserve">The Company is responsible for the determination of fair value and the supporting assumptions and methodologies. The Company gains assurance that assets and liabilities are appropriately valued through the execution of various processes and controls designed to ensure the overall reasonableness and consistent application of valuation methodologies, including inputs and assumptions, and compliance with accounting standards. For fair values received from third parties or internally estimated, the Company’s processes and controls are designed to ensure that the valuation methodologies are appropriate and consistently applied, the inputs and assumptions are reasonable and consistent with the objective of determining fair value, and the fair values are accurately recorded. For example, on a continuing basis, the Company assesses the reasonableness of individual fair values that have stale security prices or that exceed certain thresholds as compared to previous fair values received from valuation service providers or brokers or derived from internal models.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23" name="Frame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120"/>
                              <w:jc w:val="left"/>
                              <w:rPr/>
                            </w:pPr>
                            <w:r>
                              <w:rPr>
                                <w:rFonts w:ascii="Allstate Sans;sans-serif" w:hAnsi="Allstate Sans;sans-serif"/>
                                <w:b w:val="false"/>
                                <w:color w:val="0033A0"/>
                                <w:sz w:val="18"/>
                              </w:rPr>
                              <w:t>20</w:t>
                            </w:r>
                            <w:r>
                              <w:rPr>
                                <w:color w:val="1666AF"/>
                              </w:rPr>
                              <w:t xml:space="preserve"> </w:t>
                            </w:r>
                            <w:r>
                              <w:rPr>
                                <w:rFonts w:ascii="Allstate Sans;sans-serif" w:hAnsi="Allstate Sans;sans-serif"/>
                                <w:b w:val="false"/>
                                <w:color w:val="000000"/>
                                <w:sz w:val="18"/>
                              </w:rPr>
                              <w:t>www.allstate.com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left"/>
                        <w:rPr/>
                      </w:pPr>
                      <w:r>
                        <w:rPr>
                          <w:rFonts w:ascii="Allstate Sans;sans-serif" w:hAnsi="Allstate Sans;sans-serif"/>
                          <w:b w:val="false"/>
                          <w:color w:val="0033A0"/>
                          <w:sz w:val="18"/>
                        </w:rPr>
                        <w:t>20</w:t>
                      </w:r>
                      <w:r>
                        <w:rPr>
                          <w:color w:val="1666AF"/>
                        </w:rPr>
                        <w:t xml:space="preserve"> </w:t>
                      </w:r>
                      <w:r>
                        <w:rPr>
                          <w:rFonts w:ascii="Allstate Sans;sans-serif" w:hAnsi="Allstate Sans;sans-serif"/>
                          <w:b w:val="false"/>
                          <w:color w:val="000000"/>
                          <w:sz w:val="18"/>
                        </w:rPr>
                        <w:t>www.allstate.com</w:t>
                      </w:r>
                    </w:p>
                  </w:txbxContent>
                </v:textbox>
                <w10:wrap type="none"/>
              </v:rect>
            </w:pict>
          </mc:Fallback>
        </mc:AlternateContent>
      </w:r>
    </w:p>
    <w:p>
      <w:pPr>
        <w:pStyle w:val="TextBody"/>
        <w:bidi w:val="0"/>
        <w:spacing w:lineRule="auto" w:line="288" w:before="0" w:after="0"/>
        <w:jc w:val="right"/>
        <w:rPr>
          <w:rFonts w:ascii="Allstate Sans;sans-serif" w:hAnsi="Allstate Sans;sans-serif"/>
          <w:b w:val="false"/>
          <w:color w:val="0033A0"/>
          <w:sz w:val="18"/>
        </w:rPr>
      </w:pPr>
      <w:r>
        <w:rPr>
          <w:rFonts w:ascii="Allstate Sans;sans-serif" w:hAnsi="Allstate Sans;sans-serif"/>
          <w:b w:val="false"/>
          <w:color w:val="0033A0"/>
          <w:sz w:val="18"/>
        </w:rPr>
        <w:t>Notes to Condensed Consolidated Financial Statements</w:t>
      </w:r>
    </w:p>
    <w:p>
      <w:pPr>
        <w:pStyle w:val="TextBody"/>
        <w:bidi w:val="0"/>
        <w:spacing w:before="0" w:after="120"/>
        <w:ind w:left="0" w:right="0" w:firstLine="360"/>
        <w:jc w:val="left"/>
        <w:rPr/>
      </w:pPr>
      <w:r>
        <w:rPr/>
      </w:r>
    </w:p>
    <w:p>
      <w:pPr>
        <w:pStyle w:val="TextBody"/>
        <w:bidi w:val="0"/>
        <w:spacing w:lineRule="auto" w:line="288" w:before="0" w:after="120"/>
        <w:jc w:val="left"/>
        <w:rPr>
          <w:rFonts w:ascii="Allstate Sans;sans-serif" w:hAnsi="Allstate Sans;sans-serif"/>
          <w:b w:val="false"/>
          <w:color w:val="000000"/>
          <w:sz w:val="18"/>
        </w:rPr>
      </w:pPr>
      <w:r>
        <w:rPr>
          <w:rFonts w:ascii="Allstate Sans;sans-serif" w:hAnsi="Allstate Sans;sans-serif"/>
          <w:b w:val="false"/>
          <w:color w:val="000000"/>
          <w:sz w:val="18"/>
        </w:rPr>
        <w:t xml:space="preserve">The Company performs procedures to understand and assess the methodologies, processes and controls of valuation service providers. </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In addition, the Company may validate the reasonableness of fair values by comparing information obtained from valuation service providers or brokers to other third-party valuation sources for selected securities. The Company performs ongoing price validation procedures such as back-testing of actual sales, which corroborate the various inputs used in internal models to market observable data. When fair value determinations are expected to be more variable, the Company validates them through reviews by members of management who have relevant expertise and who are independent of those charged with executing investment transactions.</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 xml:space="preserve">The Company has two types of situations where investments are classified as Level 3 in the fair value hierarchy: </w:t>
      </w:r>
    </w:p>
    <w:p>
      <w:pPr>
        <w:pStyle w:val="TextBody"/>
        <w:bidi w:val="0"/>
        <w:spacing w:lineRule="auto" w:line="288" w:before="0" w:after="120"/>
        <w:ind w:left="0" w:right="0" w:hanging="270"/>
        <w:jc w:val="left"/>
        <w:rPr>
          <w:rFonts w:ascii="Allstate Sans;sans-serif" w:hAnsi="Allstate Sans;sans-serif"/>
          <w:b w:val="false"/>
          <w:color w:val="000000"/>
          <w:sz w:val="18"/>
        </w:rPr>
      </w:pPr>
      <w:r>
        <w:rPr>
          <w:rFonts w:ascii="Allstate Sans;sans-serif" w:hAnsi="Allstate Sans;sans-serif"/>
          <w:b w:val="false"/>
          <w:color w:val="000000"/>
          <w:sz w:val="18"/>
        </w:rPr>
        <w:t xml:space="preserve">(1)Specific inputs significant to the fair value estimation models are not market observable. This primarily occurs in the Company’s use of broker quotes to value certain securities where the inputs have not been corroborated to be market observable, and the use of valuation models that use significant non-market observable inputs. </w:t>
      </w:r>
    </w:p>
    <w:p>
      <w:pPr>
        <w:pStyle w:val="TextBody"/>
        <w:bidi w:val="0"/>
        <w:spacing w:lineRule="auto" w:line="288" w:before="0" w:after="120"/>
        <w:ind w:left="0" w:right="0" w:hanging="270"/>
        <w:jc w:val="left"/>
        <w:rPr>
          <w:rFonts w:ascii="Allstate Sans;sans-serif" w:hAnsi="Allstate Sans;sans-serif"/>
          <w:b w:val="false"/>
          <w:color w:val="000000"/>
          <w:sz w:val="18"/>
        </w:rPr>
      </w:pPr>
      <w:r>
        <w:rPr>
          <w:rFonts w:ascii="Allstate Sans;sans-serif" w:hAnsi="Allstate Sans;sans-serif"/>
          <w:b w:val="false"/>
          <w:color w:val="000000"/>
          <w:sz w:val="18"/>
        </w:rPr>
        <w:t>(2)Quotes continue to be received from independent third-party valuation service providers and all significant inputs are market observable; however, there has been a significant decrease in the volume and level of activity for the asset when compared to normal market activity such that the degree of market observability has declined to a point where categorization as a Level 3 measurement is considered appropriate. The indicators considered in determining whether a significant decrease in the volume and level of activity for a specific asset has occurred include the level of new issuances in the primary market, trading volume in the secondary market, the level of credit spreads over historical levels, applicable bid-ask spreads, and price consensus among market participants and other pricing sources.</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Certain assets are not carried at fair value on a recurring basis, including mortgage loans, bank loans, real estate and policy loans and are only included in the fair value hierarchy disclosure when the individual investment is reported at fair value.</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In determining fair value, the Company principally uses the market approach which generally utilizes market transaction data for the same or similar instruments. To a lesser extent, the Company uses the income approach which involves determining fair values from discounted cash flow methodologies. For the majority of Level 2 and Level 3 valuations, a combination of the market and income approaches is used.</w:t>
      </w:r>
    </w:p>
    <w:p>
      <w:pPr>
        <w:pStyle w:val="TextBody"/>
        <w:bidi w:val="0"/>
        <w:spacing w:lineRule="auto" w:line="288" w:before="0" w:after="120"/>
        <w:jc w:val="left"/>
        <w:rPr>
          <w:rFonts w:ascii="Allstate Sans;sans-serif" w:hAnsi="Allstate Sans;sans-serif"/>
          <w:b/>
          <w:color w:val="0033A0"/>
          <w:sz w:val="18"/>
        </w:rPr>
      </w:pPr>
      <w:r>
        <w:rPr>
          <w:rFonts w:ascii="Allstate Sans;sans-serif" w:hAnsi="Allstate Sans;sans-serif"/>
          <w:b/>
          <w:color w:val="0033A0"/>
          <w:sz w:val="18"/>
        </w:rPr>
        <w:t>Summary of significant inputs and valuation techniques for Level 2 and Level 3 assets and liabilities measured at fair value on a recurring basis</w:t>
      </w:r>
    </w:p>
    <w:p>
      <w:pPr>
        <w:pStyle w:val="TextBody"/>
        <w:bidi w:val="0"/>
        <w:spacing w:lineRule="auto" w:line="288" w:before="0" w:after="120"/>
        <w:jc w:val="left"/>
        <w:rPr>
          <w:rFonts w:ascii="Allstate Sans;sans-serif" w:hAnsi="Allstate Sans;sans-serif"/>
          <w:b w:val="false"/>
          <w:i/>
          <w:color w:val="0033A0"/>
          <w:sz w:val="18"/>
          <w:u w:val="single"/>
        </w:rPr>
      </w:pPr>
      <w:r>
        <w:rPr>
          <w:rFonts w:ascii="Allstate Sans;sans-serif" w:hAnsi="Allstate Sans;sans-serif"/>
          <w:b w:val="false"/>
          <w:i/>
          <w:color w:val="0033A0"/>
          <w:sz w:val="18"/>
          <w:u w:val="single"/>
        </w:rPr>
        <w:t>Level 2 measurements</w:t>
      </w:r>
    </w:p>
    <w:p>
      <w:pPr>
        <w:pStyle w:val="TextBody"/>
        <w:bidi w:val="0"/>
        <w:spacing w:lineRule="auto" w:line="288" w:before="0" w:after="120"/>
        <w:ind w:left="0" w:right="0" w:hanging="270"/>
        <w:jc w:val="left"/>
        <w:rPr/>
      </w:pPr>
      <w:r>
        <w:rPr>
          <w:color w:val="0E1941"/>
        </w:rPr>
        <w:t>•</w:t>
      </w:r>
      <w:r>
        <w:rPr>
          <w:rFonts w:ascii="Allstate Sans;sans-serif" w:hAnsi="Allstate Sans;sans-serif"/>
          <w:b w:val="false"/>
          <w:i/>
          <w:color w:val="0033A0"/>
          <w:sz w:val="18"/>
          <w:u w:val="single"/>
        </w:rPr>
        <w:t>Fixed income securities:</w:t>
      </w:r>
    </w:p>
    <w:p>
      <w:pPr>
        <w:pStyle w:val="TextBody"/>
        <w:bidi w:val="0"/>
        <w:spacing w:lineRule="auto" w:line="288" w:before="0" w:after="120"/>
        <w:jc w:val="left"/>
        <w:rPr/>
      </w:pPr>
      <w:r>
        <w:rPr>
          <w:rFonts w:ascii="Allstate Sans;sans-serif" w:hAnsi="Allstate Sans;sans-serif"/>
          <w:b w:val="false"/>
          <w:i/>
          <w:color w:val="0033A0"/>
          <w:sz w:val="18"/>
        </w:rPr>
        <w:t xml:space="preserve">U.S. government and agencies, municipal, corporate - public and foreign government: </w:t>
      </w:r>
      <w:r>
        <w:rPr>
          <w:rFonts w:ascii="Allstate Sans;sans-serif" w:hAnsi="Allstate Sans;sans-serif"/>
          <w:b w:val="false"/>
          <w:color w:val="000000"/>
          <w:sz w:val="18"/>
        </w:rPr>
        <w:t xml:space="preserve">The primary inputs to the valuation include quoted prices for identical or similar assets in markets that are not active, contractual cash flows, benchmark yields and credit spreads. </w:t>
      </w:r>
    </w:p>
    <w:p>
      <w:pPr>
        <w:pStyle w:val="TextBody"/>
        <w:bidi w:val="0"/>
        <w:spacing w:lineRule="auto" w:line="288" w:before="0" w:after="120"/>
        <w:jc w:val="left"/>
        <w:rPr/>
      </w:pPr>
      <w:r>
        <w:rPr>
          <w:rFonts w:ascii="Allstate Sans;sans-serif" w:hAnsi="Allstate Sans;sans-serif"/>
          <w:b w:val="false"/>
          <w:i/>
          <w:color w:val="0033A0"/>
          <w:sz w:val="18"/>
        </w:rPr>
        <w:t>Corporate - privately placed:</w:t>
      </w:r>
      <w:r>
        <w:rPr>
          <w:color w:val="0033A0"/>
        </w:rPr>
        <w:t xml:space="preserve"> </w:t>
      </w:r>
      <w:r>
        <w:rPr>
          <w:rFonts w:ascii="Allstate Sans;sans-serif" w:hAnsi="Allstate Sans;sans-serif"/>
          <w:b w:val="false"/>
          <w:color w:val="000000"/>
          <w:sz w:val="18"/>
        </w:rPr>
        <w:t>Privately placed securities are valued using a discounted cash flow model that is widely accepted in the financial services industry and uses market observable inputs and inputs derived principally from, or corroborated by, observable market data. The primary inputs to the discounted cash flow model include an interest rate yield curve, as well as published credit spreads for similar assets in markets that are not active that incorporate the credit quality and industry sector of the issuer.</w:t>
      </w:r>
    </w:p>
    <w:p>
      <w:pPr>
        <w:pStyle w:val="TextBody"/>
        <w:bidi w:val="0"/>
        <w:spacing w:lineRule="auto" w:line="288" w:before="0" w:after="120"/>
        <w:jc w:val="left"/>
        <w:rPr>
          <w:rFonts w:ascii="Allstate Sans;sans-serif" w:hAnsi="Allstate Sans;sans-serif"/>
          <w:b w:val="false"/>
          <w:color w:val="000000"/>
          <w:sz w:val="18"/>
        </w:rPr>
      </w:pPr>
      <w:r>
        <w:rPr>
          <w:rFonts w:ascii="Allstate Sans;sans-serif" w:hAnsi="Allstate Sans;sans-serif"/>
          <w:b w:val="false"/>
          <w:color w:val="000000"/>
          <w:sz w:val="18"/>
        </w:rPr>
        <w:t>Corporate - privately placed also includes redeemable preferred stock that are valued using quoted prices for identical or similar assets in markets that are not active, contractual cash flows, benchmark yields, underlying stock prices and credit spreads.</w:t>
      </w:r>
    </w:p>
    <w:p>
      <w:pPr>
        <w:pStyle w:val="TextBody"/>
        <w:bidi w:val="0"/>
        <w:spacing w:lineRule="auto" w:line="288" w:before="0" w:after="120"/>
        <w:jc w:val="left"/>
        <w:rPr/>
      </w:pPr>
      <w:r>
        <w:rPr>
          <w:rFonts w:ascii="Allstate Sans;sans-serif" w:hAnsi="Allstate Sans;sans-serif"/>
          <w:b w:val="false"/>
          <w:i/>
          <w:color w:val="0033A0"/>
          <w:sz w:val="18"/>
        </w:rPr>
        <w:t>ABS and MBS:</w:t>
      </w:r>
      <w:r>
        <w:rPr>
          <w:color w:val="000000"/>
        </w:rPr>
        <w:t xml:space="preserve"> </w:t>
      </w:r>
      <w:r>
        <w:rPr>
          <w:rFonts w:ascii="Allstate Sans;sans-serif" w:hAnsi="Allstate Sans;sans-serif"/>
          <w:b w:val="false"/>
          <w:color w:val="000000"/>
          <w:sz w:val="18"/>
        </w:rPr>
        <w:t>The primary inputs to the valuation include quoted prices for identical or similar assets in markets that are not active, contractual cash flows, benchmark yields, collateral performance and credit spreads. Certain ABS are valued based on non-binding broker quotes whose inputs have been corroborated to be market observable. Residential MBS include prepayment speeds as a primary input for valuation.</w:t>
      </w:r>
    </w:p>
    <w:p>
      <w:pPr>
        <w:pStyle w:val="TextBody"/>
        <w:bidi w:val="0"/>
        <w:spacing w:lineRule="auto" w:line="288" w:before="0" w:after="120"/>
        <w:ind w:left="0" w:right="0" w:hanging="270"/>
        <w:jc w:val="left"/>
        <w:rPr/>
      </w:pPr>
      <w:r>
        <w:rPr>
          <w:color w:val="000000"/>
        </w:rPr>
        <w:t>•</w:t>
      </w:r>
      <w:r>
        <w:rPr>
          <w:rFonts w:ascii="Allstate Sans;sans-serif" w:hAnsi="Allstate Sans;sans-serif"/>
          <w:b w:val="false"/>
          <w:i/>
          <w:color w:val="0033A0"/>
          <w:sz w:val="18"/>
          <w:u w:val="single"/>
        </w:rPr>
        <w:t>Equity securities:</w:t>
      </w:r>
      <w:r>
        <w:rPr>
          <w:color w:val="000000"/>
        </w:rPr>
        <w:t xml:space="preserve"> </w:t>
      </w:r>
      <w:r>
        <w:rPr>
          <w:rFonts w:ascii="Allstate Sans;sans-serif" w:hAnsi="Allstate Sans;sans-serif"/>
          <w:b w:val="false"/>
          <w:color w:val="000000"/>
          <w:sz w:val="18"/>
        </w:rPr>
        <w:t>The primary inputs to the valuation include quoted prices for identical or similar assets in markets that are not active.</w:t>
      </w:r>
    </w:p>
    <w:p>
      <w:pPr>
        <w:pStyle w:val="TextBody"/>
        <w:bidi w:val="0"/>
        <w:spacing w:lineRule="auto" w:line="288" w:before="0" w:after="120"/>
        <w:ind w:left="0" w:right="0" w:hanging="270"/>
        <w:jc w:val="left"/>
        <w:rPr/>
      </w:pPr>
      <w:r>
        <w:rPr>
          <w:color w:val="000000"/>
        </w:rPr>
        <w:t>•</w:t>
      </w:r>
      <w:r>
        <w:rPr>
          <w:rFonts w:ascii="Allstate Sans;sans-serif" w:hAnsi="Allstate Sans;sans-serif"/>
          <w:b w:val="false"/>
          <w:i/>
          <w:color w:val="0033A0"/>
          <w:sz w:val="18"/>
          <w:u w:val="single"/>
        </w:rPr>
        <w:t>Short-term:</w:t>
      </w:r>
      <w:r>
        <w:rPr>
          <w:color w:val="000000"/>
        </w:rPr>
        <w:t xml:space="preserve"> </w:t>
      </w:r>
      <w:r>
        <w:rPr>
          <w:rFonts w:ascii="Allstate Sans;sans-serif" w:hAnsi="Allstate Sans;sans-serif"/>
          <w:b w:val="false"/>
          <w:color w:val="000000"/>
          <w:sz w:val="18"/>
        </w:rPr>
        <w:t>The primary inputs to the valuation include quoted prices for identical or similar assets in markets that are not active, contractual cash flows, benchmark yields and credit spreads.</w:t>
      </w:r>
    </w:p>
    <w:p>
      <w:pPr>
        <w:pStyle w:val="TextBody"/>
        <w:bidi w:val="0"/>
        <w:spacing w:lineRule="auto" w:line="288" w:before="0" w:after="120"/>
        <w:ind w:left="0" w:right="0" w:hanging="270"/>
        <w:jc w:val="left"/>
        <w:rPr/>
      </w:pPr>
      <w:r>
        <w:rPr>
          <w:color w:val="000000"/>
        </w:rPr>
        <w:t>•</w:t>
      </w:r>
      <w:r>
        <w:rPr>
          <w:rFonts w:ascii="Allstate Sans;sans-serif" w:hAnsi="Allstate Sans;sans-serif"/>
          <w:b w:val="false"/>
          <w:i/>
          <w:color w:val="0033A0"/>
          <w:sz w:val="18"/>
          <w:u w:val="single"/>
        </w:rPr>
        <w:t>Other investments:</w:t>
      </w:r>
      <w:r>
        <w:rPr>
          <w:color w:val="000000"/>
        </w:rPr>
        <w:t xml:space="preserve"> </w:t>
      </w:r>
      <w:r>
        <w:rPr>
          <w:rFonts w:ascii="Allstate Sans;sans-serif" w:hAnsi="Allstate Sans;sans-serif"/>
          <w:b w:val="false"/>
          <w:color w:val="000000"/>
          <w:sz w:val="18"/>
        </w:rPr>
        <w:t>Free-standing exchange listed derivatives that are not actively traded are valued based on quoted prices for identical instruments in markets that are not active.</w:t>
      </w:r>
    </w:p>
    <w:p>
      <w:pPr>
        <w:pStyle w:val="TextBody"/>
        <w:bidi w:val="0"/>
        <w:spacing w:lineRule="auto" w:line="288" w:before="0" w:after="120"/>
        <w:jc w:val="left"/>
        <w:rPr>
          <w:rFonts w:ascii="Allstate Sans;sans-serif" w:hAnsi="Allstate Sans;sans-serif"/>
          <w:b w:val="false"/>
          <w:color w:val="000000"/>
          <w:sz w:val="18"/>
        </w:rPr>
      </w:pPr>
      <w:r>
        <w:rPr>
          <w:rFonts w:ascii="Allstate Sans;sans-serif" w:hAnsi="Allstate Sans;sans-serif"/>
          <w:b w:val="false"/>
          <w:color w:val="000000"/>
          <w:sz w:val="18"/>
        </w:rPr>
        <w:t>Over-the-counter (“OTC”) derivatives, including interest rate swaps, foreign currency swaps, total return swaps, foreign exchange forward contracts, certain options and certain credit default swaps, are valued using models that rely on inputs such as interest rate yield curves, implied volatilities, index price levels, currency rates, and credit spreads that are observable for substantially the full term of the contract. The valuation techniques underlying the models are widely accepted in the financial services industry and do not involve significant judgment.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33350"/>
                <wp:effectExtent l="0" t="0" r="0" b="0"/>
                <wp:wrapNone/>
                <wp:docPr id="24" name="Frame23"/>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ind w:left="0" w:right="0" w:firstLine="360"/>
                              <w:jc w:val="right"/>
                              <w:rPr/>
                            </w:pPr>
                            <w:r>
                              <w:rPr>
                                <w:rFonts w:ascii="Allstate Sans;sans-serif" w:hAnsi="Allstate Sans;sans-serif"/>
                                <w:b w:val="false"/>
                                <w:color w:val="000000"/>
                                <w:sz w:val="18"/>
                              </w:rPr>
                              <w:t xml:space="preserve">Second Quarter 2026 Form 10-Q </w:t>
                            </w:r>
                            <w:r>
                              <w:rPr>
                                <w:rFonts w:ascii="Allstate Sans;sans-serif" w:hAnsi="Allstate Sans;sans-serif"/>
                                <w:b w:val="false"/>
                                <w:color w:val="0033A0"/>
                                <w:sz w:val="18"/>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right"/>
                        <w:rPr/>
                      </w:pPr>
                      <w:r>
                        <w:rPr>
                          <w:rFonts w:ascii="Allstate Sans;sans-serif" w:hAnsi="Allstate Sans;sans-serif"/>
                          <w:b w:val="false"/>
                          <w:color w:val="000000"/>
                          <w:sz w:val="18"/>
                        </w:rPr>
                        <w:t xml:space="preserve">Second Quarter 2026 Form 10-Q </w:t>
                      </w:r>
                      <w:r>
                        <w:rPr>
                          <w:rFonts w:ascii="Allstate Sans;sans-serif" w:hAnsi="Allstate Sans;sans-serif"/>
                          <w:b w:val="false"/>
                          <w:color w:val="0033A0"/>
                          <w:sz w:val="18"/>
                        </w:rPr>
                        <w:t>21</w:t>
                      </w:r>
                    </w:p>
                  </w:txbxContent>
                </v:textbox>
                <w10:wrap type="none"/>
              </v:rect>
            </w:pict>
          </mc:Fallback>
        </mc:AlternateContent>
      </w:r>
    </w:p>
    <w:p>
      <w:pPr>
        <w:pStyle w:val="TextBody"/>
        <w:bidi w:val="0"/>
        <w:spacing w:lineRule="auto" w:line="288" w:before="0" w:after="0"/>
        <w:jc w:val="left"/>
        <w:rPr>
          <w:rFonts w:ascii="Allstate Sans;sans-serif" w:hAnsi="Allstate Sans;sans-serif"/>
          <w:b w:val="false"/>
          <w:color w:val="0033A0"/>
          <w:sz w:val="18"/>
        </w:rPr>
      </w:pPr>
      <w:r>
        <w:rPr>
          <w:rFonts w:ascii="Allstate Sans;sans-serif" w:hAnsi="Allstate Sans;sans-serif"/>
          <w:b w:val="false"/>
          <w:color w:val="0033A0"/>
          <w:sz w:val="18"/>
        </w:rPr>
        <w:t>Notes to Condensed Consolidated Financial Statements</w:t>
      </w:r>
    </w:p>
    <w:p>
      <w:pPr>
        <w:pStyle w:val="TextBody"/>
        <w:bidi w:val="0"/>
        <w:spacing w:lineRule="auto" w:line="288" w:before="0" w:after="120"/>
        <w:jc w:val="left"/>
        <w:rPr>
          <w:rFonts w:ascii="Allstate Sans;sans-serif" w:hAnsi="Allstate Sans;sans-serif"/>
          <w:b w:val="false"/>
          <w:i/>
          <w:color w:val="0033A0"/>
          <w:sz w:val="18"/>
          <w:u w:val="single"/>
        </w:rPr>
      </w:pPr>
      <w:r>
        <w:rPr>
          <w:rFonts w:ascii="Allstate Sans;sans-serif" w:hAnsi="Allstate Sans;sans-serif"/>
          <w:b w:val="false"/>
          <w:i/>
          <w:color w:val="0033A0"/>
          <w:sz w:val="18"/>
          <w:u w:val="single"/>
        </w:rPr>
        <w:t>Level 3 measurements</w:t>
      </w:r>
    </w:p>
    <w:p>
      <w:pPr>
        <w:pStyle w:val="TextBody"/>
        <w:bidi w:val="0"/>
        <w:spacing w:lineRule="auto" w:line="288" w:before="0" w:after="120"/>
        <w:ind w:left="0" w:right="0" w:hanging="270"/>
        <w:jc w:val="left"/>
        <w:rPr/>
      </w:pPr>
      <w:r>
        <w:rPr>
          <w:color w:val="000000"/>
        </w:rPr>
        <w:t>•</w:t>
      </w:r>
      <w:r>
        <w:rPr>
          <w:rFonts w:ascii="Allstate Sans;sans-serif" w:hAnsi="Allstate Sans;sans-serif"/>
          <w:b w:val="false"/>
          <w:i/>
          <w:color w:val="0033A0"/>
          <w:sz w:val="18"/>
          <w:u w:val="single"/>
        </w:rPr>
        <w:t>Fixed income securities:</w:t>
      </w:r>
    </w:p>
    <w:p>
      <w:pPr>
        <w:pStyle w:val="TextBody"/>
        <w:bidi w:val="0"/>
        <w:spacing w:lineRule="auto" w:line="288" w:before="0" w:after="120"/>
        <w:jc w:val="left"/>
        <w:rPr/>
      </w:pPr>
      <w:r>
        <w:rPr>
          <w:rFonts w:ascii="Allstate Sans;sans-serif" w:hAnsi="Allstate Sans;sans-serif"/>
          <w:b w:val="false"/>
          <w:i/>
          <w:color w:val="0033A0"/>
          <w:sz w:val="18"/>
        </w:rPr>
        <w:t>Municipal:</w:t>
      </w:r>
      <w:r>
        <w:rPr>
          <w:color w:val="000000"/>
        </w:rPr>
        <w:t xml:space="preserve"> </w:t>
      </w:r>
      <w:r>
        <w:rPr>
          <w:rFonts w:ascii="Allstate Sans;sans-serif" w:hAnsi="Allstate Sans;sans-serif"/>
          <w:b w:val="false"/>
          <w:color w:val="000000"/>
          <w:sz w:val="18"/>
        </w:rPr>
        <w:t xml:space="preserve">Comprise municipal bonds that are not rated by third-party credit rating agencies. The primary inputs to the valuation of these municipal bonds include quoted prices for identical or similar assets that are not market observable, contractual cash flows, benchmark yields and credit spreads. Also included are municipal bonds valued based on non-binding broker quotes where the inputs have not been corroborated to be market observable and municipal bonds in default valued based on the present value of expected cash flows. </w:t>
      </w:r>
    </w:p>
    <w:p>
      <w:pPr>
        <w:pStyle w:val="TextBody"/>
        <w:bidi w:val="0"/>
        <w:spacing w:lineRule="auto" w:line="288" w:before="0" w:after="120"/>
        <w:jc w:val="left"/>
        <w:rPr/>
      </w:pPr>
      <w:r>
        <w:rPr>
          <w:rFonts w:ascii="Allstate Sans;sans-serif" w:hAnsi="Allstate Sans;sans-serif"/>
          <w:b w:val="false"/>
          <w:i/>
          <w:color w:val="0033A0"/>
          <w:sz w:val="18"/>
        </w:rPr>
        <w:t>Corporate - public and privately placed:</w:t>
      </w:r>
      <w:r>
        <w:rPr>
          <w:color w:val="000000"/>
        </w:rPr>
        <w:t xml:space="preserve"> </w:t>
      </w:r>
      <w:r>
        <w:rPr>
          <w:rFonts w:ascii="Allstate Sans;sans-serif" w:hAnsi="Allstate Sans;sans-serif"/>
          <w:b w:val="false"/>
          <w:color w:val="000000"/>
          <w:sz w:val="18"/>
        </w:rPr>
        <w:t>Primarily valued using a discounted cash flow model that is widely accepted in the financial services industry using inputs that have not been corroborated to be market observable. In certain situations, non-binding broker quotes where the inputs have not been corroborated to be market observable are used. Other inputs for corporate fixed income securities include expected cash flows, an interest rate yield curve, as well as published credit spreads for similar assets that incorporate the credit quality and industry sector of the issuer.</w:t>
      </w:r>
    </w:p>
    <w:p>
      <w:pPr>
        <w:pStyle w:val="TextBody"/>
        <w:bidi w:val="0"/>
        <w:spacing w:lineRule="auto" w:line="288" w:before="0" w:after="120"/>
        <w:jc w:val="left"/>
        <w:rPr/>
      </w:pPr>
      <w:r>
        <w:rPr>
          <w:rFonts w:ascii="Allstate Sans;sans-serif" w:hAnsi="Allstate Sans;sans-serif"/>
          <w:b w:val="false"/>
          <w:i/>
          <w:color w:val="0033A0"/>
          <w:sz w:val="18"/>
        </w:rPr>
        <w:t>ABS and MBS:</w:t>
      </w:r>
      <w:r>
        <w:rPr>
          <w:color w:val="000000"/>
        </w:rPr>
        <w:t xml:space="preserve"> </w:t>
      </w:r>
      <w:r>
        <w:rPr>
          <w:rFonts w:ascii="Allstate Sans;sans-serif" w:hAnsi="Allstate Sans;sans-serif"/>
          <w:b w:val="false"/>
          <w:color w:val="000000"/>
          <w:sz w:val="18"/>
        </w:rPr>
        <w:t>The primary inputs to the valuation include expected cash flows, benchmark yields, collateral performance and credit spreads. Residential MBS include prepayment speeds as a primary input for valuation.</w:t>
      </w:r>
    </w:p>
    <w:p>
      <w:pPr>
        <w:pStyle w:val="TextBody"/>
        <w:bidi w:val="0"/>
        <w:spacing w:lineRule="auto" w:line="288" w:before="0" w:after="120"/>
        <w:ind w:left="0" w:right="0" w:hanging="270"/>
        <w:jc w:val="left"/>
        <w:rPr/>
      </w:pPr>
      <w:r>
        <w:rPr>
          <w:color w:val="000000"/>
        </w:rPr>
        <w:t>•</w:t>
      </w:r>
      <w:r>
        <w:rPr>
          <w:rFonts w:ascii="Allstate Sans;sans-serif" w:hAnsi="Allstate Sans;sans-serif"/>
          <w:b w:val="false"/>
          <w:i/>
          <w:color w:val="0033A0"/>
          <w:sz w:val="18"/>
          <w:u w:val="single"/>
        </w:rPr>
        <w:t>Equity securities:</w:t>
      </w:r>
      <w:r>
        <w:rPr>
          <w:color w:val="000000"/>
        </w:rPr>
        <w:t xml:space="preserve"> </w:t>
      </w:r>
      <w:r>
        <w:rPr>
          <w:rFonts w:ascii="Allstate Sans;sans-serif" w:hAnsi="Allstate Sans;sans-serif"/>
          <w:b w:val="false"/>
          <w:color w:val="000000"/>
          <w:sz w:val="18"/>
        </w:rPr>
        <w:t>The primary inputs to the valuation include quoted prices for identical or similar assets that are not market observable.</w:t>
      </w:r>
    </w:p>
    <w:p>
      <w:pPr>
        <w:pStyle w:val="TextBody"/>
        <w:bidi w:val="0"/>
        <w:spacing w:lineRule="auto" w:line="288" w:before="0" w:after="120"/>
        <w:ind w:left="0" w:right="0" w:hanging="270"/>
        <w:jc w:val="left"/>
        <w:rPr/>
      </w:pPr>
      <w:r>
        <w:rPr>
          <w:color w:val="000000"/>
        </w:rPr>
        <w:t>•</w:t>
      </w:r>
      <w:r>
        <w:rPr>
          <w:rFonts w:ascii="Allstate Sans;sans-serif" w:hAnsi="Allstate Sans;sans-serif"/>
          <w:b w:val="false"/>
          <w:i/>
          <w:color w:val="0033A0"/>
          <w:sz w:val="18"/>
          <w:u w:val="single"/>
        </w:rPr>
        <w:t>Short-term:</w:t>
      </w:r>
      <w:r>
        <w:rPr>
          <w:color w:val="000000"/>
        </w:rPr>
        <w:t xml:space="preserve"> </w:t>
      </w:r>
      <w:r>
        <w:rPr>
          <w:rFonts w:ascii="Allstate Sans;sans-serif" w:hAnsi="Allstate Sans;sans-serif"/>
          <w:b w:val="false"/>
          <w:color w:val="000000"/>
          <w:sz w:val="18"/>
        </w:rPr>
        <w:t>For certain short-term investments, amortized cost is used as the best estimate of fair value.</w:t>
      </w:r>
    </w:p>
    <w:p>
      <w:pPr>
        <w:pStyle w:val="TextBody"/>
        <w:bidi w:val="0"/>
        <w:spacing w:lineRule="auto" w:line="288" w:before="0" w:after="120"/>
        <w:ind w:left="0" w:right="0" w:hanging="270"/>
        <w:jc w:val="left"/>
        <w:rPr/>
      </w:pPr>
      <w:r>
        <w:rPr>
          <w:color w:val="000000"/>
        </w:rPr>
        <w:t>•</w:t>
      </w:r>
      <w:r>
        <w:rPr>
          <w:rFonts w:ascii="Allstate Sans;sans-serif" w:hAnsi="Allstate Sans;sans-serif"/>
          <w:b w:val="false"/>
          <w:i/>
          <w:color w:val="0033A0"/>
          <w:sz w:val="18"/>
          <w:u w:val="single"/>
        </w:rPr>
        <w:t>Other investments:</w:t>
      </w:r>
      <w:r>
        <w:rPr>
          <w:color w:val="000000"/>
        </w:rPr>
        <w:t xml:space="preserve"> </w:t>
      </w:r>
      <w:r>
        <w:rPr>
          <w:rFonts w:ascii="Allstate Sans;sans-serif" w:hAnsi="Allstate Sans;sans-serif"/>
          <w:b w:val="false"/>
          <w:color w:val="000000"/>
          <w:sz w:val="18"/>
        </w:rPr>
        <w:t xml:space="preserve">Certain options (including swaptions) are valued using models that are widely accepted in the financial services industry. These are categorized as Level 3 as a result of the significance of non-market observable inputs such as volatility. Other primary inputs include interest </w:t>
      </w:r>
    </w:p>
    <w:p>
      <w:pPr>
        <w:pStyle w:val="TextBody"/>
        <w:bidi w:val="0"/>
        <w:spacing w:lineRule="auto" w:line="288" w:before="0" w:after="120"/>
        <w:jc w:val="left"/>
        <w:rPr>
          <w:rFonts w:ascii="Allstate Sans;sans-serif" w:hAnsi="Allstate Sans;sans-serif"/>
          <w:b w:val="false"/>
          <w:color w:val="000000"/>
          <w:sz w:val="18"/>
        </w:rPr>
      </w:pPr>
      <w:r>
        <w:rPr>
          <w:rFonts w:ascii="Allstate Sans;sans-serif" w:hAnsi="Allstate Sans;sans-serif"/>
          <w:b w:val="false"/>
          <w:color w:val="000000"/>
          <w:sz w:val="18"/>
        </w:rPr>
        <w:t>rate yield curves and quoted prices for identical or similar assets in markets that exhibit less liquidity relative to those markets supporting Level 2 fair value measurements. Certain OTC interest rate swaps associated with real estate investments are valued using non-market observable counterparty valuations.</w:t>
      </w:r>
    </w:p>
    <w:p>
      <w:pPr>
        <w:pStyle w:val="TextBody"/>
        <w:bidi w:val="0"/>
        <w:spacing w:lineRule="auto" w:line="288" w:before="0" w:after="120"/>
        <w:ind w:left="0" w:right="0" w:hanging="270"/>
        <w:jc w:val="left"/>
        <w:rPr/>
      </w:pPr>
      <w:r>
        <w:rPr>
          <w:color w:val="0033A0"/>
        </w:rPr>
        <w:t>•</w:t>
      </w:r>
      <w:r>
        <w:rPr>
          <w:rFonts w:ascii="Allstate Sans;sans-serif" w:hAnsi="Allstate Sans;sans-serif"/>
          <w:b w:val="false"/>
          <w:i/>
          <w:color w:val="0033A0"/>
          <w:sz w:val="18"/>
          <w:u w:val="single"/>
        </w:rPr>
        <w:t>Other assets:</w:t>
      </w:r>
      <w:r>
        <w:rPr>
          <w:color w:val="000000"/>
        </w:rPr>
        <w:t xml:space="preserve"> </w:t>
      </w:r>
      <w:r>
        <w:rPr>
          <w:rFonts w:ascii="Allstate Sans;sans-serif" w:hAnsi="Allstate Sans;sans-serif"/>
          <w:b w:val="false"/>
          <w:color w:val="000000"/>
          <w:sz w:val="18"/>
        </w:rPr>
        <w:t xml:space="preserve">Includes the contingent consideration provision in the sale agreement for Allstate Life Insurance Company (“ALIC”) which meets the definition of a derivative. This derivative is valued internally using a model that includes stochastically determined cash flows and inputs that include spot and forward interest rates, volatility, corporate credit spreads and a liquidity discount. This derivative is categorized as Level 3 due to the significance of non-market observable inputs. </w:t>
      </w:r>
    </w:p>
    <w:p>
      <w:pPr>
        <w:pStyle w:val="TextBody"/>
        <w:bidi w:val="0"/>
        <w:spacing w:lineRule="auto" w:line="288" w:before="0" w:after="120"/>
        <w:jc w:val="left"/>
        <w:rPr>
          <w:rFonts w:ascii="Allstate Sans;sans-serif" w:hAnsi="Allstate Sans;sans-serif"/>
          <w:b/>
          <w:color w:val="0033A0"/>
          <w:sz w:val="18"/>
        </w:rPr>
      </w:pPr>
      <w:r>
        <w:rPr>
          <w:rFonts w:ascii="Allstate Sans;sans-serif" w:hAnsi="Allstate Sans;sans-serif"/>
          <w:b/>
          <w:color w:val="0033A0"/>
          <w:sz w:val="18"/>
        </w:rPr>
        <w:t>Assets measured at fair value on a non-recurring basis</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Comprise long-lived assets to be disposed of by sale, including real estate, that is written down to fair value less costs to sell, and mortgage loans and bank loans written down to fair value in connection with recognizing credit losses.</w:t>
      </w:r>
    </w:p>
    <w:p>
      <w:pPr>
        <w:pStyle w:val="TextBody"/>
        <w:bidi w:val="0"/>
        <w:spacing w:lineRule="auto" w:line="288" w:before="0" w:after="120"/>
        <w:jc w:val="left"/>
        <w:rPr>
          <w:rFonts w:ascii="Allstate Sans;sans-serif" w:hAnsi="Allstate Sans;sans-serif"/>
          <w:b/>
          <w:color w:val="0033A0"/>
          <w:sz w:val="18"/>
        </w:rPr>
      </w:pPr>
      <w:r>
        <w:rPr>
          <w:rFonts w:ascii="Allstate Sans;sans-serif" w:hAnsi="Allstate Sans;sans-serif"/>
          <w:b/>
          <w:color w:val="0033A0"/>
          <w:sz w:val="18"/>
        </w:rPr>
        <w:t>Investments excluded from the fair value hierarchy</w:t>
      </w:r>
    </w:p>
    <w:p>
      <w:pPr>
        <w:pStyle w:val="TextBody"/>
        <w:bidi w:val="0"/>
        <w:spacing w:lineRule="auto" w:line="288" w:before="0" w:after="120"/>
        <w:jc w:val="left"/>
        <w:rPr>
          <w:rFonts w:ascii="Allstate Sans;sans-serif" w:hAnsi="Allstate Sans;sans-serif"/>
          <w:b w:val="false"/>
          <w:i/>
          <w:color w:val="0033A0"/>
          <w:sz w:val="18"/>
          <w:u w:val="single"/>
        </w:rPr>
      </w:pPr>
      <w:r>
        <w:rPr>
          <w:rFonts w:ascii="Allstate Sans;sans-serif" w:hAnsi="Allstate Sans;sans-serif"/>
          <w:b w:val="false"/>
          <w:i/>
          <w:color w:val="0033A0"/>
          <w:sz w:val="18"/>
          <w:u w:val="single"/>
        </w:rPr>
        <w:t>Investments reported at net asset value (“NAV”)</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 xml:space="preserve">Limited partnership interests and certain equity investments carried at fair value, which do not have readily determinable fair values and use NAV provided by the investees, are excluded from the fair value hierarchy. </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Limited partnership interests are generally not redeemable by the investees and generally cannot be sold without approval of the general partner. The Company receives distributions of income and proceeds from the liquidation of the underlying assets of the investees, which usually takes place in years 4-9 of the typical contractual life of 10-12 years. As of June 30, 2026, the Company has commitments to invest $117 million in limited partnership interests that are reported at NAV.</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25" name="Frame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120"/>
                              <w:jc w:val="left"/>
                              <w:rPr/>
                            </w:pPr>
                            <w:r>
                              <w:rPr>
                                <w:rFonts w:ascii="Allstate Sans;sans-serif" w:hAnsi="Allstate Sans;sans-serif"/>
                                <w:b w:val="false"/>
                                <w:color w:val="0033A0"/>
                                <w:sz w:val="18"/>
                              </w:rPr>
                              <w:t>22</w:t>
                            </w:r>
                            <w:r>
                              <w:rPr>
                                <w:color w:val="1666AF"/>
                              </w:rPr>
                              <w:t xml:space="preserve"> </w:t>
                            </w:r>
                            <w:r>
                              <w:rPr>
                                <w:rFonts w:ascii="Allstate Sans;sans-serif" w:hAnsi="Allstate Sans;sans-serif"/>
                                <w:b w:val="false"/>
                                <w:color w:val="000000"/>
                                <w:sz w:val="18"/>
                              </w:rPr>
                              <w:t>www.allstate.com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left"/>
                        <w:rPr/>
                      </w:pPr>
                      <w:r>
                        <w:rPr>
                          <w:rFonts w:ascii="Allstate Sans;sans-serif" w:hAnsi="Allstate Sans;sans-serif"/>
                          <w:b w:val="false"/>
                          <w:color w:val="0033A0"/>
                          <w:sz w:val="18"/>
                        </w:rPr>
                        <w:t>22</w:t>
                      </w:r>
                      <w:r>
                        <w:rPr>
                          <w:color w:val="1666AF"/>
                        </w:rPr>
                        <w:t xml:space="preserve"> </w:t>
                      </w:r>
                      <w:r>
                        <w:rPr>
                          <w:rFonts w:ascii="Allstate Sans;sans-serif" w:hAnsi="Allstate Sans;sans-serif"/>
                          <w:b w:val="false"/>
                          <w:color w:val="000000"/>
                          <w:sz w:val="18"/>
                        </w:rPr>
                        <w:t>www.allstate.com</w:t>
                      </w:r>
                    </w:p>
                  </w:txbxContent>
                </v:textbox>
                <w10:wrap type="none"/>
              </v:rect>
            </w:pict>
          </mc:Fallback>
        </mc:AlternateContent>
      </w:r>
    </w:p>
    <w:p>
      <w:pPr>
        <w:pStyle w:val="TextBody"/>
        <w:bidi w:val="0"/>
        <w:spacing w:lineRule="auto" w:line="288" w:before="0" w:after="0"/>
        <w:jc w:val="right"/>
        <w:rPr>
          <w:rFonts w:ascii="Allstate Sans;sans-serif" w:hAnsi="Allstate Sans;sans-serif"/>
          <w:b w:val="false"/>
          <w:color w:val="0033A0"/>
          <w:sz w:val="18"/>
        </w:rPr>
      </w:pPr>
      <w:r>
        <w:rPr>
          <w:rFonts w:ascii="Allstate Sans;sans-serif" w:hAnsi="Allstate Sans;sans-serif"/>
          <w:b w:val="false"/>
          <w:color w:val="0033A0"/>
          <w:sz w:val="18"/>
        </w:rPr>
        <w:t>Notes to Condensed Consolidated Financial Statements</w:t>
      </w:r>
    </w:p>
    <w:p>
      <w:pPr>
        <w:pStyle w:val="TextBody"/>
        <w:bidi w:val="0"/>
        <w:spacing w:before="0" w:after="120"/>
        <w:ind w:left="0" w:right="0" w:firstLine="360"/>
        <w:jc w:val="left"/>
        <w:rPr/>
      </w:pPr>
      <w:r>
        <w:rPr/>
      </w:r>
    </w:p>
    <w:tbl>
      <w:tblPr>
        <w:tblW w:w="10205" w:type="dxa"/>
        <w:jc w:val="left"/>
        <w:tblInd w:w="0" w:type="dxa"/>
        <w:tblLayout w:type="fixed"/>
        <w:tblCellMar>
          <w:top w:w="28" w:type="dxa"/>
          <w:left w:w="28" w:type="dxa"/>
          <w:bottom w:w="28" w:type="dxa"/>
          <w:right w:w="28" w:type="dxa"/>
        </w:tblCellMar>
      </w:tblPr>
      <w:tblGrid>
        <w:gridCol w:w="534"/>
        <w:gridCol w:w="456"/>
        <w:gridCol w:w="457"/>
        <w:gridCol w:w="109"/>
        <w:gridCol w:w="109"/>
        <w:gridCol w:w="109"/>
        <w:gridCol w:w="331"/>
        <w:gridCol w:w="1238"/>
        <w:gridCol w:w="161"/>
        <w:gridCol w:w="109"/>
        <w:gridCol w:w="109"/>
        <w:gridCol w:w="109"/>
        <w:gridCol w:w="247"/>
        <w:gridCol w:w="922"/>
        <w:gridCol w:w="119"/>
        <w:gridCol w:w="109"/>
        <w:gridCol w:w="109"/>
        <w:gridCol w:w="109"/>
        <w:gridCol w:w="383"/>
        <w:gridCol w:w="892"/>
        <w:gridCol w:w="186"/>
        <w:gridCol w:w="109"/>
        <w:gridCol w:w="109"/>
        <w:gridCol w:w="109"/>
        <w:gridCol w:w="502"/>
        <w:gridCol w:w="669"/>
        <w:gridCol w:w="243"/>
        <w:gridCol w:w="109"/>
        <w:gridCol w:w="109"/>
        <w:gridCol w:w="109"/>
        <w:gridCol w:w="226"/>
        <w:gridCol w:w="841"/>
        <w:gridCol w:w="163"/>
      </w:tblGrid>
      <w:tr>
        <w:trPr/>
        <w:tc>
          <w:tcPr>
            <w:tcW w:w="53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0205" w:type="dxa"/>
            <w:gridSpan w:val="33"/>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left"/>
              <w:rPr>
                <w:rFonts w:ascii="Allstate Sans;sans-serif" w:hAnsi="Allstate Sans;sans-serif"/>
                <w:b/>
                <w:color w:val="000000"/>
                <w:sz w:val="18"/>
              </w:rPr>
            </w:pPr>
            <w:r>
              <w:rPr>
                <w:rFonts w:ascii="Allstate Sans;sans-serif" w:hAnsi="Allstate Sans;sans-serif"/>
                <w:b/>
                <w:color w:val="000000"/>
                <w:sz w:val="18"/>
              </w:rPr>
              <w:t>Assets and liabilities measured at fair value</w:t>
            </w:r>
          </w:p>
        </w:tc>
      </w:tr>
      <w:tr>
        <w:trPr/>
        <w:tc>
          <w:tcPr>
            <w:tcW w:w="1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1"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June 30, 2026</w:t>
            </w:r>
          </w:p>
        </w:tc>
      </w:tr>
      <w:tr>
        <w:trPr/>
        <w:tc>
          <w:tcPr>
            <w:tcW w:w="14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Quoted prices in active markets for identical assets (Level 1)</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Significant other observable inputs (Level 2)</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Significant unobservable inputs (Level 3)</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Counterparty and cash collateral netting</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Total</w:t>
            </w:r>
          </w:p>
        </w:tc>
      </w:tr>
      <w:tr>
        <w:trPr/>
        <w:tc>
          <w:tcPr>
            <w:tcW w:w="1447"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0" w:type="dxa"/>
            <w:gridSpan w:val="3"/>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7"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Fixed income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0"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7"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U.S. government and agencies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1238"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12,351 </w:t>
            </w:r>
          </w:p>
        </w:tc>
        <w:tc>
          <w:tcPr>
            <w:tcW w:w="16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922"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892"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84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12,351 </w:t>
            </w:r>
          </w:p>
        </w:tc>
        <w:tc>
          <w:tcPr>
            <w:tcW w:w="16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7"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Municipal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6,331 </w:t>
            </w:r>
          </w:p>
        </w:tc>
        <w:tc>
          <w:tcPr>
            <w:tcW w:w="11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3 </w:t>
            </w:r>
          </w:p>
        </w:tc>
        <w:tc>
          <w:tcPr>
            <w:tcW w:w="18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6,334 </w:t>
            </w:r>
          </w:p>
        </w:tc>
        <w:tc>
          <w:tcPr>
            <w:tcW w:w="16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7"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Corporate - public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23,502 </w:t>
            </w:r>
          </w:p>
        </w:tc>
        <w:tc>
          <w:tcPr>
            <w:tcW w:w="11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12 </w:t>
            </w:r>
          </w:p>
        </w:tc>
        <w:tc>
          <w:tcPr>
            <w:tcW w:w="18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23,514 </w:t>
            </w:r>
          </w:p>
        </w:tc>
        <w:tc>
          <w:tcPr>
            <w:tcW w:w="16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7"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Corporate - privately placed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12,726 </w:t>
            </w:r>
          </w:p>
        </w:tc>
        <w:tc>
          <w:tcPr>
            <w:tcW w:w="11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167 </w:t>
            </w:r>
          </w:p>
        </w:tc>
        <w:tc>
          <w:tcPr>
            <w:tcW w:w="18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12,893 </w:t>
            </w:r>
          </w:p>
        </w:tc>
        <w:tc>
          <w:tcPr>
            <w:tcW w:w="16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7"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Foreign government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1,625 </w:t>
            </w:r>
          </w:p>
        </w:tc>
        <w:tc>
          <w:tcPr>
            <w:tcW w:w="11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1,625 </w:t>
            </w:r>
          </w:p>
        </w:tc>
        <w:tc>
          <w:tcPr>
            <w:tcW w:w="16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7"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ABS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1,878 </w:t>
            </w:r>
          </w:p>
        </w:tc>
        <w:tc>
          <w:tcPr>
            <w:tcW w:w="11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93 </w:t>
            </w:r>
          </w:p>
        </w:tc>
        <w:tc>
          <w:tcPr>
            <w:tcW w:w="18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1,971 </w:t>
            </w:r>
          </w:p>
        </w:tc>
        <w:tc>
          <w:tcPr>
            <w:tcW w:w="16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7"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MBS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2,052 </w:t>
            </w:r>
          </w:p>
        </w:tc>
        <w:tc>
          <w:tcPr>
            <w:tcW w:w="11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69 </w:t>
            </w:r>
          </w:p>
        </w:tc>
        <w:tc>
          <w:tcPr>
            <w:tcW w:w="18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2,121 </w:t>
            </w:r>
          </w:p>
        </w:tc>
        <w:tc>
          <w:tcPr>
            <w:tcW w:w="16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7"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 fixed income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12,351</w:t>
            </w:r>
            <w:r>
              <w:rPr>
                <w:color w:val="000000"/>
              </w:rPr>
              <w:t> </w:t>
            </w:r>
          </w:p>
        </w:tc>
        <w:tc>
          <w:tcPr>
            <w:tcW w:w="16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48,114</w:t>
            </w:r>
            <w:r>
              <w:rPr>
                <w:color w:val="000000"/>
              </w:rPr>
              <w:t> </w:t>
            </w:r>
          </w:p>
        </w:tc>
        <w:tc>
          <w:tcPr>
            <w:tcW w:w="11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344</w:t>
            </w:r>
            <w:r>
              <w:rPr>
                <w:color w:val="000000"/>
              </w:rPr>
              <w:t> </w:t>
            </w:r>
          </w:p>
        </w:tc>
        <w:tc>
          <w:tcPr>
            <w:tcW w:w="18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60,809</w:t>
            </w:r>
            <w:r>
              <w:rPr>
                <w:color w:val="000000"/>
              </w:rPr>
              <w:t> </w:t>
            </w:r>
          </w:p>
        </w:tc>
        <w:tc>
          <w:tcPr>
            <w:tcW w:w="16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7"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pPr>
            <w:r>
              <w:rPr>
                <w:rFonts w:ascii="Helvetica_Neue_LT_W1G_55_Roman;sans-serif" w:hAnsi="Helvetica_Neue_LT_W1G_55_Roman;sans-serif"/>
                <w:b w:val="false"/>
                <w:color w:val="000000"/>
                <w:sz w:val="18"/>
              </w:rPr>
              <w:t xml:space="preserve">Equity securities </w:t>
            </w:r>
            <w:r>
              <w:rPr>
                <w:rFonts w:ascii="Helvetica_Neue_LT_W1G_55_Roman;sans-serif" w:hAnsi="Helvetica_Neue_LT_W1G_55_Roman;sans-serif"/>
                <w:b w:val="false"/>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10,347 </w:t>
            </w:r>
          </w:p>
        </w:tc>
        <w:tc>
          <w:tcPr>
            <w:tcW w:w="16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214 </w:t>
            </w:r>
          </w:p>
        </w:tc>
        <w:tc>
          <w:tcPr>
            <w:tcW w:w="11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18 </w:t>
            </w:r>
          </w:p>
        </w:tc>
        <w:tc>
          <w:tcPr>
            <w:tcW w:w="18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10,579 </w:t>
            </w:r>
          </w:p>
        </w:tc>
        <w:tc>
          <w:tcPr>
            <w:tcW w:w="16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7"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Short-term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1,547 </w:t>
            </w:r>
          </w:p>
        </w:tc>
        <w:tc>
          <w:tcPr>
            <w:tcW w:w="16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3,319 </w:t>
            </w:r>
          </w:p>
        </w:tc>
        <w:tc>
          <w:tcPr>
            <w:tcW w:w="11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6 </w:t>
            </w:r>
          </w:p>
        </w:tc>
        <w:tc>
          <w:tcPr>
            <w:tcW w:w="18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4,872 </w:t>
            </w:r>
          </w:p>
        </w:tc>
        <w:tc>
          <w:tcPr>
            <w:tcW w:w="16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7"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Other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19 </w:t>
            </w:r>
          </w:p>
        </w:tc>
        <w:tc>
          <w:tcPr>
            <w:tcW w:w="11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1 </w:t>
            </w:r>
          </w:p>
        </w:tc>
        <w:tc>
          <w:tcPr>
            <w:tcW w:w="18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669"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w:t>
            </w:r>
          </w:p>
        </w:tc>
        <w:tc>
          <w:tcPr>
            <w:tcW w:w="24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14 </w:t>
            </w:r>
          </w:p>
        </w:tc>
        <w:tc>
          <w:tcPr>
            <w:tcW w:w="16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7"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Other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5 </w:t>
            </w:r>
          </w:p>
        </w:tc>
        <w:tc>
          <w:tcPr>
            <w:tcW w:w="16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130 </w:t>
            </w:r>
          </w:p>
        </w:tc>
        <w:tc>
          <w:tcPr>
            <w:tcW w:w="18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135 </w:t>
            </w:r>
          </w:p>
        </w:tc>
        <w:tc>
          <w:tcPr>
            <w:tcW w:w="16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r>
      <w:tr>
        <w:trPr/>
        <w:tc>
          <w:tcPr>
            <w:tcW w:w="1447"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 recurring basis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24,250</w:t>
            </w:r>
            <w:r>
              <w:rPr>
                <w:color w:val="000000"/>
              </w:rPr>
              <w:t> </w:t>
            </w:r>
          </w:p>
        </w:tc>
        <w:tc>
          <w:tcPr>
            <w:tcW w:w="16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51,666</w:t>
            </w:r>
            <w:r>
              <w:rPr>
                <w:color w:val="000000"/>
              </w:rPr>
              <w:t> </w:t>
            </w:r>
          </w:p>
        </w:tc>
        <w:tc>
          <w:tcPr>
            <w:tcW w:w="11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499</w:t>
            </w:r>
            <w:r>
              <w:rPr>
                <w:color w:val="000000"/>
              </w:rPr>
              <w:t> </w:t>
            </w:r>
          </w:p>
        </w:tc>
        <w:tc>
          <w:tcPr>
            <w:tcW w:w="18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(6)</w:t>
            </w:r>
          </w:p>
        </w:tc>
        <w:tc>
          <w:tcPr>
            <w:tcW w:w="24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76,409</w:t>
            </w:r>
            <w:r>
              <w:rPr>
                <w:color w:val="000000"/>
              </w:rPr>
              <w:t> </w:t>
            </w:r>
          </w:p>
        </w:tc>
        <w:tc>
          <w:tcPr>
            <w:tcW w:w="16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7"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pPr>
            <w:r>
              <w:rPr>
                <w:rFonts w:ascii="Helvetica_Neue_LT_W1G_55_Roman;sans-serif" w:hAnsi="Helvetica_Neue_LT_W1G_55_Roman;sans-serif"/>
                <w:b w:val="false"/>
                <w:color w:val="000000"/>
                <w:sz w:val="18"/>
              </w:rPr>
              <w:t>Non-recurring basis</w:t>
            </w:r>
            <w:r>
              <w:rPr>
                <w:color w:val="005BA5"/>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61 </w:t>
            </w:r>
          </w:p>
        </w:tc>
        <w:tc>
          <w:tcPr>
            <w:tcW w:w="18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61 </w:t>
            </w:r>
          </w:p>
        </w:tc>
        <w:tc>
          <w:tcPr>
            <w:tcW w:w="16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7"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 assets at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1238"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24,250</w:t>
            </w:r>
            <w:r>
              <w:rPr>
                <w:color w:val="000000"/>
              </w:rPr>
              <w:t> </w:t>
            </w:r>
          </w:p>
        </w:tc>
        <w:tc>
          <w:tcPr>
            <w:tcW w:w="16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922"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51,666</w:t>
            </w:r>
            <w:r>
              <w:rPr>
                <w:color w:val="000000"/>
              </w:rPr>
              <w:t> </w:t>
            </w:r>
          </w:p>
        </w:tc>
        <w:tc>
          <w:tcPr>
            <w:tcW w:w="11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892"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560</w:t>
            </w:r>
            <w:r>
              <w:rPr>
                <w:color w:val="000000"/>
              </w:rPr>
              <w:t> </w:t>
            </w:r>
          </w:p>
        </w:tc>
        <w:tc>
          <w:tcPr>
            <w:tcW w:w="18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669"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(6)</w:t>
            </w:r>
          </w:p>
        </w:tc>
        <w:tc>
          <w:tcPr>
            <w:tcW w:w="24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84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76,470</w:t>
            </w:r>
            <w:r>
              <w:rPr>
                <w:color w:val="000000"/>
              </w:rPr>
              <w:t> </w:t>
            </w:r>
          </w:p>
        </w:tc>
        <w:tc>
          <w:tcPr>
            <w:tcW w:w="16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r>
      <w:tr>
        <w:trPr/>
        <w:tc>
          <w:tcPr>
            <w:tcW w:w="1447"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0"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7"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pPr>
            <w:r>
              <w:rPr>
                <w:rFonts w:ascii="Helvetica_Neue_LT_W1G_55_Roman;sans-serif" w:hAnsi="Helvetica_Neue_LT_W1G_55_Roman;sans-serif"/>
                <w:b w:val="false"/>
                <w:color w:val="000000"/>
                <w:sz w:val="18"/>
              </w:rPr>
              <w:t xml:space="preserve">Investments reported at NAV </w:t>
            </w:r>
            <w:r>
              <w:rPr>
                <w:rFonts w:ascii="Helvetica_Neue_LT_W1G_55_Roman;sans-serif" w:hAnsi="Helvetica_Neue_LT_W1G_55_Roman;sans-serif"/>
                <w:b w:val="false"/>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0"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1,063 </w:t>
            </w:r>
          </w:p>
        </w:tc>
        <w:tc>
          <w:tcPr>
            <w:tcW w:w="16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7"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0"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84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77,533</w:t>
            </w:r>
            <w:r>
              <w:rPr>
                <w:color w:val="000000"/>
              </w:rPr>
              <w:t> </w:t>
            </w:r>
          </w:p>
        </w:tc>
        <w:tc>
          <w:tcPr>
            <w:tcW w:w="16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7"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0"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7"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Other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1238"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w:t>
            </w:r>
          </w:p>
        </w:tc>
        <w:tc>
          <w:tcPr>
            <w:tcW w:w="16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922"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w:t>
            </w:r>
          </w:p>
        </w:tc>
        <w:tc>
          <w:tcPr>
            <w:tcW w:w="11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892"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669"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6 </w:t>
            </w:r>
          </w:p>
        </w:tc>
        <w:tc>
          <w:tcPr>
            <w:tcW w:w="24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84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w:t>
            </w:r>
          </w:p>
        </w:tc>
        <w:tc>
          <w:tcPr>
            <w:tcW w:w="16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7"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 recurring basis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(5)</w:t>
            </w:r>
          </w:p>
        </w:tc>
        <w:tc>
          <w:tcPr>
            <w:tcW w:w="16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(7)</w:t>
            </w:r>
          </w:p>
        </w:tc>
        <w:tc>
          <w:tcPr>
            <w:tcW w:w="11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6</w:t>
            </w:r>
            <w:r>
              <w:rPr>
                <w:color w:val="000000"/>
              </w:rPr>
              <w:t> </w:t>
            </w:r>
          </w:p>
        </w:tc>
        <w:tc>
          <w:tcPr>
            <w:tcW w:w="24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(6)</w:t>
            </w:r>
          </w:p>
        </w:tc>
        <w:tc>
          <w:tcPr>
            <w:tcW w:w="16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r>
      <w:tr>
        <w:trPr/>
        <w:tc>
          <w:tcPr>
            <w:tcW w:w="1447" w:type="dxa"/>
            <w:gridSpan w:val="3"/>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 liabilities at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1238"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(5)</w:t>
            </w:r>
          </w:p>
        </w:tc>
        <w:tc>
          <w:tcPr>
            <w:tcW w:w="161"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922"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(7)</w:t>
            </w:r>
          </w:p>
        </w:tc>
        <w:tc>
          <w:tcPr>
            <w:tcW w:w="119"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892"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669"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6</w:t>
            </w:r>
            <w:r>
              <w:rPr>
                <w:color w:val="000000"/>
              </w:rPr>
              <w:t> </w:t>
            </w:r>
          </w:p>
        </w:tc>
        <w:tc>
          <w:tcPr>
            <w:tcW w:w="243"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841"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(6)</w:t>
            </w:r>
          </w:p>
        </w:tc>
        <w:tc>
          <w:tcPr>
            <w:tcW w:w="163"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4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180"/>
        <w:jc w:val="left"/>
        <w:rPr/>
      </w:pPr>
      <w:r>
        <w:rPr>
          <w:rFonts w:ascii="Allstate Sans;sans-serif" w:hAnsi="Allstate Sans;sans-serif"/>
          <w:b w:val="false"/>
          <w:color w:val="000000"/>
          <w:sz w:val="10"/>
        </w:rPr>
        <w:t>(1)</w:t>
      </w:r>
      <w:r>
        <w:rPr>
          <w:rFonts w:ascii="Allstate Sans;sans-serif" w:hAnsi="Allstate Sans;sans-serif"/>
          <w:b w:val="false"/>
          <w:color w:val="000000"/>
          <w:sz w:val="16"/>
        </w:rPr>
        <w:t>Excludes $101 million of securities using the measurement alternative or the equity method of accounting and $479 million reported at NAV.</w:t>
      </w:r>
    </w:p>
    <w:p>
      <w:pPr>
        <w:pStyle w:val="TextBody"/>
        <w:bidi w:val="0"/>
        <w:spacing w:lineRule="auto" w:line="288" w:before="0" w:after="120"/>
        <w:ind w:left="0" w:right="0" w:hanging="180"/>
        <w:jc w:val="left"/>
        <w:rPr/>
      </w:pPr>
      <w:r>
        <w:rPr>
          <w:rFonts w:ascii="Allstate Sans;sans-serif" w:hAnsi="Allstate Sans;sans-serif"/>
          <w:b w:val="false"/>
          <w:color w:val="000000"/>
          <w:sz w:val="10"/>
        </w:rPr>
        <w:t>(2)</w:t>
      </w:r>
      <w:r>
        <w:rPr>
          <w:rFonts w:ascii="Allstate Sans;sans-serif" w:hAnsi="Allstate Sans;sans-serif"/>
          <w:b w:val="false"/>
          <w:color w:val="000000"/>
          <w:sz w:val="16"/>
        </w:rPr>
        <w:t>Includes $479 million of equity securities and $584 million of limited partnerships.</w:t>
      </w:r>
    </w:p>
    <w:p>
      <w:pPr>
        <w:pStyle w:val="TextBody"/>
        <w:bidi w:val="0"/>
        <w:spacing w:before="0" w:after="12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33350"/>
                <wp:effectExtent l="0" t="0" r="0" b="0"/>
                <wp:wrapNone/>
                <wp:docPr id="26" name="Frame25"/>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ind w:left="0" w:right="0" w:firstLine="360"/>
                              <w:jc w:val="right"/>
                              <w:rPr/>
                            </w:pPr>
                            <w:r>
                              <w:rPr>
                                <w:rFonts w:ascii="Allstate Sans;sans-serif" w:hAnsi="Allstate Sans;sans-serif"/>
                                <w:b w:val="false"/>
                                <w:color w:val="000000"/>
                                <w:sz w:val="18"/>
                              </w:rPr>
                              <w:t xml:space="preserve">Second Quarter 2026 Form 10-Q </w:t>
                            </w:r>
                            <w:r>
                              <w:rPr>
                                <w:rFonts w:ascii="Allstate Sans;sans-serif" w:hAnsi="Allstate Sans;sans-serif"/>
                                <w:b w:val="false"/>
                                <w:color w:val="0033A0"/>
                                <w:sz w:val="18"/>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right"/>
                        <w:rPr/>
                      </w:pPr>
                      <w:r>
                        <w:rPr>
                          <w:rFonts w:ascii="Allstate Sans;sans-serif" w:hAnsi="Allstate Sans;sans-serif"/>
                          <w:b w:val="false"/>
                          <w:color w:val="000000"/>
                          <w:sz w:val="18"/>
                        </w:rPr>
                        <w:t xml:space="preserve">Second Quarter 2026 Form 10-Q </w:t>
                      </w:r>
                      <w:r>
                        <w:rPr>
                          <w:rFonts w:ascii="Allstate Sans;sans-serif" w:hAnsi="Allstate Sans;sans-serif"/>
                          <w:b w:val="false"/>
                          <w:color w:val="0033A0"/>
                          <w:sz w:val="18"/>
                        </w:rPr>
                        <w:t>23</w:t>
                      </w:r>
                    </w:p>
                  </w:txbxContent>
                </v:textbox>
                <w10:wrap type="none"/>
              </v:rect>
            </w:pict>
          </mc:Fallback>
        </mc:AlternateContent>
      </w:r>
    </w:p>
    <w:p>
      <w:pPr>
        <w:pStyle w:val="TextBody"/>
        <w:bidi w:val="0"/>
        <w:spacing w:lineRule="auto" w:line="288" w:before="0" w:after="0"/>
        <w:jc w:val="left"/>
        <w:rPr>
          <w:rFonts w:ascii="Allstate Sans;sans-serif" w:hAnsi="Allstate Sans;sans-serif"/>
          <w:b w:val="false"/>
          <w:color w:val="0033A0"/>
          <w:sz w:val="18"/>
        </w:rPr>
      </w:pPr>
      <w:r>
        <w:rPr>
          <w:rFonts w:ascii="Allstate Sans;sans-serif" w:hAnsi="Allstate Sans;sans-serif"/>
          <w:b w:val="false"/>
          <w:color w:val="0033A0"/>
          <w:sz w:val="18"/>
        </w:rPr>
        <w:t>Notes to Condensed Consolidated Financial Statements</w:t>
      </w:r>
    </w:p>
    <w:tbl>
      <w:tblPr>
        <w:tblW w:w="10205" w:type="dxa"/>
        <w:jc w:val="left"/>
        <w:tblInd w:w="0" w:type="dxa"/>
        <w:tblLayout w:type="fixed"/>
        <w:tblCellMar>
          <w:top w:w="28" w:type="dxa"/>
          <w:left w:w="28" w:type="dxa"/>
          <w:bottom w:w="28" w:type="dxa"/>
          <w:right w:w="28" w:type="dxa"/>
        </w:tblCellMar>
      </w:tblPr>
      <w:tblGrid>
        <w:gridCol w:w="834"/>
        <w:gridCol w:w="298"/>
        <w:gridCol w:w="300"/>
        <w:gridCol w:w="109"/>
        <w:gridCol w:w="109"/>
        <w:gridCol w:w="109"/>
        <w:gridCol w:w="325"/>
        <w:gridCol w:w="1214"/>
        <w:gridCol w:w="158"/>
        <w:gridCol w:w="109"/>
        <w:gridCol w:w="109"/>
        <w:gridCol w:w="109"/>
        <w:gridCol w:w="243"/>
        <w:gridCol w:w="905"/>
        <w:gridCol w:w="117"/>
        <w:gridCol w:w="109"/>
        <w:gridCol w:w="109"/>
        <w:gridCol w:w="109"/>
        <w:gridCol w:w="377"/>
        <w:gridCol w:w="880"/>
        <w:gridCol w:w="183"/>
        <w:gridCol w:w="109"/>
        <w:gridCol w:w="109"/>
        <w:gridCol w:w="109"/>
        <w:gridCol w:w="424"/>
        <w:gridCol w:w="763"/>
        <w:gridCol w:w="207"/>
        <w:gridCol w:w="109"/>
        <w:gridCol w:w="109"/>
        <w:gridCol w:w="109"/>
        <w:gridCol w:w="226"/>
        <w:gridCol w:w="841"/>
        <w:gridCol w:w="275"/>
      </w:tblGrid>
      <w:tr>
        <w:trPr/>
        <w:tc>
          <w:tcPr>
            <w:tcW w:w="83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10205" w:type="dxa"/>
            <w:gridSpan w:val="33"/>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120"/>
              <w:jc w:val="left"/>
              <w:rPr>
                <w:rFonts w:ascii="Allstate Sans;sans-serif" w:hAnsi="Allstate Sans;sans-serif"/>
                <w:b/>
                <w:color w:val="000000"/>
                <w:sz w:val="18"/>
              </w:rPr>
            </w:pPr>
            <w:r>
              <w:rPr>
                <w:rFonts w:ascii="Allstate Sans;sans-serif" w:hAnsi="Allstate Sans;sans-serif"/>
                <w:b/>
                <w:color w:val="000000"/>
                <w:sz w:val="18"/>
              </w:rPr>
              <w:t>Assets and liabilities measured at fair value</w:t>
            </w:r>
          </w:p>
        </w:tc>
      </w:tr>
      <w:tr>
        <w:trPr/>
        <w:tc>
          <w:tcPr>
            <w:tcW w:w="14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6"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December 31, 2025</w:t>
            </w:r>
          </w:p>
        </w:tc>
      </w:tr>
      <w:tr>
        <w:trPr/>
        <w:tc>
          <w:tcPr>
            <w:tcW w:w="14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Quoted prices in active markets for identical assets (Level 1)</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Significant other observable inputs (Level 2)</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Significant unobservable inputs (Level 3)</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Counterparty and cash collateral netting</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Total</w:t>
            </w:r>
          </w:p>
        </w:tc>
      </w:tr>
      <w:tr>
        <w:trPr/>
        <w:tc>
          <w:tcPr>
            <w:tcW w:w="1432"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3"/>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2"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Fixed income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2"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U.S. government and agencies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1214"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18,124 </w:t>
            </w:r>
          </w:p>
        </w:tc>
        <w:tc>
          <w:tcPr>
            <w:tcW w:w="15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905"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9 </w:t>
            </w:r>
          </w:p>
        </w:tc>
        <w:tc>
          <w:tcPr>
            <w:tcW w:w="11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880"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84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18,133 </w:t>
            </w:r>
          </w:p>
        </w:tc>
        <w:tc>
          <w:tcPr>
            <w:tcW w:w="27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2"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Municipal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5,614 </w:t>
            </w:r>
          </w:p>
        </w:tc>
        <w:tc>
          <w:tcPr>
            <w:tcW w:w="11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29 </w:t>
            </w:r>
          </w:p>
        </w:tc>
        <w:tc>
          <w:tcPr>
            <w:tcW w:w="18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5,643 </w:t>
            </w:r>
          </w:p>
        </w:tc>
        <w:tc>
          <w:tcPr>
            <w:tcW w:w="27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2"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Corporate - public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19,907 </w:t>
            </w:r>
          </w:p>
        </w:tc>
        <w:tc>
          <w:tcPr>
            <w:tcW w:w="11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12 </w:t>
            </w:r>
          </w:p>
        </w:tc>
        <w:tc>
          <w:tcPr>
            <w:tcW w:w="18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19,919 </w:t>
            </w:r>
          </w:p>
        </w:tc>
        <w:tc>
          <w:tcPr>
            <w:tcW w:w="27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2"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Corporate - privately placed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10,295 </w:t>
            </w:r>
          </w:p>
        </w:tc>
        <w:tc>
          <w:tcPr>
            <w:tcW w:w="11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187 </w:t>
            </w:r>
          </w:p>
        </w:tc>
        <w:tc>
          <w:tcPr>
            <w:tcW w:w="18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10,482 </w:t>
            </w:r>
          </w:p>
        </w:tc>
        <w:tc>
          <w:tcPr>
            <w:tcW w:w="27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2"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Foreign government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1,460 </w:t>
            </w:r>
          </w:p>
        </w:tc>
        <w:tc>
          <w:tcPr>
            <w:tcW w:w="11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1,460 </w:t>
            </w:r>
          </w:p>
        </w:tc>
        <w:tc>
          <w:tcPr>
            <w:tcW w:w="27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2"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ABS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1,330 </w:t>
            </w:r>
          </w:p>
        </w:tc>
        <w:tc>
          <w:tcPr>
            <w:tcW w:w="11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22 </w:t>
            </w:r>
          </w:p>
        </w:tc>
        <w:tc>
          <w:tcPr>
            <w:tcW w:w="18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1,352 </w:t>
            </w:r>
          </w:p>
        </w:tc>
        <w:tc>
          <w:tcPr>
            <w:tcW w:w="27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2"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MBS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2,068 </w:t>
            </w:r>
          </w:p>
        </w:tc>
        <w:tc>
          <w:tcPr>
            <w:tcW w:w="11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58 </w:t>
            </w:r>
          </w:p>
        </w:tc>
        <w:tc>
          <w:tcPr>
            <w:tcW w:w="18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2,126 </w:t>
            </w:r>
          </w:p>
        </w:tc>
        <w:tc>
          <w:tcPr>
            <w:tcW w:w="27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2"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 fixed income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18,124</w:t>
            </w:r>
            <w:r>
              <w:rPr>
                <w:color w:val="000000"/>
              </w:rPr>
              <w:t> </w:t>
            </w:r>
          </w:p>
        </w:tc>
        <w:tc>
          <w:tcPr>
            <w:tcW w:w="15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40,683</w:t>
            </w:r>
            <w:r>
              <w:rPr>
                <w:color w:val="000000"/>
              </w:rPr>
              <w:t> </w:t>
            </w:r>
          </w:p>
        </w:tc>
        <w:tc>
          <w:tcPr>
            <w:tcW w:w="11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308</w:t>
            </w:r>
            <w:r>
              <w:rPr>
                <w:color w:val="000000"/>
              </w:rPr>
              <w:t> </w:t>
            </w:r>
          </w:p>
        </w:tc>
        <w:tc>
          <w:tcPr>
            <w:tcW w:w="18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59,115</w:t>
            </w:r>
            <w:r>
              <w:rPr>
                <w:color w:val="000000"/>
              </w:rPr>
              <w:t> </w:t>
            </w:r>
          </w:p>
        </w:tc>
        <w:tc>
          <w:tcPr>
            <w:tcW w:w="27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2"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pPr>
            <w:r>
              <w:rPr>
                <w:rFonts w:ascii="Helvetica_Neue_LT_W1G_55_Roman;sans-serif" w:hAnsi="Helvetica_Neue_LT_W1G_55_Roman;sans-serif"/>
                <w:b w:val="false"/>
                <w:color w:val="000000"/>
                <w:sz w:val="18"/>
              </w:rPr>
              <w:t>Equity securities</w:t>
            </w:r>
            <w:r>
              <w:rPr>
                <w:color w:val="000000"/>
              </w:rPr>
              <w:t xml:space="preserve"> </w:t>
            </w:r>
            <w:r>
              <w:rPr>
                <w:rFonts w:ascii="Helvetica_Neue_LT_W1G_55_Roman;sans-serif" w:hAnsi="Helvetica_Neue_LT_W1G_55_Roman;sans-serif"/>
                <w:b w:val="false"/>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7,572 </w:t>
            </w:r>
          </w:p>
        </w:tc>
        <w:tc>
          <w:tcPr>
            <w:tcW w:w="15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239 </w:t>
            </w:r>
          </w:p>
        </w:tc>
        <w:tc>
          <w:tcPr>
            <w:tcW w:w="11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22 </w:t>
            </w:r>
          </w:p>
        </w:tc>
        <w:tc>
          <w:tcPr>
            <w:tcW w:w="18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7,833 </w:t>
            </w:r>
          </w:p>
        </w:tc>
        <w:tc>
          <w:tcPr>
            <w:tcW w:w="27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2"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Short-term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1,791 </w:t>
            </w:r>
          </w:p>
        </w:tc>
        <w:tc>
          <w:tcPr>
            <w:tcW w:w="15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3,090 </w:t>
            </w:r>
          </w:p>
        </w:tc>
        <w:tc>
          <w:tcPr>
            <w:tcW w:w="11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6 </w:t>
            </w:r>
          </w:p>
        </w:tc>
        <w:tc>
          <w:tcPr>
            <w:tcW w:w="18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4,887 </w:t>
            </w:r>
          </w:p>
        </w:tc>
        <w:tc>
          <w:tcPr>
            <w:tcW w:w="27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2"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Other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11 </w:t>
            </w:r>
          </w:p>
        </w:tc>
        <w:tc>
          <w:tcPr>
            <w:tcW w:w="11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1 </w:t>
            </w:r>
          </w:p>
        </w:tc>
        <w:tc>
          <w:tcPr>
            <w:tcW w:w="18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763"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w:t>
            </w:r>
          </w:p>
        </w:tc>
        <w:tc>
          <w:tcPr>
            <w:tcW w:w="20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11 </w:t>
            </w:r>
          </w:p>
        </w:tc>
        <w:tc>
          <w:tcPr>
            <w:tcW w:w="27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2"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Other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147 </w:t>
            </w:r>
          </w:p>
        </w:tc>
        <w:tc>
          <w:tcPr>
            <w:tcW w:w="18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147 </w:t>
            </w:r>
          </w:p>
        </w:tc>
        <w:tc>
          <w:tcPr>
            <w:tcW w:w="27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1432"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 recurring basis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27,487</w:t>
            </w:r>
            <w:r>
              <w:rPr>
                <w:color w:val="000000"/>
              </w:rPr>
              <w:t> </w:t>
            </w:r>
          </w:p>
        </w:tc>
        <w:tc>
          <w:tcPr>
            <w:tcW w:w="15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44,023</w:t>
            </w:r>
            <w:r>
              <w:rPr>
                <w:color w:val="000000"/>
              </w:rPr>
              <w:t> </w:t>
            </w:r>
          </w:p>
        </w:tc>
        <w:tc>
          <w:tcPr>
            <w:tcW w:w="11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484</w:t>
            </w:r>
            <w:r>
              <w:rPr>
                <w:color w:val="000000"/>
              </w:rPr>
              <w:t> </w:t>
            </w:r>
          </w:p>
        </w:tc>
        <w:tc>
          <w:tcPr>
            <w:tcW w:w="18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(1)</w:t>
            </w:r>
          </w:p>
        </w:tc>
        <w:tc>
          <w:tcPr>
            <w:tcW w:w="20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71,993</w:t>
            </w:r>
            <w:r>
              <w:rPr>
                <w:color w:val="000000"/>
              </w:rPr>
              <w:t> </w:t>
            </w:r>
          </w:p>
        </w:tc>
        <w:tc>
          <w:tcPr>
            <w:tcW w:w="275" w:type="dxa"/>
            <w:tcBorders>
              <w:top w:val="single" w:sz="4" w:space="0" w:color="B6B6B6"/>
            </w:tcBorders>
            <w:tcMar>
              <w:top w:w="30" w:type="dxa"/>
              <w:left w:w="0" w:type="dxa"/>
              <w:bottom w:w="0" w:type="dxa"/>
              <w:right w:w="0" w:type="dxa"/>
            </w:tcMar>
            <w:vAlign w:val="center"/>
          </w:tcPr>
          <w:p>
            <w:pPr>
              <w:pStyle w:val="TableContents"/>
              <w:bidi w:val="0"/>
              <w:spacing w:before="0" w:after="283"/>
              <w:ind w:left="0" w:right="0" w:firstLine="135"/>
              <w:jc w:val="left"/>
              <w:rPr>
                <w:sz w:val="4"/>
                <w:szCs w:val="4"/>
              </w:rPr>
            </w:pPr>
            <w:r>
              <w:rPr>
                <w:sz w:val="4"/>
                <w:szCs w:val="4"/>
              </w:rPr>
            </w:r>
          </w:p>
        </w:tc>
      </w:tr>
      <w:tr>
        <w:trPr/>
        <w:tc>
          <w:tcPr>
            <w:tcW w:w="1432"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Non-recurring basis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32 </w:t>
            </w:r>
          </w:p>
        </w:tc>
        <w:tc>
          <w:tcPr>
            <w:tcW w:w="18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32 </w:t>
            </w:r>
          </w:p>
        </w:tc>
        <w:tc>
          <w:tcPr>
            <w:tcW w:w="27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2"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 assets at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1214"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27,487</w:t>
            </w:r>
            <w:r>
              <w:rPr>
                <w:color w:val="000000"/>
              </w:rPr>
              <w:t> </w:t>
            </w:r>
          </w:p>
        </w:tc>
        <w:tc>
          <w:tcPr>
            <w:tcW w:w="15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905"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44,023</w:t>
            </w:r>
            <w:r>
              <w:rPr>
                <w:color w:val="000000"/>
              </w:rPr>
              <w:t> </w:t>
            </w:r>
          </w:p>
        </w:tc>
        <w:tc>
          <w:tcPr>
            <w:tcW w:w="11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880"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516</w:t>
            </w:r>
            <w:r>
              <w:rPr>
                <w:color w:val="000000"/>
              </w:rPr>
              <w:t> </w:t>
            </w:r>
          </w:p>
        </w:tc>
        <w:tc>
          <w:tcPr>
            <w:tcW w:w="18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763"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(1)</w:t>
            </w:r>
          </w:p>
        </w:tc>
        <w:tc>
          <w:tcPr>
            <w:tcW w:w="20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84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72,025</w:t>
            </w:r>
            <w:r>
              <w:rPr>
                <w:color w:val="000000"/>
              </w:rPr>
              <w:t> </w:t>
            </w:r>
          </w:p>
        </w:tc>
        <w:tc>
          <w:tcPr>
            <w:tcW w:w="27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1432"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2"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pPr>
            <w:r>
              <w:rPr>
                <w:rFonts w:ascii="Helvetica_Neue_LT_W1G_55_Roman;sans-serif" w:hAnsi="Helvetica_Neue_LT_W1G_55_Roman;sans-serif"/>
                <w:b w:val="false"/>
                <w:color w:val="000000"/>
                <w:sz w:val="18"/>
              </w:rPr>
              <w:t>Investments reported at NAV</w:t>
            </w:r>
            <w:r>
              <w:rPr>
                <w:color w:val="000000"/>
              </w:rPr>
              <w:t xml:space="preserve"> </w:t>
            </w:r>
            <w:r>
              <w:rPr>
                <w:rFonts w:ascii="Helvetica_Neue_LT_W1G_55_Roman;sans-serif" w:hAnsi="Helvetica_Neue_LT_W1G_55_Roman;sans-serif"/>
                <w:b w:val="false"/>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1,266 </w:t>
            </w:r>
          </w:p>
        </w:tc>
        <w:tc>
          <w:tcPr>
            <w:tcW w:w="27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2"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84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73,291</w:t>
            </w:r>
            <w:r>
              <w:rPr>
                <w:color w:val="000000"/>
              </w:rPr>
              <w:t> </w:t>
            </w:r>
          </w:p>
        </w:tc>
        <w:tc>
          <w:tcPr>
            <w:tcW w:w="27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2"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2"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Other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1214"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w:t>
            </w:r>
          </w:p>
        </w:tc>
        <w:tc>
          <w:tcPr>
            <w:tcW w:w="15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905"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(19)</w:t>
            </w:r>
          </w:p>
        </w:tc>
        <w:tc>
          <w:tcPr>
            <w:tcW w:w="11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880"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w:t>
            </w:r>
          </w:p>
        </w:tc>
        <w:tc>
          <w:tcPr>
            <w:tcW w:w="18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763"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19 </w:t>
            </w:r>
          </w:p>
        </w:tc>
        <w:tc>
          <w:tcPr>
            <w:tcW w:w="20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84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w:t>
            </w:r>
          </w:p>
        </w:tc>
        <w:tc>
          <w:tcPr>
            <w:tcW w:w="27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2"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 recurring basis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w:t>
            </w:r>
          </w:p>
        </w:tc>
        <w:tc>
          <w:tcPr>
            <w:tcW w:w="15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(19)</w:t>
            </w:r>
          </w:p>
        </w:tc>
        <w:tc>
          <w:tcPr>
            <w:tcW w:w="11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(1)</w:t>
            </w:r>
          </w:p>
        </w:tc>
        <w:tc>
          <w:tcPr>
            <w:tcW w:w="18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19</w:t>
            </w:r>
            <w:r>
              <w:rPr>
                <w:color w:val="000000"/>
              </w:rPr>
              <w:t> </w:t>
            </w:r>
          </w:p>
        </w:tc>
        <w:tc>
          <w:tcPr>
            <w:tcW w:w="20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(3)</w:t>
            </w:r>
          </w:p>
        </w:tc>
        <w:tc>
          <w:tcPr>
            <w:tcW w:w="27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1432" w:type="dxa"/>
            <w:gridSpan w:val="3"/>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 liabilities at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1214"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w:t>
            </w:r>
          </w:p>
        </w:tc>
        <w:tc>
          <w:tcPr>
            <w:tcW w:w="158"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905"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(19)</w:t>
            </w:r>
          </w:p>
        </w:tc>
        <w:tc>
          <w:tcPr>
            <w:tcW w:w="117"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880"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(1)</w:t>
            </w:r>
          </w:p>
        </w:tc>
        <w:tc>
          <w:tcPr>
            <w:tcW w:w="183"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763"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19</w:t>
            </w:r>
            <w:r>
              <w:rPr>
                <w:color w:val="000000"/>
              </w:rPr>
              <w:t> </w:t>
            </w:r>
          </w:p>
        </w:tc>
        <w:tc>
          <w:tcPr>
            <w:tcW w:w="207"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841"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(3)</w:t>
            </w:r>
          </w:p>
        </w:tc>
        <w:tc>
          <w:tcPr>
            <w:tcW w:w="275"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4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180"/>
        <w:jc w:val="left"/>
        <w:rPr/>
      </w:pPr>
      <w:r>
        <w:rPr>
          <w:rFonts w:ascii="Allstate Sans;sans-serif" w:hAnsi="Allstate Sans;sans-serif"/>
          <w:b w:val="false"/>
          <w:color w:val="000000"/>
          <w:sz w:val="10"/>
        </w:rPr>
        <w:t>(1)</w:t>
      </w:r>
      <w:r>
        <w:rPr>
          <w:rFonts w:ascii="Allstate Sans;sans-serif" w:hAnsi="Allstate Sans;sans-serif"/>
          <w:b w:val="false"/>
          <w:color w:val="000000"/>
          <w:sz w:val="16"/>
        </w:rPr>
        <w:t>Excludes $99 million of securities using the measurement alternative or the equity method of accounting and $466 million reported at NAV.</w:t>
      </w:r>
    </w:p>
    <w:p>
      <w:pPr>
        <w:pStyle w:val="TextBody"/>
        <w:bidi w:val="0"/>
        <w:spacing w:lineRule="auto" w:line="288" w:before="0" w:after="120"/>
        <w:ind w:left="0" w:right="0" w:hanging="180"/>
        <w:jc w:val="left"/>
        <w:rPr/>
      </w:pPr>
      <w:r>
        <w:rPr>
          <w:rFonts w:ascii="Allstate Sans;sans-serif" w:hAnsi="Allstate Sans;sans-serif"/>
          <w:b w:val="false"/>
          <w:color w:val="000000"/>
          <w:sz w:val="10"/>
        </w:rPr>
        <w:t>(2)</w:t>
      </w:r>
      <w:r>
        <w:rPr>
          <w:rFonts w:ascii="Allstate Sans;sans-serif" w:hAnsi="Allstate Sans;sans-serif"/>
          <w:b w:val="false"/>
          <w:color w:val="000000"/>
          <w:sz w:val="16"/>
        </w:rPr>
        <w:t>Includes $466 million of equity securities and $800 million of limited partnerships.</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 xml:space="preserve">As of June 30, 2026 and December 31, 2025, Level 3 fair value measurements of fixed income securities totaled $344 million and $308 million, respectively, and included $203 million and $146 million, respectively, of securities valued based on third-party discounted cash flow pricing models where the inputs have not been corroborated to be market observable, $11 million and $12 million, respectively, of securities valued based on non-binding broker quotes where the inputs have not been corroborated to be market observable and $3 million and $29 million, respectively, of municipal fixed income securities that are not rated by third-party credit rating agencies. </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An increase (decrease) in credit spreads for fixed income securities valued based on third-party discounted cash flow pricing models or non-binding broker quotes would result in a lower (higher) fair value, and an increase (decrease) in the credit ratings of municipal bonds that are not rated by third-party credit rating agencies would result in a higher (lower) fair value.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27" name="Frame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120"/>
                              <w:jc w:val="left"/>
                              <w:rPr/>
                            </w:pPr>
                            <w:r>
                              <w:rPr>
                                <w:rFonts w:ascii="Allstate Sans;sans-serif" w:hAnsi="Allstate Sans;sans-serif"/>
                                <w:b w:val="false"/>
                                <w:color w:val="0033A0"/>
                                <w:sz w:val="18"/>
                              </w:rPr>
                              <w:t>24</w:t>
                            </w:r>
                            <w:r>
                              <w:rPr>
                                <w:color w:val="1666AF"/>
                              </w:rPr>
                              <w:t xml:space="preserve"> </w:t>
                            </w:r>
                            <w:r>
                              <w:rPr>
                                <w:rFonts w:ascii="Allstate Sans;sans-serif" w:hAnsi="Allstate Sans;sans-serif"/>
                                <w:b w:val="false"/>
                                <w:color w:val="000000"/>
                                <w:sz w:val="18"/>
                              </w:rPr>
                              <w:t>www.allstate.com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left"/>
                        <w:rPr/>
                      </w:pPr>
                      <w:r>
                        <w:rPr>
                          <w:rFonts w:ascii="Allstate Sans;sans-serif" w:hAnsi="Allstate Sans;sans-serif"/>
                          <w:b w:val="false"/>
                          <w:color w:val="0033A0"/>
                          <w:sz w:val="18"/>
                        </w:rPr>
                        <w:t>24</w:t>
                      </w:r>
                      <w:r>
                        <w:rPr>
                          <w:color w:val="1666AF"/>
                        </w:rPr>
                        <w:t xml:space="preserve"> </w:t>
                      </w:r>
                      <w:r>
                        <w:rPr>
                          <w:rFonts w:ascii="Allstate Sans;sans-serif" w:hAnsi="Allstate Sans;sans-serif"/>
                          <w:b w:val="false"/>
                          <w:color w:val="000000"/>
                          <w:sz w:val="18"/>
                        </w:rPr>
                        <w:t>www.allstate.com</w:t>
                      </w:r>
                    </w:p>
                  </w:txbxContent>
                </v:textbox>
                <w10:wrap type="none"/>
              </v:rect>
            </w:pict>
          </mc:Fallback>
        </mc:AlternateContent>
      </w:r>
    </w:p>
    <w:p>
      <w:pPr>
        <w:pStyle w:val="TextBody"/>
        <w:bidi w:val="0"/>
        <w:spacing w:lineRule="auto" w:line="288" w:before="0" w:after="0"/>
        <w:jc w:val="right"/>
        <w:rPr>
          <w:rFonts w:ascii="Allstate Sans;sans-serif" w:hAnsi="Allstate Sans;sans-serif"/>
          <w:b w:val="false"/>
          <w:color w:val="0033A0"/>
          <w:sz w:val="18"/>
        </w:rPr>
      </w:pPr>
      <w:r>
        <w:rPr>
          <w:rFonts w:ascii="Allstate Sans;sans-serif" w:hAnsi="Allstate Sans;sans-serif"/>
          <w:b w:val="false"/>
          <w:color w:val="0033A0"/>
          <w:sz w:val="18"/>
        </w:rPr>
        <w:t>Notes to Condensed Consolidated Financial Statements</w:t>
      </w:r>
    </w:p>
    <w:p>
      <w:pPr>
        <w:pStyle w:val="TextBody"/>
        <w:bidi w:val="0"/>
        <w:spacing w:before="0" w:after="120"/>
        <w:ind w:left="0" w:right="0" w:firstLine="360"/>
        <w:jc w:val="left"/>
        <w:rPr/>
      </w:pPr>
      <w:r>
        <w:rPr/>
      </w:r>
    </w:p>
    <w:tbl>
      <w:tblPr>
        <w:tblW w:w="12498" w:type="dxa"/>
        <w:jc w:val="left"/>
        <w:tblInd w:w="0" w:type="dxa"/>
        <w:tblLayout w:type="fixed"/>
        <w:tblCellMar>
          <w:top w:w="28" w:type="dxa"/>
          <w:left w:w="28" w:type="dxa"/>
          <w:bottom w:w="28" w:type="dxa"/>
          <w:right w:w="28" w:type="dxa"/>
        </w:tblCellMar>
      </w:tblPr>
      <w:tblGrid>
        <w:gridCol w:w="565"/>
        <w:gridCol w:w="220"/>
        <w:gridCol w:w="221"/>
        <w:gridCol w:w="109"/>
        <w:gridCol w:w="109"/>
        <w:gridCol w:w="109"/>
        <w:gridCol w:w="256"/>
        <w:gridCol w:w="326"/>
        <w:gridCol w:w="109"/>
        <w:gridCol w:w="109"/>
        <w:gridCol w:w="109"/>
        <w:gridCol w:w="109"/>
        <w:gridCol w:w="196"/>
        <w:gridCol w:w="406"/>
        <w:gridCol w:w="109"/>
        <w:gridCol w:w="109"/>
        <w:gridCol w:w="109"/>
        <w:gridCol w:w="109"/>
        <w:gridCol w:w="196"/>
        <w:gridCol w:w="406"/>
        <w:gridCol w:w="109"/>
        <w:gridCol w:w="109"/>
        <w:gridCol w:w="109"/>
        <w:gridCol w:w="109"/>
        <w:gridCol w:w="196"/>
        <w:gridCol w:w="406"/>
        <w:gridCol w:w="109"/>
        <w:gridCol w:w="109"/>
        <w:gridCol w:w="109"/>
        <w:gridCol w:w="109"/>
        <w:gridCol w:w="196"/>
        <w:gridCol w:w="406"/>
        <w:gridCol w:w="109"/>
        <w:gridCol w:w="109"/>
        <w:gridCol w:w="109"/>
        <w:gridCol w:w="109"/>
        <w:gridCol w:w="856"/>
        <w:gridCol w:w="196"/>
        <w:gridCol w:w="406"/>
        <w:gridCol w:w="109"/>
        <w:gridCol w:w="165"/>
        <w:gridCol w:w="165"/>
        <w:gridCol w:w="166"/>
        <w:gridCol w:w="196"/>
        <w:gridCol w:w="406"/>
        <w:gridCol w:w="109"/>
        <w:gridCol w:w="109"/>
        <w:gridCol w:w="109"/>
        <w:gridCol w:w="109"/>
        <w:gridCol w:w="109"/>
        <w:gridCol w:w="991"/>
        <w:gridCol w:w="196"/>
        <w:gridCol w:w="406"/>
        <w:gridCol w:w="109"/>
        <w:gridCol w:w="109"/>
        <w:gridCol w:w="109"/>
        <w:gridCol w:w="109"/>
        <w:gridCol w:w="196"/>
        <w:gridCol w:w="406"/>
        <w:gridCol w:w="154"/>
      </w:tblGrid>
      <w:tr>
        <w:trPr/>
        <w:tc>
          <w:tcPr>
            <w:tcW w:w="565"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704" w:type="dxa"/>
            <w:gridSpan w:val="51"/>
            <w:tcBorders>
              <w:top w:val="single" w:sz="4" w:space="0" w:color="000000"/>
            </w:tcBorders>
            <w:tcMar>
              <w:top w:w="30" w:type="dxa"/>
              <w:left w:w="0" w:type="dxa"/>
              <w:bottom w:w="0" w:type="dxa"/>
              <w:right w:w="0" w:type="dxa"/>
            </w:tcMar>
            <w:vAlign w:val="center"/>
          </w:tcPr>
          <w:p>
            <w:pPr>
              <w:pStyle w:val="TableContents"/>
              <w:bidi w:val="0"/>
              <w:spacing w:lineRule="auto" w:line="288" w:before="0" w:after="120"/>
              <w:jc w:val="left"/>
              <w:rPr>
                <w:rFonts w:ascii="Allstate Sans;sans-serif" w:hAnsi="Allstate Sans;sans-serif"/>
                <w:b/>
                <w:color w:val="000000"/>
                <w:sz w:val="17"/>
              </w:rPr>
            </w:pPr>
            <w:r>
              <w:rPr>
                <w:rFonts w:ascii="Allstate Sans;sans-serif" w:hAnsi="Allstate Sans;sans-serif"/>
                <w:b/>
                <w:color w:val="000000"/>
                <w:sz w:val="17"/>
              </w:rPr>
              <w:t>Rollforward of Level 3 assets and liabilities held at fair value during the three-month period ended June 30, 2026</w:t>
            </w:r>
          </w:p>
        </w:tc>
        <w:tc>
          <w:tcPr>
            <w:tcW w:w="1794" w:type="dxa"/>
            <w:gridSpan w:val="9"/>
            <w:tcBorders/>
          </w:tcPr>
          <w:p>
            <w:pPr>
              <w:pStyle w:val="TableContents"/>
              <w:bidi w:val="0"/>
              <w:spacing w:before="0" w:after="283"/>
              <w:jc w:val="left"/>
              <w:rPr>
                <w:sz w:val="4"/>
                <w:szCs w:val="4"/>
              </w:rPr>
            </w:pPr>
            <w:r>
              <w:rPr>
                <w:sz w:val="4"/>
                <w:szCs w:val="4"/>
              </w:rPr>
            </w:r>
          </w:p>
        </w:tc>
      </w:tr>
      <w:tr>
        <w:trPr/>
        <w:tc>
          <w:tcPr>
            <w:tcW w:w="10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4"/>
              </w:rPr>
            </w:pPr>
            <w:r>
              <w:rPr>
                <w:rFonts w:ascii="Helvetica_Neue_LT_W1G_55_Roman;sans-serif" w:hAnsi="Helvetica_Neue_LT_W1G_55_Roman;sans-serif"/>
                <w:b/>
                <w:color w:val="000000"/>
                <w:sz w:val="14"/>
              </w:rPr>
              <w:t>Balance as of</w:t>
              <w:br/>
              <w:t> 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4"/>
              </w:rPr>
            </w:pPr>
            <w:r>
              <w:rPr>
                <w:rFonts w:ascii="Helvetica_Neue_LT_W1G_55_Roman;sans-serif" w:hAnsi="Helvetica_Neue_LT_W1G_55_Roman;sans-serif"/>
                <w:b/>
                <w:color w:val="000000"/>
                <w:sz w:val="14"/>
              </w:rPr>
              <w:t xml:space="preserve">Total gains (losses) </w:t>
              <w:br/>
              <w:t>included 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Helvetica_Neue_LT_W1G_55_Roman;sans-serif" w:hAnsi="Helvetica_Neue_LT_W1G_55_Roman;sans-serif"/>
                <w:b/>
                <w:color w:val="000000"/>
                <w:sz w:val="14"/>
              </w:rPr>
              <w:t xml:space="preserve">Transfers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4"/>
              </w:rPr>
            </w:pPr>
            <w:r>
              <w:rPr>
                <w:rFonts w:ascii="Helvetica_Neue_LT_W1G_55_Roman;sans-serif" w:hAnsi="Helvetica_Neue_LT_W1G_55_Roman;sans-serif"/>
                <w:b/>
                <w:color w:val="000000"/>
                <w:sz w:val="14"/>
              </w:rPr>
              <w:t>Balance as of</w:t>
              <w:br/>
              <w:t> June 30, 2026</w:t>
            </w:r>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4"/>
              </w:rPr>
            </w:pPr>
            <w:r>
              <w:rPr>
                <w:rFonts w:ascii="Helvetica_Neue_LT_W1G_55_Roman;sans-serif" w:hAnsi="Helvetica_Neue_LT_W1G_55_Roman;sans-serif"/>
                <w:b/>
                <w:color w:val="000000"/>
                <w:sz w:val="14"/>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4"/>
              </w:rPr>
            </w:pPr>
            <w:r>
              <w:rPr>
                <w:rFonts w:ascii="Helvetica_Neue_LT_W1G_55_Roman;sans-serif" w:hAnsi="Helvetica_Neue_LT_W1G_55_Roman;sans-serif"/>
                <w:b/>
                <w:color w:val="000000"/>
                <w:sz w:val="14"/>
              </w:rPr>
              <w:t>Net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4"/>
              </w:rPr>
            </w:pPr>
            <w:r>
              <w:rPr>
                <w:rFonts w:ascii="Helvetica_Neue_LT_W1G_55_Roman;sans-serif" w:hAnsi="Helvetica_Neue_LT_W1G_55_Roman;sans-serif"/>
                <w:b/>
                <w:color w:val="000000"/>
                <w:sz w:val="14"/>
              </w:rPr>
              <w:t>OCI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4"/>
              </w:rPr>
            </w:pPr>
            <w:r>
              <w:rPr>
                <w:rFonts w:ascii="Helvetica_Neue_LT_W1G_55_Roman;sans-serif" w:hAnsi="Helvetica_Neue_LT_W1G_55_Roman;sans-serif"/>
                <w:b/>
                <w:color w:val="000000"/>
                <w:sz w:val="14"/>
              </w:rPr>
              <w:t>Into 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4"/>
              </w:rPr>
            </w:pPr>
            <w:r>
              <w:rPr>
                <w:rFonts w:ascii="Helvetica_Neue_LT_W1G_55_Roman;sans-serif" w:hAnsi="Helvetica_Neue_LT_W1G_55_Roman;sans-serif"/>
                <w:b/>
                <w:color w:val="000000"/>
                <w:sz w:val="14"/>
              </w:rPr>
              <w:t>Out of 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4"/>
              </w:rPr>
            </w:pPr>
            <w:r>
              <w:rPr>
                <w:rFonts w:ascii="Helvetica_Neue_LT_W1G_55_Roman;sans-serif" w:hAnsi="Helvetica_Neue_LT_W1G_55_Roman;sans-serif"/>
                <w:b/>
                <w:color w:val="000000"/>
                <w:sz w:val="14"/>
              </w:rPr>
              <w:t>Purchases</w:t>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4"/>
              </w:rPr>
            </w:pPr>
            <w:r>
              <w:rPr>
                <w:rFonts w:ascii="Helvetica_Neue_LT_W1G_55_Roman;sans-serif" w:hAnsi="Helvetica_Neue_LT_W1G_55_Roman;sans-serif"/>
                <w:b/>
                <w:color w:val="000000"/>
                <w:sz w:val="14"/>
              </w:rPr>
              <w:t>Sales</w:t>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4"/>
              </w:rPr>
            </w:pPr>
            <w:r>
              <w:rPr>
                <w:rFonts w:ascii="Helvetica_Neue_LT_W1G_55_Roman;sans-serif" w:hAnsi="Helvetica_Neue_LT_W1G_55_Roman;sans-serif"/>
                <w:b/>
                <w:color w:val="000000"/>
                <w:sz w:val="14"/>
              </w:rPr>
              <w:t>Settlements</w:t>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75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006"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4"/>
              </w:rPr>
            </w:pPr>
            <w:r>
              <w:rPr>
                <w:rFonts w:ascii="Helvetica_Neue_LT_W1G_55_Roman;sans-serif" w:hAnsi="Helvetica_Neue_LT_W1G_55_Roman;sans-serif"/>
                <w:b/>
                <w:color w:val="000000"/>
                <w:sz w:val="14"/>
              </w:rP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Fixed income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71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71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Municipal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w:t>
            </w:r>
          </w:p>
        </w:tc>
        <w:tc>
          <w:tcPr>
            <w:tcW w:w="3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3 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w:t>
            </w:r>
          </w:p>
        </w:tc>
        <w:tc>
          <w:tcPr>
            <w:tcW w:w="40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w:t>
            </w:r>
          </w:p>
        </w:tc>
        <w:tc>
          <w:tcPr>
            <w:tcW w:w="40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w:t>
            </w:r>
          </w:p>
        </w:tc>
        <w:tc>
          <w:tcPr>
            <w:tcW w:w="40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w:t>
            </w:r>
          </w:p>
        </w:tc>
        <w:tc>
          <w:tcPr>
            <w:tcW w:w="40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9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w:t>
            </w:r>
          </w:p>
        </w:tc>
        <w:tc>
          <w:tcPr>
            <w:tcW w:w="40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w:t>
            </w:r>
          </w:p>
        </w:tc>
        <w:tc>
          <w:tcPr>
            <w:tcW w:w="40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9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w:t>
            </w:r>
          </w:p>
        </w:tc>
        <w:tc>
          <w:tcPr>
            <w:tcW w:w="40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w:t>
            </w:r>
          </w:p>
        </w:tc>
        <w:tc>
          <w:tcPr>
            <w:tcW w:w="40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3 </w:t>
            </w:r>
          </w:p>
        </w:tc>
        <w:tc>
          <w:tcPr>
            <w:tcW w:w="15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Corporate - public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12 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12 </w:t>
            </w:r>
          </w:p>
        </w:tc>
        <w:tc>
          <w:tcPr>
            <w:tcW w:w="15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Corporate - privately placed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174 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(1)</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4 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(3)</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(7)</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167 </w:t>
            </w:r>
          </w:p>
        </w:tc>
        <w:tc>
          <w:tcPr>
            <w:tcW w:w="15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ABS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42 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1 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(10)</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61 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(1)</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93 </w:t>
            </w:r>
          </w:p>
        </w:tc>
        <w:tc>
          <w:tcPr>
            <w:tcW w:w="15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MBS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69 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69 </w:t>
            </w:r>
          </w:p>
        </w:tc>
        <w:tc>
          <w:tcPr>
            <w:tcW w:w="15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4"/>
              </w:rPr>
            </w:pPr>
            <w:r>
              <w:rPr>
                <w:rFonts w:ascii="Helvetica_Neue_LT_W1G_55_Roman;sans-serif" w:hAnsi="Helvetica_Neue_LT_W1G_55_Roman;sans-serif"/>
                <w:b/>
                <w:color w:val="000000"/>
                <w:sz w:val="14"/>
              </w:rPr>
              <w:t>Total fixed income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4"/>
              </w:rPr>
              <w:t>300</w:t>
            </w: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4"/>
              </w:rPr>
            </w:pPr>
            <w:r>
              <w:rPr>
                <w:rFonts w:ascii="Helvetica_Neue_LT_W1G_55_Roman;sans-serif" w:hAnsi="Helvetica_Neue_LT_W1G_55_Roman;sans-serif"/>
                <w:b/>
                <w:color w:val="000000"/>
                <w:sz w:val="14"/>
              </w:rPr>
              <w:t>(10)</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4"/>
              </w:rPr>
              <w:t>65</w:t>
            </w: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4"/>
              </w:rPr>
            </w:pPr>
            <w:r>
              <w:rPr>
                <w:rFonts w:ascii="Helvetica_Neue_LT_W1G_55_Roman;sans-serif" w:hAnsi="Helvetica_Neue_LT_W1G_55_Roman;sans-serif"/>
                <w:b/>
                <w:color w:val="000000"/>
                <w:sz w:val="14"/>
              </w:rPr>
              <w:t>(3)</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4"/>
              </w:rPr>
            </w:pPr>
            <w:r>
              <w:rPr>
                <w:rFonts w:ascii="Helvetica_Neue_LT_W1G_55_Roman;sans-serif" w:hAnsi="Helvetica_Neue_LT_W1G_55_Roman;sans-serif"/>
                <w:b/>
                <w:color w:val="000000"/>
                <w:sz w:val="14"/>
              </w:rPr>
              <w:t>(8)</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4"/>
              </w:rPr>
              <w:t>344</w:t>
            </w:r>
            <w:r>
              <w:rPr>
                <w:color w:val="000000"/>
              </w:rPr>
              <w:t> </w:t>
            </w:r>
          </w:p>
        </w:tc>
        <w:tc>
          <w:tcPr>
            <w:tcW w:w="15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Equity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18 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18 </w:t>
            </w:r>
          </w:p>
        </w:tc>
        <w:tc>
          <w:tcPr>
            <w:tcW w:w="15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Short-term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10 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(3)</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1 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(1)</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(1)</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6 </w:t>
            </w:r>
          </w:p>
        </w:tc>
        <w:tc>
          <w:tcPr>
            <w:tcW w:w="15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Other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1 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1 </w:t>
            </w:r>
          </w:p>
        </w:tc>
        <w:tc>
          <w:tcPr>
            <w:tcW w:w="15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Other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128 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2 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130 </w:t>
            </w:r>
          </w:p>
        </w:tc>
        <w:tc>
          <w:tcPr>
            <w:tcW w:w="15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4"/>
              </w:rPr>
            </w:pPr>
            <w:r>
              <w:rPr>
                <w:rFonts w:ascii="Helvetica_Neue_LT_W1G_55_Roman;sans-serif" w:hAnsi="Helvetica_Neue_LT_W1G_55_Roman;sans-serif"/>
                <w:b/>
                <w:color w:val="000000"/>
                <w:sz w:val="14"/>
              </w:rPr>
              <w:t>Total recurring Level 3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4"/>
              </w:rPr>
              <w:t>457</w:t>
            </w: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4"/>
              </w:rPr>
              <w:t>2</w:t>
            </w: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4"/>
              </w:rPr>
            </w:pPr>
            <w:r>
              <w:rPr>
                <w:rFonts w:ascii="Helvetica_Neue_LT_W1G_55_Roman;sans-serif" w:hAnsi="Helvetica_Neue_LT_W1G_55_Roman;sans-serif"/>
                <w:b/>
                <w:color w:val="000000"/>
                <w:sz w:val="14"/>
              </w:rPr>
              <w:t>(13)</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4"/>
              </w:rPr>
              <w:t>66</w:t>
            </w: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4"/>
              </w:rPr>
            </w:pPr>
            <w:r>
              <w:rPr>
                <w:rFonts w:ascii="Helvetica_Neue_LT_W1G_55_Roman;sans-serif" w:hAnsi="Helvetica_Neue_LT_W1G_55_Roman;sans-serif"/>
                <w:b/>
                <w:color w:val="000000"/>
                <w:sz w:val="14"/>
              </w:rPr>
              <w:t>(4)</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4"/>
              </w:rPr>
            </w:pPr>
            <w:r>
              <w:rPr>
                <w:rFonts w:ascii="Helvetica_Neue_LT_W1G_55_Roman;sans-serif" w:hAnsi="Helvetica_Neue_LT_W1G_55_Roman;sans-serif"/>
                <w:b/>
                <w:color w:val="000000"/>
                <w:sz w:val="14"/>
              </w:rPr>
              <w:t>(9)</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4"/>
              </w:rPr>
              <w:t>499</w:t>
            </w:r>
            <w:r>
              <w:rPr>
                <w:color w:val="000000"/>
              </w:rPr>
              <w:t> </w:t>
            </w:r>
          </w:p>
        </w:tc>
        <w:tc>
          <w:tcPr>
            <w:tcW w:w="15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4"/>
              </w:rPr>
            </w:pPr>
            <w:r>
              <w:rPr>
                <w:rFonts w:ascii="Helvetica_Neue_LT_W1G_55_Roman;sans-serif" w:hAnsi="Helvetica_Neue_LT_W1G_55_Roman;sans-serif"/>
                <w:b/>
                <w:color w:val="000000"/>
                <w:sz w:val="14"/>
              </w:rPr>
              <w:t>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71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71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Other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(1)</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1 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4"/>
              </w:rPr>
            </w:pPr>
            <w:r>
              <w:rPr>
                <w:rFonts w:ascii="Helvetica_Neue_LT_W1G_55_Roman;sans-serif" w:hAnsi="Helvetica_Neue_LT_W1G_55_Roman;sans-serif"/>
                <w:b/>
                <w:color w:val="000000"/>
                <w:sz w:val="14"/>
              </w:rPr>
              <w:t>Total recurring Level 3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4"/>
              </w:rPr>
            </w:pPr>
            <w:r>
              <w:rPr>
                <w:rFonts w:ascii="Helvetica_Neue_LT_W1G_55_Roman;sans-serif" w:hAnsi="Helvetica_Neue_LT_W1G_55_Roman;sans-serif"/>
                <w:b/>
                <w:color w:val="000000"/>
                <w:sz w:val="14"/>
              </w:rPr>
              <w:t>$</w:t>
            </w:r>
          </w:p>
        </w:tc>
        <w:tc>
          <w:tcPr>
            <w:tcW w:w="32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4"/>
              </w:rPr>
            </w:pPr>
            <w:r>
              <w:rPr>
                <w:rFonts w:ascii="Helvetica_Neue_LT_W1G_55_Roman;sans-serif" w:hAnsi="Helvetica_Neue_LT_W1G_55_Roman;sans-serif"/>
                <w:b/>
                <w:color w:val="000000"/>
                <w:sz w:val="14"/>
              </w:rPr>
              <w:t>(1)</w:t>
            </w:r>
          </w:p>
        </w:tc>
        <w:tc>
          <w:tcPr>
            <w:tcW w:w="109"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4"/>
              </w:rPr>
            </w:pPr>
            <w:r>
              <w:rPr>
                <w:rFonts w:ascii="Helvetica_Neue_LT_W1G_55_Roman;sans-serif" w:hAnsi="Helvetica_Neue_LT_W1G_55_Roman;sans-serif"/>
                <w:b/>
                <w:color w:val="000000"/>
                <w:sz w:val="14"/>
              </w:rPr>
              <w:t>$</w:t>
            </w:r>
          </w:p>
        </w:tc>
        <w:tc>
          <w:tcPr>
            <w:tcW w:w="40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4"/>
              </w:rPr>
              <w:t>1</w:t>
            </w:r>
            <w:r>
              <w:rPr>
                <w:color w:val="000000"/>
              </w:rPr>
              <w:t> </w:t>
            </w:r>
          </w:p>
        </w:tc>
        <w:tc>
          <w:tcPr>
            <w:tcW w:w="109"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4"/>
              </w:rPr>
            </w:pPr>
            <w:r>
              <w:rPr>
                <w:rFonts w:ascii="Helvetica_Neue_LT_W1G_55_Roman;sans-serif" w:hAnsi="Helvetica_Neue_LT_W1G_55_Roman;sans-serif"/>
                <w:b/>
                <w:color w:val="000000"/>
                <w:sz w:val="14"/>
              </w:rPr>
              <w:t>$</w:t>
            </w:r>
          </w:p>
        </w:tc>
        <w:tc>
          <w:tcPr>
            <w:tcW w:w="40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4"/>
              </w:rPr>
            </w:pPr>
            <w:r>
              <w:rPr>
                <w:rFonts w:ascii="Helvetica_Neue_LT_W1G_55_Roman;sans-serif" w:hAnsi="Helvetica_Neue_LT_W1G_55_Roman;sans-serif"/>
                <w:b/>
                <w:color w:val="000000"/>
                <w:sz w:val="14"/>
              </w:rPr>
              <w:t>$</w:t>
            </w:r>
          </w:p>
        </w:tc>
        <w:tc>
          <w:tcPr>
            <w:tcW w:w="40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4"/>
              </w:rPr>
            </w:pPr>
            <w:r>
              <w:rPr>
                <w:rFonts w:ascii="Helvetica_Neue_LT_W1G_55_Roman;sans-serif" w:hAnsi="Helvetica_Neue_LT_W1G_55_Roman;sans-serif"/>
                <w:b/>
                <w:color w:val="000000"/>
                <w:sz w:val="14"/>
              </w:rPr>
              <w:t>$</w:t>
            </w:r>
          </w:p>
        </w:tc>
        <w:tc>
          <w:tcPr>
            <w:tcW w:w="40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9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4"/>
              </w:rPr>
            </w:pPr>
            <w:r>
              <w:rPr>
                <w:rFonts w:ascii="Helvetica_Neue_LT_W1G_55_Roman;sans-serif" w:hAnsi="Helvetica_Neue_LT_W1G_55_Roman;sans-serif"/>
                <w:b/>
                <w:color w:val="000000"/>
                <w:sz w:val="14"/>
              </w:rPr>
              <w:t>$</w:t>
            </w:r>
          </w:p>
        </w:tc>
        <w:tc>
          <w:tcPr>
            <w:tcW w:w="40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4"/>
              </w:rPr>
            </w:pPr>
            <w:r>
              <w:rPr>
                <w:rFonts w:ascii="Helvetica_Neue_LT_W1G_55_Roman;sans-serif" w:hAnsi="Helvetica_Neue_LT_W1G_55_Roman;sans-serif"/>
                <w:b/>
                <w:color w:val="000000"/>
                <w:sz w:val="14"/>
              </w:rPr>
              <w:t>$</w:t>
            </w:r>
          </w:p>
        </w:tc>
        <w:tc>
          <w:tcPr>
            <w:tcW w:w="40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9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4"/>
              </w:rPr>
            </w:pPr>
            <w:r>
              <w:rPr>
                <w:rFonts w:ascii="Helvetica_Neue_LT_W1G_55_Roman;sans-serif" w:hAnsi="Helvetica_Neue_LT_W1G_55_Roman;sans-serif"/>
                <w:b/>
                <w:color w:val="000000"/>
                <w:sz w:val="14"/>
              </w:rPr>
              <w:t>$</w:t>
            </w:r>
          </w:p>
        </w:tc>
        <w:tc>
          <w:tcPr>
            <w:tcW w:w="40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4"/>
              </w:rPr>
            </w:pPr>
            <w:r>
              <w:rPr>
                <w:rFonts w:ascii="Helvetica_Neue_LT_W1G_55_Roman;sans-serif" w:hAnsi="Helvetica_Neue_LT_W1G_55_Roman;sans-serif"/>
                <w:b/>
                <w:color w:val="000000"/>
                <w:sz w:val="14"/>
              </w:rPr>
              <w:t>$</w:t>
            </w:r>
          </w:p>
        </w:tc>
        <w:tc>
          <w:tcPr>
            <w:tcW w:w="40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2802" w:type="dxa"/>
        <w:jc w:val="left"/>
        <w:tblInd w:w="0" w:type="dxa"/>
        <w:tblLayout w:type="fixed"/>
        <w:tblCellMar>
          <w:top w:w="28" w:type="dxa"/>
          <w:left w:w="28" w:type="dxa"/>
          <w:bottom w:w="28" w:type="dxa"/>
          <w:right w:w="28" w:type="dxa"/>
        </w:tblCellMar>
      </w:tblPr>
      <w:tblGrid>
        <w:gridCol w:w="565"/>
        <w:gridCol w:w="220"/>
        <w:gridCol w:w="221"/>
        <w:gridCol w:w="109"/>
        <w:gridCol w:w="109"/>
        <w:gridCol w:w="109"/>
        <w:gridCol w:w="273"/>
        <w:gridCol w:w="461"/>
        <w:gridCol w:w="152"/>
        <w:gridCol w:w="109"/>
        <w:gridCol w:w="109"/>
        <w:gridCol w:w="109"/>
        <w:gridCol w:w="196"/>
        <w:gridCol w:w="406"/>
        <w:gridCol w:w="109"/>
        <w:gridCol w:w="109"/>
        <w:gridCol w:w="109"/>
        <w:gridCol w:w="109"/>
        <w:gridCol w:w="196"/>
        <w:gridCol w:w="406"/>
        <w:gridCol w:w="109"/>
        <w:gridCol w:w="109"/>
        <w:gridCol w:w="109"/>
        <w:gridCol w:w="109"/>
        <w:gridCol w:w="196"/>
        <w:gridCol w:w="406"/>
        <w:gridCol w:w="109"/>
        <w:gridCol w:w="109"/>
        <w:gridCol w:w="109"/>
        <w:gridCol w:w="109"/>
        <w:gridCol w:w="196"/>
        <w:gridCol w:w="406"/>
        <w:gridCol w:w="109"/>
        <w:gridCol w:w="109"/>
        <w:gridCol w:w="109"/>
        <w:gridCol w:w="109"/>
        <w:gridCol w:w="109"/>
        <w:gridCol w:w="856"/>
        <w:gridCol w:w="196"/>
        <w:gridCol w:w="406"/>
        <w:gridCol w:w="109"/>
        <w:gridCol w:w="165"/>
        <w:gridCol w:w="165"/>
        <w:gridCol w:w="166"/>
        <w:gridCol w:w="196"/>
        <w:gridCol w:w="406"/>
        <w:gridCol w:w="109"/>
        <w:gridCol w:w="109"/>
        <w:gridCol w:w="109"/>
        <w:gridCol w:w="109"/>
        <w:gridCol w:w="109"/>
        <w:gridCol w:w="991"/>
        <w:gridCol w:w="196"/>
        <w:gridCol w:w="406"/>
        <w:gridCol w:w="109"/>
        <w:gridCol w:w="109"/>
        <w:gridCol w:w="109"/>
        <w:gridCol w:w="109"/>
        <w:gridCol w:w="196"/>
        <w:gridCol w:w="406"/>
        <w:gridCol w:w="154"/>
      </w:tblGrid>
      <w:tr>
        <w:trPr/>
        <w:tc>
          <w:tcPr>
            <w:tcW w:w="565"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17" w:type="dxa"/>
            <w:gridSpan w:val="51"/>
            <w:tcBorders>
              <w:top w:val="single" w:sz="4" w:space="0" w:color="000000"/>
            </w:tcBorders>
            <w:tcMar>
              <w:top w:w="30" w:type="dxa"/>
              <w:left w:w="0" w:type="dxa"/>
              <w:bottom w:w="0" w:type="dxa"/>
              <w:right w:w="0" w:type="dxa"/>
            </w:tcMar>
            <w:vAlign w:val="center"/>
          </w:tcPr>
          <w:p>
            <w:pPr>
              <w:pStyle w:val="TableContents"/>
              <w:bidi w:val="0"/>
              <w:spacing w:lineRule="auto" w:line="288" w:before="0" w:after="120"/>
              <w:jc w:val="left"/>
              <w:rPr>
                <w:rFonts w:ascii="Allstate Sans;sans-serif" w:hAnsi="Allstate Sans;sans-serif"/>
                <w:b/>
                <w:color w:val="000000"/>
                <w:sz w:val="17"/>
              </w:rPr>
            </w:pPr>
            <w:r>
              <w:rPr>
                <w:rFonts w:ascii="Allstate Sans;sans-serif" w:hAnsi="Allstate Sans;sans-serif"/>
                <w:b/>
                <w:color w:val="000000"/>
                <w:sz w:val="17"/>
              </w:rPr>
              <w:t>Rollforward of Level 3 assets and liabilities held at fair value during the six-month period ended June 30, 2026</w:t>
            </w:r>
          </w:p>
        </w:tc>
        <w:tc>
          <w:tcPr>
            <w:tcW w:w="2785" w:type="dxa"/>
            <w:gridSpan w:val="10"/>
            <w:tcBorders/>
          </w:tcPr>
          <w:p>
            <w:pPr>
              <w:pStyle w:val="TableContents"/>
              <w:bidi w:val="0"/>
              <w:spacing w:before="0" w:after="283"/>
              <w:jc w:val="left"/>
              <w:rPr>
                <w:sz w:val="4"/>
                <w:szCs w:val="4"/>
              </w:rPr>
            </w:pPr>
            <w:r>
              <w:rPr>
                <w:sz w:val="4"/>
                <w:szCs w:val="4"/>
              </w:rPr>
            </w:r>
          </w:p>
        </w:tc>
      </w:tr>
      <w:tr>
        <w:trPr/>
        <w:tc>
          <w:tcPr>
            <w:tcW w:w="10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4"/>
              </w:rPr>
            </w:pPr>
            <w:r>
              <w:rPr>
                <w:rFonts w:ascii="Helvetica_Neue_LT_W1G_55_Roman;sans-serif" w:hAnsi="Helvetica_Neue_LT_W1G_55_Roman;sans-serif"/>
                <w:b/>
                <w:color w:val="000000"/>
                <w:sz w:val="14"/>
              </w:rPr>
              <w:t>Balance as of</w:t>
              <w:br/>
              <w:t> 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4"/>
              </w:rPr>
            </w:pPr>
            <w:r>
              <w:rPr>
                <w:rFonts w:ascii="Helvetica_Neue_LT_W1G_55_Roman;sans-serif" w:hAnsi="Helvetica_Neue_LT_W1G_55_Roman;sans-serif"/>
                <w:b/>
                <w:color w:val="000000"/>
                <w:sz w:val="14"/>
              </w:rPr>
              <w:t xml:space="preserve">Total gains (losses) </w:t>
              <w:br/>
              <w:t>included 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Helvetica_Neue_LT_W1G_55_Roman;sans-serif" w:hAnsi="Helvetica_Neue_LT_W1G_55_Roman;sans-serif"/>
                <w:b/>
                <w:color w:val="000000"/>
                <w:sz w:val="14"/>
              </w:rPr>
              <w:t xml:space="preserve">Transfers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4"/>
              </w:rPr>
            </w:pPr>
            <w:r>
              <w:rPr>
                <w:rFonts w:ascii="Helvetica_Neue_LT_W1G_55_Roman;sans-serif" w:hAnsi="Helvetica_Neue_LT_W1G_55_Roman;sans-serif"/>
                <w:b/>
                <w:color w:val="000000"/>
                <w:sz w:val="14"/>
              </w:rPr>
              <w:t>Balance as of</w:t>
              <w:br/>
              <w:t> June 30, 2026</w:t>
            </w:r>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4"/>
              </w:rPr>
            </w:pPr>
            <w:r>
              <w:rPr>
                <w:rFonts w:ascii="Helvetica_Neue_LT_W1G_55_Roman;sans-serif" w:hAnsi="Helvetica_Neue_LT_W1G_55_Roman;sans-serif"/>
                <w:b/>
                <w:color w:val="000000"/>
                <w:sz w:val="14"/>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4"/>
              </w:rPr>
            </w:pPr>
            <w:r>
              <w:rPr>
                <w:rFonts w:ascii="Helvetica_Neue_LT_W1G_55_Roman;sans-serif" w:hAnsi="Helvetica_Neue_LT_W1G_55_Roman;sans-serif"/>
                <w:b/>
                <w:color w:val="000000"/>
                <w:sz w:val="14"/>
              </w:rPr>
              <w:t>Net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4"/>
              </w:rPr>
            </w:pPr>
            <w:r>
              <w:rPr>
                <w:rFonts w:ascii="Helvetica_Neue_LT_W1G_55_Roman;sans-serif" w:hAnsi="Helvetica_Neue_LT_W1G_55_Roman;sans-serif"/>
                <w:b/>
                <w:color w:val="000000"/>
                <w:sz w:val="14"/>
              </w:rPr>
              <w:t>OCI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4"/>
              </w:rPr>
            </w:pPr>
            <w:r>
              <w:rPr>
                <w:rFonts w:ascii="Helvetica_Neue_LT_W1G_55_Roman;sans-serif" w:hAnsi="Helvetica_Neue_LT_W1G_55_Roman;sans-serif"/>
                <w:b/>
                <w:color w:val="000000"/>
                <w:sz w:val="14"/>
              </w:rPr>
              <w:t>Into 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4"/>
              </w:rPr>
            </w:pPr>
            <w:r>
              <w:rPr>
                <w:rFonts w:ascii="Helvetica_Neue_LT_W1G_55_Roman;sans-serif" w:hAnsi="Helvetica_Neue_LT_W1G_55_Roman;sans-serif"/>
                <w:b/>
                <w:color w:val="000000"/>
                <w:sz w:val="14"/>
              </w:rPr>
              <w:t>Out of 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4"/>
              </w:rPr>
            </w:pPr>
            <w:r>
              <w:rPr>
                <w:rFonts w:ascii="Helvetica_Neue_LT_W1G_55_Roman;sans-serif" w:hAnsi="Helvetica_Neue_LT_W1G_55_Roman;sans-serif"/>
                <w:b/>
                <w:color w:val="000000"/>
                <w:sz w:val="14"/>
              </w:rPr>
              <w:t>Purchases</w:t>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4"/>
              </w:rPr>
            </w:pPr>
            <w:r>
              <w:rPr>
                <w:rFonts w:ascii="Helvetica_Neue_LT_W1G_55_Roman;sans-serif" w:hAnsi="Helvetica_Neue_LT_W1G_55_Roman;sans-serif"/>
                <w:b/>
                <w:color w:val="000000"/>
                <w:sz w:val="14"/>
              </w:rPr>
              <w:t>Sales</w:t>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4"/>
              </w:rPr>
            </w:pPr>
            <w:r>
              <w:rPr>
                <w:rFonts w:ascii="Helvetica_Neue_LT_W1G_55_Roman;sans-serif" w:hAnsi="Helvetica_Neue_LT_W1G_55_Roman;sans-serif"/>
                <w:b/>
                <w:color w:val="000000"/>
                <w:sz w:val="14"/>
              </w:rPr>
              <w:t>Settlements</w:t>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75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006"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4"/>
              </w:rPr>
            </w:pPr>
            <w:r>
              <w:rPr>
                <w:rFonts w:ascii="Helvetica_Neue_LT_W1G_55_Roman;sans-serif" w:hAnsi="Helvetica_Neue_LT_W1G_55_Roman;sans-serif"/>
                <w:b/>
                <w:color w:val="000000"/>
                <w:sz w:val="14"/>
              </w:rP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Fixed income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71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71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Municipal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w:t>
            </w:r>
          </w:p>
        </w:tc>
        <w:tc>
          <w:tcPr>
            <w:tcW w:w="46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29 </w:t>
            </w:r>
          </w:p>
        </w:tc>
        <w:tc>
          <w:tcPr>
            <w:tcW w:w="15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w:t>
            </w:r>
          </w:p>
        </w:tc>
        <w:tc>
          <w:tcPr>
            <w:tcW w:w="40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w:t>
            </w:r>
          </w:p>
        </w:tc>
        <w:tc>
          <w:tcPr>
            <w:tcW w:w="40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w:t>
            </w:r>
          </w:p>
        </w:tc>
        <w:tc>
          <w:tcPr>
            <w:tcW w:w="40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w:t>
            </w:r>
          </w:p>
        </w:tc>
        <w:tc>
          <w:tcPr>
            <w:tcW w:w="40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(26)</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9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w:t>
            </w:r>
          </w:p>
        </w:tc>
        <w:tc>
          <w:tcPr>
            <w:tcW w:w="40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w:t>
            </w:r>
          </w:p>
        </w:tc>
        <w:tc>
          <w:tcPr>
            <w:tcW w:w="40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9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w:t>
            </w:r>
          </w:p>
        </w:tc>
        <w:tc>
          <w:tcPr>
            <w:tcW w:w="40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w:t>
            </w:r>
          </w:p>
        </w:tc>
        <w:tc>
          <w:tcPr>
            <w:tcW w:w="40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3 </w:t>
            </w:r>
          </w:p>
        </w:tc>
        <w:tc>
          <w:tcPr>
            <w:tcW w:w="15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Corporate - public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12 </w:t>
            </w:r>
          </w:p>
        </w:tc>
        <w:tc>
          <w:tcPr>
            <w:tcW w:w="15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12 </w:t>
            </w:r>
          </w:p>
        </w:tc>
        <w:tc>
          <w:tcPr>
            <w:tcW w:w="15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Corporate - privately placed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187 </w:t>
            </w:r>
          </w:p>
        </w:tc>
        <w:tc>
          <w:tcPr>
            <w:tcW w:w="15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4 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(3)</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(21)</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167 </w:t>
            </w:r>
          </w:p>
        </w:tc>
        <w:tc>
          <w:tcPr>
            <w:tcW w:w="15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ABS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22 </w:t>
            </w:r>
          </w:p>
        </w:tc>
        <w:tc>
          <w:tcPr>
            <w:tcW w:w="15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1 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(10)</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82 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(2)</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93 </w:t>
            </w:r>
          </w:p>
        </w:tc>
        <w:tc>
          <w:tcPr>
            <w:tcW w:w="15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MBS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58 </w:t>
            </w:r>
          </w:p>
        </w:tc>
        <w:tc>
          <w:tcPr>
            <w:tcW w:w="15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11 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69 </w:t>
            </w:r>
          </w:p>
        </w:tc>
        <w:tc>
          <w:tcPr>
            <w:tcW w:w="15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4"/>
              </w:rPr>
            </w:pPr>
            <w:r>
              <w:rPr>
                <w:rFonts w:ascii="Helvetica_Neue_LT_W1G_55_Roman;sans-serif" w:hAnsi="Helvetica_Neue_LT_W1G_55_Roman;sans-serif"/>
                <w:b/>
                <w:color w:val="000000"/>
                <w:sz w:val="14"/>
              </w:rPr>
              <w:t>Total fixed income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4"/>
              </w:rPr>
              <w:t>308</w:t>
            </w:r>
            <w:r>
              <w:rPr>
                <w:color w:val="000000"/>
              </w:rPr>
              <w:t> </w:t>
            </w:r>
          </w:p>
        </w:tc>
        <w:tc>
          <w:tcPr>
            <w:tcW w:w="15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4"/>
              </w:rPr>
              <w:t>1</w:t>
            </w: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4"/>
              </w:rPr>
            </w:pPr>
            <w:r>
              <w:rPr>
                <w:rFonts w:ascii="Helvetica_Neue_LT_W1G_55_Roman;sans-serif" w:hAnsi="Helvetica_Neue_LT_W1G_55_Roman;sans-serif"/>
                <w:b/>
                <w:color w:val="000000"/>
                <w:sz w:val="14"/>
              </w:rPr>
              <w:t>(36)</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4"/>
              </w:rPr>
              <w:t>97</w:t>
            </w: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4"/>
              </w:rPr>
            </w:pPr>
            <w:r>
              <w:rPr>
                <w:rFonts w:ascii="Helvetica_Neue_LT_W1G_55_Roman;sans-serif" w:hAnsi="Helvetica_Neue_LT_W1G_55_Roman;sans-serif"/>
                <w:b/>
                <w:color w:val="000000"/>
                <w:sz w:val="14"/>
              </w:rPr>
              <w:t>(3)</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4"/>
              </w:rPr>
            </w:pPr>
            <w:r>
              <w:rPr>
                <w:rFonts w:ascii="Helvetica_Neue_LT_W1G_55_Roman;sans-serif" w:hAnsi="Helvetica_Neue_LT_W1G_55_Roman;sans-serif"/>
                <w:b/>
                <w:color w:val="000000"/>
                <w:sz w:val="14"/>
              </w:rPr>
              <w:t>(23)</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4"/>
              </w:rPr>
              <w:t>344</w:t>
            </w:r>
            <w:r>
              <w:rPr>
                <w:color w:val="000000"/>
              </w:rPr>
              <w:t> </w:t>
            </w:r>
          </w:p>
        </w:tc>
        <w:tc>
          <w:tcPr>
            <w:tcW w:w="15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Equity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22 </w:t>
            </w:r>
          </w:p>
        </w:tc>
        <w:tc>
          <w:tcPr>
            <w:tcW w:w="15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(1)</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1 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(4)</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18 </w:t>
            </w:r>
          </w:p>
        </w:tc>
        <w:tc>
          <w:tcPr>
            <w:tcW w:w="15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Short-term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6 </w:t>
            </w:r>
          </w:p>
        </w:tc>
        <w:tc>
          <w:tcPr>
            <w:tcW w:w="15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(3)</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6 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(2)</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(1)</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6 </w:t>
            </w:r>
          </w:p>
        </w:tc>
        <w:tc>
          <w:tcPr>
            <w:tcW w:w="15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Other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1 </w:t>
            </w:r>
          </w:p>
        </w:tc>
        <w:tc>
          <w:tcPr>
            <w:tcW w:w="15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1 </w:t>
            </w:r>
          </w:p>
        </w:tc>
        <w:tc>
          <w:tcPr>
            <w:tcW w:w="15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Other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147 </w:t>
            </w:r>
          </w:p>
        </w:tc>
        <w:tc>
          <w:tcPr>
            <w:tcW w:w="15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8 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(25)</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130 </w:t>
            </w:r>
          </w:p>
        </w:tc>
        <w:tc>
          <w:tcPr>
            <w:tcW w:w="15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4"/>
              </w:rPr>
            </w:pPr>
            <w:r>
              <w:rPr>
                <w:rFonts w:ascii="Helvetica_Neue_LT_W1G_55_Roman;sans-serif" w:hAnsi="Helvetica_Neue_LT_W1G_55_Roman;sans-serif"/>
                <w:b/>
                <w:color w:val="000000"/>
                <w:sz w:val="14"/>
              </w:rPr>
              <w:t>Total recurring Level 3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4"/>
              </w:rPr>
              <w:t>484</w:t>
            </w:r>
            <w:r>
              <w:rPr>
                <w:color w:val="000000"/>
              </w:rPr>
              <w:t> </w:t>
            </w:r>
          </w:p>
        </w:tc>
        <w:tc>
          <w:tcPr>
            <w:tcW w:w="15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4"/>
              </w:rPr>
              <w:t>7</w:t>
            </w: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4"/>
              </w:rPr>
              <w:t>1</w:t>
            </w: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4"/>
              </w:rPr>
            </w:pPr>
            <w:r>
              <w:rPr>
                <w:rFonts w:ascii="Helvetica_Neue_LT_W1G_55_Roman;sans-serif" w:hAnsi="Helvetica_Neue_LT_W1G_55_Roman;sans-serif"/>
                <w:b/>
                <w:color w:val="000000"/>
                <w:sz w:val="14"/>
              </w:rPr>
              <w:t>(39)</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4"/>
              </w:rPr>
              <w:t>104</w:t>
            </w: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4"/>
              </w:rPr>
            </w:pPr>
            <w:r>
              <w:rPr>
                <w:rFonts w:ascii="Helvetica_Neue_LT_W1G_55_Roman;sans-serif" w:hAnsi="Helvetica_Neue_LT_W1G_55_Roman;sans-serif"/>
                <w:b/>
                <w:color w:val="000000"/>
                <w:sz w:val="14"/>
              </w:rPr>
              <w:t>(9)</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4"/>
              </w:rPr>
            </w:pPr>
            <w:r>
              <w:rPr>
                <w:rFonts w:ascii="Helvetica_Neue_LT_W1G_55_Roman;sans-serif" w:hAnsi="Helvetica_Neue_LT_W1G_55_Roman;sans-serif"/>
                <w:b/>
                <w:color w:val="000000"/>
                <w:sz w:val="14"/>
              </w:rPr>
              <w:t>(49)</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4"/>
              </w:rPr>
              <w:t>499</w:t>
            </w:r>
            <w:r>
              <w:rPr>
                <w:color w:val="000000"/>
              </w:rPr>
              <w:t> </w:t>
            </w:r>
          </w:p>
        </w:tc>
        <w:tc>
          <w:tcPr>
            <w:tcW w:w="15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4"/>
              </w:rPr>
            </w:pPr>
            <w:r>
              <w:rPr>
                <w:rFonts w:ascii="Helvetica_Neue_LT_W1G_55_Roman;sans-serif" w:hAnsi="Helvetica_Neue_LT_W1G_55_Roman;sans-serif"/>
                <w:b/>
                <w:color w:val="000000"/>
                <w:sz w:val="14"/>
              </w:rPr>
              <w:t>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71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71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Other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(1)</w:t>
            </w:r>
          </w:p>
        </w:tc>
        <w:tc>
          <w:tcPr>
            <w:tcW w:w="15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1 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4"/>
              </w:rPr>
            </w:pPr>
            <w:r>
              <w:rPr>
                <w:rFonts w:ascii="Helvetica_Neue_LT_W1G_55_Roman;sans-serif" w:hAnsi="Helvetica_Neue_LT_W1G_55_Roman;sans-serif"/>
                <w:b/>
                <w:color w:val="000000"/>
                <w:sz w:val="14"/>
              </w:rPr>
              <w:t>Total recurring Level 3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4"/>
              </w:rPr>
            </w:pPr>
            <w:r>
              <w:rPr>
                <w:rFonts w:ascii="Helvetica_Neue_LT_W1G_55_Roman;sans-serif" w:hAnsi="Helvetica_Neue_LT_W1G_55_Roman;sans-serif"/>
                <w:b/>
                <w:color w:val="000000"/>
                <w:sz w:val="14"/>
              </w:rPr>
              <w:t>$</w:t>
            </w:r>
          </w:p>
        </w:tc>
        <w:tc>
          <w:tcPr>
            <w:tcW w:w="461"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4"/>
              </w:rPr>
            </w:pPr>
            <w:r>
              <w:rPr>
                <w:rFonts w:ascii="Helvetica_Neue_LT_W1G_55_Roman;sans-serif" w:hAnsi="Helvetica_Neue_LT_W1G_55_Roman;sans-serif"/>
                <w:b/>
                <w:color w:val="000000"/>
                <w:sz w:val="14"/>
              </w:rPr>
              <w:t>(1)</w:t>
            </w:r>
          </w:p>
        </w:tc>
        <w:tc>
          <w:tcPr>
            <w:tcW w:w="152"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4"/>
              </w:rPr>
            </w:pPr>
            <w:r>
              <w:rPr>
                <w:rFonts w:ascii="Helvetica_Neue_LT_W1G_55_Roman;sans-serif" w:hAnsi="Helvetica_Neue_LT_W1G_55_Roman;sans-serif"/>
                <w:b/>
                <w:color w:val="000000"/>
                <w:sz w:val="14"/>
              </w:rPr>
              <w:t>$</w:t>
            </w:r>
          </w:p>
        </w:tc>
        <w:tc>
          <w:tcPr>
            <w:tcW w:w="40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4"/>
              </w:rPr>
              <w:t>1</w:t>
            </w:r>
            <w:r>
              <w:rPr>
                <w:color w:val="000000"/>
              </w:rPr>
              <w:t> </w:t>
            </w:r>
          </w:p>
        </w:tc>
        <w:tc>
          <w:tcPr>
            <w:tcW w:w="109"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4"/>
              </w:rPr>
            </w:pPr>
            <w:r>
              <w:rPr>
                <w:rFonts w:ascii="Helvetica_Neue_LT_W1G_55_Roman;sans-serif" w:hAnsi="Helvetica_Neue_LT_W1G_55_Roman;sans-serif"/>
                <w:b/>
                <w:color w:val="000000"/>
                <w:sz w:val="14"/>
              </w:rPr>
              <w:t>$</w:t>
            </w:r>
          </w:p>
        </w:tc>
        <w:tc>
          <w:tcPr>
            <w:tcW w:w="40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4"/>
              </w:rPr>
            </w:pPr>
            <w:r>
              <w:rPr>
                <w:rFonts w:ascii="Helvetica_Neue_LT_W1G_55_Roman;sans-serif" w:hAnsi="Helvetica_Neue_LT_W1G_55_Roman;sans-serif"/>
                <w:b/>
                <w:color w:val="000000"/>
                <w:sz w:val="14"/>
              </w:rPr>
              <w:t>$</w:t>
            </w:r>
          </w:p>
        </w:tc>
        <w:tc>
          <w:tcPr>
            <w:tcW w:w="40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4"/>
              </w:rPr>
            </w:pPr>
            <w:r>
              <w:rPr>
                <w:rFonts w:ascii="Helvetica_Neue_LT_W1G_55_Roman;sans-serif" w:hAnsi="Helvetica_Neue_LT_W1G_55_Roman;sans-serif"/>
                <w:b/>
                <w:color w:val="000000"/>
                <w:sz w:val="14"/>
              </w:rPr>
              <w:t>$</w:t>
            </w:r>
          </w:p>
        </w:tc>
        <w:tc>
          <w:tcPr>
            <w:tcW w:w="40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9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4"/>
              </w:rPr>
            </w:pPr>
            <w:r>
              <w:rPr>
                <w:rFonts w:ascii="Helvetica_Neue_LT_W1G_55_Roman;sans-serif" w:hAnsi="Helvetica_Neue_LT_W1G_55_Roman;sans-serif"/>
                <w:b/>
                <w:color w:val="000000"/>
                <w:sz w:val="14"/>
              </w:rPr>
              <w:t>$</w:t>
            </w:r>
          </w:p>
        </w:tc>
        <w:tc>
          <w:tcPr>
            <w:tcW w:w="40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4"/>
              </w:rPr>
            </w:pPr>
            <w:r>
              <w:rPr>
                <w:rFonts w:ascii="Helvetica_Neue_LT_W1G_55_Roman;sans-serif" w:hAnsi="Helvetica_Neue_LT_W1G_55_Roman;sans-serif"/>
                <w:b/>
                <w:color w:val="000000"/>
                <w:sz w:val="14"/>
              </w:rPr>
              <w:t>$</w:t>
            </w:r>
          </w:p>
        </w:tc>
        <w:tc>
          <w:tcPr>
            <w:tcW w:w="40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9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4"/>
              </w:rPr>
            </w:pPr>
            <w:r>
              <w:rPr>
                <w:rFonts w:ascii="Helvetica_Neue_LT_W1G_55_Roman;sans-serif" w:hAnsi="Helvetica_Neue_LT_W1G_55_Roman;sans-serif"/>
                <w:b/>
                <w:color w:val="000000"/>
                <w:sz w:val="14"/>
              </w:rPr>
              <w:t>$</w:t>
            </w:r>
          </w:p>
        </w:tc>
        <w:tc>
          <w:tcPr>
            <w:tcW w:w="40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4"/>
              </w:rPr>
            </w:pPr>
            <w:r>
              <w:rPr>
                <w:rFonts w:ascii="Helvetica_Neue_LT_W1G_55_Roman;sans-serif" w:hAnsi="Helvetica_Neue_LT_W1G_55_Roman;sans-serif"/>
                <w:b/>
                <w:color w:val="000000"/>
                <w:sz w:val="14"/>
              </w:rPr>
              <w:t>$</w:t>
            </w:r>
          </w:p>
        </w:tc>
        <w:tc>
          <w:tcPr>
            <w:tcW w:w="40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33350"/>
                <wp:effectExtent l="0" t="0" r="0" b="0"/>
                <wp:wrapNone/>
                <wp:docPr id="28" name="Frame27"/>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ind w:left="0" w:right="0" w:firstLine="360"/>
                              <w:jc w:val="right"/>
                              <w:rPr/>
                            </w:pPr>
                            <w:r>
                              <w:rPr>
                                <w:rFonts w:ascii="Allstate Sans;sans-serif" w:hAnsi="Allstate Sans;sans-serif"/>
                                <w:b w:val="false"/>
                                <w:color w:val="000000"/>
                                <w:sz w:val="18"/>
                              </w:rPr>
                              <w:t xml:space="preserve">Second Quarter 2026 Form 10-Q </w:t>
                            </w:r>
                            <w:r>
                              <w:rPr>
                                <w:rFonts w:ascii="Allstate Sans;sans-serif" w:hAnsi="Allstate Sans;sans-serif"/>
                                <w:b w:val="false"/>
                                <w:color w:val="0033A0"/>
                                <w:sz w:val="18"/>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right"/>
                        <w:rPr/>
                      </w:pPr>
                      <w:r>
                        <w:rPr>
                          <w:rFonts w:ascii="Allstate Sans;sans-serif" w:hAnsi="Allstate Sans;sans-serif"/>
                          <w:b w:val="false"/>
                          <w:color w:val="000000"/>
                          <w:sz w:val="18"/>
                        </w:rPr>
                        <w:t xml:space="preserve">Second Quarter 2026 Form 10-Q </w:t>
                      </w:r>
                      <w:r>
                        <w:rPr>
                          <w:rFonts w:ascii="Allstate Sans;sans-serif" w:hAnsi="Allstate Sans;sans-serif"/>
                          <w:b w:val="false"/>
                          <w:color w:val="0033A0"/>
                          <w:sz w:val="18"/>
                        </w:rPr>
                        <w:t>25</w:t>
                      </w:r>
                    </w:p>
                  </w:txbxContent>
                </v:textbox>
                <w10:wrap type="none"/>
              </v:rect>
            </w:pict>
          </mc:Fallback>
        </mc:AlternateContent>
      </w:r>
    </w:p>
    <w:p>
      <w:pPr>
        <w:pStyle w:val="TextBody"/>
        <w:bidi w:val="0"/>
        <w:spacing w:lineRule="auto" w:line="288" w:before="0" w:after="0"/>
        <w:jc w:val="left"/>
        <w:rPr>
          <w:rFonts w:ascii="Allstate Sans;sans-serif" w:hAnsi="Allstate Sans;sans-serif"/>
          <w:b w:val="false"/>
          <w:color w:val="0033A0"/>
          <w:sz w:val="18"/>
        </w:rPr>
      </w:pPr>
      <w:r>
        <w:rPr>
          <w:rFonts w:ascii="Allstate Sans;sans-serif" w:hAnsi="Allstate Sans;sans-serif"/>
          <w:b w:val="false"/>
          <w:color w:val="0033A0"/>
          <w:sz w:val="18"/>
        </w:rPr>
        <w:t>Notes to Condensed Consolidated Financial Statements</w:t>
      </w:r>
    </w:p>
    <w:tbl>
      <w:tblPr>
        <w:tblW w:w="10996" w:type="dxa"/>
        <w:jc w:val="left"/>
        <w:tblInd w:w="0" w:type="dxa"/>
        <w:tblLayout w:type="fixed"/>
        <w:tblCellMar>
          <w:top w:w="28" w:type="dxa"/>
          <w:left w:w="28" w:type="dxa"/>
          <w:bottom w:w="28" w:type="dxa"/>
          <w:right w:w="28" w:type="dxa"/>
        </w:tblCellMar>
      </w:tblPr>
      <w:tblGrid>
        <w:gridCol w:w="565"/>
        <w:gridCol w:w="220"/>
        <w:gridCol w:w="221"/>
        <w:gridCol w:w="109"/>
        <w:gridCol w:w="109"/>
        <w:gridCol w:w="109"/>
        <w:gridCol w:w="239"/>
        <w:gridCol w:w="343"/>
        <w:gridCol w:w="109"/>
        <w:gridCol w:w="109"/>
        <w:gridCol w:w="109"/>
        <w:gridCol w:w="109"/>
        <w:gridCol w:w="196"/>
        <w:gridCol w:w="406"/>
        <w:gridCol w:w="109"/>
        <w:gridCol w:w="109"/>
        <w:gridCol w:w="109"/>
        <w:gridCol w:w="109"/>
        <w:gridCol w:w="196"/>
        <w:gridCol w:w="406"/>
        <w:gridCol w:w="109"/>
        <w:gridCol w:w="109"/>
        <w:gridCol w:w="109"/>
        <w:gridCol w:w="109"/>
        <w:gridCol w:w="196"/>
        <w:gridCol w:w="406"/>
        <w:gridCol w:w="109"/>
        <w:gridCol w:w="109"/>
        <w:gridCol w:w="109"/>
        <w:gridCol w:w="109"/>
        <w:gridCol w:w="196"/>
        <w:gridCol w:w="406"/>
        <w:gridCol w:w="109"/>
        <w:gridCol w:w="109"/>
        <w:gridCol w:w="109"/>
        <w:gridCol w:w="109"/>
        <w:gridCol w:w="239"/>
        <w:gridCol w:w="495"/>
        <w:gridCol w:w="122"/>
        <w:gridCol w:w="109"/>
        <w:gridCol w:w="109"/>
        <w:gridCol w:w="109"/>
        <w:gridCol w:w="196"/>
        <w:gridCol w:w="406"/>
        <w:gridCol w:w="109"/>
        <w:gridCol w:w="109"/>
        <w:gridCol w:w="109"/>
        <w:gridCol w:w="109"/>
        <w:gridCol w:w="109"/>
        <w:gridCol w:w="109"/>
        <w:gridCol w:w="273"/>
        <w:gridCol w:w="565"/>
        <w:gridCol w:w="153"/>
        <w:gridCol w:w="109"/>
        <w:gridCol w:w="109"/>
        <w:gridCol w:w="109"/>
        <w:gridCol w:w="238"/>
        <w:gridCol w:w="310"/>
        <w:gridCol w:w="188"/>
      </w:tblGrid>
      <w:tr>
        <w:trPr/>
        <w:tc>
          <w:tcPr>
            <w:tcW w:w="565"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9933" w:type="dxa"/>
            <w:gridSpan w:val="53"/>
            <w:tcBorders>
              <w:top w:val="single" w:sz="4" w:space="0" w:color="000000"/>
            </w:tcBorders>
            <w:tcMar>
              <w:top w:w="30" w:type="dxa"/>
              <w:left w:w="0" w:type="dxa"/>
              <w:bottom w:w="0" w:type="dxa"/>
              <w:right w:w="0" w:type="dxa"/>
            </w:tcMar>
            <w:vAlign w:val="center"/>
          </w:tcPr>
          <w:p>
            <w:pPr>
              <w:pStyle w:val="TableContents"/>
              <w:bidi w:val="0"/>
              <w:spacing w:lineRule="auto" w:line="288" w:before="0" w:after="120"/>
              <w:jc w:val="left"/>
              <w:rPr>
                <w:rFonts w:ascii="Allstate Sans;sans-serif" w:hAnsi="Allstate Sans;sans-serif"/>
                <w:b/>
                <w:color w:val="000000"/>
                <w:sz w:val="17"/>
              </w:rPr>
            </w:pPr>
            <w:r>
              <w:rPr>
                <w:rFonts w:ascii="Allstate Sans;sans-serif" w:hAnsi="Allstate Sans;sans-serif"/>
                <w:b/>
                <w:color w:val="000000"/>
                <w:sz w:val="17"/>
              </w:rPr>
              <w:t>Rollforward of Level 3 assets and liabilities held at fair value during the three-month period ended June 30, 2025</w:t>
            </w:r>
          </w:p>
        </w:tc>
        <w:tc>
          <w:tcPr>
            <w:tcW w:w="1063" w:type="dxa"/>
            <w:gridSpan w:val="6"/>
            <w:tcBorders/>
          </w:tcPr>
          <w:p>
            <w:pPr>
              <w:pStyle w:val="TableContents"/>
              <w:bidi w:val="0"/>
              <w:spacing w:before="0" w:after="283"/>
              <w:jc w:val="left"/>
              <w:rPr>
                <w:sz w:val="4"/>
                <w:szCs w:val="4"/>
              </w:rPr>
            </w:pPr>
            <w:r>
              <w:rPr>
                <w:sz w:val="4"/>
                <w:szCs w:val="4"/>
              </w:rPr>
            </w:r>
          </w:p>
        </w:tc>
      </w:tr>
      <w:tr>
        <w:trPr/>
        <w:tc>
          <w:tcPr>
            <w:tcW w:w="10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4"/>
              </w:rPr>
            </w:pPr>
            <w:r>
              <w:rPr>
                <w:rFonts w:ascii="Helvetica_Neue_LT_W1G_55_Roman;sans-serif" w:hAnsi="Helvetica_Neue_LT_W1G_55_Roman;sans-serif"/>
                <w:b/>
                <w:color w:val="000000"/>
                <w:sz w:val="14"/>
              </w:rPr>
              <w:t>Balance as of</w:t>
              <w:br/>
              <w:t> March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4"/>
              </w:rPr>
            </w:pPr>
            <w:r>
              <w:rPr>
                <w:rFonts w:ascii="Helvetica_Neue_LT_W1G_55_Roman;sans-serif" w:hAnsi="Helvetica_Neue_LT_W1G_55_Roman;sans-serif"/>
                <w:b/>
                <w:color w:val="000000"/>
                <w:sz w:val="14"/>
              </w:rPr>
              <w:t xml:space="preserve">Total gains (losses) </w:t>
              <w:br/>
              <w:t> included 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Helvetica_Neue_LT_W1G_55_Roman;sans-serif" w:hAnsi="Helvetica_Neue_LT_W1G_55_Roman;sans-serif"/>
                <w:b/>
                <w:color w:val="000000"/>
                <w:sz w:val="14"/>
              </w:rPr>
              <w:t xml:space="preserve">Transfers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4"/>
              </w:rPr>
            </w:pPr>
            <w:r>
              <w:rPr>
                <w:rFonts w:ascii="Helvetica_Neue_LT_W1G_55_Roman;sans-serif" w:hAnsi="Helvetica_Neue_LT_W1G_55_Roman;sans-serif"/>
                <w:b/>
                <w:color w:val="000000"/>
                <w:sz w:val="14"/>
              </w:rPr>
              <w:t>Balance as of</w:t>
              <w:br/>
              <w:t> June 30, 2025</w:t>
            </w:r>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4"/>
              </w:rPr>
            </w:pPr>
            <w:r>
              <w:rPr>
                <w:rFonts w:ascii="Helvetica_Neue_LT_W1G_55_Roman;sans-serif" w:hAnsi="Helvetica_Neue_LT_W1G_55_Roman;sans-serif"/>
                <w:b/>
                <w:color w:val="000000"/>
                <w:sz w:val="14"/>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4"/>
              </w:rPr>
            </w:pPr>
            <w:r>
              <w:rPr>
                <w:rFonts w:ascii="Helvetica_Neue_LT_W1G_55_Roman;sans-serif" w:hAnsi="Helvetica_Neue_LT_W1G_55_Roman;sans-serif"/>
                <w:b/>
                <w:color w:val="000000"/>
                <w:sz w:val="14"/>
              </w:rPr>
              <w:t>Net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4"/>
              </w:rPr>
            </w:pPr>
            <w:r>
              <w:rPr>
                <w:rFonts w:ascii="Helvetica_Neue_LT_W1G_55_Roman;sans-serif" w:hAnsi="Helvetica_Neue_LT_W1G_55_Roman;sans-serif"/>
                <w:b/>
                <w:color w:val="000000"/>
                <w:sz w:val="14"/>
              </w:rPr>
              <w:t>OCI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4"/>
              </w:rPr>
            </w:pPr>
            <w:r>
              <w:rPr>
                <w:rFonts w:ascii="Helvetica_Neue_LT_W1G_55_Roman;sans-serif" w:hAnsi="Helvetica_Neue_LT_W1G_55_Roman;sans-serif"/>
                <w:b/>
                <w:color w:val="000000"/>
                <w:sz w:val="14"/>
              </w:rPr>
              <w:t>Into 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4"/>
              </w:rPr>
            </w:pPr>
            <w:r>
              <w:rPr>
                <w:rFonts w:ascii="Helvetica_Neue_LT_W1G_55_Roman;sans-serif" w:hAnsi="Helvetica_Neue_LT_W1G_55_Roman;sans-serif"/>
                <w:b/>
                <w:color w:val="000000"/>
                <w:sz w:val="14"/>
              </w:rPr>
              <w:t>Out of 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4"/>
              </w:rPr>
            </w:pPr>
            <w:r>
              <w:rPr>
                <w:rFonts w:ascii="Helvetica_Neue_LT_W1G_55_Roman;sans-serif" w:hAnsi="Helvetica_Neue_LT_W1G_55_Roman;sans-serif"/>
                <w:b/>
                <w:color w:val="000000"/>
                <w:sz w:val="14"/>
              </w:rPr>
              <w:t>Purchases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4"/>
              </w:rPr>
            </w:pPr>
            <w:r>
              <w:rPr>
                <w:rFonts w:ascii="Helvetica_Neue_LT_W1G_55_Roman;sans-serif" w:hAnsi="Helvetica_Neue_LT_W1G_55_Roman;sans-serif"/>
                <w:b/>
                <w:color w:val="000000"/>
                <w:sz w:val="14"/>
              </w:rPr>
              <w:t>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4"/>
              </w:rPr>
            </w:pPr>
            <w:r>
              <w:rPr>
                <w:rFonts w:ascii="Helvetica_Neue_LT_W1G_55_Roman;sans-serif" w:hAnsi="Helvetica_Neue_LT_W1G_55_Roman;sans-serif"/>
                <w:b/>
                <w:color w:val="000000"/>
                <w:sz w:val="14"/>
              </w:rPr>
              <w:t>Settlements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006"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4"/>
              </w:rPr>
            </w:pPr>
            <w:r>
              <w:rPr>
                <w:rFonts w:ascii="Helvetica_Neue_LT_W1G_55_Roman;sans-serif" w:hAnsi="Helvetica_Neue_LT_W1G_55_Roman;sans-serif"/>
                <w:b/>
                <w:color w:val="000000"/>
                <w:sz w:val="14"/>
              </w:rP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Fixed income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Municipal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w:t>
            </w:r>
          </w:p>
        </w:tc>
        <w:tc>
          <w:tcPr>
            <w:tcW w:w="343"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2 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w:t>
            </w:r>
          </w:p>
        </w:tc>
        <w:tc>
          <w:tcPr>
            <w:tcW w:w="40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w:t>
            </w:r>
          </w:p>
        </w:tc>
        <w:tc>
          <w:tcPr>
            <w:tcW w:w="40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w:t>
            </w:r>
          </w:p>
        </w:tc>
        <w:tc>
          <w:tcPr>
            <w:tcW w:w="40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w:t>
            </w:r>
          </w:p>
        </w:tc>
        <w:tc>
          <w:tcPr>
            <w:tcW w:w="40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w:t>
            </w:r>
          </w:p>
        </w:tc>
        <w:tc>
          <w:tcPr>
            <w:tcW w:w="495"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w:t>
            </w:r>
          </w:p>
        </w:tc>
        <w:tc>
          <w:tcPr>
            <w:tcW w:w="40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w:t>
            </w:r>
          </w:p>
        </w:tc>
        <w:tc>
          <w:tcPr>
            <w:tcW w:w="565"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w:t>
            </w:r>
          </w:p>
        </w:tc>
        <w:tc>
          <w:tcPr>
            <w:tcW w:w="310"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2 </w:t>
            </w:r>
          </w:p>
        </w:tc>
        <w:tc>
          <w:tcPr>
            <w:tcW w:w="18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Corporate - public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35 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35 </w:t>
            </w:r>
          </w:p>
        </w:tc>
        <w:tc>
          <w:tcPr>
            <w:tcW w:w="18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Corporate - privately placed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109 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1 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(1)</w:t>
            </w:r>
          </w:p>
        </w:tc>
        <w:tc>
          <w:tcPr>
            <w:tcW w:w="15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109 </w:t>
            </w:r>
          </w:p>
        </w:tc>
        <w:tc>
          <w:tcPr>
            <w:tcW w:w="18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ABS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51 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(26)</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15 </w:t>
            </w:r>
          </w:p>
        </w:tc>
        <w:tc>
          <w:tcPr>
            <w:tcW w:w="12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(1)</w:t>
            </w:r>
          </w:p>
        </w:tc>
        <w:tc>
          <w:tcPr>
            <w:tcW w:w="15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39 </w:t>
            </w:r>
          </w:p>
        </w:tc>
        <w:tc>
          <w:tcPr>
            <w:tcW w:w="18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MBS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88 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88 </w:t>
            </w:r>
          </w:p>
        </w:tc>
        <w:tc>
          <w:tcPr>
            <w:tcW w:w="18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4"/>
              </w:rPr>
            </w:pPr>
            <w:r>
              <w:rPr>
                <w:rFonts w:ascii="Helvetica_Neue_LT_W1G_55_Roman;sans-serif" w:hAnsi="Helvetica_Neue_LT_W1G_55_Roman;sans-serif"/>
                <w:b/>
                <w:color w:val="000000"/>
                <w:sz w:val="14"/>
              </w:rPr>
              <w:t>Total fixed income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4"/>
              </w:rPr>
              <w:t>285</w:t>
            </w: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4"/>
              </w:rPr>
              <w:t>1</w:t>
            </w: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4"/>
              </w:rPr>
            </w:pPr>
            <w:r>
              <w:rPr>
                <w:rFonts w:ascii="Helvetica_Neue_LT_W1G_55_Roman;sans-serif" w:hAnsi="Helvetica_Neue_LT_W1G_55_Roman;sans-serif"/>
                <w:b/>
                <w:color w:val="000000"/>
                <w:sz w:val="14"/>
              </w:rPr>
              <w:t>(26)</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4"/>
              </w:rPr>
              <w:t>15</w:t>
            </w:r>
            <w:r>
              <w:rPr>
                <w:color w:val="000000"/>
              </w:rPr>
              <w:t> </w:t>
            </w:r>
          </w:p>
        </w:tc>
        <w:tc>
          <w:tcPr>
            <w:tcW w:w="12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4"/>
              </w:rPr>
            </w:pPr>
            <w:r>
              <w:rPr>
                <w:rFonts w:ascii="Helvetica_Neue_LT_W1G_55_Roman;sans-serif" w:hAnsi="Helvetica_Neue_LT_W1G_55_Roman;sans-serif"/>
                <w:b/>
                <w:color w:val="000000"/>
                <w:sz w:val="14"/>
              </w:rPr>
              <w:t>(2)</w:t>
            </w:r>
          </w:p>
        </w:tc>
        <w:tc>
          <w:tcPr>
            <w:tcW w:w="15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4"/>
              </w:rPr>
              <w:t>273</w:t>
            </w:r>
            <w:r>
              <w:rPr>
                <w:color w:val="000000"/>
              </w:rPr>
              <w:t> </w:t>
            </w:r>
          </w:p>
        </w:tc>
        <w:tc>
          <w:tcPr>
            <w:tcW w:w="18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Equity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416 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16 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1 </w:t>
            </w:r>
          </w:p>
        </w:tc>
        <w:tc>
          <w:tcPr>
            <w:tcW w:w="12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(75)</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358 </w:t>
            </w:r>
          </w:p>
        </w:tc>
        <w:tc>
          <w:tcPr>
            <w:tcW w:w="18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Short-term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2 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2 </w:t>
            </w:r>
          </w:p>
        </w:tc>
        <w:tc>
          <w:tcPr>
            <w:tcW w:w="12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4 </w:t>
            </w:r>
          </w:p>
        </w:tc>
        <w:tc>
          <w:tcPr>
            <w:tcW w:w="18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Other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1 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1 </w:t>
            </w:r>
          </w:p>
        </w:tc>
        <w:tc>
          <w:tcPr>
            <w:tcW w:w="18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Other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134 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3 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137 </w:t>
            </w:r>
          </w:p>
        </w:tc>
        <w:tc>
          <w:tcPr>
            <w:tcW w:w="18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Assets held for sale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7 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1 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(8)</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4"/>
              </w:rPr>
            </w:pPr>
            <w:r>
              <w:rPr>
                <w:rFonts w:ascii="Helvetica_Neue_LT_W1G_55_Roman;sans-serif" w:hAnsi="Helvetica_Neue_LT_W1G_55_Roman;sans-serif"/>
                <w:b/>
                <w:color w:val="000000"/>
                <w:sz w:val="14"/>
              </w:rPr>
              <w:t>Total recurring Level 3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4"/>
              </w:rPr>
              <w:t>845</w:t>
            </w: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4"/>
              </w:rPr>
              <w:t>19</w:t>
            </w: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4"/>
              </w:rPr>
              <w:t>2</w:t>
            </w: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4"/>
              </w:rPr>
            </w:pPr>
            <w:r>
              <w:rPr>
                <w:rFonts w:ascii="Helvetica_Neue_LT_W1G_55_Roman;sans-serif" w:hAnsi="Helvetica_Neue_LT_W1G_55_Roman;sans-serif"/>
                <w:b/>
                <w:color w:val="000000"/>
                <w:sz w:val="14"/>
              </w:rPr>
              <w:t>(26)</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4"/>
              </w:rPr>
              <w:t>18</w:t>
            </w:r>
            <w:r>
              <w:rPr>
                <w:color w:val="000000"/>
              </w:rPr>
              <w:t> </w:t>
            </w:r>
          </w:p>
        </w:tc>
        <w:tc>
          <w:tcPr>
            <w:tcW w:w="12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4"/>
              </w:rPr>
            </w:pPr>
            <w:r>
              <w:rPr>
                <w:rFonts w:ascii="Helvetica_Neue_LT_W1G_55_Roman;sans-serif" w:hAnsi="Helvetica_Neue_LT_W1G_55_Roman;sans-serif"/>
                <w:b/>
                <w:color w:val="000000"/>
                <w:sz w:val="14"/>
              </w:rPr>
              <w:t>(83)</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4"/>
              </w:rPr>
            </w:pPr>
            <w:r>
              <w:rPr>
                <w:rFonts w:ascii="Helvetica_Neue_LT_W1G_55_Roman;sans-serif" w:hAnsi="Helvetica_Neue_LT_W1G_55_Roman;sans-serif"/>
                <w:b/>
                <w:color w:val="000000"/>
                <w:sz w:val="14"/>
              </w:rPr>
              <w:t>(2)</w:t>
            </w:r>
          </w:p>
        </w:tc>
        <w:tc>
          <w:tcPr>
            <w:tcW w:w="15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4"/>
              </w:rPr>
              <w:t>773</w:t>
            </w:r>
            <w:r>
              <w:rPr>
                <w:color w:val="000000"/>
              </w:rPr>
              <w:t> </w:t>
            </w:r>
          </w:p>
        </w:tc>
        <w:tc>
          <w:tcPr>
            <w:tcW w:w="18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4"/>
              </w:rPr>
            </w:pPr>
            <w:r>
              <w:rPr>
                <w:rFonts w:ascii="Helvetica_Neue_LT_W1G_55_Roman;sans-serif" w:hAnsi="Helvetica_Neue_LT_W1G_55_Roman;sans-serif"/>
                <w:b/>
                <w:color w:val="000000"/>
                <w:sz w:val="14"/>
              </w:rPr>
              <w:t>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Other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(1)</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DBDBDB"/>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DBDBDB"/>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DBDBDB"/>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DBDBDB"/>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op w:val="single" w:sz="8" w:space="0" w:color="DBDBDB"/>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8"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DBDBDB"/>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8" w:type="dxa"/>
            <w:gridSpan w:val="2"/>
            <w:tcBorders>
              <w:top w:val="single" w:sz="8" w:space="0" w:color="DBDBDB"/>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op w:val="single" w:sz="8"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(1)</w:t>
            </w:r>
          </w:p>
        </w:tc>
        <w:tc>
          <w:tcPr>
            <w:tcW w:w="18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4"/>
              </w:rPr>
            </w:pPr>
            <w:r>
              <w:rPr>
                <w:rFonts w:ascii="Helvetica_Neue_LT_W1G_55_Roman;sans-serif" w:hAnsi="Helvetica_Neue_LT_W1G_55_Roman;sans-serif"/>
                <w:b/>
                <w:color w:val="000000"/>
                <w:sz w:val="14"/>
              </w:rPr>
              <w:t>Total recurring Level 3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4"/>
              </w:rPr>
            </w:pPr>
            <w:r>
              <w:rPr>
                <w:rFonts w:ascii="Helvetica_Neue_LT_W1G_55_Roman;sans-serif" w:hAnsi="Helvetica_Neue_LT_W1G_55_Roman;sans-serif"/>
                <w:b/>
                <w:color w:val="000000"/>
                <w:sz w:val="14"/>
              </w:rPr>
              <w:t>$</w:t>
            </w:r>
          </w:p>
        </w:tc>
        <w:tc>
          <w:tcPr>
            <w:tcW w:w="343"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4"/>
              </w:rPr>
            </w:pPr>
            <w:r>
              <w:rPr>
                <w:rFonts w:ascii="Helvetica_Neue_LT_W1G_55_Roman;sans-serif" w:hAnsi="Helvetica_Neue_LT_W1G_55_Roman;sans-serif"/>
                <w:b/>
                <w:color w:val="000000"/>
                <w:sz w:val="14"/>
              </w:rPr>
              <w:t>(1)</w:t>
            </w:r>
          </w:p>
        </w:tc>
        <w:tc>
          <w:tcPr>
            <w:tcW w:w="109"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4"/>
              </w:rPr>
            </w:pPr>
            <w:r>
              <w:rPr>
                <w:rFonts w:ascii="Helvetica_Neue_LT_W1G_55_Roman;sans-serif" w:hAnsi="Helvetica_Neue_LT_W1G_55_Roman;sans-serif"/>
                <w:b/>
                <w:color w:val="000000"/>
                <w:sz w:val="14"/>
              </w:rPr>
              <w:t>$</w:t>
            </w:r>
          </w:p>
        </w:tc>
        <w:tc>
          <w:tcPr>
            <w:tcW w:w="40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4"/>
              </w:rPr>
            </w:pPr>
            <w:r>
              <w:rPr>
                <w:rFonts w:ascii="Helvetica_Neue_LT_W1G_55_Roman;sans-serif" w:hAnsi="Helvetica_Neue_LT_W1G_55_Roman;sans-serif"/>
                <w:b/>
                <w:color w:val="000000"/>
                <w:sz w:val="14"/>
              </w:rPr>
              <w:t>$</w:t>
            </w:r>
          </w:p>
        </w:tc>
        <w:tc>
          <w:tcPr>
            <w:tcW w:w="40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4"/>
              </w:rPr>
            </w:pPr>
            <w:r>
              <w:rPr>
                <w:rFonts w:ascii="Helvetica_Neue_LT_W1G_55_Roman;sans-serif" w:hAnsi="Helvetica_Neue_LT_W1G_55_Roman;sans-serif"/>
                <w:b/>
                <w:color w:val="000000"/>
                <w:sz w:val="14"/>
              </w:rPr>
              <w:t>$</w:t>
            </w:r>
          </w:p>
        </w:tc>
        <w:tc>
          <w:tcPr>
            <w:tcW w:w="40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4"/>
              </w:rPr>
            </w:pPr>
            <w:r>
              <w:rPr>
                <w:rFonts w:ascii="Helvetica_Neue_LT_W1G_55_Roman;sans-serif" w:hAnsi="Helvetica_Neue_LT_W1G_55_Roman;sans-serif"/>
                <w:b/>
                <w:color w:val="000000"/>
                <w:sz w:val="14"/>
              </w:rPr>
              <w:t>$</w:t>
            </w:r>
          </w:p>
        </w:tc>
        <w:tc>
          <w:tcPr>
            <w:tcW w:w="40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4"/>
              </w:rPr>
            </w:pPr>
            <w:r>
              <w:rPr>
                <w:rFonts w:ascii="Helvetica_Neue_LT_W1G_55_Roman;sans-serif" w:hAnsi="Helvetica_Neue_LT_W1G_55_Roman;sans-serif"/>
                <w:b/>
                <w:color w:val="000000"/>
                <w:sz w:val="14"/>
              </w:rPr>
              <w:t>$</w:t>
            </w:r>
          </w:p>
        </w:tc>
        <w:tc>
          <w:tcPr>
            <w:tcW w:w="495"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4"/>
              </w:rPr>
            </w:pPr>
            <w:r>
              <w:rPr>
                <w:rFonts w:ascii="Helvetica_Neue_LT_W1G_55_Roman;sans-serif" w:hAnsi="Helvetica_Neue_LT_W1G_55_Roman;sans-serif"/>
                <w:b/>
                <w:color w:val="000000"/>
                <w:sz w:val="14"/>
              </w:rPr>
              <w:t>$</w:t>
            </w:r>
          </w:p>
        </w:tc>
        <w:tc>
          <w:tcPr>
            <w:tcW w:w="40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4"/>
              </w:rPr>
            </w:pPr>
            <w:r>
              <w:rPr>
                <w:rFonts w:ascii="Helvetica_Neue_LT_W1G_55_Roman;sans-serif" w:hAnsi="Helvetica_Neue_LT_W1G_55_Roman;sans-serif"/>
                <w:b/>
                <w:color w:val="000000"/>
                <w:sz w:val="14"/>
              </w:rPr>
              <w:t>$</w:t>
            </w:r>
          </w:p>
        </w:tc>
        <w:tc>
          <w:tcPr>
            <w:tcW w:w="565"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4"/>
              </w:rPr>
            </w:pPr>
            <w:r>
              <w:rPr>
                <w:rFonts w:ascii="Helvetica_Neue_LT_W1G_55_Roman;sans-serif" w:hAnsi="Helvetica_Neue_LT_W1G_55_Roman;sans-serif"/>
                <w:b/>
                <w:color w:val="000000"/>
                <w:sz w:val="14"/>
              </w:rPr>
              <w:t>$</w:t>
            </w:r>
          </w:p>
        </w:tc>
        <w:tc>
          <w:tcPr>
            <w:tcW w:w="310"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4"/>
              </w:rPr>
            </w:pPr>
            <w:r>
              <w:rPr>
                <w:rFonts w:ascii="Helvetica_Neue_LT_W1G_55_Roman;sans-serif" w:hAnsi="Helvetica_Neue_LT_W1G_55_Roman;sans-serif"/>
                <w:b/>
                <w:color w:val="000000"/>
                <w:sz w:val="14"/>
              </w:rPr>
              <w:t>(1)</w:t>
            </w:r>
          </w:p>
        </w:tc>
        <w:tc>
          <w:tcPr>
            <w:tcW w:w="188"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2782" w:type="dxa"/>
        <w:jc w:val="left"/>
        <w:tblInd w:w="0" w:type="dxa"/>
        <w:tblLayout w:type="fixed"/>
        <w:tblCellMar>
          <w:top w:w="28" w:type="dxa"/>
          <w:left w:w="28" w:type="dxa"/>
          <w:bottom w:w="28" w:type="dxa"/>
          <w:right w:w="28" w:type="dxa"/>
        </w:tblCellMar>
      </w:tblPr>
      <w:tblGrid>
        <w:gridCol w:w="565"/>
        <w:gridCol w:w="220"/>
        <w:gridCol w:w="221"/>
        <w:gridCol w:w="109"/>
        <w:gridCol w:w="109"/>
        <w:gridCol w:w="109"/>
        <w:gridCol w:w="249"/>
        <w:gridCol w:w="516"/>
        <w:gridCol w:w="121"/>
        <w:gridCol w:w="109"/>
        <w:gridCol w:w="109"/>
        <w:gridCol w:w="109"/>
        <w:gridCol w:w="196"/>
        <w:gridCol w:w="406"/>
        <w:gridCol w:w="109"/>
        <w:gridCol w:w="109"/>
        <w:gridCol w:w="109"/>
        <w:gridCol w:w="109"/>
        <w:gridCol w:w="196"/>
        <w:gridCol w:w="406"/>
        <w:gridCol w:w="109"/>
        <w:gridCol w:w="109"/>
        <w:gridCol w:w="109"/>
        <w:gridCol w:w="109"/>
        <w:gridCol w:w="196"/>
        <w:gridCol w:w="406"/>
        <w:gridCol w:w="109"/>
        <w:gridCol w:w="109"/>
        <w:gridCol w:w="109"/>
        <w:gridCol w:w="109"/>
        <w:gridCol w:w="196"/>
        <w:gridCol w:w="406"/>
        <w:gridCol w:w="109"/>
        <w:gridCol w:w="109"/>
        <w:gridCol w:w="109"/>
        <w:gridCol w:w="109"/>
        <w:gridCol w:w="109"/>
        <w:gridCol w:w="856"/>
        <w:gridCol w:w="196"/>
        <w:gridCol w:w="406"/>
        <w:gridCol w:w="109"/>
        <w:gridCol w:w="165"/>
        <w:gridCol w:w="165"/>
        <w:gridCol w:w="166"/>
        <w:gridCol w:w="196"/>
        <w:gridCol w:w="406"/>
        <w:gridCol w:w="109"/>
        <w:gridCol w:w="109"/>
        <w:gridCol w:w="109"/>
        <w:gridCol w:w="109"/>
        <w:gridCol w:w="109"/>
        <w:gridCol w:w="991"/>
        <w:gridCol w:w="196"/>
        <w:gridCol w:w="406"/>
        <w:gridCol w:w="109"/>
        <w:gridCol w:w="109"/>
        <w:gridCol w:w="109"/>
        <w:gridCol w:w="109"/>
        <w:gridCol w:w="238"/>
        <w:gridCol w:w="310"/>
        <w:gridCol w:w="188"/>
      </w:tblGrid>
      <w:tr>
        <w:trPr/>
        <w:tc>
          <w:tcPr>
            <w:tcW w:w="565"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10017" w:type="dxa"/>
            <w:gridSpan w:val="51"/>
            <w:tcBorders>
              <w:top w:val="single" w:sz="4" w:space="0" w:color="000000"/>
            </w:tcBorders>
            <w:tcMar>
              <w:top w:w="30" w:type="dxa"/>
              <w:left w:w="0" w:type="dxa"/>
              <w:bottom w:w="0" w:type="dxa"/>
              <w:right w:w="0" w:type="dxa"/>
            </w:tcMar>
            <w:vAlign w:val="center"/>
          </w:tcPr>
          <w:p>
            <w:pPr>
              <w:pStyle w:val="TableContents"/>
              <w:bidi w:val="0"/>
              <w:spacing w:lineRule="auto" w:line="288" w:before="0" w:after="120"/>
              <w:jc w:val="left"/>
              <w:rPr>
                <w:rFonts w:ascii="Allstate Sans;sans-serif" w:hAnsi="Allstate Sans;sans-serif"/>
                <w:b/>
                <w:color w:val="000000"/>
                <w:sz w:val="17"/>
              </w:rPr>
            </w:pPr>
            <w:r>
              <w:rPr>
                <w:rFonts w:ascii="Allstate Sans;sans-serif" w:hAnsi="Allstate Sans;sans-serif"/>
                <w:b/>
                <w:color w:val="000000"/>
                <w:sz w:val="17"/>
              </w:rPr>
              <w:t>Rollforward of Level 3 assets and liabilities held at fair value during the six-month period ended June 30, 2025</w:t>
            </w:r>
          </w:p>
        </w:tc>
        <w:tc>
          <w:tcPr>
            <w:tcW w:w="2765" w:type="dxa"/>
            <w:gridSpan w:val="10"/>
            <w:tcBorders/>
          </w:tcPr>
          <w:p>
            <w:pPr>
              <w:pStyle w:val="TableContents"/>
              <w:bidi w:val="0"/>
              <w:spacing w:before="0" w:after="283"/>
              <w:jc w:val="left"/>
              <w:rPr>
                <w:sz w:val="4"/>
                <w:szCs w:val="4"/>
              </w:rPr>
            </w:pPr>
            <w:r>
              <w:rPr>
                <w:sz w:val="4"/>
                <w:szCs w:val="4"/>
              </w:rPr>
            </w:r>
          </w:p>
        </w:tc>
      </w:tr>
      <w:tr>
        <w:trPr/>
        <w:tc>
          <w:tcPr>
            <w:tcW w:w="10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4"/>
              </w:rPr>
            </w:pPr>
            <w:r>
              <w:rPr>
                <w:rFonts w:ascii="Helvetica_Neue_LT_W1G_55_Roman;sans-serif" w:hAnsi="Helvetica_Neue_LT_W1G_55_Roman;sans-serif"/>
                <w:b/>
                <w:color w:val="000000"/>
                <w:sz w:val="14"/>
              </w:rPr>
              <w:t>Balance as of</w:t>
              <w:br/>
              <w:t> 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4"/>
              </w:rPr>
            </w:pPr>
            <w:r>
              <w:rPr>
                <w:rFonts w:ascii="Helvetica_Neue_LT_W1G_55_Roman;sans-serif" w:hAnsi="Helvetica_Neue_LT_W1G_55_Roman;sans-serif"/>
                <w:b/>
                <w:color w:val="000000"/>
                <w:sz w:val="14"/>
              </w:rPr>
              <w:t xml:space="preserve">Total gains (losses) </w:t>
              <w:br/>
              <w:t> included 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Helvetica_Neue_LT_W1G_55_Roman;sans-serif" w:hAnsi="Helvetica_Neue_LT_W1G_55_Roman;sans-serif"/>
                <w:b/>
                <w:color w:val="000000"/>
                <w:sz w:val="14"/>
              </w:rPr>
              <w:t xml:space="preserve">Transfers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4"/>
              </w:rPr>
            </w:pPr>
            <w:r>
              <w:rPr>
                <w:rFonts w:ascii="Helvetica_Neue_LT_W1G_55_Roman;sans-serif" w:hAnsi="Helvetica_Neue_LT_W1G_55_Roman;sans-serif"/>
                <w:b/>
                <w:color w:val="000000"/>
                <w:sz w:val="14"/>
              </w:rPr>
              <w:t>Balance as of</w:t>
              <w:br/>
              <w:t> June 30, 2025</w:t>
            </w:r>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4"/>
              </w:rPr>
            </w:pPr>
            <w:r>
              <w:rPr>
                <w:rFonts w:ascii="Helvetica_Neue_LT_W1G_55_Roman;sans-serif" w:hAnsi="Helvetica_Neue_LT_W1G_55_Roman;sans-serif"/>
                <w:b/>
                <w:color w:val="000000"/>
                <w:sz w:val="14"/>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4"/>
              </w:rPr>
            </w:pPr>
            <w:r>
              <w:rPr>
                <w:rFonts w:ascii="Helvetica_Neue_LT_W1G_55_Roman;sans-serif" w:hAnsi="Helvetica_Neue_LT_W1G_55_Roman;sans-serif"/>
                <w:b/>
                <w:color w:val="000000"/>
                <w:sz w:val="14"/>
              </w:rPr>
              <w:t>Net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4"/>
              </w:rPr>
            </w:pPr>
            <w:r>
              <w:rPr>
                <w:rFonts w:ascii="Helvetica_Neue_LT_W1G_55_Roman;sans-serif" w:hAnsi="Helvetica_Neue_LT_W1G_55_Roman;sans-serif"/>
                <w:b/>
                <w:color w:val="000000"/>
                <w:sz w:val="14"/>
              </w:rPr>
              <w:t>OCI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4"/>
              </w:rPr>
            </w:pPr>
            <w:r>
              <w:rPr>
                <w:rFonts w:ascii="Helvetica_Neue_LT_W1G_55_Roman;sans-serif" w:hAnsi="Helvetica_Neue_LT_W1G_55_Roman;sans-serif"/>
                <w:b/>
                <w:color w:val="000000"/>
                <w:sz w:val="14"/>
              </w:rPr>
              <w:t>Into 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4"/>
              </w:rPr>
            </w:pPr>
            <w:r>
              <w:rPr>
                <w:rFonts w:ascii="Helvetica_Neue_LT_W1G_55_Roman;sans-serif" w:hAnsi="Helvetica_Neue_LT_W1G_55_Roman;sans-serif"/>
                <w:b/>
                <w:color w:val="000000"/>
                <w:sz w:val="14"/>
              </w:rPr>
              <w:t>Out of 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4"/>
              </w:rPr>
            </w:pPr>
            <w:r>
              <w:rPr>
                <w:rFonts w:ascii="Helvetica_Neue_LT_W1G_55_Roman;sans-serif" w:hAnsi="Helvetica_Neue_LT_W1G_55_Roman;sans-serif"/>
                <w:b/>
                <w:color w:val="000000"/>
                <w:sz w:val="14"/>
              </w:rPr>
              <w:t>Purchases</w:t>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4"/>
              </w:rPr>
            </w:pPr>
            <w:r>
              <w:rPr>
                <w:rFonts w:ascii="Helvetica_Neue_LT_W1G_55_Roman;sans-serif" w:hAnsi="Helvetica_Neue_LT_W1G_55_Roman;sans-serif"/>
                <w:b/>
                <w:color w:val="000000"/>
                <w:sz w:val="14"/>
              </w:rPr>
              <w:t>Sales</w:t>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4"/>
              </w:rPr>
            </w:pPr>
            <w:r>
              <w:rPr>
                <w:rFonts w:ascii="Helvetica_Neue_LT_W1G_55_Roman;sans-serif" w:hAnsi="Helvetica_Neue_LT_W1G_55_Roman;sans-serif"/>
                <w:b/>
                <w:color w:val="000000"/>
                <w:sz w:val="14"/>
              </w:rPr>
              <w:t>Settlements</w:t>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73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006"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4"/>
              </w:rPr>
            </w:pPr>
            <w:r>
              <w:rPr>
                <w:rFonts w:ascii="Helvetica_Neue_LT_W1G_55_Roman;sans-serif" w:hAnsi="Helvetica_Neue_LT_W1G_55_Roman;sans-serif"/>
                <w:b/>
                <w:color w:val="000000"/>
                <w:sz w:val="14"/>
              </w:rP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Fixed income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71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71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Municipal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w:t>
            </w:r>
          </w:p>
        </w:tc>
        <w:tc>
          <w:tcPr>
            <w:tcW w:w="51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2 </w:t>
            </w:r>
          </w:p>
        </w:tc>
        <w:tc>
          <w:tcPr>
            <w:tcW w:w="12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w:t>
            </w:r>
          </w:p>
        </w:tc>
        <w:tc>
          <w:tcPr>
            <w:tcW w:w="40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w:t>
            </w:r>
          </w:p>
        </w:tc>
        <w:tc>
          <w:tcPr>
            <w:tcW w:w="40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w:t>
            </w:r>
          </w:p>
        </w:tc>
        <w:tc>
          <w:tcPr>
            <w:tcW w:w="40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w:t>
            </w:r>
          </w:p>
        </w:tc>
        <w:tc>
          <w:tcPr>
            <w:tcW w:w="40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9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w:t>
            </w:r>
          </w:p>
        </w:tc>
        <w:tc>
          <w:tcPr>
            <w:tcW w:w="40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4"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w:t>
            </w:r>
          </w:p>
        </w:tc>
        <w:tc>
          <w:tcPr>
            <w:tcW w:w="40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9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w:t>
            </w:r>
          </w:p>
        </w:tc>
        <w:tc>
          <w:tcPr>
            <w:tcW w:w="40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w:t>
            </w:r>
          </w:p>
        </w:tc>
        <w:tc>
          <w:tcPr>
            <w:tcW w:w="310"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2 </w:t>
            </w:r>
          </w:p>
        </w:tc>
        <w:tc>
          <w:tcPr>
            <w:tcW w:w="18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Corporate - public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22 </w:t>
            </w:r>
          </w:p>
        </w:tc>
        <w:tc>
          <w:tcPr>
            <w:tcW w:w="12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(1)</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1 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(7)</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20 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35 </w:t>
            </w:r>
          </w:p>
        </w:tc>
        <w:tc>
          <w:tcPr>
            <w:tcW w:w="18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Corporate - privately placed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110 </w:t>
            </w:r>
          </w:p>
        </w:tc>
        <w:tc>
          <w:tcPr>
            <w:tcW w:w="12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(1)</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1 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(1)</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109 </w:t>
            </w:r>
          </w:p>
        </w:tc>
        <w:tc>
          <w:tcPr>
            <w:tcW w:w="18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ABS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26 </w:t>
            </w:r>
          </w:p>
        </w:tc>
        <w:tc>
          <w:tcPr>
            <w:tcW w:w="12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26 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(26)</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15 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(2)</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39 </w:t>
            </w:r>
          </w:p>
        </w:tc>
        <w:tc>
          <w:tcPr>
            <w:tcW w:w="18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MBS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88 </w:t>
            </w:r>
          </w:p>
        </w:tc>
        <w:tc>
          <w:tcPr>
            <w:tcW w:w="12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88 </w:t>
            </w:r>
          </w:p>
        </w:tc>
        <w:tc>
          <w:tcPr>
            <w:tcW w:w="18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4"/>
              </w:rPr>
            </w:pPr>
            <w:r>
              <w:rPr>
                <w:rFonts w:ascii="Helvetica_Neue_LT_W1G_55_Roman;sans-serif" w:hAnsi="Helvetica_Neue_LT_W1G_55_Roman;sans-serif"/>
                <w:b/>
                <w:color w:val="000000"/>
                <w:sz w:val="14"/>
              </w:rPr>
              <w:t>Total fixed income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4"/>
              </w:rPr>
              <w:t>248</w:t>
            </w:r>
            <w:r>
              <w:rPr>
                <w:color w:val="000000"/>
              </w:rPr>
              <w:t> </w:t>
            </w:r>
          </w:p>
        </w:tc>
        <w:tc>
          <w:tcPr>
            <w:tcW w:w="12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4"/>
              </w:rPr>
            </w:pPr>
            <w:r>
              <w:rPr>
                <w:rFonts w:ascii="Helvetica_Neue_LT_W1G_55_Roman;sans-serif" w:hAnsi="Helvetica_Neue_LT_W1G_55_Roman;sans-serif"/>
                <w:b/>
                <w:color w:val="000000"/>
                <w:sz w:val="14"/>
              </w:rPr>
              <w:t>(2)</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4"/>
              </w:rPr>
              <w:t>2</w:t>
            </w: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4"/>
              </w:rPr>
              <w:t>26</w:t>
            </w: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4"/>
              </w:rPr>
            </w:pPr>
            <w:r>
              <w:rPr>
                <w:rFonts w:ascii="Helvetica_Neue_LT_W1G_55_Roman;sans-serif" w:hAnsi="Helvetica_Neue_LT_W1G_55_Roman;sans-serif"/>
                <w:b/>
                <w:color w:val="000000"/>
                <w:sz w:val="14"/>
              </w:rPr>
              <w:t>(33)</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4"/>
              </w:rPr>
              <w:t>35</w:t>
            </w: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4"/>
              </w:rPr>
            </w:pPr>
            <w:r>
              <w:rPr>
                <w:rFonts w:ascii="Helvetica_Neue_LT_W1G_55_Roman;sans-serif" w:hAnsi="Helvetica_Neue_LT_W1G_55_Roman;sans-serif"/>
                <w:b/>
                <w:color w:val="000000"/>
                <w:sz w:val="14"/>
              </w:rPr>
              <w:t>(3)</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4"/>
              </w:rPr>
              <w:t>273</w:t>
            </w:r>
            <w:r>
              <w:rPr>
                <w:color w:val="000000"/>
              </w:rPr>
              <w:t> </w:t>
            </w:r>
          </w:p>
        </w:tc>
        <w:tc>
          <w:tcPr>
            <w:tcW w:w="18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Equity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407 </w:t>
            </w:r>
          </w:p>
        </w:tc>
        <w:tc>
          <w:tcPr>
            <w:tcW w:w="12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30 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5 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(84)</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358 </w:t>
            </w:r>
          </w:p>
        </w:tc>
        <w:tc>
          <w:tcPr>
            <w:tcW w:w="18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Short-term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5 </w:t>
            </w:r>
          </w:p>
        </w:tc>
        <w:tc>
          <w:tcPr>
            <w:tcW w:w="12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3 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(4)</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4 </w:t>
            </w:r>
          </w:p>
        </w:tc>
        <w:tc>
          <w:tcPr>
            <w:tcW w:w="18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Other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1 </w:t>
            </w:r>
          </w:p>
        </w:tc>
        <w:tc>
          <w:tcPr>
            <w:tcW w:w="12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1 </w:t>
            </w:r>
          </w:p>
        </w:tc>
        <w:tc>
          <w:tcPr>
            <w:tcW w:w="18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Other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134 </w:t>
            </w:r>
          </w:p>
        </w:tc>
        <w:tc>
          <w:tcPr>
            <w:tcW w:w="12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3 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137 </w:t>
            </w:r>
          </w:p>
        </w:tc>
        <w:tc>
          <w:tcPr>
            <w:tcW w:w="18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Assets held for sale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7 </w:t>
            </w:r>
          </w:p>
        </w:tc>
        <w:tc>
          <w:tcPr>
            <w:tcW w:w="12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1 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(8)</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4"/>
              </w:rPr>
            </w:pPr>
            <w:r>
              <w:rPr>
                <w:rFonts w:ascii="Helvetica_Neue_LT_W1G_55_Roman;sans-serif" w:hAnsi="Helvetica_Neue_LT_W1G_55_Roman;sans-serif"/>
                <w:b/>
                <w:color w:val="000000"/>
                <w:sz w:val="14"/>
              </w:rPr>
              <w:t>Total recurring Level 3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4"/>
              </w:rPr>
              <w:t>802</w:t>
            </w:r>
            <w:r>
              <w:rPr>
                <w:color w:val="000000"/>
              </w:rPr>
              <w:t> </w:t>
            </w:r>
          </w:p>
        </w:tc>
        <w:tc>
          <w:tcPr>
            <w:tcW w:w="12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4"/>
              </w:rPr>
              <w:t>31</w:t>
            </w: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4"/>
              </w:rPr>
              <w:t>3</w:t>
            </w: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4"/>
              </w:rPr>
              <w:t>26</w:t>
            </w: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4"/>
              </w:rPr>
            </w:pPr>
            <w:r>
              <w:rPr>
                <w:rFonts w:ascii="Helvetica_Neue_LT_W1G_55_Roman;sans-serif" w:hAnsi="Helvetica_Neue_LT_W1G_55_Roman;sans-serif"/>
                <w:b/>
                <w:color w:val="000000"/>
                <w:sz w:val="14"/>
              </w:rPr>
              <w:t>(33)</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4"/>
              </w:rPr>
              <w:t>43</w:t>
            </w: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4"/>
              </w:rPr>
            </w:pPr>
            <w:r>
              <w:rPr>
                <w:rFonts w:ascii="Helvetica_Neue_LT_W1G_55_Roman;sans-serif" w:hAnsi="Helvetica_Neue_LT_W1G_55_Roman;sans-serif"/>
                <w:b/>
                <w:color w:val="000000"/>
                <w:sz w:val="14"/>
              </w:rPr>
              <w:t>(96)</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4"/>
              </w:rPr>
            </w:pPr>
            <w:r>
              <w:rPr>
                <w:rFonts w:ascii="Helvetica_Neue_LT_W1G_55_Roman;sans-serif" w:hAnsi="Helvetica_Neue_LT_W1G_55_Roman;sans-serif"/>
                <w:b/>
                <w:color w:val="000000"/>
                <w:sz w:val="14"/>
              </w:rPr>
              <w:t>(3)</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4"/>
              </w:rPr>
              <w:t>773</w:t>
            </w:r>
            <w:r>
              <w:rPr>
                <w:color w:val="000000"/>
              </w:rPr>
              <w:t> </w:t>
            </w:r>
          </w:p>
        </w:tc>
        <w:tc>
          <w:tcPr>
            <w:tcW w:w="18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4"/>
              </w:rPr>
            </w:pPr>
            <w:r>
              <w:rPr>
                <w:rFonts w:ascii="Helvetica_Neue_LT_W1G_55_Roman;sans-serif" w:hAnsi="Helvetica_Neue_LT_W1G_55_Roman;sans-serif"/>
                <w:b/>
                <w:color w:val="000000"/>
                <w:sz w:val="14"/>
              </w:rPr>
              <w:t>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Other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(1)</w:t>
            </w:r>
          </w:p>
        </w:tc>
        <w:tc>
          <w:tcPr>
            <w:tcW w:w="109" w:type="dxa"/>
            <w:tcBorders>
              <w:top w:val="single" w:sz="8"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DBDBDB"/>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DBDBDB"/>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DBDBDB"/>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DBDBDB"/>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DBDBDB"/>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DBDBDB"/>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top w:val="single" w:sz="8"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(1)</w:t>
            </w:r>
          </w:p>
        </w:tc>
        <w:tc>
          <w:tcPr>
            <w:tcW w:w="188" w:type="dxa"/>
            <w:tcBorders>
              <w:top w:val="single" w:sz="8"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4"/>
              </w:rPr>
            </w:pPr>
            <w:r>
              <w:rPr>
                <w:rFonts w:ascii="Helvetica_Neue_LT_W1G_55_Roman;sans-serif" w:hAnsi="Helvetica_Neue_LT_W1G_55_Roman;sans-serif"/>
                <w:b/>
                <w:color w:val="000000"/>
                <w:sz w:val="14"/>
              </w:rPr>
              <w:t>Total recurring Level 3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4"/>
              </w:rPr>
            </w:pPr>
            <w:r>
              <w:rPr>
                <w:rFonts w:ascii="Helvetica_Neue_LT_W1G_55_Roman;sans-serif" w:hAnsi="Helvetica_Neue_LT_W1G_55_Roman;sans-serif"/>
                <w:b/>
                <w:color w:val="000000"/>
                <w:sz w:val="14"/>
              </w:rPr>
              <w:t>$</w:t>
            </w:r>
          </w:p>
        </w:tc>
        <w:tc>
          <w:tcPr>
            <w:tcW w:w="51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DBDBDB"/>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4"/>
              </w:rPr>
            </w:pPr>
            <w:r>
              <w:rPr>
                <w:rFonts w:ascii="Helvetica_Neue_LT_W1G_55_Roman;sans-serif" w:hAnsi="Helvetica_Neue_LT_W1G_55_Roman;sans-serif"/>
                <w:b/>
                <w:color w:val="000000"/>
                <w:sz w:val="14"/>
              </w:rPr>
              <w:t>$</w:t>
            </w:r>
          </w:p>
        </w:tc>
        <w:tc>
          <w:tcPr>
            <w:tcW w:w="406" w:type="dxa"/>
            <w:tcBorders>
              <w:top w:val="single" w:sz="8" w:space="0" w:color="DBDBDB"/>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4"/>
              </w:rPr>
            </w:pPr>
            <w:r>
              <w:rPr>
                <w:rFonts w:ascii="Helvetica_Neue_LT_W1G_55_Roman;sans-serif" w:hAnsi="Helvetica_Neue_LT_W1G_55_Roman;sans-serif"/>
                <w:b/>
                <w:color w:val="000000"/>
                <w:sz w:val="14"/>
              </w:rPr>
              <w:t>(1)</w:t>
            </w:r>
          </w:p>
        </w:tc>
        <w:tc>
          <w:tcPr>
            <w:tcW w:w="109" w:type="dxa"/>
            <w:tcBorders>
              <w:top w:val="single" w:sz="8" w:space="0" w:color="DBDBDB"/>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DBDBDB"/>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4"/>
              </w:rPr>
            </w:pPr>
            <w:r>
              <w:rPr>
                <w:rFonts w:ascii="Helvetica_Neue_LT_W1G_55_Roman;sans-serif" w:hAnsi="Helvetica_Neue_LT_W1G_55_Roman;sans-serif"/>
                <w:b/>
                <w:color w:val="000000"/>
                <w:sz w:val="14"/>
              </w:rPr>
              <w:t>$</w:t>
            </w:r>
          </w:p>
        </w:tc>
        <w:tc>
          <w:tcPr>
            <w:tcW w:w="406" w:type="dxa"/>
            <w:tcBorders>
              <w:top w:val="single" w:sz="8" w:space="0" w:color="DBDBDB"/>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DBDBDB"/>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DBDBDB"/>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4"/>
              </w:rPr>
            </w:pPr>
            <w:r>
              <w:rPr>
                <w:rFonts w:ascii="Helvetica_Neue_LT_W1G_55_Roman;sans-serif" w:hAnsi="Helvetica_Neue_LT_W1G_55_Roman;sans-serif"/>
                <w:b/>
                <w:color w:val="000000"/>
                <w:sz w:val="14"/>
              </w:rPr>
              <w:t>$</w:t>
            </w:r>
          </w:p>
        </w:tc>
        <w:tc>
          <w:tcPr>
            <w:tcW w:w="406" w:type="dxa"/>
            <w:tcBorders>
              <w:top w:val="single" w:sz="8" w:space="0" w:color="DBDBDB"/>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DBDBDB"/>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DBDBDB"/>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4"/>
              </w:rPr>
            </w:pPr>
            <w:r>
              <w:rPr>
                <w:rFonts w:ascii="Helvetica_Neue_LT_W1G_55_Roman;sans-serif" w:hAnsi="Helvetica_Neue_LT_W1G_55_Roman;sans-serif"/>
                <w:b/>
                <w:color w:val="000000"/>
                <w:sz w:val="14"/>
              </w:rPr>
              <w:t>$</w:t>
            </w:r>
          </w:p>
        </w:tc>
        <w:tc>
          <w:tcPr>
            <w:tcW w:w="406" w:type="dxa"/>
            <w:tcBorders>
              <w:top w:val="single" w:sz="8" w:space="0" w:color="DBDBDB"/>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DBDBDB"/>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DBDBDB"/>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4"/>
              </w:rPr>
            </w:pPr>
            <w:r>
              <w:rPr>
                <w:rFonts w:ascii="Helvetica_Neue_LT_W1G_55_Roman;sans-serif" w:hAnsi="Helvetica_Neue_LT_W1G_55_Roman;sans-serif"/>
                <w:b/>
                <w:color w:val="000000"/>
                <w:sz w:val="14"/>
              </w:rPr>
              <w:t>$</w:t>
            </w:r>
          </w:p>
        </w:tc>
        <w:tc>
          <w:tcPr>
            <w:tcW w:w="406" w:type="dxa"/>
            <w:tcBorders>
              <w:top w:val="single" w:sz="8" w:space="0" w:color="DBDBDB"/>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DBDBDB"/>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DBDBDB"/>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4"/>
              </w:rPr>
            </w:pPr>
            <w:r>
              <w:rPr>
                <w:rFonts w:ascii="Helvetica_Neue_LT_W1G_55_Roman;sans-serif" w:hAnsi="Helvetica_Neue_LT_W1G_55_Roman;sans-serif"/>
                <w:b/>
                <w:color w:val="000000"/>
                <w:sz w:val="14"/>
              </w:rPr>
              <w:t>$</w:t>
            </w:r>
          </w:p>
        </w:tc>
        <w:tc>
          <w:tcPr>
            <w:tcW w:w="406" w:type="dxa"/>
            <w:tcBorders>
              <w:top w:val="single" w:sz="8" w:space="0" w:color="DBDBDB"/>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DBDBDB"/>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DBDBDB"/>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4"/>
              </w:rPr>
            </w:pPr>
            <w:r>
              <w:rPr>
                <w:rFonts w:ascii="Helvetica_Neue_LT_W1G_55_Roman;sans-serif" w:hAnsi="Helvetica_Neue_LT_W1G_55_Roman;sans-serif"/>
                <w:b/>
                <w:color w:val="000000"/>
                <w:sz w:val="14"/>
              </w:rPr>
              <w:t>$</w:t>
            </w:r>
          </w:p>
        </w:tc>
        <w:tc>
          <w:tcPr>
            <w:tcW w:w="406" w:type="dxa"/>
            <w:tcBorders>
              <w:top w:val="single" w:sz="8" w:space="0" w:color="DBDBDB"/>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DBDBDB"/>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DBDBDB"/>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4"/>
              </w:rPr>
            </w:pPr>
            <w:r>
              <w:rPr>
                <w:rFonts w:ascii="Helvetica_Neue_LT_W1G_55_Roman;sans-serif" w:hAnsi="Helvetica_Neue_LT_W1G_55_Roman;sans-serif"/>
                <w:b/>
                <w:color w:val="000000"/>
                <w:sz w:val="14"/>
              </w:rPr>
              <w:t>$</w:t>
            </w:r>
          </w:p>
        </w:tc>
        <w:tc>
          <w:tcPr>
            <w:tcW w:w="310" w:type="dxa"/>
            <w:tcBorders>
              <w:top w:val="single" w:sz="8" w:space="0" w:color="DBDBDB"/>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4"/>
              </w:rPr>
            </w:pPr>
            <w:r>
              <w:rPr>
                <w:rFonts w:ascii="Helvetica_Neue_LT_W1G_55_Roman;sans-serif" w:hAnsi="Helvetica_Neue_LT_W1G_55_Roman;sans-serif"/>
                <w:b/>
                <w:color w:val="000000"/>
                <w:sz w:val="14"/>
              </w:rPr>
              <w:t>(1)</w:t>
            </w:r>
          </w:p>
        </w:tc>
        <w:tc>
          <w:tcPr>
            <w:tcW w:w="188" w:type="dxa"/>
            <w:tcBorders>
              <w:top w:val="single" w:sz="8" w:space="0" w:color="DBDBDB"/>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448"/>
        <w:gridCol w:w="1268"/>
        <w:gridCol w:w="1244"/>
        <w:gridCol w:w="123"/>
        <w:gridCol w:w="123"/>
        <w:gridCol w:w="123"/>
        <w:gridCol w:w="377"/>
        <w:gridCol w:w="478"/>
        <w:gridCol w:w="182"/>
        <w:gridCol w:w="182"/>
        <w:gridCol w:w="182"/>
        <w:gridCol w:w="182"/>
        <w:gridCol w:w="377"/>
        <w:gridCol w:w="679"/>
        <w:gridCol w:w="182"/>
        <w:gridCol w:w="123"/>
        <w:gridCol w:w="123"/>
        <w:gridCol w:w="123"/>
        <w:gridCol w:w="326"/>
        <w:gridCol w:w="587"/>
        <w:gridCol w:w="157"/>
        <w:gridCol w:w="157"/>
        <w:gridCol w:w="157"/>
        <w:gridCol w:w="157"/>
        <w:gridCol w:w="326"/>
        <w:gridCol w:w="587"/>
        <w:gridCol w:w="232"/>
      </w:tblGrid>
      <w:tr>
        <w:trPr/>
        <w:tc>
          <w:tcPr>
            <w:tcW w:w="1448"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10205" w:type="dxa"/>
            <w:gridSpan w:val="27"/>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 Level 3 gains (losses) included in net income</w:t>
            </w:r>
          </w:p>
        </w:tc>
      </w:tr>
      <w:tr>
        <w:trPr/>
        <w:tc>
          <w:tcPr>
            <w:tcW w:w="39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Three months ended June 30,</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Six months ended June 30,</w:t>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 in millions)</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2026</w:t>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2025</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2026</w:t>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2025</w:t>
            </w:r>
          </w:p>
        </w:tc>
      </w:tr>
      <w:tr>
        <w:trPr/>
        <w:tc>
          <w:tcPr>
            <w:tcW w:w="3960"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r>
      <w:tr>
        <w:trPr/>
        <w:tc>
          <w:tcPr>
            <w:tcW w:w="3960"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 xml:space="preserve">Net gains (losses) on investments and derivatives </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478"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1 </w:t>
            </w:r>
          </w:p>
        </w:tc>
        <w:tc>
          <w:tcPr>
            <w:tcW w:w="182"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679"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16 </w:t>
            </w:r>
          </w:p>
        </w:tc>
        <w:tc>
          <w:tcPr>
            <w:tcW w:w="182"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587"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587"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27 </w:t>
            </w:r>
          </w:p>
        </w:tc>
        <w:tc>
          <w:tcPr>
            <w:tcW w:w="232"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Operating costs and expenses</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2 </w:t>
            </w:r>
          </w:p>
        </w:tc>
        <w:tc>
          <w:tcPr>
            <w:tcW w:w="182"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3 </w:t>
            </w:r>
          </w:p>
        </w:tc>
        <w:tc>
          <w:tcPr>
            <w:tcW w:w="182"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8 </w:t>
            </w:r>
          </w:p>
        </w:tc>
        <w:tc>
          <w:tcPr>
            <w:tcW w:w="157"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3 </w:t>
            </w:r>
          </w:p>
        </w:tc>
        <w:tc>
          <w:tcPr>
            <w:tcW w:w="232"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There were no transfers into Level 3 during the three and six months ended June 30, 2026.</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 xml:space="preserve">There were no transfers into Level 3 during the three months ended June 30, 2025. Transfers into Level 3 during the six months ended June 30, 2025 included situations where a quote was not provided by the Company’s independent third-party valuation service provider and as a result the price was stale or </w:t>
      </w:r>
    </w:p>
    <w:p>
      <w:pPr>
        <w:pStyle w:val="TextBody"/>
        <w:bidi w:val="0"/>
        <w:spacing w:lineRule="auto" w:line="288" w:before="0" w:after="120"/>
        <w:jc w:val="left"/>
        <w:rPr>
          <w:rFonts w:ascii="Allstate Sans;sans-serif" w:hAnsi="Allstate Sans;sans-serif"/>
          <w:b w:val="false"/>
          <w:color w:val="000000"/>
          <w:sz w:val="18"/>
        </w:rPr>
      </w:pPr>
      <w:r>
        <w:rPr>
          <w:rFonts w:ascii="Allstate Sans;sans-serif" w:hAnsi="Allstate Sans;sans-serif"/>
          <w:b w:val="false"/>
          <w:color w:val="000000"/>
          <w:sz w:val="18"/>
        </w:rPr>
        <w:t>had been replaced with a broker quote where the inputs had not been corroborated to be market observable resulting in the security being classified as Level 3.</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 xml:space="preserve">Transfers out of Level 3 during the three months ended June 30, 2026 included situations where a quote that was not provided by the Company’s independent third-party valuation service provider in the prior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29" name="Frame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120"/>
                              <w:jc w:val="left"/>
                              <w:rPr/>
                            </w:pPr>
                            <w:r>
                              <w:rPr>
                                <w:rFonts w:ascii="Allstate Sans;sans-serif" w:hAnsi="Allstate Sans;sans-serif"/>
                                <w:b w:val="false"/>
                                <w:color w:val="0033A0"/>
                                <w:sz w:val="18"/>
                              </w:rPr>
                              <w:t>26</w:t>
                            </w:r>
                            <w:r>
                              <w:rPr>
                                <w:color w:val="1666AF"/>
                              </w:rPr>
                              <w:t xml:space="preserve"> </w:t>
                            </w:r>
                            <w:r>
                              <w:rPr>
                                <w:rFonts w:ascii="Allstate Sans;sans-serif" w:hAnsi="Allstate Sans;sans-serif"/>
                                <w:b w:val="false"/>
                                <w:color w:val="000000"/>
                                <w:sz w:val="18"/>
                              </w:rPr>
                              <w:t>www.allstate.com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left"/>
                        <w:rPr/>
                      </w:pPr>
                      <w:r>
                        <w:rPr>
                          <w:rFonts w:ascii="Allstate Sans;sans-serif" w:hAnsi="Allstate Sans;sans-serif"/>
                          <w:b w:val="false"/>
                          <w:color w:val="0033A0"/>
                          <w:sz w:val="18"/>
                        </w:rPr>
                        <w:t>26</w:t>
                      </w:r>
                      <w:r>
                        <w:rPr>
                          <w:color w:val="1666AF"/>
                        </w:rPr>
                        <w:t xml:space="preserve"> </w:t>
                      </w:r>
                      <w:r>
                        <w:rPr>
                          <w:rFonts w:ascii="Allstate Sans;sans-serif" w:hAnsi="Allstate Sans;sans-serif"/>
                          <w:b w:val="false"/>
                          <w:color w:val="000000"/>
                          <w:sz w:val="18"/>
                        </w:rPr>
                        <w:t>www.allstate.com</w:t>
                      </w:r>
                    </w:p>
                  </w:txbxContent>
                </v:textbox>
                <w10:wrap type="none"/>
              </v:rect>
            </w:pict>
          </mc:Fallback>
        </mc:AlternateContent>
      </w:r>
    </w:p>
    <w:p>
      <w:pPr>
        <w:pStyle w:val="TextBody"/>
        <w:bidi w:val="0"/>
        <w:spacing w:lineRule="auto" w:line="288" w:before="0" w:after="0"/>
        <w:jc w:val="right"/>
        <w:rPr>
          <w:rFonts w:ascii="Allstate Sans;sans-serif" w:hAnsi="Allstate Sans;sans-serif"/>
          <w:b w:val="false"/>
          <w:color w:val="0033A0"/>
          <w:sz w:val="18"/>
        </w:rPr>
      </w:pPr>
      <w:r>
        <w:rPr>
          <w:rFonts w:ascii="Allstate Sans;sans-serif" w:hAnsi="Allstate Sans;sans-serif"/>
          <w:b w:val="false"/>
          <w:color w:val="0033A0"/>
          <w:sz w:val="18"/>
        </w:rPr>
        <w:t>Notes to Condensed Consolidated Financial Statements</w:t>
      </w:r>
    </w:p>
    <w:p>
      <w:pPr>
        <w:pStyle w:val="TextBody"/>
        <w:bidi w:val="0"/>
        <w:spacing w:before="0" w:after="120"/>
        <w:ind w:left="0" w:right="0" w:firstLine="360"/>
        <w:jc w:val="left"/>
        <w:rPr/>
      </w:pPr>
      <w:r>
        <w:rPr/>
      </w:r>
    </w:p>
    <w:p>
      <w:pPr>
        <w:pStyle w:val="TextBody"/>
        <w:bidi w:val="0"/>
        <w:spacing w:lineRule="auto" w:line="288" w:before="0" w:after="120"/>
        <w:jc w:val="left"/>
        <w:rPr>
          <w:rFonts w:ascii="Allstate Sans;sans-serif" w:hAnsi="Allstate Sans;sans-serif"/>
          <w:b w:val="false"/>
          <w:color w:val="000000"/>
          <w:sz w:val="18"/>
        </w:rPr>
      </w:pPr>
      <w:r>
        <w:rPr>
          <w:rFonts w:ascii="Allstate Sans;sans-serif" w:hAnsi="Allstate Sans;sans-serif"/>
          <w:b w:val="false"/>
          <w:color w:val="000000"/>
          <w:sz w:val="18"/>
        </w:rPr>
        <w:t xml:space="preserve">period became available in the current period. Transfers out of Level 3 during the six months ended June 30, 2026 included situations where a rating that was not provided by third-party rating agencies in the prior period became available in the current period and situations where a quote that was not provided by the Company’s independent third-party valuation service provider in the prior period became available in the current period. </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 xml:space="preserve">Transfers out of Level 3 during the three and six months ended June 30, 2025 included situations where </w:t>
      </w:r>
    </w:p>
    <w:p>
      <w:pPr>
        <w:pStyle w:val="TextBody"/>
        <w:bidi w:val="0"/>
        <w:spacing w:lineRule="auto" w:line="288" w:before="0" w:after="120"/>
        <w:jc w:val="left"/>
        <w:rPr>
          <w:rFonts w:ascii="Allstate Sans;sans-serif" w:hAnsi="Allstate Sans;sans-serif"/>
          <w:b w:val="false"/>
          <w:color w:val="000000"/>
          <w:sz w:val="18"/>
        </w:rPr>
      </w:pPr>
      <w:r>
        <w:rPr>
          <w:rFonts w:ascii="Allstate Sans;sans-serif" w:hAnsi="Allstate Sans;sans-serif"/>
          <w:b w:val="false"/>
          <w:color w:val="000000"/>
          <w:sz w:val="18"/>
        </w:rPr>
        <w:t>a broker quote was used in the prior period and a quote with market observable inputs became available from the Company’s independent third-party valuation service provider in the current period. Any gains or losses related to the change in valuation source for individual securities were not significant.</w:t>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592"/>
        <w:gridCol w:w="1137"/>
        <w:gridCol w:w="1145"/>
        <w:gridCol w:w="159"/>
        <w:gridCol w:w="159"/>
        <w:gridCol w:w="159"/>
        <w:gridCol w:w="331"/>
        <w:gridCol w:w="595"/>
        <w:gridCol w:w="159"/>
        <w:gridCol w:w="159"/>
        <w:gridCol w:w="159"/>
        <w:gridCol w:w="159"/>
        <w:gridCol w:w="331"/>
        <w:gridCol w:w="595"/>
        <w:gridCol w:w="159"/>
        <w:gridCol w:w="159"/>
        <w:gridCol w:w="159"/>
        <w:gridCol w:w="159"/>
        <w:gridCol w:w="331"/>
        <w:gridCol w:w="595"/>
        <w:gridCol w:w="159"/>
        <w:gridCol w:w="159"/>
        <w:gridCol w:w="159"/>
        <w:gridCol w:w="159"/>
        <w:gridCol w:w="331"/>
        <w:gridCol w:w="595"/>
        <w:gridCol w:w="242"/>
      </w:tblGrid>
      <w:tr>
        <w:trPr/>
        <w:tc>
          <w:tcPr>
            <w:tcW w:w="1592"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10205" w:type="dxa"/>
            <w:gridSpan w:val="27"/>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120"/>
              <w:jc w:val="left"/>
              <w:rPr>
                <w:rFonts w:ascii="Allstate Sans;sans-serif" w:hAnsi="Allstate Sans;sans-serif"/>
                <w:b/>
                <w:color w:val="000000"/>
                <w:sz w:val="18"/>
              </w:rPr>
            </w:pPr>
            <w:r>
              <w:rPr>
                <w:rFonts w:ascii="Allstate Sans;sans-serif" w:hAnsi="Allstate Sans;sans-serif"/>
                <w:b/>
                <w:color w:val="000000"/>
                <w:sz w:val="18"/>
              </w:rPr>
              <w:t>Valuation changes included in net income and OCI for Level 3 assets and liabilities still held</w:t>
            </w:r>
          </w:p>
        </w:tc>
      </w:tr>
      <w:tr>
        <w:trPr/>
        <w:tc>
          <w:tcPr>
            <w:tcW w:w="38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Three months ended June 30,</w:t>
            </w:r>
          </w:p>
        </w:tc>
        <w:tc>
          <w:tcPr>
            <w:tcW w:w="4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Six months ended June 30,</w:t>
            </w:r>
          </w:p>
        </w:tc>
      </w:tr>
      <w:tr>
        <w:trPr/>
        <w:tc>
          <w:tcPr>
            <w:tcW w:w="3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 in millions)</w:t>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2026</w:t>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2025</w:t>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2026</w:t>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2025</w:t>
            </w:r>
          </w:p>
        </w:tc>
      </w:tr>
      <w:tr>
        <w:trPr/>
        <w:tc>
          <w:tcPr>
            <w:tcW w:w="3874"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Assets</w:t>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4"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Fixed income securities:</w:t>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4"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r>
      <w:tr>
        <w:trPr/>
        <w:tc>
          <w:tcPr>
            <w:tcW w:w="3874"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Corporate - public</w:t>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595"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595"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595"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595"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w:t>
            </w:r>
          </w:p>
        </w:tc>
        <w:tc>
          <w:tcPr>
            <w:tcW w:w="24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4"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Corporate - privately placed</w:t>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w:t>
            </w:r>
          </w:p>
        </w:tc>
        <w:tc>
          <w:tcPr>
            <w:tcW w:w="15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w:t>
            </w:r>
          </w:p>
        </w:tc>
        <w:tc>
          <w:tcPr>
            <w:tcW w:w="15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4"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r>
      <w:tr>
        <w:trPr/>
        <w:tc>
          <w:tcPr>
            <w:tcW w:w="3874"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 fixed income securities</w:t>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(1)</w:t>
            </w:r>
          </w:p>
        </w:tc>
        <w:tc>
          <w:tcPr>
            <w:tcW w:w="15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(1)</w:t>
            </w:r>
          </w:p>
        </w:tc>
        <w:tc>
          <w:tcPr>
            <w:tcW w:w="15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(1)</w:t>
            </w:r>
          </w:p>
        </w:tc>
        <w:tc>
          <w:tcPr>
            <w:tcW w:w="24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4"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Equity securities</w:t>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15 </w:t>
            </w:r>
          </w:p>
        </w:tc>
        <w:tc>
          <w:tcPr>
            <w:tcW w:w="15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w:t>
            </w:r>
          </w:p>
        </w:tc>
        <w:tc>
          <w:tcPr>
            <w:tcW w:w="15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29 </w:t>
            </w:r>
          </w:p>
        </w:tc>
        <w:tc>
          <w:tcPr>
            <w:tcW w:w="24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4"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r>
      <w:tr>
        <w:trPr/>
        <w:tc>
          <w:tcPr>
            <w:tcW w:w="3874"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r>
      <w:tr>
        <w:trPr/>
        <w:tc>
          <w:tcPr>
            <w:tcW w:w="3874"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Other assets</w:t>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2 </w:t>
            </w:r>
          </w:p>
        </w:tc>
        <w:tc>
          <w:tcPr>
            <w:tcW w:w="15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3 </w:t>
            </w:r>
          </w:p>
        </w:tc>
        <w:tc>
          <w:tcPr>
            <w:tcW w:w="15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8 </w:t>
            </w:r>
          </w:p>
        </w:tc>
        <w:tc>
          <w:tcPr>
            <w:tcW w:w="15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3 </w:t>
            </w:r>
          </w:p>
        </w:tc>
        <w:tc>
          <w:tcPr>
            <w:tcW w:w="24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4"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r>
      <w:tr>
        <w:trPr/>
        <w:tc>
          <w:tcPr>
            <w:tcW w:w="3874"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r>
      <w:tr>
        <w:trPr/>
        <w:tc>
          <w:tcPr>
            <w:tcW w:w="3874"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 recurring Level 3 assets</w:t>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595"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w:t>
            </w:r>
            <w:r>
              <w:rPr>
                <w:color w:val="000000"/>
              </w:rPr>
              <w:t> </w:t>
            </w:r>
          </w:p>
        </w:tc>
        <w:tc>
          <w:tcPr>
            <w:tcW w:w="15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595"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18</w:t>
            </w:r>
            <w:r>
              <w:rPr>
                <w:color w:val="000000"/>
              </w:rPr>
              <w:t> </w:t>
            </w:r>
          </w:p>
        </w:tc>
        <w:tc>
          <w:tcPr>
            <w:tcW w:w="15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595"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6</w:t>
            </w:r>
            <w:r>
              <w:rPr>
                <w:color w:val="000000"/>
              </w:rPr>
              <w:t> </w:t>
            </w:r>
          </w:p>
        </w:tc>
        <w:tc>
          <w:tcPr>
            <w:tcW w:w="15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595"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31</w:t>
            </w:r>
            <w:r>
              <w:rPr>
                <w:color w:val="000000"/>
              </w:rPr>
              <w:t> </w:t>
            </w:r>
          </w:p>
        </w:tc>
        <w:tc>
          <w:tcPr>
            <w:tcW w:w="24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4"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Liabilities</w:t>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4"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Other liabilities</w:t>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595"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1 </w:t>
            </w:r>
          </w:p>
        </w:tc>
        <w:tc>
          <w:tcPr>
            <w:tcW w:w="15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595"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595"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1 </w:t>
            </w:r>
          </w:p>
        </w:tc>
        <w:tc>
          <w:tcPr>
            <w:tcW w:w="15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595"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w:t>
            </w:r>
          </w:p>
        </w:tc>
        <w:tc>
          <w:tcPr>
            <w:tcW w:w="24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4"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r>
      <w:tr>
        <w:trPr/>
        <w:tc>
          <w:tcPr>
            <w:tcW w:w="3874"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 recurring Level 3 liabilities</w:t>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w:t>
            </w:r>
            <w:r>
              <w:rPr>
                <w:color w:val="000000"/>
              </w:rPr>
              <w:t> </w:t>
            </w:r>
          </w:p>
        </w:tc>
        <w:tc>
          <w:tcPr>
            <w:tcW w:w="15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w:t>
            </w:r>
            <w:r>
              <w:rPr>
                <w:color w:val="000000"/>
              </w:rPr>
              <w:t> </w:t>
            </w:r>
          </w:p>
        </w:tc>
        <w:tc>
          <w:tcPr>
            <w:tcW w:w="15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(1)</w:t>
            </w:r>
          </w:p>
        </w:tc>
        <w:tc>
          <w:tcPr>
            <w:tcW w:w="24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4"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 included in net income</w:t>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595"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2</w:t>
            </w:r>
            <w:r>
              <w:rPr>
                <w:color w:val="000000"/>
              </w:rPr>
              <w:t> </w:t>
            </w:r>
          </w:p>
        </w:tc>
        <w:tc>
          <w:tcPr>
            <w:tcW w:w="15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595"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18</w:t>
            </w:r>
            <w:r>
              <w:rPr>
                <w:color w:val="000000"/>
              </w:rPr>
              <w:t> </w:t>
            </w:r>
          </w:p>
        </w:tc>
        <w:tc>
          <w:tcPr>
            <w:tcW w:w="15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595"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7</w:t>
            </w:r>
            <w:r>
              <w:rPr>
                <w:color w:val="000000"/>
              </w:rPr>
              <w:t> </w:t>
            </w:r>
          </w:p>
        </w:tc>
        <w:tc>
          <w:tcPr>
            <w:tcW w:w="15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595"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30</w:t>
            </w:r>
            <w:r>
              <w:rPr>
                <w:color w:val="000000"/>
              </w:rPr>
              <w:t> </w:t>
            </w:r>
          </w:p>
        </w:tc>
        <w:tc>
          <w:tcPr>
            <w:tcW w:w="24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4"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4"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Components of net income</w:t>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4"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r>
      <w:tr>
        <w:trPr/>
        <w:tc>
          <w:tcPr>
            <w:tcW w:w="3874"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Net gains (losses) on investments and derivatives</w:t>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595"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595"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15 </w:t>
            </w:r>
          </w:p>
        </w:tc>
        <w:tc>
          <w:tcPr>
            <w:tcW w:w="15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595"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w:t>
            </w:r>
          </w:p>
        </w:tc>
        <w:tc>
          <w:tcPr>
            <w:tcW w:w="15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595"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27 </w:t>
            </w:r>
          </w:p>
        </w:tc>
        <w:tc>
          <w:tcPr>
            <w:tcW w:w="24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4"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Operating costs and expenses</w:t>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2 </w:t>
            </w:r>
          </w:p>
        </w:tc>
        <w:tc>
          <w:tcPr>
            <w:tcW w:w="15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3 </w:t>
            </w:r>
          </w:p>
        </w:tc>
        <w:tc>
          <w:tcPr>
            <w:tcW w:w="15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8 </w:t>
            </w:r>
          </w:p>
        </w:tc>
        <w:tc>
          <w:tcPr>
            <w:tcW w:w="15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3 </w:t>
            </w:r>
          </w:p>
        </w:tc>
        <w:tc>
          <w:tcPr>
            <w:tcW w:w="24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4"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 included in net income</w:t>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595"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2</w:t>
            </w:r>
            <w:r>
              <w:rPr>
                <w:color w:val="000000"/>
              </w:rPr>
              <w:t> </w:t>
            </w:r>
          </w:p>
        </w:tc>
        <w:tc>
          <w:tcPr>
            <w:tcW w:w="15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595"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18</w:t>
            </w:r>
            <w:r>
              <w:rPr>
                <w:color w:val="000000"/>
              </w:rPr>
              <w:t> </w:t>
            </w:r>
          </w:p>
        </w:tc>
        <w:tc>
          <w:tcPr>
            <w:tcW w:w="15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595"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7</w:t>
            </w:r>
            <w:r>
              <w:rPr>
                <w:color w:val="000000"/>
              </w:rPr>
              <w:t> </w:t>
            </w:r>
          </w:p>
        </w:tc>
        <w:tc>
          <w:tcPr>
            <w:tcW w:w="15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595"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30</w:t>
            </w:r>
            <w:r>
              <w:rPr>
                <w:color w:val="000000"/>
              </w:rPr>
              <w:t> </w:t>
            </w:r>
          </w:p>
        </w:tc>
        <w:tc>
          <w:tcPr>
            <w:tcW w:w="24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4"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4"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Assets</w:t>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4"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r>
      <w:tr>
        <w:trPr/>
        <w:tc>
          <w:tcPr>
            <w:tcW w:w="3874"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Corporate - public</w:t>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595"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595"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595"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595"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1 </w:t>
            </w:r>
          </w:p>
        </w:tc>
        <w:tc>
          <w:tcPr>
            <w:tcW w:w="24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4"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Corporate - privately placed</w:t>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w:t>
            </w:r>
          </w:p>
        </w:tc>
        <w:tc>
          <w:tcPr>
            <w:tcW w:w="15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1 </w:t>
            </w:r>
          </w:p>
        </w:tc>
        <w:tc>
          <w:tcPr>
            <w:tcW w:w="15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1 </w:t>
            </w:r>
          </w:p>
        </w:tc>
        <w:tc>
          <w:tcPr>
            <w:tcW w:w="24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4"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ABS</w:t>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1 </w:t>
            </w:r>
          </w:p>
        </w:tc>
        <w:tc>
          <w:tcPr>
            <w:tcW w:w="15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1 </w:t>
            </w:r>
          </w:p>
        </w:tc>
        <w:tc>
          <w:tcPr>
            <w:tcW w:w="15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4"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r>
      <w:tr>
        <w:trPr/>
        <w:tc>
          <w:tcPr>
            <w:tcW w:w="3874"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r>
      <w:tr>
        <w:trPr/>
        <w:tc>
          <w:tcPr>
            <w:tcW w:w="3874" w:type="dxa"/>
            <w:gridSpan w:val="3"/>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Changes in unrealized net capital gains and losses reported in OCI</w:t>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595"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4" w:space="0" w:color="B6B6B6"/>
              <w:bottom w:val="single" w:sz="8" w:space="0" w:color="005BA5"/>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595" w:type="dxa"/>
            <w:tcBorders>
              <w:top w:val="single" w:sz="4" w:space="0" w:color="B6B6B6"/>
              <w:bottom w:val="single" w:sz="8" w:space="0" w:color="005BA5"/>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w:t>
            </w:r>
            <w:r>
              <w:rPr>
                <w:color w:val="000000"/>
              </w:rPr>
              <w:t> </w:t>
            </w:r>
          </w:p>
        </w:tc>
        <w:tc>
          <w:tcPr>
            <w:tcW w:w="159" w:type="dxa"/>
            <w:tcBorders>
              <w:top w:val="single" w:sz="4" w:space="0" w:color="B6B6B6"/>
              <w:bottom w:val="single" w:sz="8" w:space="0" w:color="005BA5"/>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595"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w:t>
            </w:r>
            <w:r>
              <w:rPr>
                <w:color w:val="000000"/>
              </w:rPr>
              <w:t> </w:t>
            </w:r>
          </w:p>
        </w:tc>
        <w:tc>
          <w:tcPr>
            <w:tcW w:w="159"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4" w:space="0" w:color="B6B6B6"/>
              <w:bottom w:val="single" w:sz="8" w:space="0" w:color="005BA5"/>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595" w:type="dxa"/>
            <w:tcBorders>
              <w:top w:val="single" w:sz="4" w:space="0" w:color="B6B6B6"/>
              <w:bottom w:val="single" w:sz="8" w:space="0" w:color="005BA5"/>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2</w:t>
            </w:r>
            <w:r>
              <w:rPr>
                <w:color w:val="000000"/>
              </w:rPr>
              <w:t> </w:t>
            </w:r>
          </w:p>
        </w:tc>
        <w:tc>
          <w:tcPr>
            <w:tcW w:w="242" w:type="dxa"/>
            <w:tcBorders>
              <w:top w:val="single" w:sz="4" w:space="0" w:color="B6B6B6"/>
              <w:bottom w:val="single" w:sz="8" w:space="0" w:color="005BA5"/>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7"/>
        <w:gridCol w:w="542"/>
        <w:gridCol w:w="543"/>
        <w:gridCol w:w="109"/>
        <w:gridCol w:w="109"/>
        <w:gridCol w:w="109"/>
        <w:gridCol w:w="388"/>
        <w:gridCol w:w="388"/>
        <w:gridCol w:w="390"/>
        <w:gridCol w:w="109"/>
        <w:gridCol w:w="109"/>
        <w:gridCol w:w="109"/>
        <w:gridCol w:w="386"/>
        <w:gridCol w:w="1209"/>
        <w:gridCol w:w="189"/>
        <w:gridCol w:w="109"/>
        <w:gridCol w:w="109"/>
        <w:gridCol w:w="109"/>
        <w:gridCol w:w="226"/>
        <w:gridCol w:w="706"/>
        <w:gridCol w:w="109"/>
        <w:gridCol w:w="109"/>
        <w:gridCol w:w="109"/>
        <w:gridCol w:w="109"/>
        <w:gridCol w:w="386"/>
        <w:gridCol w:w="1209"/>
        <w:gridCol w:w="189"/>
        <w:gridCol w:w="109"/>
        <w:gridCol w:w="109"/>
        <w:gridCol w:w="109"/>
        <w:gridCol w:w="226"/>
        <w:gridCol w:w="706"/>
        <w:gridCol w:w="161"/>
      </w:tblGrid>
      <w:tr>
        <w:trPr/>
        <w:tc>
          <w:tcPr>
            <w:tcW w:w="617"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0205" w:type="dxa"/>
            <w:gridSpan w:val="33"/>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left"/>
              <w:rPr>
                <w:rFonts w:ascii="Allstate Sans;sans-serif" w:hAnsi="Allstate Sans;sans-serif"/>
                <w:b/>
                <w:color w:val="000000"/>
                <w:sz w:val="18"/>
              </w:rPr>
            </w:pPr>
            <w:r>
              <w:rPr>
                <w:rFonts w:ascii="Allstate Sans;sans-serif" w:hAnsi="Allstate Sans;sans-serif"/>
                <w:b/>
                <w:color w:val="000000"/>
                <w:sz w:val="18"/>
              </w:rPr>
              <w:t>Financial instruments not carried at fair value</w:t>
            </w:r>
          </w:p>
        </w:tc>
      </w:tr>
      <w:tr>
        <w:trPr/>
        <w:tc>
          <w:tcPr>
            <w:tcW w:w="17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 in 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December 31, 2025</w:t>
            </w:r>
          </w:p>
        </w:tc>
      </w:tr>
      <w:tr>
        <w:trPr/>
        <w:tc>
          <w:tcPr>
            <w:tcW w:w="17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Financial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Fair value level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Helvetica_Neue_LT_W1G_55_Roman;sans-serif" w:hAnsi="Helvetica_Neue_LT_W1G_55_Roman;sans-serif"/>
                <w:b/>
                <w:color w:val="000000"/>
                <w:sz w:val="18"/>
              </w:rPr>
              <w:t xml:space="preserve">Amortized cost, net </w:t>
            </w:r>
            <w:r>
              <w:rPr>
                <w:rFonts w:ascii="Helvetica_Neue_LT_W1G_55_Roman;sans-serif" w:hAnsi="Helvetica_Neue_LT_W1G_55_Roman;sans-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Fair</w:t>
            </w:r>
          </w:p>
          <w:p>
            <w:pPr>
              <w:pStyle w:val="TableContents"/>
              <w:bidi w:val="0"/>
              <w:spacing w:lineRule="auto" w:line="240" w:before="0" w:after="0"/>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Helvetica_Neue_LT_W1G_55_Roman;sans-serif" w:hAnsi="Helvetica_Neue_LT_W1G_55_Roman;sans-serif"/>
                <w:b/>
                <w:color w:val="000000"/>
                <w:sz w:val="18"/>
              </w:rPr>
              <w:t xml:space="preserve">Amortized cost, net </w:t>
            </w:r>
            <w:r>
              <w:rPr>
                <w:rFonts w:ascii="Helvetica_Neue_LT_W1G_55_Roman;sans-serif" w:hAnsi="Helvetica_Neue_LT_W1G_55_Roman;sans-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Fair</w:t>
            </w:r>
          </w:p>
          <w:p>
            <w:pPr>
              <w:pStyle w:val="TableContents"/>
              <w:bidi w:val="0"/>
              <w:spacing w:lineRule="auto" w:line="240" w:before="0" w:after="0"/>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value</w:t>
            </w:r>
          </w:p>
        </w:tc>
      </w:tr>
      <w:tr>
        <w:trPr/>
        <w:tc>
          <w:tcPr>
            <w:tcW w:w="1702"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Mortgage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1209"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842 </w:t>
            </w:r>
          </w:p>
        </w:tc>
        <w:tc>
          <w:tcPr>
            <w:tcW w:w="189"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706"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828 </w:t>
            </w:r>
          </w:p>
        </w:tc>
        <w:tc>
          <w:tcPr>
            <w:tcW w:w="109"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1209"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879 </w:t>
            </w:r>
          </w:p>
        </w:tc>
        <w:tc>
          <w:tcPr>
            <w:tcW w:w="189"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706"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868 </w:t>
            </w:r>
          </w:p>
        </w:tc>
        <w:tc>
          <w:tcPr>
            <w:tcW w:w="161"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2"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Bank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564 </w:t>
            </w:r>
          </w:p>
        </w:tc>
        <w:tc>
          <w:tcPr>
            <w:tcW w:w="189"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568 </w:t>
            </w:r>
          </w:p>
        </w:tc>
        <w:tc>
          <w:tcPr>
            <w:tcW w:w="109"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473 </w:t>
            </w:r>
          </w:p>
        </w:tc>
        <w:tc>
          <w:tcPr>
            <w:tcW w:w="189"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487 </w:t>
            </w:r>
          </w:p>
        </w:tc>
        <w:tc>
          <w:tcPr>
            <w:tcW w:w="161"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17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1702"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2"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Financial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Fair value level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center"/>
              <w:rPr/>
            </w:pPr>
            <w:r>
              <w:rPr>
                <w:rFonts w:ascii="Helvetica_Neue_LT_W1G_55_Roman;sans-serif" w:hAnsi="Helvetica_Neue_LT_W1G_55_Roman;sans-serif"/>
                <w:b/>
                <w:color w:val="000000"/>
                <w:sz w:val="18"/>
              </w:rPr>
              <w:t xml:space="preserve">Carrying value </w:t>
            </w:r>
            <w:r>
              <w:rPr>
                <w:rFonts w:ascii="Helvetica_Neue_LT_W1G_55_Roman;sans-serif" w:hAnsi="Helvetica_Neue_LT_W1G_55_Roman;sans-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Fair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0"/>
              <w:jc w:val="center"/>
              <w:rPr/>
            </w:pPr>
            <w:r>
              <w:rPr>
                <w:rFonts w:ascii="Helvetica_Neue_LT_W1G_55_Roman;sans-serif" w:hAnsi="Helvetica_Neue_LT_W1G_55_Roman;sans-serif"/>
                <w:b/>
                <w:color w:val="000000"/>
                <w:sz w:val="18"/>
              </w:rPr>
              <w:t xml:space="preserve">Carrying value </w:t>
            </w:r>
            <w:r>
              <w:rPr>
                <w:rFonts w:ascii="Helvetica_Neue_LT_W1G_55_Roman;sans-serif" w:hAnsi="Helvetica_Neue_LT_W1G_55_Roman;sans-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0"/>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Fair</w:t>
            </w:r>
          </w:p>
          <w:p>
            <w:pPr>
              <w:pStyle w:val="TableContents"/>
              <w:bidi w:val="0"/>
              <w:spacing w:lineRule="auto" w:line="240" w:before="0" w:after="0"/>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value</w:t>
            </w:r>
          </w:p>
        </w:tc>
      </w:tr>
      <w:tr>
        <w:trPr/>
        <w:tc>
          <w:tcPr>
            <w:tcW w:w="17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1702"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1209"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7,492 </w:t>
            </w:r>
          </w:p>
        </w:tc>
        <w:tc>
          <w:tcPr>
            <w:tcW w:w="189"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706"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7,260 </w:t>
            </w:r>
          </w:p>
        </w:tc>
        <w:tc>
          <w:tcPr>
            <w:tcW w:w="109"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1209"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7,490 </w:t>
            </w:r>
          </w:p>
        </w:tc>
        <w:tc>
          <w:tcPr>
            <w:tcW w:w="189"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706"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7,367 </w:t>
            </w:r>
          </w:p>
        </w:tc>
        <w:tc>
          <w:tcPr>
            <w:tcW w:w="161"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2" w:type="dxa"/>
            <w:gridSpan w:val="3"/>
            <w:tcBorders>
              <w:top w:val="single" w:sz="4" w:space="0" w:color="ACACAC"/>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Liability for collateral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4" w:space="0" w:color="ACACAC"/>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2"/>
            <w:tcBorders>
              <w:top w:val="single" w:sz="4" w:space="0" w:color="ACACAC"/>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2,059 </w:t>
            </w:r>
          </w:p>
        </w:tc>
        <w:tc>
          <w:tcPr>
            <w:tcW w:w="189" w:type="dxa"/>
            <w:tcBorders>
              <w:top w:val="single" w:sz="4" w:space="0" w:color="ACACAC"/>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ACACAC"/>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2,059 </w:t>
            </w:r>
          </w:p>
        </w:tc>
        <w:tc>
          <w:tcPr>
            <w:tcW w:w="109" w:type="dxa"/>
            <w:tcBorders>
              <w:top w:val="single" w:sz="4" w:space="0" w:color="ACACAC"/>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2"/>
            <w:tcBorders>
              <w:top w:val="single" w:sz="4" w:space="0" w:color="ACACAC"/>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1,934 </w:t>
            </w:r>
          </w:p>
        </w:tc>
        <w:tc>
          <w:tcPr>
            <w:tcW w:w="189" w:type="dxa"/>
            <w:tcBorders>
              <w:top w:val="single" w:sz="4" w:space="0" w:color="ACACAC"/>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ACACAC"/>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1,934 </w:t>
            </w:r>
          </w:p>
        </w:tc>
        <w:tc>
          <w:tcPr>
            <w:tcW w:w="161" w:type="dxa"/>
            <w:tcBorders>
              <w:top w:val="single" w:sz="4" w:space="0" w:color="ACACAC"/>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7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180"/>
        <w:jc w:val="left"/>
        <w:rPr/>
      </w:pPr>
      <w:r>
        <w:rPr>
          <w:rFonts w:ascii="Helvetica_Neue_LT_W1G_55_Roman;sans-serif" w:hAnsi="Helvetica_Neue_LT_W1G_55_Roman;sans-serif"/>
          <w:b w:val="false"/>
          <w:color w:val="000000"/>
          <w:sz w:val="10"/>
        </w:rPr>
        <w:t>(1)</w:t>
      </w:r>
      <w:r>
        <w:rPr>
          <w:rFonts w:ascii="Allstate Sans;sans-serif" w:hAnsi="Allstate Sans;sans-serif"/>
          <w:b w:val="false"/>
          <w:color w:val="000000"/>
          <w:sz w:val="16"/>
        </w:rPr>
        <w:t>Represents the amounts reported on the Condensed Consolidated Statements of Financial Position.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311" w:type="dxa"/>
        <w:jc w:val="left"/>
        <w:tblInd w:w="0" w:type="dxa"/>
        <w:tblLayout w:type="fixed"/>
        <w:tblCellMar>
          <w:top w:w="28" w:type="dxa"/>
          <w:left w:w="28" w:type="dxa"/>
          <w:bottom w:w="28" w:type="dxa"/>
          <w:right w:w="28" w:type="dxa"/>
        </w:tblCellMar>
      </w:tblPr>
      <w:tblGrid>
        <w:gridCol w:w="342"/>
        <w:gridCol w:w="301"/>
        <w:gridCol w:w="303"/>
        <w:gridCol w:w="1278"/>
        <w:gridCol w:w="1278"/>
        <w:gridCol w:w="1809"/>
      </w:tblGrid>
      <w:tr>
        <w:trPr/>
        <w:tc>
          <w:tcPr>
            <w:tcW w:w="3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1809"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bottom w:val="single" w:sz="8" w:space="0" w:color="0033A0"/>
            </w:tcBorders>
            <w:tcMar>
              <w:top w:w="0" w:type="dxa"/>
              <w:left w:w="0" w:type="dxa"/>
              <w:bottom w:w="30" w:type="dxa"/>
              <w:right w:w="0" w:type="dxa"/>
            </w:tcMar>
            <w:vAlign w:val="center"/>
          </w:tcPr>
          <w:p>
            <w:pPr>
              <w:pStyle w:val="TableContents"/>
              <w:bidi w:val="0"/>
              <w:spacing w:lineRule="auto" w:line="240" w:before="0" w:after="283"/>
              <w:jc w:val="left"/>
              <w:rPr>
                <w:rFonts w:ascii="Allstate Sans;sans-serif" w:hAnsi="Allstate Sans;sans-serif"/>
                <w:b/>
                <w:color w:val="0033A0"/>
                <w:sz w:val="22"/>
              </w:rPr>
            </w:pPr>
            <w:r>
              <w:rPr>
                <w:rFonts w:ascii="Allstate Sans;sans-serif" w:hAnsi="Allstate Sans;sans-serif"/>
                <w:b/>
                <w:color w:val="0033A0"/>
                <w:sz w:val="22"/>
              </w:rPr>
              <w:t>Note 6</w:t>
            </w:r>
          </w:p>
        </w:tc>
        <w:tc>
          <w:tcPr>
            <w:tcW w:w="4365" w:type="dxa"/>
            <w:gridSpan w:val="3"/>
            <w:tcBorders>
              <w:bottom w:val="single" w:sz="8" w:space="0" w:color="0033A0"/>
            </w:tcBorders>
            <w:tcMar>
              <w:top w:w="0" w:type="dxa"/>
              <w:left w:w="0" w:type="dxa"/>
              <w:bottom w:w="30" w:type="dxa"/>
              <w:right w:w="0" w:type="dxa"/>
            </w:tcMar>
            <w:vAlign w:val="center"/>
          </w:tcPr>
          <w:p>
            <w:pPr>
              <w:pStyle w:val="TableContents"/>
              <w:bidi w:val="0"/>
              <w:spacing w:lineRule="auto" w:line="240" w:before="0" w:after="283"/>
              <w:jc w:val="left"/>
              <w:rPr>
                <w:rFonts w:ascii="Allstate Sans;sans-serif" w:hAnsi="Allstate Sans;sans-serif"/>
                <w:b/>
                <w:color w:val="000000"/>
                <w:sz w:val="22"/>
              </w:rPr>
            </w:pPr>
            <w:r>
              <w:rPr>
                <w:rFonts w:ascii="Allstate Sans;sans-serif" w:hAnsi="Allstate Sans;sans-serif"/>
                <w:b/>
                <w:color w:val="000000"/>
                <w:sz w:val="22"/>
              </w:rPr>
              <w:t xml:space="preserve">Derivative Financial Instruments </w:t>
            </w:r>
          </w:p>
        </w:tc>
      </w:tr>
    </w:tbl>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 xml:space="preserve">The Company uses derivatives for risk reduction and to increase investment portfolio returns through asset replication. Risk reduction activity is focused on managing the risks with certain assets and liabilities arising from the potential adverse impacts from </w:t>
      </w:r>
    </w:p>
    <w:p>
      <w:pPr>
        <w:pStyle w:val="TextBody"/>
        <w:bidi w:val="0"/>
        <w:spacing w:lineRule="auto" w:line="288" w:before="0" w:after="120"/>
        <w:jc w:val="left"/>
        <w:rPr>
          <w:rFonts w:ascii="Allstate Sans;sans-serif" w:hAnsi="Allstate Sans;sans-serif"/>
          <w:b w:val="false"/>
          <w:color w:val="000000"/>
          <w:sz w:val="18"/>
        </w:rPr>
      </w:pPr>
      <w:r>
        <w:rPr>
          <w:rFonts w:ascii="Allstate Sans;sans-serif" w:hAnsi="Allstate Sans;sans-serif"/>
          <w:b w:val="false"/>
          <w:color w:val="000000"/>
          <w:sz w:val="18"/>
        </w:rPr>
        <w:t xml:space="preserve">changes in risk-free interest rates, changes in equity market valuations, increases in credit spreads and foreign currency fluctuations.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33350"/>
                <wp:effectExtent l="0" t="0" r="0" b="0"/>
                <wp:wrapNone/>
                <wp:docPr id="30" name="Frame29"/>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ind w:left="0" w:right="0" w:firstLine="360"/>
                              <w:jc w:val="right"/>
                              <w:rPr/>
                            </w:pPr>
                            <w:r>
                              <w:rPr>
                                <w:rFonts w:ascii="Allstate Sans;sans-serif" w:hAnsi="Allstate Sans;sans-serif"/>
                                <w:b w:val="false"/>
                                <w:color w:val="000000"/>
                                <w:sz w:val="18"/>
                              </w:rPr>
                              <w:t xml:space="preserve">Second Quarter 2026 Form 10-Q </w:t>
                            </w:r>
                            <w:r>
                              <w:rPr>
                                <w:rFonts w:ascii="Allstate Sans;sans-serif" w:hAnsi="Allstate Sans;sans-serif"/>
                                <w:b w:val="false"/>
                                <w:color w:val="0033A0"/>
                                <w:sz w:val="18"/>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right"/>
                        <w:rPr/>
                      </w:pPr>
                      <w:r>
                        <w:rPr>
                          <w:rFonts w:ascii="Allstate Sans;sans-serif" w:hAnsi="Allstate Sans;sans-serif"/>
                          <w:b w:val="false"/>
                          <w:color w:val="000000"/>
                          <w:sz w:val="18"/>
                        </w:rPr>
                        <w:t xml:space="preserve">Second Quarter 2026 Form 10-Q </w:t>
                      </w:r>
                      <w:r>
                        <w:rPr>
                          <w:rFonts w:ascii="Allstate Sans;sans-serif" w:hAnsi="Allstate Sans;sans-serif"/>
                          <w:b w:val="false"/>
                          <w:color w:val="0033A0"/>
                          <w:sz w:val="18"/>
                        </w:rPr>
                        <w:t>27</w:t>
                      </w:r>
                    </w:p>
                  </w:txbxContent>
                </v:textbox>
                <w10:wrap type="none"/>
              </v:rect>
            </w:pict>
          </mc:Fallback>
        </mc:AlternateContent>
      </w:r>
    </w:p>
    <w:p>
      <w:pPr>
        <w:pStyle w:val="TextBody"/>
        <w:bidi w:val="0"/>
        <w:spacing w:lineRule="auto" w:line="288" w:before="0" w:after="0"/>
        <w:jc w:val="left"/>
        <w:rPr>
          <w:rFonts w:ascii="Allstate Sans;sans-serif" w:hAnsi="Allstate Sans;sans-serif"/>
          <w:b w:val="false"/>
          <w:color w:val="0033A0"/>
          <w:sz w:val="18"/>
        </w:rPr>
      </w:pPr>
      <w:r>
        <w:rPr>
          <w:rFonts w:ascii="Allstate Sans;sans-serif" w:hAnsi="Allstate Sans;sans-serif"/>
          <w:b w:val="false"/>
          <w:color w:val="0033A0"/>
          <w:sz w:val="18"/>
        </w:rPr>
        <w:t>Notes to Condensed Consolidated Financial Statements</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 xml:space="preserve">Asset replication refers to the “synthetic” creation of assets through the use of derivatives. The Company replicates fixed income securities using a combination of a credit default swap, index total return swap, options, futures, or a foreign currency forward contract and one or more highly rated fixed income securities, primarily investment grade host bonds, to synthetically replicate the economic characteristics of one or more cash market securities. The Company replicates equity securities using futures, index total return swaps, and options to increase equity exposure. </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Allstate Protection and Run-off Property-Liability segments may use interest rate swaps, swaptions, futures and options to manage the interest rate risks of existing investments. These instruments are utilized to change the duration of the portfolio in order to offset the economic effect that interest rates would otherwise have on the fair value of its fixed income securities. Fixed income index total return swaps are used to offset valuation losses in the fixed income portfolio during periods of declining market values. Credit default swaps are typically used to mitigate the credit risk within the Allstate Protection and Run-off Property-Liability fixed income portfolio. Equity index total return swaps, futures and options are used to offset valuation losses in the equity portfolio. In addition, equity futures are used to hedge the market risk related to deferred compensation liability contracts. Equity derivatives may also be utilized to replicate cash market positions to increase equity exposure. Forward contracts are primarily used to hedge foreign currency risk associated with holding foreign currency denominated investments and foreign operations.</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 xml:space="preserve">As of June 30, 2026 and December 31, 2025, the Company has not designated any fair value, cash flow or net investment hedge accounting relationships. </w:t>
      </w:r>
    </w:p>
    <w:p>
      <w:pPr>
        <w:pStyle w:val="TextBody"/>
        <w:bidi w:val="0"/>
        <w:spacing w:lineRule="auto" w:line="288" w:before="0" w:after="120"/>
        <w:jc w:val="left"/>
        <w:rPr>
          <w:rFonts w:ascii="Allstate Sans;sans-serif" w:hAnsi="Allstate Sans;sans-serif"/>
          <w:b w:val="false"/>
          <w:color w:val="000000"/>
          <w:sz w:val="18"/>
        </w:rPr>
      </w:pPr>
      <w:r>
        <w:rPr>
          <w:rFonts w:ascii="Allstate Sans;sans-serif" w:hAnsi="Allstate Sans;sans-serif"/>
          <w:b w:val="false"/>
          <w:color w:val="000000"/>
          <w:sz w:val="18"/>
        </w:rPr>
        <w:t xml:space="preserve">Non-hedge accounting is generally used for “portfolio” level hedging strategies where the terms of the individual hedged items do not meet the strict homogeneity requirements to permit the application of hedge accounting. For non-hedge derivatives, net income includes changes in fair value and accrued periodic settlements, when applicable. </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The notional amounts specified in the contracts are used to calculate the exchange of contractual payments under the agreements and are generally not representative of the potential for gain or loss on these agreements. However, the notional amounts specified in credit default swaps where the Company has sold credit protection represent the maximum amount of potential loss, assuming no recoveries.</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Fair value, which is equal to the carrying value, is the estimated amount that the Company would receive or pay to terminate the derivative contracts at the reporting date. The carrying value amounts for OTC derivatives are further adjusted for the effects, if any, of enforceable master netting agreements (“MNAs”) and are presented on a net basis, by counterparty agreement, in the Condensed Consolidated Statements of Financial Position.</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In connection with the sale of ALIC and certain affiliates in 2021, the sale agreement included a provision related to contingent consideration that is earned over a ten-year period commencing January 1, 2026. The contingent consideration is determined annually based on the average ten-year U.S. Treasury rate over the preceding three-year period compared to a designated rate. The contingent consideration meets the definition of a derivative and is accounted for on a fair value basis with periodic changes in fair value reflected in earnings. There are no collateral requirements related to the contingent consideration.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1" name="Frame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120"/>
                              <w:jc w:val="left"/>
                              <w:rPr/>
                            </w:pPr>
                            <w:r>
                              <w:rPr>
                                <w:rFonts w:ascii="Allstate Sans;sans-serif" w:hAnsi="Allstate Sans;sans-serif"/>
                                <w:b w:val="false"/>
                                <w:color w:val="0033A0"/>
                                <w:sz w:val="18"/>
                              </w:rPr>
                              <w:t>28</w:t>
                            </w:r>
                            <w:r>
                              <w:rPr>
                                <w:color w:val="1666AF"/>
                              </w:rPr>
                              <w:t xml:space="preserve"> </w:t>
                            </w:r>
                            <w:r>
                              <w:rPr>
                                <w:rFonts w:ascii="Allstate Sans;sans-serif" w:hAnsi="Allstate Sans;sans-serif"/>
                                <w:b w:val="false"/>
                                <w:color w:val="000000"/>
                                <w:sz w:val="18"/>
                              </w:rPr>
                              <w:t>www.allstate.com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left"/>
                        <w:rPr/>
                      </w:pPr>
                      <w:r>
                        <w:rPr>
                          <w:rFonts w:ascii="Allstate Sans;sans-serif" w:hAnsi="Allstate Sans;sans-serif"/>
                          <w:b w:val="false"/>
                          <w:color w:val="0033A0"/>
                          <w:sz w:val="18"/>
                        </w:rPr>
                        <w:t>28</w:t>
                      </w:r>
                      <w:r>
                        <w:rPr>
                          <w:color w:val="1666AF"/>
                        </w:rPr>
                        <w:t xml:space="preserve"> </w:t>
                      </w:r>
                      <w:r>
                        <w:rPr>
                          <w:rFonts w:ascii="Allstate Sans;sans-serif" w:hAnsi="Allstate Sans;sans-serif"/>
                          <w:b w:val="false"/>
                          <w:color w:val="000000"/>
                          <w:sz w:val="18"/>
                        </w:rPr>
                        <w:t>www.allstate.com</w:t>
                      </w:r>
                    </w:p>
                  </w:txbxContent>
                </v:textbox>
                <w10:wrap type="none"/>
              </v:rect>
            </w:pict>
          </mc:Fallback>
        </mc:AlternateContent>
      </w:r>
    </w:p>
    <w:p>
      <w:pPr>
        <w:pStyle w:val="TextBody"/>
        <w:bidi w:val="0"/>
        <w:spacing w:lineRule="auto" w:line="288" w:before="0" w:after="0"/>
        <w:jc w:val="right"/>
        <w:rPr>
          <w:rFonts w:ascii="Allstate Sans;sans-serif" w:hAnsi="Allstate Sans;sans-serif"/>
          <w:b w:val="false"/>
          <w:color w:val="0033A0"/>
          <w:sz w:val="18"/>
        </w:rPr>
      </w:pPr>
      <w:r>
        <w:rPr>
          <w:rFonts w:ascii="Allstate Sans;sans-serif" w:hAnsi="Allstate Sans;sans-serif"/>
          <w:b w:val="false"/>
          <w:color w:val="0033A0"/>
          <w:sz w:val="18"/>
        </w:rPr>
        <w:t>Notes to Condensed Consolidated Financial Statements</w:t>
      </w:r>
    </w:p>
    <w:p>
      <w:pPr>
        <w:pStyle w:val="TextBody"/>
        <w:bidi w:val="0"/>
        <w:spacing w:before="0" w:after="120"/>
        <w:ind w:left="0" w:right="0" w:firstLine="360"/>
        <w:jc w:val="left"/>
        <w:rPr/>
      </w:pPr>
      <w:r>
        <w:rPr/>
      </w:r>
    </w:p>
    <w:tbl>
      <w:tblPr>
        <w:tblW w:w="12698" w:type="dxa"/>
        <w:jc w:val="left"/>
        <w:tblInd w:w="0" w:type="dxa"/>
        <w:tblLayout w:type="fixed"/>
        <w:tblCellMar>
          <w:top w:w="28" w:type="dxa"/>
          <w:left w:w="28" w:type="dxa"/>
          <w:bottom w:w="28" w:type="dxa"/>
          <w:right w:w="28" w:type="dxa"/>
        </w:tblCellMar>
      </w:tblPr>
      <w:tblGrid>
        <w:gridCol w:w="1474"/>
        <w:gridCol w:w="1295"/>
        <w:gridCol w:w="1297"/>
        <w:gridCol w:w="740"/>
        <w:gridCol w:w="740"/>
        <w:gridCol w:w="741"/>
        <w:gridCol w:w="109"/>
        <w:gridCol w:w="109"/>
        <w:gridCol w:w="109"/>
        <w:gridCol w:w="226"/>
        <w:gridCol w:w="706"/>
        <w:gridCol w:w="109"/>
        <w:gridCol w:w="109"/>
        <w:gridCol w:w="109"/>
        <w:gridCol w:w="109"/>
        <w:gridCol w:w="496"/>
        <w:gridCol w:w="330"/>
        <w:gridCol w:w="331"/>
        <w:gridCol w:w="109"/>
        <w:gridCol w:w="109"/>
        <w:gridCol w:w="109"/>
        <w:gridCol w:w="226"/>
        <w:gridCol w:w="526"/>
        <w:gridCol w:w="109"/>
        <w:gridCol w:w="109"/>
        <w:gridCol w:w="109"/>
        <w:gridCol w:w="109"/>
        <w:gridCol w:w="226"/>
        <w:gridCol w:w="526"/>
        <w:gridCol w:w="109"/>
        <w:gridCol w:w="109"/>
        <w:gridCol w:w="109"/>
        <w:gridCol w:w="109"/>
        <w:gridCol w:w="281"/>
        <w:gridCol w:w="421"/>
        <w:gridCol w:w="154"/>
      </w:tblGrid>
      <w:tr>
        <w:trPr/>
        <w:tc>
          <w:tcPr>
            <w:tcW w:w="1474"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98" w:type="dxa"/>
            <w:gridSpan w:val="36"/>
            <w:tcBorders>
              <w:top w:val="single" w:sz="4" w:space="0" w:color="000000"/>
            </w:tcBorders>
            <w:tcMar>
              <w:top w:w="30" w:type="dxa"/>
              <w:left w:w="0" w:type="dxa"/>
              <w:bottom w:w="0" w:type="dxa"/>
              <w:right w:w="0" w:type="dxa"/>
            </w:tcMar>
            <w:vAlign w:val="center"/>
          </w:tcPr>
          <w:p>
            <w:pPr>
              <w:pStyle w:val="TableContents"/>
              <w:bidi w:val="0"/>
              <w:spacing w:lineRule="auto" w:line="288" w:before="0" w:after="120"/>
              <w:jc w:val="left"/>
              <w:rPr>
                <w:rFonts w:ascii="Allstate Sans;sans-serif" w:hAnsi="Allstate Sans;sans-serif"/>
                <w:b/>
                <w:color w:val="000000"/>
                <w:sz w:val="18"/>
              </w:rPr>
            </w:pPr>
            <w:r>
              <w:rPr>
                <w:rFonts w:ascii="Allstate Sans;sans-serif" w:hAnsi="Allstate Sans;sans-serif"/>
                <w:b/>
                <w:color w:val="000000"/>
                <w:sz w:val="18"/>
              </w:rPr>
              <w:t>Summary of the volume and fair value positions of derivative instruments as of June 30, 2026</w:t>
            </w:r>
          </w:p>
        </w:tc>
      </w:tr>
      <w:tr>
        <w:trPr/>
        <w:tc>
          <w:tcPr>
            <w:tcW w:w="406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 in millions, except number of contracts)</w:t>
            </w:r>
          </w:p>
        </w:tc>
        <w:tc>
          <w:tcPr>
            <w:tcW w:w="2221"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Helvetica_Neue_LT_W1G_55_Roman;sans-serif" w:hAnsi="Helvetica_Neue_LT_W1G_55_Roman;sans-serif"/>
                <w:b/>
                <w:color w:val="000000"/>
                <w:sz w:val="16"/>
              </w:rPr>
              <w:t>Volume</w:t>
            </w:r>
            <w:r>
              <w:rPr>
                <w:color w:val="000000"/>
              </w:rPr>
              <w:t> </w:t>
            </w:r>
            <w:r>
              <w:rPr>
                <w:rFonts w:ascii="Helvetica_Neue_LT_W1G_55_Roman;sans-serif" w:hAnsi="Helvetica_Neue_LT_W1G_55_Roman;sans-serif"/>
                <w:b w:val="false"/>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2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Balance sheet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Notional amount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Number of contracts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Fair value,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Gross asset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Gross liability</w:t>
            </w:r>
          </w:p>
        </w:tc>
      </w:tr>
      <w:tr>
        <w:trPr/>
        <w:tc>
          <w:tcPr>
            <w:tcW w:w="4066"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Asset derivatives</w:t>
            </w:r>
          </w:p>
        </w:tc>
        <w:tc>
          <w:tcPr>
            <w:tcW w:w="2221" w:type="dxa"/>
            <w:gridSpan w:val="3"/>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vAlign w:val="center"/>
          </w:tcPr>
          <w:p>
            <w:pPr>
              <w:pStyle w:val="TableContents"/>
              <w:bidi w:val="0"/>
              <w:spacing w:before="0" w:after="283"/>
              <w:jc w:val="left"/>
              <w:rPr>
                <w:sz w:val="4"/>
                <w:szCs w:val="4"/>
              </w:rPr>
            </w:pPr>
            <w:r>
              <w:rPr>
                <w:sz w:val="4"/>
                <w:szCs w:val="4"/>
              </w:rPr>
            </w:r>
          </w:p>
        </w:tc>
        <w:tc>
          <w:tcPr>
            <w:tcW w:w="2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tcPr>
          <w:p>
            <w:pPr>
              <w:pStyle w:val="TableContents"/>
              <w:bidi w:val="0"/>
              <w:spacing w:before="0" w:after="283"/>
              <w:jc w:val="left"/>
              <w:rPr>
                <w:sz w:val="4"/>
                <w:szCs w:val="4"/>
              </w:rPr>
            </w:pPr>
            <w:r>
              <w:rPr>
                <w:sz w:val="4"/>
                <w:szCs w:val="4"/>
              </w:rPr>
            </w:r>
          </w:p>
        </w:tc>
      </w:tr>
      <w:tr>
        <w:trPr/>
        <w:tc>
          <w:tcPr>
            <w:tcW w:w="4066" w:type="dxa"/>
            <w:gridSpan w:val="3"/>
            <w:tcBorders/>
            <w:vAlign w:val="center"/>
          </w:tcPr>
          <w:p>
            <w:pPr>
              <w:pStyle w:val="TableContents"/>
              <w:bidi w:val="0"/>
              <w:spacing w:before="0" w:after="283"/>
              <w:jc w:val="left"/>
              <w:rPr>
                <w:sz w:val="4"/>
                <w:szCs w:val="4"/>
              </w:rPr>
            </w:pPr>
            <w:r>
              <w:rPr>
                <w:sz w:val="4"/>
                <w:szCs w:val="4"/>
              </w:rPr>
            </w:r>
          </w:p>
        </w:tc>
        <w:tc>
          <w:tcPr>
            <w:tcW w:w="2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r>
      <w:tr>
        <w:trPr/>
        <w:tc>
          <w:tcPr>
            <w:tcW w:w="6287" w:type="dxa"/>
            <w:gridSpan w:val="6"/>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Derivatives not designated as accounting hedging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Interest rate contracts</w:t>
            </w:r>
          </w:p>
        </w:tc>
        <w:tc>
          <w:tcPr>
            <w:tcW w:w="2221" w:type="dxa"/>
            <w:gridSpan w:val="3"/>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vAlign w:val="center"/>
          </w:tcPr>
          <w:p>
            <w:pPr>
              <w:pStyle w:val="TableContents"/>
              <w:bidi w:val="0"/>
              <w:spacing w:before="0" w:after="283"/>
              <w:jc w:val="left"/>
              <w:rPr>
                <w:sz w:val="4"/>
                <w:szCs w:val="4"/>
              </w:rPr>
            </w:pPr>
            <w:r>
              <w:rPr>
                <w:sz w:val="4"/>
                <w:szCs w:val="4"/>
              </w:rPr>
            </w:r>
          </w:p>
        </w:tc>
        <w:tc>
          <w:tcPr>
            <w:tcW w:w="2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r>
      <w:tr>
        <w:trPr/>
        <w:tc>
          <w:tcPr>
            <w:tcW w:w="4066"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Interest rate cap agreements</w:t>
            </w:r>
          </w:p>
        </w:tc>
        <w:tc>
          <w:tcPr>
            <w:tcW w:w="2221"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Other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w:t>
            </w:r>
          </w:p>
        </w:tc>
        <w:tc>
          <w:tcPr>
            <w:tcW w:w="706"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37 </w:t>
            </w:r>
          </w:p>
        </w:tc>
        <w:tc>
          <w:tcPr>
            <w:tcW w:w="109"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w:t>
            </w:r>
          </w:p>
        </w:tc>
        <w:tc>
          <w:tcPr>
            <w:tcW w:w="526"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w:t>
            </w:r>
          </w:p>
        </w:tc>
        <w:tc>
          <w:tcPr>
            <w:tcW w:w="526"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w:t>
            </w:r>
          </w:p>
        </w:tc>
        <w:tc>
          <w:tcPr>
            <w:tcW w:w="421"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vAlign w:val="center"/>
          </w:tcPr>
          <w:p>
            <w:pPr>
              <w:pStyle w:val="TableContents"/>
              <w:bidi w:val="0"/>
              <w:spacing w:before="0" w:after="283"/>
              <w:jc w:val="left"/>
              <w:rPr>
                <w:sz w:val="4"/>
                <w:szCs w:val="4"/>
              </w:rPr>
            </w:pPr>
            <w:r>
              <w:rPr>
                <w:sz w:val="4"/>
                <w:szCs w:val="4"/>
              </w:rPr>
            </w:r>
          </w:p>
        </w:tc>
        <w:tc>
          <w:tcPr>
            <w:tcW w:w="2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r>
      <w:tr>
        <w:trPr/>
        <w:tc>
          <w:tcPr>
            <w:tcW w:w="4066"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Futures</w:t>
            </w:r>
          </w:p>
        </w:tc>
        <w:tc>
          <w:tcPr>
            <w:tcW w:w="2221"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Other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5,743 </w:t>
            </w:r>
          </w:p>
        </w:tc>
        <w:tc>
          <w:tcPr>
            <w:tcW w:w="331"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3 </w:t>
            </w:r>
          </w:p>
        </w:tc>
        <w:tc>
          <w:tcPr>
            <w:tcW w:w="109"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3 </w:t>
            </w:r>
          </w:p>
        </w:tc>
        <w:tc>
          <w:tcPr>
            <w:tcW w:w="109"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Equity and index contracts</w:t>
            </w:r>
          </w:p>
        </w:tc>
        <w:tc>
          <w:tcPr>
            <w:tcW w:w="2221" w:type="dxa"/>
            <w:gridSpan w:val="3"/>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vAlign w:val="center"/>
          </w:tcPr>
          <w:p>
            <w:pPr>
              <w:pStyle w:val="TableContents"/>
              <w:bidi w:val="0"/>
              <w:spacing w:before="0" w:after="283"/>
              <w:jc w:val="left"/>
              <w:rPr>
                <w:sz w:val="4"/>
                <w:szCs w:val="4"/>
              </w:rPr>
            </w:pPr>
            <w:r>
              <w:rPr>
                <w:sz w:val="4"/>
                <w:szCs w:val="4"/>
              </w:rPr>
            </w:r>
          </w:p>
        </w:tc>
        <w:tc>
          <w:tcPr>
            <w:tcW w:w="2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r>
      <w:tr>
        <w:trPr/>
        <w:tc>
          <w:tcPr>
            <w:tcW w:w="4066"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Futures</w:t>
            </w:r>
          </w:p>
        </w:tc>
        <w:tc>
          <w:tcPr>
            <w:tcW w:w="2221"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Other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1,018 </w:t>
            </w:r>
          </w:p>
        </w:tc>
        <w:tc>
          <w:tcPr>
            <w:tcW w:w="331"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2 </w:t>
            </w:r>
          </w:p>
        </w:tc>
        <w:tc>
          <w:tcPr>
            <w:tcW w:w="109"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2 </w:t>
            </w:r>
          </w:p>
        </w:tc>
        <w:tc>
          <w:tcPr>
            <w:tcW w:w="109"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vAlign w:val="center"/>
          </w:tcPr>
          <w:p>
            <w:pPr>
              <w:pStyle w:val="TableContents"/>
              <w:bidi w:val="0"/>
              <w:spacing w:before="0" w:after="283"/>
              <w:jc w:val="left"/>
              <w:rPr>
                <w:sz w:val="4"/>
                <w:szCs w:val="4"/>
              </w:rPr>
            </w:pPr>
            <w:r>
              <w:rPr>
                <w:sz w:val="4"/>
                <w:szCs w:val="4"/>
              </w:rPr>
            </w:r>
          </w:p>
        </w:tc>
        <w:tc>
          <w:tcPr>
            <w:tcW w:w="2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r>
      <w:tr>
        <w:trPr/>
        <w:tc>
          <w:tcPr>
            <w:tcW w:w="4066" w:type="dxa"/>
            <w:gridSpan w:val="3"/>
            <w:tcBorders/>
            <w:vAlign w:val="center"/>
          </w:tcPr>
          <w:p>
            <w:pPr>
              <w:pStyle w:val="TableContents"/>
              <w:bidi w:val="0"/>
              <w:spacing w:before="0" w:after="283"/>
              <w:jc w:val="left"/>
              <w:rPr>
                <w:sz w:val="4"/>
                <w:szCs w:val="4"/>
              </w:rPr>
            </w:pPr>
            <w:r>
              <w:rPr>
                <w:sz w:val="4"/>
                <w:szCs w:val="4"/>
              </w:rPr>
            </w:r>
          </w:p>
        </w:tc>
        <w:tc>
          <w:tcPr>
            <w:tcW w:w="2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r>
      <w:tr>
        <w:trPr/>
        <w:tc>
          <w:tcPr>
            <w:tcW w:w="4066" w:type="dxa"/>
            <w:gridSpan w:val="3"/>
            <w:tcBorders/>
            <w:vAlign w:val="center"/>
          </w:tcPr>
          <w:p>
            <w:pPr>
              <w:pStyle w:val="TableContents"/>
              <w:bidi w:val="0"/>
              <w:spacing w:before="0" w:after="283"/>
              <w:jc w:val="left"/>
              <w:rPr>
                <w:sz w:val="4"/>
                <w:szCs w:val="4"/>
              </w:rPr>
            </w:pPr>
            <w:r>
              <w:rPr>
                <w:sz w:val="4"/>
                <w:szCs w:val="4"/>
              </w:rPr>
            </w:r>
          </w:p>
        </w:tc>
        <w:tc>
          <w:tcPr>
            <w:tcW w:w="2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r>
      <w:tr>
        <w:trPr/>
        <w:tc>
          <w:tcPr>
            <w:tcW w:w="4066"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Foreign currency contracts</w:t>
            </w:r>
          </w:p>
        </w:tc>
        <w:tc>
          <w:tcPr>
            <w:tcW w:w="2221" w:type="dxa"/>
            <w:gridSpan w:val="3"/>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Foreign currency forwards</w:t>
            </w:r>
          </w:p>
        </w:tc>
        <w:tc>
          <w:tcPr>
            <w:tcW w:w="2221"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Other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225 </w:t>
            </w:r>
          </w:p>
        </w:tc>
        <w:tc>
          <w:tcPr>
            <w:tcW w:w="109"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3 </w:t>
            </w:r>
          </w:p>
        </w:tc>
        <w:tc>
          <w:tcPr>
            <w:tcW w:w="109"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5 </w:t>
            </w:r>
          </w:p>
        </w:tc>
        <w:tc>
          <w:tcPr>
            <w:tcW w:w="109"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(2)</w:t>
            </w:r>
          </w:p>
        </w:tc>
        <w:tc>
          <w:tcPr>
            <w:tcW w:w="154"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vAlign w:val="center"/>
          </w:tcPr>
          <w:p>
            <w:pPr>
              <w:pStyle w:val="TableContents"/>
              <w:bidi w:val="0"/>
              <w:spacing w:before="0" w:after="283"/>
              <w:jc w:val="left"/>
              <w:rPr>
                <w:sz w:val="4"/>
                <w:szCs w:val="4"/>
              </w:rPr>
            </w:pPr>
            <w:r>
              <w:rPr>
                <w:sz w:val="4"/>
                <w:szCs w:val="4"/>
              </w:rPr>
            </w:r>
          </w:p>
        </w:tc>
        <w:tc>
          <w:tcPr>
            <w:tcW w:w="2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r>
      <w:tr>
        <w:trPr/>
        <w:tc>
          <w:tcPr>
            <w:tcW w:w="4066"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Contingent consideration</w:t>
            </w:r>
          </w:p>
        </w:tc>
        <w:tc>
          <w:tcPr>
            <w:tcW w:w="222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Other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225 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130 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130 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Credit default contracts</w:t>
            </w:r>
          </w:p>
        </w:tc>
        <w:tc>
          <w:tcPr>
            <w:tcW w:w="2221"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vAlign w:val="center"/>
          </w:tcPr>
          <w:p>
            <w:pPr>
              <w:pStyle w:val="TableContents"/>
              <w:bidi w:val="0"/>
              <w:spacing w:before="0" w:after="283"/>
              <w:jc w:val="left"/>
              <w:rPr>
                <w:sz w:val="4"/>
                <w:szCs w:val="4"/>
              </w:rPr>
            </w:pPr>
            <w:r>
              <w:rPr>
                <w:sz w:val="4"/>
                <w:szCs w:val="4"/>
              </w:rPr>
            </w:r>
          </w:p>
        </w:tc>
        <w:tc>
          <w:tcPr>
            <w:tcW w:w="2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r>
      <w:tr>
        <w:trPr/>
        <w:tc>
          <w:tcPr>
            <w:tcW w:w="4066"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Credit default swaps - selling protection</w:t>
            </w:r>
          </w:p>
        </w:tc>
        <w:tc>
          <w:tcPr>
            <w:tcW w:w="222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Other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347 </w:t>
            </w:r>
          </w:p>
        </w:tc>
        <w:tc>
          <w:tcPr>
            <w:tcW w:w="109"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10 </w:t>
            </w:r>
          </w:p>
        </w:tc>
        <w:tc>
          <w:tcPr>
            <w:tcW w:w="109"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10 </w:t>
            </w:r>
          </w:p>
        </w:tc>
        <w:tc>
          <w:tcPr>
            <w:tcW w:w="109"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vAlign w:val="center"/>
          </w:tcPr>
          <w:p>
            <w:pPr>
              <w:pStyle w:val="TableContents"/>
              <w:bidi w:val="0"/>
              <w:spacing w:before="0" w:after="283"/>
              <w:jc w:val="left"/>
              <w:rPr>
                <w:sz w:val="4"/>
                <w:szCs w:val="4"/>
              </w:rPr>
            </w:pPr>
            <w:r>
              <w:rPr>
                <w:sz w:val="4"/>
                <w:szCs w:val="4"/>
              </w:rPr>
            </w:r>
          </w:p>
        </w:tc>
        <w:tc>
          <w:tcPr>
            <w:tcW w:w="2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r>
      <w:tr>
        <w:trPr/>
        <w:tc>
          <w:tcPr>
            <w:tcW w:w="4066" w:type="dxa"/>
            <w:gridSpan w:val="3"/>
            <w:tcBorders/>
            <w:vAlign w:val="center"/>
          </w:tcPr>
          <w:p>
            <w:pPr>
              <w:pStyle w:val="TableContents"/>
              <w:bidi w:val="0"/>
              <w:spacing w:before="0" w:after="283"/>
              <w:jc w:val="left"/>
              <w:rPr>
                <w:sz w:val="4"/>
                <w:szCs w:val="4"/>
              </w:rPr>
            </w:pPr>
            <w:r>
              <w:rPr>
                <w:sz w:val="4"/>
                <w:szCs w:val="4"/>
              </w:rPr>
            </w:r>
          </w:p>
        </w:tc>
        <w:tc>
          <w:tcPr>
            <w:tcW w:w="2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r>
      <w:tr>
        <w:trPr/>
        <w:tc>
          <w:tcPr>
            <w:tcW w:w="4066" w:type="dxa"/>
            <w:gridSpan w:val="3"/>
            <w:tcBorders/>
            <w:vAlign w:val="center"/>
          </w:tcPr>
          <w:p>
            <w:pPr>
              <w:pStyle w:val="TableContents"/>
              <w:bidi w:val="0"/>
              <w:spacing w:before="0" w:after="283"/>
              <w:jc w:val="left"/>
              <w:rPr>
                <w:sz w:val="4"/>
                <w:szCs w:val="4"/>
              </w:rPr>
            </w:pPr>
            <w:r>
              <w:rPr>
                <w:sz w:val="4"/>
                <w:szCs w:val="4"/>
              </w:rPr>
            </w:r>
          </w:p>
        </w:tc>
        <w:tc>
          <w:tcPr>
            <w:tcW w:w="2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r>
      <w:tr>
        <w:trPr/>
        <w:tc>
          <w:tcPr>
            <w:tcW w:w="4066" w:type="dxa"/>
            <w:gridSpan w:val="3"/>
            <w:tcBorders/>
            <w:vAlign w:val="center"/>
          </w:tcPr>
          <w:p>
            <w:pPr>
              <w:pStyle w:val="TableContents"/>
              <w:bidi w:val="0"/>
              <w:spacing w:before="0" w:after="283"/>
              <w:jc w:val="left"/>
              <w:rPr>
                <w:sz w:val="4"/>
                <w:szCs w:val="4"/>
              </w:rPr>
            </w:pPr>
            <w:r>
              <w:rPr>
                <w:sz w:val="4"/>
                <w:szCs w:val="4"/>
              </w:rPr>
            </w:r>
          </w:p>
        </w:tc>
        <w:tc>
          <w:tcPr>
            <w:tcW w:w="2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r>
      <w:tr>
        <w:trPr/>
        <w:tc>
          <w:tcPr>
            <w:tcW w:w="4066" w:type="dxa"/>
            <w:gridSpan w:val="3"/>
            <w:tcBorders/>
            <w:vAlign w:val="center"/>
          </w:tcPr>
          <w:p>
            <w:pPr>
              <w:pStyle w:val="TableContents"/>
              <w:bidi w:val="0"/>
              <w:spacing w:before="0" w:after="283"/>
              <w:jc w:val="left"/>
              <w:rPr>
                <w:sz w:val="4"/>
                <w:szCs w:val="4"/>
              </w:rPr>
            </w:pPr>
            <w:r>
              <w:rPr>
                <w:sz w:val="4"/>
                <w:szCs w:val="4"/>
              </w:rPr>
            </w:r>
          </w:p>
        </w:tc>
        <w:tc>
          <w:tcPr>
            <w:tcW w:w="2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r>
      <w:tr>
        <w:trPr/>
        <w:tc>
          <w:tcPr>
            <w:tcW w:w="406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Total asset derivatives</w:t>
            </w:r>
          </w:p>
        </w:tc>
        <w:tc>
          <w:tcPr>
            <w:tcW w:w="2221"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w:t>
            </w:r>
          </w:p>
        </w:tc>
        <w:tc>
          <w:tcPr>
            <w:tcW w:w="70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6"/>
              </w:rPr>
              <w:t>834</w:t>
            </w: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6"/>
              </w:rPr>
              <w:t>6,761</w:t>
            </w:r>
            <w:r>
              <w:rPr>
                <w:color w:val="000000"/>
              </w:rPr>
              <w:t> </w:t>
            </w:r>
          </w:p>
        </w:tc>
        <w:tc>
          <w:tcPr>
            <w:tcW w:w="33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w:t>
            </w:r>
          </w:p>
        </w:tc>
        <w:tc>
          <w:tcPr>
            <w:tcW w:w="5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6"/>
              </w:rPr>
              <w:t>148</w:t>
            </w: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w:t>
            </w:r>
          </w:p>
        </w:tc>
        <w:tc>
          <w:tcPr>
            <w:tcW w:w="5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6"/>
              </w:rPr>
              <w:t>150</w:t>
            </w: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w:t>
            </w:r>
          </w:p>
        </w:tc>
        <w:tc>
          <w:tcPr>
            <w:tcW w:w="42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(2)</w:t>
            </w:r>
          </w:p>
        </w:tc>
        <w:tc>
          <w:tcPr>
            <w:tcW w:w="15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1"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Liability derivatives</w:t>
            </w:r>
          </w:p>
        </w:tc>
        <w:tc>
          <w:tcPr>
            <w:tcW w:w="2221" w:type="dxa"/>
            <w:gridSpan w:val="3"/>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vAlign w:val="center"/>
          </w:tcPr>
          <w:p>
            <w:pPr>
              <w:pStyle w:val="TableContents"/>
              <w:bidi w:val="0"/>
              <w:spacing w:before="0" w:after="283"/>
              <w:jc w:val="left"/>
              <w:rPr>
                <w:sz w:val="4"/>
                <w:szCs w:val="4"/>
              </w:rPr>
            </w:pPr>
            <w:r>
              <w:rPr>
                <w:sz w:val="4"/>
                <w:szCs w:val="4"/>
              </w:rPr>
            </w:r>
          </w:p>
        </w:tc>
        <w:tc>
          <w:tcPr>
            <w:tcW w:w="2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tcPr>
          <w:p>
            <w:pPr>
              <w:pStyle w:val="TableContents"/>
              <w:bidi w:val="0"/>
              <w:spacing w:before="0" w:after="283"/>
              <w:jc w:val="left"/>
              <w:rPr>
                <w:sz w:val="4"/>
                <w:szCs w:val="4"/>
              </w:rPr>
            </w:pPr>
            <w:r>
              <w:rPr>
                <w:sz w:val="4"/>
                <w:szCs w:val="4"/>
              </w:rPr>
            </w:r>
          </w:p>
        </w:tc>
      </w:tr>
      <w:tr>
        <w:trPr/>
        <w:tc>
          <w:tcPr>
            <w:tcW w:w="4066" w:type="dxa"/>
            <w:gridSpan w:val="3"/>
            <w:tcBorders/>
            <w:vAlign w:val="center"/>
          </w:tcPr>
          <w:p>
            <w:pPr>
              <w:pStyle w:val="TableContents"/>
              <w:bidi w:val="0"/>
              <w:spacing w:before="0" w:after="283"/>
              <w:jc w:val="left"/>
              <w:rPr>
                <w:sz w:val="4"/>
                <w:szCs w:val="4"/>
              </w:rPr>
            </w:pPr>
            <w:r>
              <w:rPr>
                <w:sz w:val="4"/>
                <w:szCs w:val="4"/>
              </w:rPr>
            </w:r>
          </w:p>
        </w:tc>
        <w:tc>
          <w:tcPr>
            <w:tcW w:w="2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r>
      <w:tr>
        <w:trPr/>
        <w:tc>
          <w:tcPr>
            <w:tcW w:w="6287" w:type="dxa"/>
            <w:gridSpan w:val="6"/>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Derivatives not designated as accounting hedging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Interest rate contracts</w:t>
            </w:r>
          </w:p>
        </w:tc>
        <w:tc>
          <w:tcPr>
            <w:tcW w:w="2221"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Interest rate swap agreements</w:t>
            </w:r>
          </w:p>
        </w:tc>
        <w:tc>
          <w:tcPr>
            <w:tcW w:w="222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Other liabilities and accrued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w:t>
            </w:r>
          </w:p>
        </w:tc>
        <w:tc>
          <w:tcPr>
            <w:tcW w:w="70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37 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w:t>
            </w:r>
          </w:p>
        </w:tc>
        <w:tc>
          <w:tcPr>
            <w:tcW w:w="5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w:t>
            </w:r>
          </w:p>
        </w:tc>
        <w:tc>
          <w:tcPr>
            <w:tcW w:w="5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w:t>
            </w:r>
          </w:p>
        </w:tc>
        <w:tc>
          <w:tcPr>
            <w:tcW w:w="42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vAlign w:val="center"/>
          </w:tcPr>
          <w:p>
            <w:pPr>
              <w:pStyle w:val="TableContents"/>
              <w:bidi w:val="0"/>
              <w:spacing w:before="0" w:after="283"/>
              <w:jc w:val="left"/>
              <w:rPr>
                <w:sz w:val="4"/>
                <w:szCs w:val="4"/>
              </w:rPr>
            </w:pPr>
            <w:r>
              <w:rPr>
                <w:sz w:val="4"/>
                <w:szCs w:val="4"/>
              </w:rPr>
            </w:r>
          </w:p>
        </w:tc>
        <w:tc>
          <w:tcPr>
            <w:tcW w:w="2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r>
      <w:tr>
        <w:trPr/>
        <w:tc>
          <w:tcPr>
            <w:tcW w:w="4066" w:type="dxa"/>
            <w:gridSpan w:val="3"/>
            <w:tcBorders/>
            <w:vAlign w:val="center"/>
          </w:tcPr>
          <w:p>
            <w:pPr>
              <w:pStyle w:val="TableContents"/>
              <w:bidi w:val="0"/>
              <w:spacing w:before="0" w:after="283"/>
              <w:jc w:val="left"/>
              <w:rPr>
                <w:sz w:val="4"/>
                <w:szCs w:val="4"/>
              </w:rPr>
            </w:pPr>
            <w:r>
              <w:rPr>
                <w:sz w:val="4"/>
                <w:szCs w:val="4"/>
              </w:rPr>
            </w:r>
          </w:p>
        </w:tc>
        <w:tc>
          <w:tcPr>
            <w:tcW w:w="2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r>
      <w:tr>
        <w:trPr/>
        <w:tc>
          <w:tcPr>
            <w:tcW w:w="4066" w:type="dxa"/>
            <w:gridSpan w:val="3"/>
            <w:tcBorders/>
            <w:vAlign w:val="center"/>
          </w:tcPr>
          <w:p>
            <w:pPr>
              <w:pStyle w:val="TableContents"/>
              <w:bidi w:val="0"/>
              <w:spacing w:before="0" w:after="283"/>
              <w:jc w:val="left"/>
              <w:rPr>
                <w:sz w:val="4"/>
                <w:szCs w:val="4"/>
              </w:rPr>
            </w:pPr>
            <w:r>
              <w:rPr>
                <w:sz w:val="4"/>
                <w:szCs w:val="4"/>
              </w:rPr>
            </w:r>
          </w:p>
        </w:tc>
        <w:tc>
          <w:tcPr>
            <w:tcW w:w="2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r>
      <w:tr>
        <w:trPr/>
        <w:tc>
          <w:tcPr>
            <w:tcW w:w="406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Futures</w:t>
            </w:r>
          </w:p>
        </w:tc>
        <w:tc>
          <w:tcPr>
            <w:tcW w:w="222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Other liabilities and accrued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12,764 </w:t>
            </w:r>
          </w:p>
        </w:tc>
        <w:tc>
          <w:tcPr>
            <w:tcW w:w="33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(5)</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(5)</w:t>
            </w:r>
          </w:p>
        </w:tc>
        <w:tc>
          <w:tcPr>
            <w:tcW w:w="15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Equity and index contracts</w:t>
            </w:r>
          </w:p>
        </w:tc>
        <w:tc>
          <w:tcPr>
            <w:tcW w:w="2221"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vAlign w:val="center"/>
          </w:tcPr>
          <w:p>
            <w:pPr>
              <w:pStyle w:val="TableContents"/>
              <w:bidi w:val="0"/>
              <w:spacing w:before="0" w:after="283"/>
              <w:jc w:val="left"/>
              <w:rPr>
                <w:sz w:val="4"/>
                <w:szCs w:val="4"/>
              </w:rPr>
            </w:pPr>
            <w:r>
              <w:rPr>
                <w:sz w:val="4"/>
                <w:szCs w:val="4"/>
              </w:rPr>
            </w:r>
          </w:p>
        </w:tc>
        <w:tc>
          <w:tcPr>
            <w:tcW w:w="2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r>
      <w:tr>
        <w:trPr/>
        <w:tc>
          <w:tcPr>
            <w:tcW w:w="406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Futures</w:t>
            </w:r>
          </w:p>
        </w:tc>
        <w:tc>
          <w:tcPr>
            <w:tcW w:w="222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Other liabilities and accrued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5 </w:t>
            </w:r>
          </w:p>
        </w:tc>
        <w:tc>
          <w:tcPr>
            <w:tcW w:w="33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vAlign w:val="center"/>
          </w:tcPr>
          <w:p>
            <w:pPr>
              <w:pStyle w:val="TableContents"/>
              <w:bidi w:val="0"/>
              <w:spacing w:before="0" w:after="283"/>
              <w:jc w:val="left"/>
              <w:rPr>
                <w:sz w:val="4"/>
                <w:szCs w:val="4"/>
              </w:rPr>
            </w:pPr>
            <w:r>
              <w:rPr>
                <w:sz w:val="4"/>
                <w:szCs w:val="4"/>
              </w:rPr>
            </w:r>
          </w:p>
        </w:tc>
        <w:tc>
          <w:tcPr>
            <w:tcW w:w="2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r>
      <w:tr>
        <w:trPr/>
        <w:tc>
          <w:tcPr>
            <w:tcW w:w="4066" w:type="dxa"/>
            <w:gridSpan w:val="3"/>
            <w:tcBorders/>
            <w:vAlign w:val="center"/>
          </w:tcPr>
          <w:p>
            <w:pPr>
              <w:pStyle w:val="TableContents"/>
              <w:bidi w:val="0"/>
              <w:spacing w:before="0" w:after="283"/>
              <w:jc w:val="left"/>
              <w:rPr>
                <w:sz w:val="4"/>
                <w:szCs w:val="4"/>
              </w:rPr>
            </w:pPr>
            <w:r>
              <w:rPr>
                <w:sz w:val="4"/>
                <w:szCs w:val="4"/>
              </w:rPr>
            </w:r>
          </w:p>
        </w:tc>
        <w:tc>
          <w:tcPr>
            <w:tcW w:w="2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r>
      <w:tr>
        <w:trPr/>
        <w:tc>
          <w:tcPr>
            <w:tcW w:w="4066" w:type="dxa"/>
            <w:gridSpan w:val="3"/>
            <w:tcBorders/>
            <w:vAlign w:val="center"/>
          </w:tcPr>
          <w:p>
            <w:pPr>
              <w:pStyle w:val="TableContents"/>
              <w:bidi w:val="0"/>
              <w:spacing w:before="0" w:after="283"/>
              <w:jc w:val="left"/>
              <w:rPr>
                <w:sz w:val="4"/>
                <w:szCs w:val="4"/>
              </w:rPr>
            </w:pPr>
            <w:r>
              <w:rPr>
                <w:sz w:val="4"/>
                <w:szCs w:val="4"/>
              </w:rPr>
            </w:r>
          </w:p>
        </w:tc>
        <w:tc>
          <w:tcPr>
            <w:tcW w:w="2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r>
      <w:tr>
        <w:trPr/>
        <w:tc>
          <w:tcPr>
            <w:tcW w:w="406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Foreign currency contracts</w:t>
            </w:r>
          </w:p>
        </w:tc>
        <w:tc>
          <w:tcPr>
            <w:tcW w:w="2221"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Foreign currency forwards</w:t>
            </w:r>
          </w:p>
        </w:tc>
        <w:tc>
          <w:tcPr>
            <w:tcW w:w="222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Other liabilities and accrued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345 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(1)</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4 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(5)</w:t>
            </w:r>
          </w:p>
        </w:tc>
        <w:tc>
          <w:tcPr>
            <w:tcW w:w="15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vAlign w:val="center"/>
          </w:tcPr>
          <w:p>
            <w:pPr>
              <w:pStyle w:val="TableContents"/>
              <w:bidi w:val="0"/>
              <w:spacing w:before="0" w:after="283"/>
              <w:jc w:val="left"/>
              <w:rPr>
                <w:sz w:val="4"/>
                <w:szCs w:val="4"/>
              </w:rPr>
            </w:pPr>
            <w:r>
              <w:rPr>
                <w:sz w:val="4"/>
                <w:szCs w:val="4"/>
              </w:rPr>
            </w:r>
          </w:p>
        </w:tc>
        <w:tc>
          <w:tcPr>
            <w:tcW w:w="2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tcPr>
          <w:p>
            <w:pPr>
              <w:pStyle w:val="TableContents"/>
              <w:bidi w:val="0"/>
              <w:spacing w:before="0" w:after="283"/>
              <w:jc w:val="left"/>
              <w:rPr>
                <w:sz w:val="4"/>
                <w:szCs w:val="4"/>
              </w:rPr>
            </w:pPr>
            <w:r>
              <w:rPr>
                <w:sz w:val="4"/>
                <w:szCs w:val="4"/>
              </w:rPr>
            </w:r>
          </w:p>
        </w:tc>
      </w:tr>
      <w:tr>
        <w:trPr/>
        <w:tc>
          <w:tcPr>
            <w:tcW w:w="4066" w:type="dxa"/>
            <w:gridSpan w:val="3"/>
            <w:tcBorders/>
            <w:vAlign w:val="center"/>
          </w:tcPr>
          <w:p>
            <w:pPr>
              <w:pStyle w:val="TableContents"/>
              <w:bidi w:val="0"/>
              <w:spacing w:before="0" w:after="283"/>
              <w:jc w:val="left"/>
              <w:rPr>
                <w:sz w:val="4"/>
                <w:szCs w:val="4"/>
              </w:rPr>
            </w:pPr>
            <w:r>
              <w:rPr>
                <w:sz w:val="4"/>
                <w:szCs w:val="4"/>
              </w:rPr>
            </w:r>
          </w:p>
        </w:tc>
        <w:tc>
          <w:tcPr>
            <w:tcW w:w="2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r>
      <w:tr>
        <w:trPr/>
        <w:tc>
          <w:tcPr>
            <w:tcW w:w="4066" w:type="dxa"/>
            <w:gridSpan w:val="3"/>
            <w:tcBorders/>
            <w:vAlign w:val="center"/>
          </w:tcPr>
          <w:p>
            <w:pPr>
              <w:pStyle w:val="TableContents"/>
              <w:bidi w:val="0"/>
              <w:spacing w:before="0" w:after="283"/>
              <w:jc w:val="left"/>
              <w:rPr>
                <w:sz w:val="4"/>
                <w:szCs w:val="4"/>
              </w:rPr>
            </w:pPr>
            <w:r>
              <w:rPr>
                <w:sz w:val="4"/>
                <w:szCs w:val="4"/>
              </w:rPr>
            </w:r>
          </w:p>
        </w:tc>
        <w:tc>
          <w:tcPr>
            <w:tcW w:w="2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r>
      <w:tr>
        <w:trPr/>
        <w:tc>
          <w:tcPr>
            <w:tcW w:w="4066" w:type="dxa"/>
            <w:gridSpan w:val="3"/>
            <w:tcBorders/>
            <w:vAlign w:val="center"/>
          </w:tcPr>
          <w:p>
            <w:pPr>
              <w:pStyle w:val="TableContents"/>
              <w:bidi w:val="0"/>
              <w:spacing w:before="0" w:after="283"/>
              <w:jc w:val="left"/>
              <w:rPr>
                <w:sz w:val="4"/>
                <w:szCs w:val="4"/>
              </w:rPr>
            </w:pPr>
            <w:r>
              <w:rPr>
                <w:sz w:val="4"/>
                <w:szCs w:val="4"/>
              </w:rPr>
            </w:r>
          </w:p>
        </w:tc>
        <w:tc>
          <w:tcPr>
            <w:tcW w:w="2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r>
      <w:tr>
        <w:trPr/>
        <w:tc>
          <w:tcPr>
            <w:tcW w:w="4066" w:type="dxa"/>
            <w:gridSpan w:val="3"/>
            <w:tcBorders/>
            <w:vAlign w:val="center"/>
          </w:tcPr>
          <w:p>
            <w:pPr>
              <w:pStyle w:val="TableContents"/>
              <w:bidi w:val="0"/>
              <w:spacing w:before="0" w:after="283"/>
              <w:jc w:val="left"/>
              <w:rPr>
                <w:sz w:val="4"/>
                <w:szCs w:val="4"/>
              </w:rPr>
            </w:pPr>
            <w:r>
              <w:rPr>
                <w:sz w:val="4"/>
                <w:szCs w:val="4"/>
              </w:rPr>
            </w:r>
          </w:p>
        </w:tc>
        <w:tc>
          <w:tcPr>
            <w:tcW w:w="2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r>
      <w:tr>
        <w:trPr/>
        <w:tc>
          <w:tcPr>
            <w:tcW w:w="4066" w:type="dxa"/>
            <w:gridSpan w:val="3"/>
            <w:tcBorders/>
            <w:vAlign w:val="center"/>
          </w:tcPr>
          <w:p>
            <w:pPr>
              <w:pStyle w:val="TableContents"/>
              <w:bidi w:val="0"/>
              <w:spacing w:before="0" w:after="283"/>
              <w:jc w:val="left"/>
              <w:rPr>
                <w:sz w:val="4"/>
                <w:szCs w:val="4"/>
              </w:rPr>
            </w:pPr>
            <w:r>
              <w:rPr>
                <w:sz w:val="4"/>
                <w:szCs w:val="4"/>
              </w:rPr>
            </w:r>
          </w:p>
        </w:tc>
        <w:tc>
          <w:tcPr>
            <w:tcW w:w="2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r>
      <w:tr>
        <w:trPr/>
        <w:tc>
          <w:tcPr>
            <w:tcW w:w="4066" w:type="dxa"/>
            <w:gridSpan w:val="3"/>
            <w:tcBorders/>
            <w:vAlign w:val="center"/>
          </w:tcPr>
          <w:p>
            <w:pPr>
              <w:pStyle w:val="TableContents"/>
              <w:bidi w:val="0"/>
              <w:spacing w:before="0" w:after="283"/>
              <w:jc w:val="left"/>
              <w:rPr>
                <w:sz w:val="4"/>
                <w:szCs w:val="4"/>
              </w:rPr>
            </w:pPr>
            <w:r>
              <w:rPr>
                <w:sz w:val="4"/>
                <w:szCs w:val="4"/>
              </w:rPr>
            </w:r>
          </w:p>
        </w:tc>
        <w:tc>
          <w:tcPr>
            <w:tcW w:w="2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r>
      <w:tr>
        <w:trPr/>
        <w:tc>
          <w:tcPr>
            <w:tcW w:w="4066" w:type="dxa"/>
            <w:gridSpan w:val="3"/>
            <w:tcBorders/>
            <w:vAlign w:val="center"/>
          </w:tcPr>
          <w:p>
            <w:pPr>
              <w:pStyle w:val="TableContents"/>
              <w:bidi w:val="0"/>
              <w:spacing w:before="0" w:after="283"/>
              <w:jc w:val="left"/>
              <w:rPr>
                <w:sz w:val="4"/>
                <w:szCs w:val="4"/>
              </w:rPr>
            </w:pPr>
            <w:r>
              <w:rPr>
                <w:sz w:val="4"/>
                <w:szCs w:val="4"/>
              </w:rPr>
            </w:r>
          </w:p>
        </w:tc>
        <w:tc>
          <w:tcPr>
            <w:tcW w:w="2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r>
      <w:tr>
        <w:trPr/>
        <w:tc>
          <w:tcPr>
            <w:tcW w:w="4066" w:type="dxa"/>
            <w:gridSpan w:val="3"/>
            <w:tcBorders/>
            <w:vAlign w:val="center"/>
          </w:tcPr>
          <w:p>
            <w:pPr>
              <w:pStyle w:val="TableContents"/>
              <w:bidi w:val="0"/>
              <w:spacing w:before="0" w:after="283"/>
              <w:jc w:val="left"/>
              <w:rPr>
                <w:sz w:val="4"/>
                <w:szCs w:val="4"/>
              </w:rPr>
            </w:pPr>
            <w:r>
              <w:rPr>
                <w:sz w:val="4"/>
                <w:szCs w:val="4"/>
              </w:rPr>
            </w:r>
          </w:p>
        </w:tc>
        <w:tc>
          <w:tcPr>
            <w:tcW w:w="2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r>
      <w:tr>
        <w:trPr/>
        <w:tc>
          <w:tcPr>
            <w:tcW w:w="4066" w:type="dxa"/>
            <w:gridSpan w:val="3"/>
            <w:tcBorders/>
            <w:vAlign w:val="center"/>
          </w:tcPr>
          <w:p>
            <w:pPr>
              <w:pStyle w:val="TableContents"/>
              <w:bidi w:val="0"/>
              <w:spacing w:before="0" w:after="283"/>
              <w:jc w:val="left"/>
              <w:rPr>
                <w:sz w:val="4"/>
                <w:szCs w:val="4"/>
              </w:rPr>
            </w:pPr>
            <w:r>
              <w:rPr>
                <w:sz w:val="4"/>
                <w:szCs w:val="4"/>
              </w:rPr>
            </w:r>
          </w:p>
        </w:tc>
        <w:tc>
          <w:tcPr>
            <w:tcW w:w="2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r>
      <w:tr>
        <w:trPr/>
        <w:tc>
          <w:tcPr>
            <w:tcW w:w="406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Total liability derivatives</w:t>
            </w:r>
          </w:p>
        </w:tc>
        <w:tc>
          <w:tcPr>
            <w:tcW w:w="2221"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6"/>
              </w:rPr>
              <w:t>382</w:t>
            </w: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6"/>
              </w:rPr>
              <w:t>12,769</w:t>
            </w:r>
            <w:r>
              <w:rPr>
                <w:color w:val="000000"/>
              </w:rPr>
              <w:t> </w:t>
            </w:r>
          </w:p>
        </w:tc>
        <w:tc>
          <w:tcPr>
            <w:tcW w:w="33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(6)</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w:t>
            </w:r>
          </w:p>
        </w:tc>
        <w:tc>
          <w:tcPr>
            <w:tcW w:w="5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6"/>
              </w:rPr>
              <w:t>4</w:t>
            </w: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w:t>
            </w:r>
          </w:p>
        </w:tc>
        <w:tc>
          <w:tcPr>
            <w:tcW w:w="42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(10)</w:t>
            </w:r>
          </w:p>
        </w:tc>
        <w:tc>
          <w:tcPr>
            <w:tcW w:w="15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Total derivatives</w:t>
            </w:r>
          </w:p>
        </w:tc>
        <w:tc>
          <w:tcPr>
            <w:tcW w:w="2221" w:type="dxa"/>
            <w:gridSpan w:val="3"/>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w:t>
            </w:r>
          </w:p>
        </w:tc>
        <w:tc>
          <w:tcPr>
            <w:tcW w:w="70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6"/>
              </w:rPr>
              <w:t>1,216</w:t>
            </w:r>
            <w:r>
              <w:rPr>
                <w:color w:val="000000"/>
              </w:rPr>
              <w:t> </w:t>
            </w:r>
          </w:p>
        </w:tc>
        <w:tc>
          <w:tcPr>
            <w:tcW w:w="109"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6"/>
              </w:rPr>
              <w:t>19,530</w:t>
            </w:r>
            <w:r>
              <w:rPr>
                <w:color w:val="000000"/>
              </w:rPr>
              <w:t> </w:t>
            </w:r>
          </w:p>
        </w:tc>
        <w:tc>
          <w:tcPr>
            <w:tcW w:w="331"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w:t>
            </w:r>
          </w:p>
        </w:tc>
        <w:tc>
          <w:tcPr>
            <w:tcW w:w="52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6"/>
              </w:rPr>
              <w:t>142</w:t>
            </w:r>
            <w:r>
              <w:rPr>
                <w:color w:val="000000"/>
              </w:rPr>
              <w:t> </w:t>
            </w:r>
          </w:p>
        </w:tc>
        <w:tc>
          <w:tcPr>
            <w:tcW w:w="109"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180"/>
        <w:jc w:val="left"/>
        <w:rPr/>
      </w:pPr>
      <w:r>
        <w:rPr>
          <w:rFonts w:ascii="Allstate Sans;sans-serif" w:hAnsi="Allstate Sans;sans-serif"/>
          <w:b w:val="false"/>
          <w:color w:val="000000"/>
          <w:sz w:val="10"/>
        </w:rPr>
        <w:t>(1)    </w:t>
      </w:r>
      <w:r>
        <w:rPr>
          <w:rFonts w:ascii="Allstate Sans;sans-serif" w:hAnsi="Allstate Sans;sans-serif"/>
          <w:b w:val="false"/>
          <w:color w:val="000000"/>
          <w:sz w:val="16"/>
        </w:rPr>
        <w:t>Volume for OTC and cleared derivative contracts is represented by their notional amounts. Volume for exchange traded derivatives is represented by the number of contracts, which is the basis on which they are traded. (n/a = not applicable)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33350"/>
                <wp:effectExtent l="0" t="0" r="0" b="0"/>
                <wp:wrapNone/>
                <wp:docPr id="32" name="Frame31"/>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ind w:left="0" w:right="0" w:firstLine="360"/>
                              <w:jc w:val="right"/>
                              <w:rPr/>
                            </w:pPr>
                            <w:r>
                              <w:rPr>
                                <w:rFonts w:ascii="Allstate Sans;sans-serif" w:hAnsi="Allstate Sans;sans-serif"/>
                                <w:b w:val="false"/>
                                <w:color w:val="000000"/>
                                <w:sz w:val="18"/>
                              </w:rPr>
                              <w:t xml:space="preserve">Second Quarter 2026 Form 10-Q </w:t>
                            </w:r>
                            <w:r>
                              <w:rPr>
                                <w:rFonts w:ascii="Allstate Sans;sans-serif" w:hAnsi="Allstate Sans;sans-serif"/>
                                <w:b w:val="false"/>
                                <w:color w:val="0033A0"/>
                                <w:sz w:val="18"/>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right"/>
                        <w:rPr/>
                      </w:pPr>
                      <w:r>
                        <w:rPr>
                          <w:rFonts w:ascii="Allstate Sans;sans-serif" w:hAnsi="Allstate Sans;sans-serif"/>
                          <w:b w:val="false"/>
                          <w:color w:val="000000"/>
                          <w:sz w:val="18"/>
                        </w:rPr>
                        <w:t xml:space="preserve">Second Quarter 2026 Form 10-Q </w:t>
                      </w:r>
                      <w:r>
                        <w:rPr>
                          <w:rFonts w:ascii="Allstate Sans;sans-serif" w:hAnsi="Allstate Sans;sans-serif"/>
                          <w:b w:val="false"/>
                          <w:color w:val="0033A0"/>
                          <w:sz w:val="18"/>
                        </w:rPr>
                        <w:t>29</w:t>
                      </w:r>
                    </w:p>
                  </w:txbxContent>
                </v:textbox>
                <w10:wrap type="none"/>
              </v:rect>
            </w:pict>
          </mc:Fallback>
        </mc:AlternateContent>
      </w:r>
    </w:p>
    <w:p>
      <w:pPr>
        <w:pStyle w:val="TextBody"/>
        <w:bidi w:val="0"/>
        <w:spacing w:lineRule="auto" w:line="288" w:before="0" w:after="0"/>
        <w:jc w:val="left"/>
        <w:rPr>
          <w:rFonts w:ascii="Allstate Sans;sans-serif" w:hAnsi="Allstate Sans;sans-serif"/>
          <w:b w:val="false"/>
          <w:color w:val="0033A0"/>
          <w:sz w:val="18"/>
        </w:rPr>
      </w:pPr>
      <w:r>
        <w:rPr>
          <w:rFonts w:ascii="Allstate Sans;sans-serif" w:hAnsi="Allstate Sans;sans-serif"/>
          <w:b w:val="false"/>
          <w:color w:val="0033A0"/>
          <w:sz w:val="18"/>
        </w:rPr>
        <w:t>Notes to Condensed Consolidated Financial Statements</w:t>
      </w:r>
    </w:p>
    <w:tbl>
      <w:tblPr>
        <w:tblW w:w="12578" w:type="dxa"/>
        <w:jc w:val="left"/>
        <w:tblInd w:w="0" w:type="dxa"/>
        <w:tblLayout w:type="fixed"/>
        <w:tblCellMar>
          <w:top w:w="28" w:type="dxa"/>
          <w:left w:w="28" w:type="dxa"/>
          <w:bottom w:w="28" w:type="dxa"/>
          <w:right w:w="28" w:type="dxa"/>
        </w:tblCellMar>
      </w:tblPr>
      <w:tblGrid>
        <w:gridCol w:w="1474"/>
        <w:gridCol w:w="1295"/>
        <w:gridCol w:w="1297"/>
        <w:gridCol w:w="740"/>
        <w:gridCol w:w="740"/>
        <w:gridCol w:w="741"/>
        <w:gridCol w:w="109"/>
        <w:gridCol w:w="109"/>
        <w:gridCol w:w="109"/>
        <w:gridCol w:w="226"/>
        <w:gridCol w:w="706"/>
        <w:gridCol w:w="109"/>
        <w:gridCol w:w="109"/>
        <w:gridCol w:w="109"/>
        <w:gridCol w:w="109"/>
        <w:gridCol w:w="376"/>
        <w:gridCol w:w="330"/>
        <w:gridCol w:w="331"/>
        <w:gridCol w:w="109"/>
        <w:gridCol w:w="109"/>
        <w:gridCol w:w="109"/>
        <w:gridCol w:w="226"/>
        <w:gridCol w:w="526"/>
        <w:gridCol w:w="109"/>
        <w:gridCol w:w="109"/>
        <w:gridCol w:w="109"/>
        <w:gridCol w:w="109"/>
        <w:gridCol w:w="226"/>
        <w:gridCol w:w="526"/>
        <w:gridCol w:w="109"/>
        <w:gridCol w:w="109"/>
        <w:gridCol w:w="109"/>
        <w:gridCol w:w="109"/>
        <w:gridCol w:w="281"/>
        <w:gridCol w:w="421"/>
        <w:gridCol w:w="154"/>
      </w:tblGrid>
      <w:tr>
        <w:trPr/>
        <w:tc>
          <w:tcPr>
            <w:tcW w:w="1474"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578" w:type="dxa"/>
            <w:gridSpan w:val="36"/>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left"/>
              <w:rPr>
                <w:rFonts w:ascii="Allstate Sans;sans-serif" w:hAnsi="Allstate Sans;sans-serif"/>
                <w:b/>
                <w:color w:val="000000"/>
                <w:sz w:val="18"/>
              </w:rPr>
            </w:pPr>
            <w:r>
              <w:rPr>
                <w:rFonts w:ascii="Allstate Sans;sans-serif" w:hAnsi="Allstate Sans;sans-serif"/>
                <w:b/>
                <w:color w:val="000000"/>
                <w:sz w:val="18"/>
              </w:rPr>
              <w:t>Summary of the volume and fair value positions of derivative instruments as of December 31, 2025</w:t>
            </w:r>
          </w:p>
        </w:tc>
      </w:tr>
      <w:tr>
        <w:trPr/>
        <w:tc>
          <w:tcPr>
            <w:tcW w:w="406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 in millions, except number of contracts)</w:t>
            </w:r>
          </w:p>
        </w:tc>
        <w:tc>
          <w:tcPr>
            <w:tcW w:w="2221"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Helvetica_Neue_LT_W1G_55_Roman;sans-serif" w:hAnsi="Helvetica_Neue_LT_W1G_55_Roman;sans-serif"/>
                <w:b/>
                <w:color w:val="000000"/>
                <w:sz w:val="16"/>
              </w:rPr>
              <w:t>Volume </w:t>
            </w:r>
            <w:r>
              <w:rPr>
                <w:rFonts w:ascii="Helvetica_Neue_LT_W1G_55_Roman;sans-serif" w:hAnsi="Helvetica_Neue_LT_W1G_55_Roman;sans-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2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Balance sheet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Notional amount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Number of contracts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Fair value,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Gross asset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Gross liability</w:t>
            </w:r>
          </w:p>
        </w:tc>
      </w:tr>
      <w:tr>
        <w:trPr/>
        <w:tc>
          <w:tcPr>
            <w:tcW w:w="4066"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Asset derivatives</w:t>
            </w:r>
          </w:p>
        </w:tc>
        <w:tc>
          <w:tcPr>
            <w:tcW w:w="2221" w:type="dxa"/>
            <w:gridSpan w:val="3"/>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vAlign w:val="center"/>
          </w:tcPr>
          <w:p>
            <w:pPr>
              <w:pStyle w:val="TableContents"/>
              <w:bidi w:val="0"/>
              <w:spacing w:before="0" w:after="283"/>
              <w:jc w:val="left"/>
              <w:rPr>
                <w:sz w:val="4"/>
                <w:szCs w:val="4"/>
              </w:rPr>
            </w:pPr>
            <w:r>
              <w:rPr>
                <w:sz w:val="4"/>
                <w:szCs w:val="4"/>
              </w:rPr>
            </w:r>
          </w:p>
        </w:tc>
        <w:tc>
          <w:tcPr>
            <w:tcW w:w="2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tcPr>
          <w:p>
            <w:pPr>
              <w:pStyle w:val="TableContents"/>
              <w:bidi w:val="0"/>
              <w:spacing w:before="0" w:after="283"/>
              <w:jc w:val="left"/>
              <w:rPr>
                <w:sz w:val="4"/>
                <w:szCs w:val="4"/>
              </w:rPr>
            </w:pPr>
            <w:r>
              <w:rPr>
                <w:sz w:val="4"/>
                <w:szCs w:val="4"/>
              </w:rPr>
            </w:r>
          </w:p>
        </w:tc>
      </w:tr>
      <w:tr>
        <w:trPr/>
        <w:tc>
          <w:tcPr>
            <w:tcW w:w="4066" w:type="dxa"/>
            <w:gridSpan w:val="3"/>
            <w:tcBorders/>
            <w:vAlign w:val="center"/>
          </w:tcPr>
          <w:p>
            <w:pPr>
              <w:pStyle w:val="TableContents"/>
              <w:bidi w:val="0"/>
              <w:spacing w:before="0" w:after="283"/>
              <w:jc w:val="left"/>
              <w:rPr>
                <w:sz w:val="4"/>
                <w:szCs w:val="4"/>
              </w:rPr>
            </w:pPr>
            <w:r>
              <w:rPr>
                <w:sz w:val="4"/>
                <w:szCs w:val="4"/>
              </w:rPr>
            </w:r>
          </w:p>
        </w:tc>
        <w:tc>
          <w:tcPr>
            <w:tcW w:w="2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r>
      <w:tr>
        <w:trPr/>
        <w:tc>
          <w:tcPr>
            <w:tcW w:w="4066" w:type="dxa"/>
            <w:gridSpan w:val="3"/>
            <w:tcBorders/>
            <w:vAlign w:val="center"/>
          </w:tcPr>
          <w:p>
            <w:pPr>
              <w:pStyle w:val="TableContents"/>
              <w:bidi w:val="0"/>
              <w:spacing w:before="0" w:after="283"/>
              <w:jc w:val="left"/>
              <w:rPr>
                <w:sz w:val="4"/>
                <w:szCs w:val="4"/>
              </w:rPr>
            </w:pPr>
            <w:r>
              <w:rPr>
                <w:sz w:val="4"/>
                <w:szCs w:val="4"/>
              </w:rPr>
            </w:r>
          </w:p>
        </w:tc>
        <w:tc>
          <w:tcPr>
            <w:tcW w:w="2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r>
      <w:tr>
        <w:trPr/>
        <w:tc>
          <w:tcPr>
            <w:tcW w:w="6287" w:type="dxa"/>
            <w:gridSpan w:val="6"/>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Derivatives not designated as accounting hedging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p>
        </w:tc>
      </w:tr>
      <w:tr>
        <w:trPr/>
        <w:tc>
          <w:tcPr>
            <w:tcW w:w="406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Interest rate contracts</w:t>
            </w:r>
          </w:p>
        </w:tc>
        <w:tc>
          <w:tcPr>
            <w:tcW w:w="2221"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p>
        </w:tc>
      </w:tr>
      <w:tr>
        <w:trPr/>
        <w:tc>
          <w:tcPr>
            <w:tcW w:w="406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Interest rate cap agreements</w:t>
            </w:r>
          </w:p>
        </w:tc>
        <w:tc>
          <w:tcPr>
            <w:tcW w:w="222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Other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w:t>
            </w:r>
          </w:p>
        </w:tc>
        <w:tc>
          <w:tcPr>
            <w:tcW w:w="70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37 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w:t>
            </w:r>
          </w:p>
        </w:tc>
        <w:tc>
          <w:tcPr>
            <w:tcW w:w="5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w:t>
            </w:r>
          </w:p>
        </w:tc>
        <w:tc>
          <w:tcPr>
            <w:tcW w:w="5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w:t>
            </w:r>
          </w:p>
        </w:tc>
        <w:tc>
          <w:tcPr>
            <w:tcW w:w="42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Futures</w:t>
            </w:r>
          </w:p>
        </w:tc>
        <w:tc>
          <w:tcPr>
            <w:tcW w:w="222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Other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3,386 </w:t>
            </w:r>
          </w:p>
        </w:tc>
        <w:tc>
          <w:tcPr>
            <w:tcW w:w="33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Equity and index contracts</w:t>
            </w:r>
          </w:p>
        </w:tc>
        <w:tc>
          <w:tcPr>
            <w:tcW w:w="2221"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p>
        </w:tc>
      </w:tr>
      <w:tr>
        <w:trPr/>
        <w:tc>
          <w:tcPr>
            <w:tcW w:w="406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Options</w:t>
            </w:r>
          </w:p>
        </w:tc>
        <w:tc>
          <w:tcPr>
            <w:tcW w:w="222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Other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12 </w:t>
            </w:r>
          </w:p>
        </w:tc>
        <w:tc>
          <w:tcPr>
            <w:tcW w:w="33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Futures</w:t>
            </w:r>
          </w:p>
        </w:tc>
        <w:tc>
          <w:tcPr>
            <w:tcW w:w="222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Other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32 </w:t>
            </w:r>
          </w:p>
        </w:tc>
        <w:tc>
          <w:tcPr>
            <w:tcW w:w="33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vAlign w:val="center"/>
          </w:tcPr>
          <w:p>
            <w:pPr>
              <w:pStyle w:val="TableContents"/>
              <w:bidi w:val="0"/>
              <w:spacing w:before="0" w:after="283"/>
              <w:jc w:val="left"/>
              <w:rPr>
                <w:sz w:val="4"/>
                <w:szCs w:val="4"/>
              </w:rPr>
            </w:pPr>
            <w:r>
              <w:rPr>
                <w:sz w:val="4"/>
                <w:szCs w:val="4"/>
              </w:rPr>
            </w:r>
          </w:p>
        </w:tc>
        <w:tc>
          <w:tcPr>
            <w:tcW w:w="2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r>
      <w:tr>
        <w:trPr/>
        <w:tc>
          <w:tcPr>
            <w:tcW w:w="4066" w:type="dxa"/>
            <w:gridSpan w:val="3"/>
            <w:tcBorders/>
            <w:vAlign w:val="center"/>
          </w:tcPr>
          <w:p>
            <w:pPr>
              <w:pStyle w:val="TableContents"/>
              <w:bidi w:val="0"/>
              <w:spacing w:before="0" w:after="283"/>
              <w:jc w:val="left"/>
              <w:rPr>
                <w:sz w:val="4"/>
                <w:szCs w:val="4"/>
              </w:rPr>
            </w:pPr>
            <w:r>
              <w:rPr>
                <w:sz w:val="4"/>
                <w:szCs w:val="4"/>
              </w:rPr>
            </w:r>
          </w:p>
        </w:tc>
        <w:tc>
          <w:tcPr>
            <w:tcW w:w="2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r>
      <w:tr>
        <w:trPr/>
        <w:tc>
          <w:tcPr>
            <w:tcW w:w="4066" w:type="dxa"/>
            <w:gridSpan w:val="3"/>
            <w:tcBorders/>
            <w:vAlign w:val="center"/>
          </w:tcPr>
          <w:p>
            <w:pPr>
              <w:pStyle w:val="TableContents"/>
              <w:bidi w:val="0"/>
              <w:spacing w:before="0" w:after="283"/>
              <w:jc w:val="left"/>
              <w:rPr>
                <w:sz w:val="4"/>
                <w:szCs w:val="4"/>
              </w:rPr>
            </w:pPr>
            <w:r>
              <w:rPr>
                <w:sz w:val="4"/>
                <w:szCs w:val="4"/>
              </w:rPr>
            </w:r>
          </w:p>
        </w:tc>
        <w:tc>
          <w:tcPr>
            <w:tcW w:w="2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r>
      <w:tr>
        <w:trPr/>
        <w:tc>
          <w:tcPr>
            <w:tcW w:w="406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Foreign currency contracts</w:t>
            </w:r>
          </w:p>
        </w:tc>
        <w:tc>
          <w:tcPr>
            <w:tcW w:w="2221"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p>
        </w:tc>
      </w:tr>
      <w:tr>
        <w:trPr/>
        <w:tc>
          <w:tcPr>
            <w:tcW w:w="406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Foreign currency forwards</w:t>
            </w:r>
          </w:p>
        </w:tc>
        <w:tc>
          <w:tcPr>
            <w:tcW w:w="222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Other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w:t>
            </w:r>
          </w:p>
        </w:tc>
        <w:tc>
          <w:tcPr>
            <w:tcW w:w="70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503 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(14)</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2 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(16)</w:t>
            </w:r>
          </w:p>
        </w:tc>
        <w:tc>
          <w:tcPr>
            <w:tcW w:w="15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vAlign w:val="center"/>
          </w:tcPr>
          <w:p>
            <w:pPr>
              <w:pStyle w:val="TableContents"/>
              <w:bidi w:val="0"/>
              <w:spacing w:before="0" w:after="283"/>
              <w:jc w:val="left"/>
              <w:rPr>
                <w:sz w:val="4"/>
                <w:szCs w:val="4"/>
              </w:rPr>
            </w:pPr>
            <w:r>
              <w:rPr>
                <w:sz w:val="4"/>
                <w:szCs w:val="4"/>
              </w:rPr>
            </w:r>
          </w:p>
        </w:tc>
        <w:tc>
          <w:tcPr>
            <w:tcW w:w="2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r>
      <w:tr>
        <w:trPr/>
        <w:tc>
          <w:tcPr>
            <w:tcW w:w="406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Contingent consideration</w:t>
            </w:r>
          </w:p>
        </w:tc>
        <w:tc>
          <w:tcPr>
            <w:tcW w:w="222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Other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250 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147 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147 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Credit default contracts</w:t>
            </w:r>
          </w:p>
        </w:tc>
        <w:tc>
          <w:tcPr>
            <w:tcW w:w="2221"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p>
        </w:tc>
      </w:tr>
      <w:tr>
        <w:trPr/>
        <w:tc>
          <w:tcPr>
            <w:tcW w:w="4066" w:type="dxa"/>
            <w:gridSpan w:val="3"/>
            <w:tcBorders/>
            <w:vAlign w:val="center"/>
          </w:tcPr>
          <w:p>
            <w:pPr>
              <w:pStyle w:val="TableContents"/>
              <w:bidi w:val="0"/>
              <w:spacing w:before="0" w:after="283"/>
              <w:jc w:val="left"/>
              <w:rPr>
                <w:sz w:val="4"/>
                <w:szCs w:val="4"/>
              </w:rPr>
            </w:pPr>
            <w:r>
              <w:rPr>
                <w:sz w:val="4"/>
                <w:szCs w:val="4"/>
              </w:rPr>
            </w:r>
          </w:p>
        </w:tc>
        <w:tc>
          <w:tcPr>
            <w:tcW w:w="2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r>
      <w:tr>
        <w:trPr/>
        <w:tc>
          <w:tcPr>
            <w:tcW w:w="406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Credit default swaps - selling protection</w:t>
            </w:r>
          </w:p>
        </w:tc>
        <w:tc>
          <w:tcPr>
            <w:tcW w:w="222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Other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550 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9 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9 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vAlign w:val="center"/>
          </w:tcPr>
          <w:p>
            <w:pPr>
              <w:pStyle w:val="TableContents"/>
              <w:bidi w:val="0"/>
              <w:spacing w:before="0" w:after="283"/>
              <w:jc w:val="left"/>
              <w:rPr>
                <w:sz w:val="4"/>
                <w:szCs w:val="4"/>
              </w:rPr>
            </w:pPr>
            <w:r>
              <w:rPr>
                <w:sz w:val="4"/>
                <w:szCs w:val="4"/>
              </w:rPr>
            </w:r>
          </w:p>
        </w:tc>
        <w:tc>
          <w:tcPr>
            <w:tcW w:w="2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r>
      <w:tr>
        <w:trPr/>
        <w:tc>
          <w:tcPr>
            <w:tcW w:w="4066" w:type="dxa"/>
            <w:gridSpan w:val="3"/>
            <w:tcBorders/>
            <w:vAlign w:val="center"/>
          </w:tcPr>
          <w:p>
            <w:pPr>
              <w:pStyle w:val="TableContents"/>
              <w:bidi w:val="0"/>
              <w:spacing w:before="0" w:after="283"/>
              <w:jc w:val="left"/>
              <w:rPr>
                <w:sz w:val="4"/>
                <w:szCs w:val="4"/>
              </w:rPr>
            </w:pPr>
            <w:r>
              <w:rPr>
                <w:sz w:val="4"/>
                <w:szCs w:val="4"/>
              </w:rPr>
            </w:r>
          </w:p>
        </w:tc>
        <w:tc>
          <w:tcPr>
            <w:tcW w:w="2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r>
      <w:tr>
        <w:trPr/>
        <w:tc>
          <w:tcPr>
            <w:tcW w:w="4066" w:type="dxa"/>
            <w:gridSpan w:val="3"/>
            <w:tcBorders/>
            <w:vAlign w:val="center"/>
          </w:tcPr>
          <w:p>
            <w:pPr>
              <w:pStyle w:val="TableContents"/>
              <w:bidi w:val="0"/>
              <w:spacing w:before="0" w:after="283"/>
              <w:jc w:val="left"/>
              <w:rPr>
                <w:sz w:val="4"/>
                <w:szCs w:val="4"/>
              </w:rPr>
            </w:pPr>
            <w:r>
              <w:rPr>
                <w:sz w:val="4"/>
                <w:szCs w:val="4"/>
              </w:rPr>
            </w:r>
          </w:p>
        </w:tc>
        <w:tc>
          <w:tcPr>
            <w:tcW w:w="2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r>
      <w:tr>
        <w:trPr/>
        <w:tc>
          <w:tcPr>
            <w:tcW w:w="406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Total asset derivatives</w:t>
            </w:r>
          </w:p>
        </w:tc>
        <w:tc>
          <w:tcPr>
            <w:tcW w:w="2221"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w:t>
            </w:r>
          </w:p>
        </w:tc>
        <w:tc>
          <w:tcPr>
            <w:tcW w:w="70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6"/>
              </w:rPr>
              <w:t>1,340</w:t>
            </w: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6"/>
              </w:rPr>
              <w:t>3,430</w:t>
            </w:r>
            <w:r>
              <w:rPr>
                <w:color w:val="000000"/>
              </w:rPr>
              <w:t> </w:t>
            </w:r>
          </w:p>
        </w:tc>
        <w:tc>
          <w:tcPr>
            <w:tcW w:w="33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w:t>
            </w:r>
          </w:p>
        </w:tc>
        <w:tc>
          <w:tcPr>
            <w:tcW w:w="5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6"/>
              </w:rPr>
              <w:t>142</w:t>
            </w: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w:t>
            </w:r>
          </w:p>
        </w:tc>
        <w:tc>
          <w:tcPr>
            <w:tcW w:w="5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6"/>
              </w:rPr>
              <w:t>158</w:t>
            </w: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w:t>
            </w:r>
          </w:p>
        </w:tc>
        <w:tc>
          <w:tcPr>
            <w:tcW w:w="42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(16)</w:t>
            </w:r>
          </w:p>
        </w:tc>
        <w:tc>
          <w:tcPr>
            <w:tcW w:w="15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1"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Liability derivatives</w:t>
            </w:r>
          </w:p>
        </w:tc>
        <w:tc>
          <w:tcPr>
            <w:tcW w:w="2221" w:type="dxa"/>
            <w:gridSpan w:val="3"/>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vAlign w:val="center"/>
          </w:tcPr>
          <w:p>
            <w:pPr>
              <w:pStyle w:val="TableContents"/>
              <w:bidi w:val="0"/>
              <w:spacing w:before="0" w:after="283"/>
              <w:jc w:val="left"/>
              <w:rPr>
                <w:sz w:val="4"/>
                <w:szCs w:val="4"/>
              </w:rPr>
            </w:pPr>
            <w:r>
              <w:rPr>
                <w:sz w:val="4"/>
                <w:szCs w:val="4"/>
              </w:rPr>
            </w:r>
          </w:p>
        </w:tc>
        <w:tc>
          <w:tcPr>
            <w:tcW w:w="2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tcPr>
          <w:p>
            <w:pPr>
              <w:pStyle w:val="TableContents"/>
              <w:bidi w:val="0"/>
              <w:spacing w:before="0" w:after="283"/>
              <w:jc w:val="left"/>
              <w:rPr>
                <w:sz w:val="4"/>
                <w:szCs w:val="4"/>
              </w:rPr>
            </w:pPr>
            <w:r>
              <w:rPr>
                <w:sz w:val="4"/>
                <w:szCs w:val="4"/>
              </w:rPr>
            </w:r>
          </w:p>
        </w:tc>
      </w:tr>
      <w:tr>
        <w:trPr/>
        <w:tc>
          <w:tcPr>
            <w:tcW w:w="4066" w:type="dxa"/>
            <w:gridSpan w:val="3"/>
            <w:tcBorders/>
            <w:vAlign w:val="center"/>
          </w:tcPr>
          <w:p>
            <w:pPr>
              <w:pStyle w:val="TableContents"/>
              <w:bidi w:val="0"/>
              <w:spacing w:before="0" w:after="283"/>
              <w:jc w:val="left"/>
              <w:rPr>
                <w:sz w:val="4"/>
                <w:szCs w:val="4"/>
              </w:rPr>
            </w:pPr>
            <w:r>
              <w:rPr>
                <w:sz w:val="4"/>
                <w:szCs w:val="4"/>
              </w:rPr>
            </w:r>
          </w:p>
        </w:tc>
        <w:tc>
          <w:tcPr>
            <w:tcW w:w="2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r>
      <w:tr>
        <w:trPr/>
        <w:tc>
          <w:tcPr>
            <w:tcW w:w="6287" w:type="dxa"/>
            <w:gridSpan w:val="6"/>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Derivatives not designated as accounting hedging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Interest rate contracts</w:t>
            </w:r>
          </w:p>
        </w:tc>
        <w:tc>
          <w:tcPr>
            <w:tcW w:w="2221"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Interest rate swap agreements</w:t>
            </w:r>
          </w:p>
        </w:tc>
        <w:tc>
          <w:tcPr>
            <w:tcW w:w="222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Other liabilities and accrued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w:t>
            </w:r>
          </w:p>
        </w:tc>
        <w:tc>
          <w:tcPr>
            <w:tcW w:w="70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37 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w:t>
            </w:r>
          </w:p>
        </w:tc>
        <w:tc>
          <w:tcPr>
            <w:tcW w:w="5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(1)</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w:t>
            </w:r>
          </w:p>
        </w:tc>
        <w:tc>
          <w:tcPr>
            <w:tcW w:w="5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w:t>
            </w:r>
          </w:p>
        </w:tc>
        <w:tc>
          <w:tcPr>
            <w:tcW w:w="42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(1)</w:t>
            </w:r>
          </w:p>
        </w:tc>
        <w:tc>
          <w:tcPr>
            <w:tcW w:w="15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vAlign w:val="center"/>
          </w:tcPr>
          <w:p>
            <w:pPr>
              <w:pStyle w:val="TableContents"/>
              <w:bidi w:val="0"/>
              <w:spacing w:before="0" w:after="283"/>
              <w:jc w:val="left"/>
              <w:rPr>
                <w:sz w:val="4"/>
                <w:szCs w:val="4"/>
              </w:rPr>
            </w:pPr>
            <w:r>
              <w:rPr>
                <w:sz w:val="4"/>
                <w:szCs w:val="4"/>
              </w:rPr>
            </w:r>
          </w:p>
        </w:tc>
        <w:tc>
          <w:tcPr>
            <w:tcW w:w="2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r>
      <w:tr>
        <w:trPr/>
        <w:tc>
          <w:tcPr>
            <w:tcW w:w="406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Futures</w:t>
            </w:r>
          </w:p>
        </w:tc>
        <w:tc>
          <w:tcPr>
            <w:tcW w:w="222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Other liabilities and accrued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1,323 </w:t>
            </w:r>
          </w:p>
        </w:tc>
        <w:tc>
          <w:tcPr>
            <w:tcW w:w="33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Equity and index contracts</w:t>
            </w:r>
          </w:p>
        </w:tc>
        <w:tc>
          <w:tcPr>
            <w:tcW w:w="2221"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Options</w:t>
            </w:r>
          </w:p>
        </w:tc>
        <w:tc>
          <w:tcPr>
            <w:tcW w:w="222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Other liabilities and accrued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12 </w:t>
            </w:r>
          </w:p>
        </w:tc>
        <w:tc>
          <w:tcPr>
            <w:tcW w:w="33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Futures</w:t>
            </w:r>
          </w:p>
        </w:tc>
        <w:tc>
          <w:tcPr>
            <w:tcW w:w="222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Other liabilities and accrued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1,063 </w:t>
            </w:r>
          </w:p>
        </w:tc>
        <w:tc>
          <w:tcPr>
            <w:tcW w:w="33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(2)</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(2)</w:t>
            </w:r>
          </w:p>
        </w:tc>
        <w:tc>
          <w:tcPr>
            <w:tcW w:w="15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vAlign w:val="center"/>
          </w:tcPr>
          <w:p>
            <w:pPr>
              <w:pStyle w:val="TableContents"/>
              <w:bidi w:val="0"/>
              <w:spacing w:before="0" w:after="283"/>
              <w:jc w:val="left"/>
              <w:rPr>
                <w:sz w:val="4"/>
                <w:szCs w:val="4"/>
              </w:rPr>
            </w:pPr>
            <w:r>
              <w:rPr>
                <w:sz w:val="4"/>
                <w:szCs w:val="4"/>
              </w:rPr>
            </w:r>
          </w:p>
        </w:tc>
        <w:tc>
          <w:tcPr>
            <w:tcW w:w="2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r>
      <w:tr>
        <w:trPr/>
        <w:tc>
          <w:tcPr>
            <w:tcW w:w="4066" w:type="dxa"/>
            <w:gridSpan w:val="3"/>
            <w:tcBorders/>
            <w:vAlign w:val="center"/>
          </w:tcPr>
          <w:p>
            <w:pPr>
              <w:pStyle w:val="TableContents"/>
              <w:bidi w:val="0"/>
              <w:spacing w:before="0" w:after="283"/>
              <w:jc w:val="left"/>
              <w:rPr>
                <w:sz w:val="4"/>
                <w:szCs w:val="4"/>
              </w:rPr>
            </w:pPr>
            <w:r>
              <w:rPr>
                <w:sz w:val="4"/>
                <w:szCs w:val="4"/>
              </w:rPr>
            </w:r>
          </w:p>
        </w:tc>
        <w:tc>
          <w:tcPr>
            <w:tcW w:w="2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r>
      <w:tr>
        <w:trPr/>
        <w:tc>
          <w:tcPr>
            <w:tcW w:w="4066" w:type="dxa"/>
            <w:gridSpan w:val="3"/>
            <w:tcBorders/>
            <w:vAlign w:val="center"/>
          </w:tcPr>
          <w:p>
            <w:pPr>
              <w:pStyle w:val="TableContents"/>
              <w:bidi w:val="0"/>
              <w:spacing w:before="0" w:after="283"/>
              <w:jc w:val="left"/>
              <w:rPr>
                <w:sz w:val="4"/>
                <w:szCs w:val="4"/>
              </w:rPr>
            </w:pPr>
            <w:r>
              <w:rPr>
                <w:sz w:val="4"/>
                <w:szCs w:val="4"/>
              </w:rPr>
            </w:r>
          </w:p>
        </w:tc>
        <w:tc>
          <w:tcPr>
            <w:tcW w:w="2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r>
      <w:tr>
        <w:trPr/>
        <w:tc>
          <w:tcPr>
            <w:tcW w:w="406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Foreign currency contracts</w:t>
            </w:r>
          </w:p>
        </w:tc>
        <w:tc>
          <w:tcPr>
            <w:tcW w:w="2221"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Foreign currency forwards</w:t>
            </w:r>
          </w:p>
        </w:tc>
        <w:tc>
          <w:tcPr>
            <w:tcW w:w="222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Other liabilities and accrued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w:t>
            </w:r>
          </w:p>
        </w:tc>
        <w:tc>
          <w:tcPr>
            <w:tcW w:w="70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45 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(3)</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(3)</w:t>
            </w:r>
          </w:p>
        </w:tc>
        <w:tc>
          <w:tcPr>
            <w:tcW w:w="15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vAlign w:val="center"/>
          </w:tcPr>
          <w:p>
            <w:pPr>
              <w:pStyle w:val="TableContents"/>
              <w:bidi w:val="0"/>
              <w:spacing w:before="0" w:after="283"/>
              <w:jc w:val="left"/>
              <w:rPr>
                <w:sz w:val="4"/>
                <w:szCs w:val="4"/>
              </w:rPr>
            </w:pPr>
            <w:r>
              <w:rPr>
                <w:sz w:val="4"/>
                <w:szCs w:val="4"/>
              </w:rPr>
            </w:r>
          </w:p>
        </w:tc>
        <w:tc>
          <w:tcPr>
            <w:tcW w:w="2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tcPr>
          <w:p>
            <w:pPr>
              <w:pStyle w:val="TableContents"/>
              <w:bidi w:val="0"/>
              <w:spacing w:before="0" w:after="283"/>
              <w:jc w:val="left"/>
              <w:rPr>
                <w:sz w:val="4"/>
                <w:szCs w:val="4"/>
              </w:rPr>
            </w:pPr>
            <w:r>
              <w:rPr>
                <w:sz w:val="4"/>
                <w:szCs w:val="4"/>
              </w:rPr>
            </w:r>
          </w:p>
        </w:tc>
      </w:tr>
      <w:tr>
        <w:trPr/>
        <w:tc>
          <w:tcPr>
            <w:tcW w:w="4066" w:type="dxa"/>
            <w:gridSpan w:val="3"/>
            <w:tcBorders/>
            <w:vAlign w:val="center"/>
          </w:tcPr>
          <w:p>
            <w:pPr>
              <w:pStyle w:val="TableContents"/>
              <w:bidi w:val="0"/>
              <w:spacing w:before="0" w:after="283"/>
              <w:jc w:val="left"/>
              <w:rPr>
                <w:sz w:val="4"/>
                <w:szCs w:val="4"/>
              </w:rPr>
            </w:pPr>
            <w:r>
              <w:rPr>
                <w:sz w:val="4"/>
                <w:szCs w:val="4"/>
              </w:rPr>
            </w:r>
          </w:p>
        </w:tc>
        <w:tc>
          <w:tcPr>
            <w:tcW w:w="2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r>
      <w:tr>
        <w:trPr/>
        <w:tc>
          <w:tcPr>
            <w:tcW w:w="4066" w:type="dxa"/>
            <w:gridSpan w:val="3"/>
            <w:tcBorders/>
            <w:vAlign w:val="center"/>
          </w:tcPr>
          <w:p>
            <w:pPr>
              <w:pStyle w:val="TableContents"/>
              <w:bidi w:val="0"/>
              <w:spacing w:before="0" w:after="283"/>
              <w:jc w:val="left"/>
              <w:rPr>
                <w:sz w:val="4"/>
                <w:szCs w:val="4"/>
              </w:rPr>
            </w:pPr>
            <w:r>
              <w:rPr>
                <w:sz w:val="4"/>
                <w:szCs w:val="4"/>
              </w:rPr>
            </w:r>
          </w:p>
        </w:tc>
        <w:tc>
          <w:tcPr>
            <w:tcW w:w="2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r>
      <w:tr>
        <w:trPr/>
        <w:tc>
          <w:tcPr>
            <w:tcW w:w="4066" w:type="dxa"/>
            <w:gridSpan w:val="3"/>
            <w:tcBorders/>
            <w:vAlign w:val="center"/>
          </w:tcPr>
          <w:p>
            <w:pPr>
              <w:pStyle w:val="TableContents"/>
              <w:bidi w:val="0"/>
              <w:spacing w:before="0" w:after="283"/>
              <w:jc w:val="left"/>
              <w:rPr>
                <w:sz w:val="4"/>
                <w:szCs w:val="4"/>
              </w:rPr>
            </w:pPr>
            <w:r>
              <w:rPr>
                <w:sz w:val="4"/>
                <w:szCs w:val="4"/>
              </w:rPr>
            </w:r>
          </w:p>
        </w:tc>
        <w:tc>
          <w:tcPr>
            <w:tcW w:w="2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r>
      <w:tr>
        <w:trPr/>
        <w:tc>
          <w:tcPr>
            <w:tcW w:w="4066" w:type="dxa"/>
            <w:gridSpan w:val="3"/>
            <w:tcBorders/>
            <w:vAlign w:val="center"/>
          </w:tcPr>
          <w:p>
            <w:pPr>
              <w:pStyle w:val="TableContents"/>
              <w:bidi w:val="0"/>
              <w:spacing w:before="0" w:after="283"/>
              <w:jc w:val="left"/>
              <w:rPr>
                <w:sz w:val="4"/>
                <w:szCs w:val="4"/>
              </w:rPr>
            </w:pPr>
            <w:r>
              <w:rPr>
                <w:sz w:val="4"/>
                <w:szCs w:val="4"/>
              </w:rPr>
            </w:r>
          </w:p>
        </w:tc>
        <w:tc>
          <w:tcPr>
            <w:tcW w:w="2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r>
      <w:tr>
        <w:trPr/>
        <w:tc>
          <w:tcPr>
            <w:tcW w:w="4066" w:type="dxa"/>
            <w:gridSpan w:val="3"/>
            <w:tcBorders/>
            <w:vAlign w:val="center"/>
          </w:tcPr>
          <w:p>
            <w:pPr>
              <w:pStyle w:val="TableContents"/>
              <w:bidi w:val="0"/>
              <w:spacing w:before="0" w:after="283"/>
              <w:jc w:val="left"/>
              <w:rPr>
                <w:sz w:val="4"/>
                <w:szCs w:val="4"/>
              </w:rPr>
            </w:pPr>
            <w:r>
              <w:rPr>
                <w:sz w:val="4"/>
                <w:szCs w:val="4"/>
              </w:rPr>
            </w:r>
          </w:p>
        </w:tc>
        <w:tc>
          <w:tcPr>
            <w:tcW w:w="2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r>
      <w:tr>
        <w:trPr/>
        <w:tc>
          <w:tcPr>
            <w:tcW w:w="406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Total liability derivatives</w:t>
            </w:r>
          </w:p>
        </w:tc>
        <w:tc>
          <w:tcPr>
            <w:tcW w:w="2221"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6"/>
              </w:rPr>
              <w:t>82</w:t>
            </w: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6"/>
              </w:rPr>
              <w:t>2,398</w:t>
            </w:r>
            <w:r>
              <w:rPr>
                <w:color w:val="000000"/>
              </w:rPr>
              <w:t> </w:t>
            </w:r>
          </w:p>
        </w:tc>
        <w:tc>
          <w:tcPr>
            <w:tcW w:w="33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(6)</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w:t>
            </w:r>
          </w:p>
        </w:tc>
        <w:tc>
          <w:tcPr>
            <w:tcW w:w="5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w:t>
            </w:r>
          </w:p>
        </w:tc>
        <w:tc>
          <w:tcPr>
            <w:tcW w:w="42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(6)</w:t>
            </w:r>
          </w:p>
        </w:tc>
        <w:tc>
          <w:tcPr>
            <w:tcW w:w="15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Total derivatives</w:t>
            </w:r>
          </w:p>
        </w:tc>
        <w:tc>
          <w:tcPr>
            <w:tcW w:w="2221" w:type="dxa"/>
            <w:gridSpan w:val="3"/>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w:t>
            </w:r>
          </w:p>
        </w:tc>
        <w:tc>
          <w:tcPr>
            <w:tcW w:w="70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6"/>
              </w:rPr>
              <w:t>1,422</w:t>
            </w:r>
            <w:r>
              <w:rPr>
                <w:color w:val="000000"/>
              </w:rPr>
              <w:t> </w:t>
            </w:r>
          </w:p>
        </w:tc>
        <w:tc>
          <w:tcPr>
            <w:tcW w:w="109"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6"/>
              </w:rPr>
              <w:t>5,828</w:t>
            </w:r>
            <w:r>
              <w:rPr>
                <w:color w:val="000000"/>
              </w:rPr>
              <w:t> </w:t>
            </w:r>
          </w:p>
        </w:tc>
        <w:tc>
          <w:tcPr>
            <w:tcW w:w="331"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w:t>
            </w:r>
          </w:p>
        </w:tc>
        <w:tc>
          <w:tcPr>
            <w:tcW w:w="52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6"/>
              </w:rPr>
              <w:t>136</w:t>
            </w:r>
            <w:r>
              <w:rPr>
                <w:color w:val="000000"/>
              </w:rPr>
              <w:t> </w:t>
            </w:r>
          </w:p>
        </w:tc>
        <w:tc>
          <w:tcPr>
            <w:tcW w:w="109"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180"/>
        <w:jc w:val="left"/>
        <w:rPr/>
      </w:pPr>
      <w:r>
        <w:rPr>
          <w:rFonts w:ascii="Allstate Sans;sans-serif" w:hAnsi="Allstate Sans;sans-serif"/>
          <w:b w:val="false"/>
          <w:color w:val="000000"/>
          <w:sz w:val="10"/>
        </w:rPr>
        <w:t>(1)    </w:t>
      </w:r>
      <w:r>
        <w:rPr>
          <w:rFonts w:ascii="Allstate Sans;sans-serif" w:hAnsi="Allstate Sans;sans-serif"/>
          <w:b w:val="false"/>
          <w:color w:val="000000"/>
          <w:sz w:val="16"/>
        </w:rPr>
        <w:t>Volume for OTC and cleared derivative contracts is represented by their notional amounts. Volume for exchange traded derivatives is represented by the number of contracts, which is the basis on which they are traded. (n/a = not applicable)</w:t>
      </w:r>
    </w:p>
    <w:tbl>
      <w:tblPr>
        <w:tblW w:w="10205" w:type="dxa"/>
        <w:jc w:val="left"/>
        <w:tblInd w:w="0" w:type="dxa"/>
        <w:tblLayout w:type="fixed"/>
        <w:tblCellMar>
          <w:top w:w="28" w:type="dxa"/>
          <w:left w:w="28" w:type="dxa"/>
          <w:bottom w:w="28" w:type="dxa"/>
          <w:right w:w="28" w:type="dxa"/>
        </w:tblCellMar>
      </w:tblPr>
      <w:tblGrid>
        <w:gridCol w:w="502"/>
        <w:gridCol w:w="441"/>
        <w:gridCol w:w="442"/>
        <w:gridCol w:w="109"/>
        <w:gridCol w:w="109"/>
        <w:gridCol w:w="109"/>
        <w:gridCol w:w="334"/>
        <w:gridCol w:w="422"/>
        <w:gridCol w:w="163"/>
        <w:gridCol w:w="109"/>
        <w:gridCol w:w="109"/>
        <w:gridCol w:w="109"/>
        <w:gridCol w:w="473"/>
        <w:gridCol w:w="883"/>
        <w:gridCol w:w="229"/>
        <w:gridCol w:w="109"/>
        <w:gridCol w:w="109"/>
        <w:gridCol w:w="109"/>
        <w:gridCol w:w="366"/>
        <w:gridCol w:w="657"/>
        <w:gridCol w:w="178"/>
        <w:gridCol w:w="109"/>
        <w:gridCol w:w="109"/>
        <w:gridCol w:w="109"/>
        <w:gridCol w:w="351"/>
        <w:gridCol w:w="445"/>
        <w:gridCol w:w="172"/>
        <w:gridCol w:w="109"/>
        <w:gridCol w:w="109"/>
        <w:gridCol w:w="109"/>
        <w:gridCol w:w="371"/>
        <w:gridCol w:w="666"/>
        <w:gridCol w:w="180"/>
        <w:gridCol w:w="109"/>
        <w:gridCol w:w="109"/>
        <w:gridCol w:w="109"/>
        <w:gridCol w:w="275"/>
        <w:gridCol w:w="494"/>
        <w:gridCol w:w="199"/>
      </w:tblGrid>
      <w:tr>
        <w:trPr/>
        <w:tc>
          <w:tcPr>
            <w:tcW w:w="502"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10205" w:type="dxa"/>
            <w:gridSpan w:val="39"/>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left"/>
              <w:rPr/>
            </w:pPr>
            <w:r>
              <w:rPr>
                <w:rFonts w:ascii="Allstate Sans;sans-serif" w:hAnsi="Allstate Sans;sans-serif"/>
                <w:b/>
                <w:color w:val="000000"/>
                <w:sz w:val="18"/>
              </w:rPr>
              <w:t xml:space="preserve">Gross and net amounts for OTC derivatives </w:t>
            </w:r>
            <w:r>
              <w:rPr>
                <w:rFonts w:ascii="Allstate Sans;sans-serif" w:hAnsi="Allstate Sans;sans-serif"/>
                <w:b/>
                <w:color w:val="000000"/>
                <w:sz w:val="12"/>
              </w:rPr>
              <w:t>(1)</w:t>
            </w:r>
          </w:p>
        </w:tc>
      </w:tr>
      <w:tr>
        <w:trPr/>
        <w:tc>
          <w:tcPr>
            <w:tcW w:w="138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 in 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Offsets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Gross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Counter-party netting</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Cash collateral (received) pledged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Net amount on balance sheet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Securities collateral (received) pledged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Net amount</w:t>
            </w:r>
          </w:p>
        </w:tc>
      </w:tr>
      <w:tr>
        <w:trPr/>
        <w:tc>
          <w:tcPr>
            <w:tcW w:w="1385"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3"/>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5"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Asset derivatives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422"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9 </w:t>
            </w:r>
          </w:p>
        </w:tc>
        <w:tc>
          <w:tcPr>
            <w:tcW w:w="163"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883"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w:t>
            </w:r>
          </w:p>
        </w:tc>
        <w:tc>
          <w:tcPr>
            <w:tcW w:w="229"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657"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445"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3 </w:t>
            </w:r>
          </w:p>
        </w:tc>
        <w:tc>
          <w:tcPr>
            <w:tcW w:w="172"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666"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w:t>
            </w:r>
          </w:p>
        </w:tc>
        <w:tc>
          <w:tcPr>
            <w:tcW w:w="180"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494"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5"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Liability derivatives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w:t>
            </w:r>
          </w:p>
        </w:tc>
        <w:tc>
          <w:tcPr>
            <w:tcW w:w="163"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6 </w:t>
            </w:r>
          </w:p>
        </w:tc>
        <w:tc>
          <w:tcPr>
            <w:tcW w:w="229"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w:t>
            </w:r>
          </w:p>
        </w:tc>
        <w:tc>
          <w:tcPr>
            <w:tcW w:w="172"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w:t>
            </w:r>
          </w:p>
        </w:tc>
        <w:tc>
          <w:tcPr>
            <w:tcW w:w="199"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5" w:type="dxa"/>
            <w:gridSpan w:val="3"/>
            <w:tcBorders>
              <w:top w:val="single" w:sz="4"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4"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3"/>
            <w:tcBorders>
              <w:top w:val="single" w:sz="4"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4"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4"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4"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4"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5"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3"/>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5"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Asset derivatives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422"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2 </w:t>
            </w:r>
          </w:p>
        </w:tc>
        <w:tc>
          <w:tcPr>
            <w:tcW w:w="163"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883"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(16)</w:t>
            </w:r>
          </w:p>
        </w:tc>
        <w:tc>
          <w:tcPr>
            <w:tcW w:w="229"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657"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15 </w:t>
            </w:r>
          </w:p>
        </w:tc>
        <w:tc>
          <w:tcPr>
            <w:tcW w:w="178"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445"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1 </w:t>
            </w:r>
          </w:p>
        </w:tc>
        <w:tc>
          <w:tcPr>
            <w:tcW w:w="172"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666"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494"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1 </w:t>
            </w:r>
          </w:p>
        </w:tc>
        <w:tc>
          <w:tcPr>
            <w:tcW w:w="199"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5" w:type="dxa"/>
            <w:gridSpan w:val="3"/>
            <w:tcBorders>
              <w:top w:val="single" w:sz="4" w:space="0" w:color="ACACAC"/>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Liability derivatives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op w:val="single" w:sz="4" w:space="0" w:color="ACACAC"/>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(20)</w:t>
            </w:r>
          </w:p>
        </w:tc>
        <w:tc>
          <w:tcPr>
            <w:tcW w:w="163" w:type="dxa"/>
            <w:tcBorders>
              <w:top w:val="single" w:sz="4" w:space="0" w:color="ACACAC"/>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top w:val="single" w:sz="4" w:space="0" w:color="ACACAC"/>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16 </w:t>
            </w:r>
          </w:p>
        </w:tc>
        <w:tc>
          <w:tcPr>
            <w:tcW w:w="229" w:type="dxa"/>
            <w:tcBorders>
              <w:top w:val="single" w:sz="4" w:space="0" w:color="ACACAC"/>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op w:val="single" w:sz="4" w:space="0" w:color="ACACAC"/>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3 </w:t>
            </w:r>
          </w:p>
        </w:tc>
        <w:tc>
          <w:tcPr>
            <w:tcW w:w="178" w:type="dxa"/>
            <w:tcBorders>
              <w:top w:val="single" w:sz="4" w:space="0" w:color="ACACAC"/>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4" w:space="0" w:color="ACACAC"/>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w:t>
            </w:r>
          </w:p>
        </w:tc>
        <w:tc>
          <w:tcPr>
            <w:tcW w:w="172" w:type="dxa"/>
            <w:tcBorders>
              <w:top w:val="single" w:sz="4" w:space="0" w:color="ACACAC"/>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ACACAC"/>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top w:val="single" w:sz="4" w:space="0" w:color="ACACAC"/>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top w:val="single" w:sz="4" w:space="0" w:color="ACACAC"/>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w:t>
            </w:r>
          </w:p>
        </w:tc>
        <w:tc>
          <w:tcPr>
            <w:tcW w:w="199" w:type="dxa"/>
            <w:tcBorders>
              <w:top w:val="single" w:sz="4" w:space="0" w:color="ACACAC"/>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180"/>
        <w:jc w:val="left"/>
        <w:rPr/>
      </w:pPr>
      <w:r>
        <w:rPr>
          <w:rFonts w:ascii="Allstate Sans;sans-serif" w:hAnsi="Allstate Sans;sans-serif"/>
          <w:b w:val="false"/>
          <w:color w:val="000000"/>
          <w:sz w:val="10"/>
        </w:rPr>
        <w:t>(1)</w:t>
      </w:r>
      <w:r>
        <w:rPr>
          <w:rFonts w:ascii="Allstate Sans;sans-serif" w:hAnsi="Allstate Sans;sans-serif"/>
          <w:b w:val="false"/>
          <w:color w:val="000000"/>
          <w:sz w:val="16"/>
        </w:rPr>
        <w:t>All OTC derivatives are subject to enforceable MNAs.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33" name="Frame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120"/>
                              <w:jc w:val="left"/>
                              <w:rPr/>
                            </w:pPr>
                            <w:r>
                              <w:rPr>
                                <w:rFonts w:ascii="Allstate Sans;sans-serif" w:hAnsi="Allstate Sans;sans-serif"/>
                                <w:b w:val="false"/>
                                <w:color w:val="0033A0"/>
                                <w:sz w:val="18"/>
                              </w:rPr>
                              <w:t>30</w:t>
                            </w:r>
                            <w:r>
                              <w:rPr>
                                <w:color w:val="1666AF"/>
                              </w:rPr>
                              <w:t xml:space="preserve"> </w:t>
                            </w:r>
                            <w:r>
                              <w:rPr>
                                <w:rFonts w:ascii="Allstate Sans;sans-serif" w:hAnsi="Allstate Sans;sans-serif"/>
                                <w:b w:val="false"/>
                                <w:color w:val="000000"/>
                                <w:sz w:val="18"/>
                              </w:rPr>
                              <w:t>www.allstate.com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left"/>
                        <w:rPr/>
                      </w:pPr>
                      <w:r>
                        <w:rPr>
                          <w:rFonts w:ascii="Allstate Sans;sans-serif" w:hAnsi="Allstate Sans;sans-serif"/>
                          <w:b w:val="false"/>
                          <w:color w:val="0033A0"/>
                          <w:sz w:val="18"/>
                        </w:rPr>
                        <w:t>30</w:t>
                      </w:r>
                      <w:r>
                        <w:rPr>
                          <w:color w:val="1666AF"/>
                        </w:rPr>
                        <w:t xml:space="preserve"> </w:t>
                      </w:r>
                      <w:r>
                        <w:rPr>
                          <w:rFonts w:ascii="Allstate Sans;sans-serif" w:hAnsi="Allstate Sans;sans-serif"/>
                          <w:b w:val="false"/>
                          <w:color w:val="000000"/>
                          <w:sz w:val="18"/>
                        </w:rPr>
                        <w:t>www.allstate.com</w:t>
                      </w:r>
                    </w:p>
                  </w:txbxContent>
                </v:textbox>
                <w10:wrap type="none"/>
              </v:rect>
            </w:pict>
          </mc:Fallback>
        </mc:AlternateContent>
      </w:r>
    </w:p>
    <w:p>
      <w:pPr>
        <w:pStyle w:val="TextBody"/>
        <w:bidi w:val="0"/>
        <w:spacing w:lineRule="auto" w:line="288" w:before="0" w:after="0"/>
        <w:jc w:val="right"/>
        <w:rPr>
          <w:rFonts w:ascii="Allstate Sans;sans-serif" w:hAnsi="Allstate Sans;sans-serif"/>
          <w:b w:val="false"/>
          <w:color w:val="0033A0"/>
          <w:sz w:val="18"/>
        </w:rPr>
      </w:pPr>
      <w:r>
        <w:rPr>
          <w:rFonts w:ascii="Allstate Sans;sans-serif" w:hAnsi="Allstate Sans;sans-serif"/>
          <w:b w:val="false"/>
          <w:color w:val="0033A0"/>
          <w:sz w:val="18"/>
        </w:rPr>
        <w:t>Notes to Condensed Consolidated Financial Statements</w:t>
      </w:r>
    </w:p>
    <w:p>
      <w:pPr>
        <w:pStyle w:val="TextBody"/>
        <w:bidi w:val="0"/>
        <w:spacing w:before="0" w:after="120"/>
        <w:ind w:left="0" w:right="0" w:firstLine="360"/>
        <w:jc w:val="left"/>
        <w:rPr/>
      </w:pPr>
      <w:r>
        <w:rPr/>
      </w:r>
    </w:p>
    <w:tbl>
      <w:tblPr>
        <w:tblW w:w="10205" w:type="dxa"/>
        <w:jc w:val="left"/>
        <w:tblInd w:w="0" w:type="dxa"/>
        <w:tblLayout w:type="fixed"/>
        <w:tblCellMar>
          <w:top w:w="28" w:type="dxa"/>
          <w:left w:w="28" w:type="dxa"/>
          <w:bottom w:w="28" w:type="dxa"/>
          <w:right w:w="28" w:type="dxa"/>
        </w:tblCellMar>
      </w:tblPr>
      <w:tblGrid>
        <w:gridCol w:w="967"/>
        <w:gridCol w:w="581"/>
        <w:gridCol w:w="585"/>
        <w:gridCol w:w="144"/>
        <w:gridCol w:w="144"/>
        <w:gridCol w:w="144"/>
        <w:gridCol w:w="733"/>
        <w:gridCol w:w="1435"/>
        <w:gridCol w:w="286"/>
        <w:gridCol w:w="144"/>
        <w:gridCol w:w="144"/>
        <w:gridCol w:w="144"/>
        <w:gridCol w:w="593"/>
        <w:gridCol w:w="859"/>
        <w:gridCol w:w="218"/>
        <w:gridCol w:w="144"/>
        <w:gridCol w:w="144"/>
        <w:gridCol w:w="144"/>
        <w:gridCol w:w="772"/>
        <w:gridCol w:w="1442"/>
        <w:gridCol w:w="438"/>
      </w:tblGrid>
      <w:tr>
        <w:trPr/>
        <w:tc>
          <w:tcPr>
            <w:tcW w:w="967"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r>
      <w:tr>
        <w:trPr/>
        <w:tc>
          <w:tcPr>
            <w:tcW w:w="10205" w:type="dxa"/>
            <w:gridSpan w:val="21"/>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left"/>
              <w:rPr>
                <w:rFonts w:ascii="Allstate Sans;sans-serif" w:hAnsi="Allstate Sans;sans-serif"/>
                <w:b/>
                <w:color w:val="000000"/>
                <w:sz w:val="18"/>
              </w:rPr>
            </w:pPr>
            <w:r>
              <w:rPr>
                <w:rFonts w:ascii="Allstate Sans;sans-serif" w:hAnsi="Allstate Sans;sans-serif"/>
                <w:b/>
                <w:color w:val="000000"/>
                <w:sz w:val="18"/>
              </w:rPr>
              <w:t>Gains (losses) from valuation and settlements reported on derivatives</w:t>
            </w:r>
          </w:p>
        </w:tc>
      </w:tr>
      <w:tr>
        <w:trPr/>
        <w:tc>
          <w:tcPr>
            <w:tcW w:w="2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 in millions)</w:t>
            </w:r>
          </w:p>
        </w:tc>
        <w:tc>
          <w:tcPr>
            <w:tcW w:w="4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Net gains (losses) on investments and derivatives</w:t>
            </w:r>
          </w:p>
        </w:tc>
        <w:tc>
          <w:tcPr>
            <w:tcW w:w="4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Operating costs and expenses</w:t>
            </w:r>
          </w:p>
        </w:tc>
        <w:tc>
          <w:tcPr>
            <w:tcW w:w="4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Total gain (loss) recognized in net income on derivatives</w:t>
            </w:r>
          </w:p>
        </w:tc>
      </w:tr>
      <w:tr>
        <w:trPr/>
        <w:tc>
          <w:tcPr>
            <w:tcW w:w="2133"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Three months ended June 30, 2026</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3"/>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2" w:type="dxa"/>
            <w:gridSpan w:val="3"/>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3"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Interest rate contracts</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1435"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(33)</w:t>
            </w:r>
          </w:p>
        </w:tc>
        <w:tc>
          <w:tcPr>
            <w:tcW w:w="286"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859"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1442"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(33)</w:t>
            </w:r>
          </w:p>
        </w:tc>
        <w:tc>
          <w:tcPr>
            <w:tcW w:w="438"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3"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Equity and index contracts</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8"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1 </w:t>
            </w:r>
          </w:p>
        </w:tc>
        <w:tc>
          <w:tcPr>
            <w:tcW w:w="286"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31 </w:t>
            </w:r>
          </w:p>
        </w:tc>
        <w:tc>
          <w:tcPr>
            <w:tcW w:w="218"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4"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32 </w:t>
            </w:r>
          </w:p>
        </w:tc>
        <w:tc>
          <w:tcPr>
            <w:tcW w:w="438"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3"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Contingent consideration</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8"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2 </w:t>
            </w:r>
          </w:p>
        </w:tc>
        <w:tc>
          <w:tcPr>
            <w:tcW w:w="21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4"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2 </w:t>
            </w:r>
          </w:p>
        </w:tc>
        <w:tc>
          <w:tcPr>
            <w:tcW w:w="438"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3"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2454"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2652" w:type="dxa"/>
            <w:gridSpan w:val="3"/>
            <w:tcBorders/>
            <w:vAlign w:val="center"/>
          </w:tcPr>
          <w:p>
            <w:pPr>
              <w:pStyle w:val="TableContents"/>
              <w:bidi w:val="0"/>
              <w:spacing w:before="0" w:after="283"/>
              <w:jc w:val="left"/>
              <w:rPr>
                <w:sz w:val="4"/>
                <w:szCs w:val="4"/>
              </w:rPr>
            </w:pPr>
            <w:r>
              <w:rPr>
                <w:sz w:val="4"/>
                <w:szCs w:val="4"/>
              </w:rPr>
            </w:r>
          </w:p>
        </w:tc>
      </w:tr>
      <w:tr>
        <w:trPr/>
        <w:tc>
          <w:tcPr>
            <w:tcW w:w="2133"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Foreign currency contracts</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8"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1 </w:t>
            </w:r>
          </w:p>
        </w:tc>
        <w:tc>
          <w:tcPr>
            <w:tcW w:w="286"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4"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1 </w:t>
            </w:r>
          </w:p>
        </w:tc>
        <w:tc>
          <w:tcPr>
            <w:tcW w:w="438"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3"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Credit default contracts</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8"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5 </w:t>
            </w:r>
          </w:p>
        </w:tc>
        <w:tc>
          <w:tcPr>
            <w:tcW w:w="286"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4"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5 </w:t>
            </w:r>
          </w:p>
        </w:tc>
        <w:tc>
          <w:tcPr>
            <w:tcW w:w="438"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3"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2454"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2652" w:type="dxa"/>
            <w:gridSpan w:val="3"/>
            <w:tcBorders/>
            <w:vAlign w:val="center"/>
          </w:tcPr>
          <w:p>
            <w:pPr>
              <w:pStyle w:val="TableContents"/>
              <w:bidi w:val="0"/>
              <w:spacing w:before="0" w:after="283"/>
              <w:jc w:val="left"/>
              <w:rPr>
                <w:sz w:val="4"/>
                <w:szCs w:val="4"/>
              </w:rPr>
            </w:pPr>
            <w:r>
              <w:rPr>
                <w:sz w:val="4"/>
                <w:szCs w:val="4"/>
              </w:rPr>
            </w:r>
          </w:p>
        </w:tc>
      </w:tr>
      <w:tr>
        <w:trPr/>
        <w:tc>
          <w:tcPr>
            <w:tcW w:w="2133"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2454"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2652" w:type="dxa"/>
            <w:gridSpan w:val="3"/>
            <w:tcBorders/>
            <w:vAlign w:val="center"/>
          </w:tcPr>
          <w:p>
            <w:pPr>
              <w:pStyle w:val="TableContents"/>
              <w:bidi w:val="0"/>
              <w:spacing w:before="0" w:after="283"/>
              <w:jc w:val="left"/>
              <w:rPr>
                <w:sz w:val="4"/>
                <w:szCs w:val="4"/>
              </w:rPr>
            </w:pPr>
            <w:r>
              <w:rPr>
                <w:sz w:val="4"/>
                <w:szCs w:val="4"/>
              </w:rPr>
            </w:r>
          </w:p>
        </w:tc>
      </w:tr>
      <w:tr>
        <w:trPr/>
        <w:tc>
          <w:tcPr>
            <w:tcW w:w="2133"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2454"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2652" w:type="dxa"/>
            <w:gridSpan w:val="3"/>
            <w:tcBorders/>
            <w:vAlign w:val="center"/>
          </w:tcPr>
          <w:p>
            <w:pPr>
              <w:pStyle w:val="TableContents"/>
              <w:bidi w:val="0"/>
              <w:spacing w:before="0" w:after="283"/>
              <w:jc w:val="left"/>
              <w:rPr>
                <w:sz w:val="4"/>
                <w:szCs w:val="4"/>
              </w:rPr>
            </w:pPr>
            <w:r>
              <w:rPr>
                <w:sz w:val="4"/>
                <w:szCs w:val="4"/>
              </w:rPr>
            </w:r>
          </w:p>
        </w:tc>
      </w:tr>
      <w:tr>
        <w:trPr/>
        <w:tc>
          <w:tcPr>
            <w:tcW w:w="2133"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1435"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(26)</w:t>
            </w:r>
          </w:p>
        </w:tc>
        <w:tc>
          <w:tcPr>
            <w:tcW w:w="28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859"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33</w:t>
            </w:r>
            <w:r>
              <w:rPr>
                <w:color w:val="000000"/>
              </w:rPr>
              <w:t> </w:t>
            </w:r>
          </w:p>
        </w:tc>
        <w:tc>
          <w:tcPr>
            <w:tcW w:w="21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1442"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7</w:t>
            </w:r>
            <w:r>
              <w:rPr>
                <w:color w:val="000000"/>
              </w:rPr>
              <w:t> </w:t>
            </w:r>
          </w:p>
        </w:tc>
        <w:tc>
          <w:tcPr>
            <w:tcW w:w="43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3"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2"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3"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Six months ended June 30, 2026</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3"/>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2" w:type="dxa"/>
            <w:gridSpan w:val="3"/>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3"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Interest rate contracts</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1435"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(46)</w:t>
            </w:r>
          </w:p>
        </w:tc>
        <w:tc>
          <w:tcPr>
            <w:tcW w:w="28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859"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1442"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(46)</w:t>
            </w:r>
          </w:p>
        </w:tc>
        <w:tc>
          <w:tcPr>
            <w:tcW w:w="43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3"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Equity and index contracts</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1 </w:t>
            </w:r>
          </w:p>
        </w:tc>
        <w:tc>
          <w:tcPr>
            <w:tcW w:w="28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23 </w:t>
            </w:r>
          </w:p>
        </w:tc>
        <w:tc>
          <w:tcPr>
            <w:tcW w:w="21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4"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24 </w:t>
            </w:r>
          </w:p>
        </w:tc>
        <w:tc>
          <w:tcPr>
            <w:tcW w:w="43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3"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Contingent consideration</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8 </w:t>
            </w:r>
          </w:p>
        </w:tc>
        <w:tc>
          <w:tcPr>
            <w:tcW w:w="21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4"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8 </w:t>
            </w:r>
          </w:p>
        </w:tc>
        <w:tc>
          <w:tcPr>
            <w:tcW w:w="43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3"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2454"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2652" w:type="dxa"/>
            <w:gridSpan w:val="3"/>
            <w:tcBorders/>
            <w:vAlign w:val="center"/>
          </w:tcPr>
          <w:p>
            <w:pPr>
              <w:pStyle w:val="TableContents"/>
              <w:bidi w:val="0"/>
              <w:spacing w:before="0" w:after="283"/>
              <w:jc w:val="left"/>
              <w:rPr>
                <w:sz w:val="4"/>
                <w:szCs w:val="4"/>
              </w:rPr>
            </w:pPr>
            <w:r>
              <w:rPr>
                <w:sz w:val="4"/>
                <w:szCs w:val="4"/>
              </w:rPr>
            </w:r>
          </w:p>
        </w:tc>
      </w:tr>
      <w:tr>
        <w:trPr/>
        <w:tc>
          <w:tcPr>
            <w:tcW w:w="2133"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Foreign currency contracts</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11 </w:t>
            </w:r>
          </w:p>
        </w:tc>
        <w:tc>
          <w:tcPr>
            <w:tcW w:w="28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4"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11 </w:t>
            </w:r>
          </w:p>
        </w:tc>
        <w:tc>
          <w:tcPr>
            <w:tcW w:w="43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3"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Credit default contracts</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2 </w:t>
            </w:r>
          </w:p>
        </w:tc>
        <w:tc>
          <w:tcPr>
            <w:tcW w:w="28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4"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2 </w:t>
            </w:r>
          </w:p>
        </w:tc>
        <w:tc>
          <w:tcPr>
            <w:tcW w:w="43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3"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2454"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2652" w:type="dxa"/>
            <w:gridSpan w:val="3"/>
            <w:tcBorders/>
            <w:vAlign w:val="center"/>
          </w:tcPr>
          <w:p>
            <w:pPr>
              <w:pStyle w:val="TableContents"/>
              <w:bidi w:val="0"/>
              <w:spacing w:before="0" w:after="283"/>
              <w:jc w:val="left"/>
              <w:rPr>
                <w:sz w:val="4"/>
                <w:szCs w:val="4"/>
              </w:rPr>
            </w:pPr>
            <w:r>
              <w:rPr>
                <w:sz w:val="4"/>
                <w:szCs w:val="4"/>
              </w:rPr>
            </w:r>
          </w:p>
        </w:tc>
      </w:tr>
      <w:tr>
        <w:trPr/>
        <w:tc>
          <w:tcPr>
            <w:tcW w:w="2133"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2454"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2652" w:type="dxa"/>
            <w:gridSpan w:val="3"/>
            <w:tcBorders/>
            <w:vAlign w:val="center"/>
          </w:tcPr>
          <w:p>
            <w:pPr>
              <w:pStyle w:val="TableContents"/>
              <w:bidi w:val="0"/>
              <w:spacing w:before="0" w:after="283"/>
              <w:jc w:val="left"/>
              <w:rPr>
                <w:sz w:val="4"/>
                <w:szCs w:val="4"/>
              </w:rPr>
            </w:pPr>
            <w:r>
              <w:rPr>
                <w:sz w:val="4"/>
                <w:szCs w:val="4"/>
              </w:rPr>
            </w:r>
          </w:p>
        </w:tc>
      </w:tr>
      <w:tr>
        <w:trPr/>
        <w:tc>
          <w:tcPr>
            <w:tcW w:w="2133"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2454"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2652" w:type="dxa"/>
            <w:gridSpan w:val="3"/>
            <w:tcBorders/>
            <w:vAlign w:val="center"/>
          </w:tcPr>
          <w:p>
            <w:pPr>
              <w:pStyle w:val="TableContents"/>
              <w:bidi w:val="0"/>
              <w:spacing w:before="0" w:after="283"/>
              <w:jc w:val="left"/>
              <w:rPr>
                <w:sz w:val="4"/>
                <w:szCs w:val="4"/>
              </w:rPr>
            </w:pPr>
            <w:r>
              <w:rPr>
                <w:sz w:val="4"/>
                <w:szCs w:val="4"/>
              </w:rPr>
            </w:r>
          </w:p>
        </w:tc>
      </w:tr>
      <w:tr>
        <w:trPr/>
        <w:tc>
          <w:tcPr>
            <w:tcW w:w="2133"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1435"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(32)</w:t>
            </w:r>
          </w:p>
        </w:tc>
        <w:tc>
          <w:tcPr>
            <w:tcW w:w="28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859"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31</w:t>
            </w:r>
            <w:r>
              <w:rPr>
                <w:color w:val="000000"/>
              </w:rPr>
              <w:t> </w:t>
            </w:r>
          </w:p>
        </w:tc>
        <w:tc>
          <w:tcPr>
            <w:tcW w:w="21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1442"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(1)</w:t>
            </w:r>
          </w:p>
        </w:tc>
        <w:tc>
          <w:tcPr>
            <w:tcW w:w="43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3"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2"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3"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Three months ended June 30, 2025</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2"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3"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Interest rate contracts</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1435"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(9)</w:t>
            </w:r>
          </w:p>
        </w:tc>
        <w:tc>
          <w:tcPr>
            <w:tcW w:w="28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859"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1442"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(9)</w:t>
            </w:r>
          </w:p>
        </w:tc>
        <w:tc>
          <w:tcPr>
            <w:tcW w:w="43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3"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Equity and index contracts</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w:t>
            </w:r>
          </w:p>
        </w:tc>
        <w:tc>
          <w:tcPr>
            <w:tcW w:w="28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17 </w:t>
            </w:r>
          </w:p>
        </w:tc>
        <w:tc>
          <w:tcPr>
            <w:tcW w:w="21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4"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9 </w:t>
            </w:r>
          </w:p>
        </w:tc>
        <w:tc>
          <w:tcPr>
            <w:tcW w:w="43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3"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Contingent consideration</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3 </w:t>
            </w:r>
          </w:p>
        </w:tc>
        <w:tc>
          <w:tcPr>
            <w:tcW w:w="21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4"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3 </w:t>
            </w:r>
          </w:p>
        </w:tc>
        <w:tc>
          <w:tcPr>
            <w:tcW w:w="43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3"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2454"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2652" w:type="dxa"/>
            <w:gridSpan w:val="3"/>
            <w:tcBorders/>
            <w:vAlign w:val="center"/>
          </w:tcPr>
          <w:p>
            <w:pPr>
              <w:pStyle w:val="TableContents"/>
              <w:bidi w:val="0"/>
              <w:spacing w:before="0" w:after="283"/>
              <w:jc w:val="left"/>
              <w:rPr>
                <w:sz w:val="4"/>
                <w:szCs w:val="4"/>
              </w:rPr>
            </w:pPr>
            <w:r>
              <w:rPr>
                <w:sz w:val="4"/>
                <w:szCs w:val="4"/>
              </w:rPr>
            </w:r>
          </w:p>
        </w:tc>
      </w:tr>
      <w:tr>
        <w:trPr/>
        <w:tc>
          <w:tcPr>
            <w:tcW w:w="2133"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Foreign currency contracts</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(38)</w:t>
            </w:r>
          </w:p>
        </w:tc>
        <w:tc>
          <w:tcPr>
            <w:tcW w:w="28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4"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(38)</w:t>
            </w:r>
          </w:p>
        </w:tc>
        <w:tc>
          <w:tcPr>
            <w:tcW w:w="43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3"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Credit default contracts</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(10)</w:t>
            </w:r>
          </w:p>
        </w:tc>
        <w:tc>
          <w:tcPr>
            <w:tcW w:w="28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4"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(10)</w:t>
            </w:r>
          </w:p>
        </w:tc>
        <w:tc>
          <w:tcPr>
            <w:tcW w:w="43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3"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2454"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2652" w:type="dxa"/>
            <w:gridSpan w:val="3"/>
            <w:tcBorders/>
            <w:vAlign w:val="center"/>
          </w:tcPr>
          <w:p>
            <w:pPr>
              <w:pStyle w:val="TableContents"/>
              <w:bidi w:val="0"/>
              <w:spacing w:before="0" w:after="283"/>
              <w:jc w:val="left"/>
              <w:rPr>
                <w:sz w:val="4"/>
                <w:szCs w:val="4"/>
              </w:rPr>
            </w:pPr>
            <w:r>
              <w:rPr>
                <w:sz w:val="4"/>
                <w:szCs w:val="4"/>
              </w:rPr>
            </w:r>
          </w:p>
        </w:tc>
      </w:tr>
      <w:tr>
        <w:trPr/>
        <w:tc>
          <w:tcPr>
            <w:tcW w:w="2133"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2454"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2652" w:type="dxa"/>
            <w:gridSpan w:val="3"/>
            <w:tcBorders/>
            <w:vAlign w:val="center"/>
          </w:tcPr>
          <w:p>
            <w:pPr>
              <w:pStyle w:val="TableContents"/>
              <w:bidi w:val="0"/>
              <w:spacing w:before="0" w:after="283"/>
              <w:jc w:val="left"/>
              <w:rPr>
                <w:sz w:val="4"/>
                <w:szCs w:val="4"/>
              </w:rPr>
            </w:pPr>
            <w:r>
              <w:rPr>
                <w:sz w:val="4"/>
                <w:szCs w:val="4"/>
              </w:rPr>
            </w:r>
          </w:p>
        </w:tc>
      </w:tr>
      <w:tr>
        <w:trPr/>
        <w:tc>
          <w:tcPr>
            <w:tcW w:w="2133"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2454"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2652" w:type="dxa"/>
            <w:gridSpan w:val="3"/>
            <w:tcBorders/>
            <w:vAlign w:val="center"/>
          </w:tcPr>
          <w:p>
            <w:pPr>
              <w:pStyle w:val="TableContents"/>
              <w:bidi w:val="0"/>
              <w:spacing w:before="0" w:after="283"/>
              <w:jc w:val="left"/>
              <w:rPr>
                <w:sz w:val="4"/>
                <w:szCs w:val="4"/>
              </w:rPr>
            </w:pPr>
            <w:r>
              <w:rPr>
                <w:sz w:val="4"/>
                <w:szCs w:val="4"/>
              </w:rPr>
            </w:r>
          </w:p>
        </w:tc>
      </w:tr>
      <w:tr>
        <w:trPr/>
        <w:tc>
          <w:tcPr>
            <w:tcW w:w="2133"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1435"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(65)</w:t>
            </w:r>
          </w:p>
        </w:tc>
        <w:tc>
          <w:tcPr>
            <w:tcW w:w="28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859"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20</w:t>
            </w:r>
            <w:r>
              <w:rPr>
                <w:color w:val="000000"/>
              </w:rPr>
              <w:t> </w:t>
            </w:r>
          </w:p>
        </w:tc>
        <w:tc>
          <w:tcPr>
            <w:tcW w:w="21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1442"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(45)</w:t>
            </w:r>
          </w:p>
        </w:tc>
        <w:tc>
          <w:tcPr>
            <w:tcW w:w="43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3"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2"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3"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Six months ended June 30, 2025</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2"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3"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Interest rate contracts</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1435"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(10)</w:t>
            </w:r>
          </w:p>
        </w:tc>
        <w:tc>
          <w:tcPr>
            <w:tcW w:w="28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859"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1442"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(10)</w:t>
            </w:r>
          </w:p>
        </w:tc>
        <w:tc>
          <w:tcPr>
            <w:tcW w:w="43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3"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Equity and index contracts</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w:t>
            </w:r>
          </w:p>
        </w:tc>
        <w:tc>
          <w:tcPr>
            <w:tcW w:w="28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6 </w:t>
            </w:r>
          </w:p>
        </w:tc>
        <w:tc>
          <w:tcPr>
            <w:tcW w:w="21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4"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w:t>
            </w:r>
          </w:p>
        </w:tc>
        <w:tc>
          <w:tcPr>
            <w:tcW w:w="43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3"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Contingent consideration</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3 </w:t>
            </w:r>
          </w:p>
        </w:tc>
        <w:tc>
          <w:tcPr>
            <w:tcW w:w="21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4"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3 </w:t>
            </w:r>
          </w:p>
        </w:tc>
        <w:tc>
          <w:tcPr>
            <w:tcW w:w="43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3"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2454"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2652" w:type="dxa"/>
            <w:gridSpan w:val="3"/>
            <w:tcBorders/>
            <w:vAlign w:val="center"/>
          </w:tcPr>
          <w:p>
            <w:pPr>
              <w:pStyle w:val="TableContents"/>
              <w:bidi w:val="0"/>
              <w:spacing w:before="0" w:after="283"/>
              <w:jc w:val="left"/>
              <w:rPr>
                <w:sz w:val="4"/>
                <w:szCs w:val="4"/>
              </w:rPr>
            </w:pPr>
            <w:r>
              <w:rPr>
                <w:sz w:val="4"/>
                <w:szCs w:val="4"/>
              </w:rPr>
            </w:r>
          </w:p>
        </w:tc>
      </w:tr>
      <w:tr>
        <w:trPr/>
        <w:tc>
          <w:tcPr>
            <w:tcW w:w="2133"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Foreign currency contracts</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(56)</w:t>
            </w:r>
          </w:p>
        </w:tc>
        <w:tc>
          <w:tcPr>
            <w:tcW w:w="28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4"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(56)</w:t>
            </w:r>
          </w:p>
        </w:tc>
        <w:tc>
          <w:tcPr>
            <w:tcW w:w="43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3"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Credit default contracts</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(10)</w:t>
            </w:r>
          </w:p>
        </w:tc>
        <w:tc>
          <w:tcPr>
            <w:tcW w:w="28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4"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(10)</w:t>
            </w:r>
          </w:p>
        </w:tc>
        <w:tc>
          <w:tcPr>
            <w:tcW w:w="43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3"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2454"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2652" w:type="dxa"/>
            <w:gridSpan w:val="3"/>
            <w:tcBorders/>
            <w:vAlign w:val="center"/>
          </w:tcPr>
          <w:p>
            <w:pPr>
              <w:pStyle w:val="TableContents"/>
              <w:bidi w:val="0"/>
              <w:spacing w:before="0" w:after="283"/>
              <w:jc w:val="left"/>
              <w:rPr>
                <w:sz w:val="4"/>
                <w:szCs w:val="4"/>
              </w:rPr>
            </w:pPr>
            <w:r>
              <w:rPr>
                <w:sz w:val="4"/>
                <w:szCs w:val="4"/>
              </w:rPr>
            </w:r>
          </w:p>
        </w:tc>
      </w:tr>
      <w:tr>
        <w:trPr/>
        <w:tc>
          <w:tcPr>
            <w:tcW w:w="2133"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2454"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2652" w:type="dxa"/>
            <w:gridSpan w:val="3"/>
            <w:tcBorders/>
            <w:vAlign w:val="center"/>
          </w:tcPr>
          <w:p>
            <w:pPr>
              <w:pStyle w:val="TableContents"/>
              <w:bidi w:val="0"/>
              <w:spacing w:before="0" w:after="283"/>
              <w:jc w:val="left"/>
              <w:rPr>
                <w:sz w:val="4"/>
                <w:szCs w:val="4"/>
              </w:rPr>
            </w:pPr>
            <w:r>
              <w:rPr>
                <w:sz w:val="4"/>
                <w:szCs w:val="4"/>
              </w:rPr>
            </w:r>
          </w:p>
        </w:tc>
      </w:tr>
      <w:tr>
        <w:trPr/>
        <w:tc>
          <w:tcPr>
            <w:tcW w:w="2133"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2454"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2652" w:type="dxa"/>
            <w:gridSpan w:val="3"/>
            <w:tcBorders/>
            <w:vAlign w:val="center"/>
          </w:tcPr>
          <w:p>
            <w:pPr>
              <w:pStyle w:val="TableContents"/>
              <w:bidi w:val="0"/>
              <w:spacing w:before="0" w:after="283"/>
              <w:jc w:val="left"/>
              <w:rPr>
                <w:sz w:val="4"/>
                <w:szCs w:val="4"/>
              </w:rPr>
            </w:pPr>
            <w:r>
              <w:rPr>
                <w:sz w:val="4"/>
                <w:szCs w:val="4"/>
              </w:rPr>
            </w:r>
          </w:p>
        </w:tc>
      </w:tr>
      <w:tr>
        <w:trPr/>
        <w:tc>
          <w:tcPr>
            <w:tcW w:w="2133" w:type="dxa"/>
            <w:gridSpan w:val="3"/>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1435"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(84)</w:t>
            </w:r>
          </w:p>
        </w:tc>
        <w:tc>
          <w:tcPr>
            <w:tcW w:w="28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859"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9</w:t>
            </w:r>
            <w:r>
              <w:rPr>
                <w:color w:val="000000"/>
              </w:rPr>
              <w:t> </w:t>
            </w:r>
          </w:p>
        </w:tc>
        <w:tc>
          <w:tcPr>
            <w:tcW w:w="218"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1442"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(75)</w:t>
            </w:r>
          </w:p>
        </w:tc>
        <w:tc>
          <w:tcPr>
            <w:tcW w:w="438"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 xml:space="preserve">The Company manages its exposure to credit risk by utilizing highly rated counterparties, establishing risk control limits, executing legally enforceable MNAs and obtaining collateral where appropriate. The Company uses MNAs for OTC derivative transactions that permit either party to net payments due for transactions and collateral is either pledged or obtained when certain predetermined exposure limits are exceeded. </w:t>
      </w:r>
    </w:p>
    <w:tbl>
      <w:tblPr>
        <w:tblW w:w="5909" w:type="dxa"/>
        <w:jc w:val="left"/>
        <w:tblInd w:w="0" w:type="dxa"/>
        <w:tblLayout w:type="fixed"/>
        <w:tblCellMar>
          <w:top w:w="28" w:type="dxa"/>
          <w:left w:w="28" w:type="dxa"/>
          <w:bottom w:w="28" w:type="dxa"/>
          <w:right w:w="28" w:type="dxa"/>
        </w:tblCellMar>
      </w:tblPr>
      <w:tblGrid>
        <w:gridCol w:w="930"/>
        <w:gridCol w:w="817"/>
        <w:gridCol w:w="817"/>
        <w:gridCol w:w="367"/>
        <w:gridCol w:w="367"/>
        <w:gridCol w:w="367"/>
        <w:gridCol w:w="761"/>
        <w:gridCol w:w="964"/>
        <w:gridCol w:w="519"/>
      </w:tblGrid>
      <w:tr>
        <w:trPr/>
        <w:tc>
          <w:tcPr>
            <w:tcW w:w="930"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r>
      <w:tr>
        <w:trPr/>
        <w:tc>
          <w:tcPr>
            <w:tcW w:w="5909"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120"/>
              <w:jc w:val="left"/>
              <w:rPr>
                <w:rFonts w:ascii="Allstate Sans;sans-serif" w:hAnsi="Allstate Sans;sans-serif"/>
                <w:b/>
                <w:color w:val="000000"/>
                <w:sz w:val="18"/>
              </w:rPr>
            </w:pPr>
            <w:r>
              <w:rPr>
                <w:rFonts w:ascii="Allstate Sans;sans-serif" w:hAnsi="Allstate Sans;sans-serif"/>
                <w:b/>
                <w:color w:val="000000"/>
                <w:sz w:val="18"/>
              </w:rPr>
              <w:t>OTC cash and securities collateral pledged</w:t>
            </w:r>
          </w:p>
        </w:tc>
      </w:tr>
      <w:tr>
        <w:trPr/>
        <w:tc>
          <w:tcPr>
            <w:tcW w:w="25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 in millions)</w:t>
            </w:r>
          </w:p>
        </w:tc>
        <w:tc>
          <w:tcPr>
            <w:tcW w:w="11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June 30, 2026</w:t>
            </w:r>
          </w:p>
        </w:tc>
      </w:tr>
      <w:tr>
        <w:trPr/>
        <w:tc>
          <w:tcPr>
            <w:tcW w:w="2564"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Pledged by the Company</w:t>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964"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1 </w:t>
            </w:r>
          </w:p>
        </w:tc>
        <w:tc>
          <w:tcPr>
            <w:tcW w:w="519"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0"/>
              <w:jc w:val="left"/>
              <w:rPr/>
            </w:pPr>
            <w:r>
              <w:rPr>
                <w:rFonts w:ascii="Helvetica_Neue_LT_W1G_55_Roman;sans-serif" w:hAnsi="Helvetica_Neue_LT_W1G_55_Roman;sans-serif"/>
                <w:b w:val="false"/>
                <w:color w:val="000000"/>
                <w:sz w:val="18"/>
              </w:rPr>
              <w:t xml:space="preserve">Pledged to the Company </w:t>
            </w:r>
            <w:r>
              <w:rPr>
                <w:rFonts w:ascii="Helvetica_Neue_LT_W1G_55_Roman;sans-serif" w:hAnsi="Helvetica_Neue_LT_W1G_55_Roman;sans-serif"/>
                <w:b w:val="false"/>
                <w:color w:val="000000"/>
                <w:sz w:val="10"/>
              </w:rPr>
              <w:t>(1)</w:t>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2"/>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4 </w:t>
            </w:r>
          </w:p>
        </w:tc>
        <w:tc>
          <w:tcPr>
            <w:tcW w:w="519"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180"/>
        <w:jc w:val="left"/>
        <w:rPr/>
      </w:pPr>
      <w:r>
        <w:rPr>
          <w:rFonts w:ascii="Allstate Sans;sans-serif" w:hAnsi="Allstate Sans;sans-serif"/>
          <w:b w:val="false"/>
          <w:color w:val="000000"/>
          <w:sz w:val="10"/>
        </w:rPr>
        <w:t xml:space="preserve">(1) </w:t>
      </w:r>
      <w:r>
        <w:rPr>
          <w:rFonts w:ascii="Allstate Sans;sans-serif" w:hAnsi="Allstate Sans;sans-serif"/>
          <w:b w:val="false"/>
          <w:color w:val="000000"/>
          <w:sz w:val="16"/>
        </w:rPr>
        <w:t>$1 million</w:t>
      </w:r>
      <w:r>
        <w:rPr>
          <w:color w:val="000000"/>
        </w:rPr>
        <w:t xml:space="preserve"> </w:t>
      </w:r>
      <w:r>
        <w:rPr>
          <w:rFonts w:ascii="Allstate Sans;sans-serif" w:hAnsi="Allstate Sans;sans-serif"/>
          <w:b w:val="false"/>
          <w:color w:val="000000"/>
          <w:sz w:val="18"/>
        </w:rPr>
        <w:t xml:space="preserve">of </w:t>
      </w:r>
      <w:r>
        <w:rPr>
          <w:rFonts w:ascii="Allstate Sans;sans-serif" w:hAnsi="Allstate Sans;sans-serif"/>
          <w:b w:val="false"/>
          <w:color w:val="000000"/>
          <w:sz w:val="16"/>
        </w:rPr>
        <w:t>collateral was posted under MNAs for contracts containing credit-risk-contingent provisions that are in a liability provision.</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 xml:space="preserve">The Company has not incurred any losses on derivative financial instruments due to counterparty </w:t>
      </w:r>
    </w:p>
    <w:p>
      <w:pPr>
        <w:pStyle w:val="TextBody"/>
        <w:bidi w:val="0"/>
        <w:spacing w:lineRule="auto" w:line="288" w:before="0" w:after="120"/>
        <w:jc w:val="left"/>
        <w:rPr>
          <w:rFonts w:ascii="Allstate Sans;sans-serif" w:hAnsi="Allstate Sans;sans-serif"/>
          <w:b w:val="false"/>
          <w:color w:val="000000"/>
          <w:sz w:val="18"/>
        </w:rPr>
      </w:pPr>
      <w:r>
        <w:rPr>
          <w:rFonts w:ascii="Allstate Sans;sans-serif" w:hAnsi="Allstate Sans;sans-serif"/>
          <w:b w:val="false"/>
          <w:color w:val="000000"/>
          <w:sz w:val="18"/>
        </w:rPr>
        <w:t>nonperformance. Other derivatives, including futures and certain option contracts, are traded on organized exchanges which require margin deposits and guarantee the execution of trades, thereby mitigating any potential credit risk.</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Counterparty credit exposure represents the Company’s potential loss if all of the counterparties concurrently fail to perform under the contractual terms of the contracts and all collateral, if any, becomes worthless. This exposure is measured by the fair value of OTC derivative contracts with a positive fair value at the reporting date reduced by the effect, if any, of legally enforceable MNAs.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33350"/>
                <wp:effectExtent l="0" t="0" r="0" b="0"/>
                <wp:wrapNone/>
                <wp:docPr id="34" name="Frame33"/>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ind w:left="0" w:right="0" w:firstLine="360"/>
                              <w:jc w:val="right"/>
                              <w:rPr/>
                            </w:pPr>
                            <w:r>
                              <w:rPr>
                                <w:rFonts w:ascii="Allstate Sans;sans-serif" w:hAnsi="Allstate Sans;sans-serif"/>
                                <w:b w:val="false"/>
                                <w:color w:val="000000"/>
                                <w:sz w:val="18"/>
                              </w:rPr>
                              <w:t xml:space="preserve">Second Quarter 2026 Form 10-Q </w:t>
                            </w:r>
                            <w:r>
                              <w:rPr>
                                <w:rFonts w:ascii="Allstate Sans;sans-serif" w:hAnsi="Allstate Sans;sans-serif"/>
                                <w:b w:val="false"/>
                                <w:color w:val="0033A0"/>
                                <w:sz w:val="18"/>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right"/>
                        <w:rPr/>
                      </w:pPr>
                      <w:r>
                        <w:rPr>
                          <w:rFonts w:ascii="Allstate Sans;sans-serif" w:hAnsi="Allstate Sans;sans-serif"/>
                          <w:b w:val="false"/>
                          <w:color w:val="000000"/>
                          <w:sz w:val="18"/>
                        </w:rPr>
                        <w:t xml:space="preserve">Second Quarter 2026 Form 10-Q </w:t>
                      </w:r>
                      <w:r>
                        <w:rPr>
                          <w:rFonts w:ascii="Allstate Sans;sans-serif" w:hAnsi="Allstate Sans;sans-serif"/>
                          <w:b w:val="false"/>
                          <w:color w:val="0033A0"/>
                          <w:sz w:val="18"/>
                        </w:rPr>
                        <w:t>31</w:t>
                      </w:r>
                    </w:p>
                  </w:txbxContent>
                </v:textbox>
                <w10:wrap type="none"/>
              </v:rect>
            </w:pict>
          </mc:Fallback>
        </mc:AlternateContent>
      </w:r>
    </w:p>
    <w:p>
      <w:pPr>
        <w:pStyle w:val="TextBody"/>
        <w:bidi w:val="0"/>
        <w:spacing w:lineRule="auto" w:line="288" w:before="0" w:after="0"/>
        <w:jc w:val="left"/>
        <w:rPr>
          <w:rFonts w:ascii="Allstate Sans;sans-serif" w:hAnsi="Allstate Sans;sans-serif"/>
          <w:b w:val="false"/>
          <w:color w:val="0033A0"/>
          <w:sz w:val="18"/>
        </w:rPr>
      </w:pPr>
      <w:r>
        <w:rPr>
          <w:rFonts w:ascii="Allstate Sans;sans-serif" w:hAnsi="Allstate Sans;sans-serif"/>
          <w:b w:val="false"/>
          <w:color w:val="0033A0"/>
          <w:sz w:val="18"/>
        </w:rPr>
        <w:t>Notes to Condensed Consolidated Financial Statements</w:t>
      </w:r>
    </w:p>
    <w:tbl>
      <w:tblPr>
        <w:tblW w:w="12420" w:type="dxa"/>
        <w:jc w:val="left"/>
        <w:tblInd w:w="0" w:type="dxa"/>
        <w:tblLayout w:type="fixed"/>
        <w:tblCellMar>
          <w:top w:w="28" w:type="dxa"/>
          <w:left w:w="28" w:type="dxa"/>
          <w:bottom w:w="28" w:type="dxa"/>
          <w:right w:w="28" w:type="dxa"/>
        </w:tblCellMar>
      </w:tblPr>
      <w:tblGrid>
        <w:gridCol w:w="315"/>
        <w:gridCol w:w="277"/>
        <w:gridCol w:w="279"/>
        <w:gridCol w:w="109"/>
        <w:gridCol w:w="109"/>
        <w:gridCol w:w="109"/>
        <w:gridCol w:w="515"/>
        <w:gridCol w:w="515"/>
        <w:gridCol w:w="516"/>
        <w:gridCol w:w="109"/>
        <w:gridCol w:w="109"/>
        <w:gridCol w:w="109"/>
        <w:gridCol w:w="236"/>
        <w:gridCol w:w="550"/>
        <w:gridCol w:w="115"/>
        <w:gridCol w:w="109"/>
        <w:gridCol w:w="109"/>
        <w:gridCol w:w="109"/>
        <w:gridCol w:w="349"/>
        <w:gridCol w:w="442"/>
        <w:gridCol w:w="170"/>
        <w:gridCol w:w="109"/>
        <w:gridCol w:w="109"/>
        <w:gridCol w:w="109"/>
        <w:gridCol w:w="315"/>
        <w:gridCol w:w="567"/>
        <w:gridCol w:w="154"/>
        <w:gridCol w:w="109"/>
        <w:gridCol w:w="109"/>
        <w:gridCol w:w="109"/>
        <w:gridCol w:w="515"/>
        <w:gridCol w:w="515"/>
        <w:gridCol w:w="516"/>
        <w:gridCol w:w="109"/>
        <w:gridCol w:w="109"/>
        <w:gridCol w:w="109"/>
        <w:gridCol w:w="274"/>
        <w:gridCol w:w="493"/>
        <w:gridCol w:w="134"/>
        <w:gridCol w:w="109"/>
        <w:gridCol w:w="109"/>
        <w:gridCol w:w="109"/>
        <w:gridCol w:w="293"/>
        <w:gridCol w:w="526"/>
        <w:gridCol w:w="142"/>
        <w:gridCol w:w="109"/>
        <w:gridCol w:w="109"/>
        <w:gridCol w:w="109"/>
        <w:gridCol w:w="310"/>
        <w:gridCol w:w="558"/>
        <w:gridCol w:w="213"/>
      </w:tblGrid>
      <w:tr>
        <w:trPr/>
        <w:tc>
          <w:tcPr>
            <w:tcW w:w="31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12420" w:type="dxa"/>
            <w:gridSpan w:val="51"/>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left"/>
              <w:rPr>
                <w:rFonts w:ascii="Allstate Sans;sans-serif" w:hAnsi="Allstate Sans;sans-serif"/>
                <w:b/>
                <w:color w:val="000000"/>
                <w:sz w:val="18"/>
              </w:rPr>
            </w:pPr>
            <w:r>
              <w:rPr>
                <w:rFonts w:ascii="Allstate Sans;sans-serif" w:hAnsi="Allstate Sans;sans-serif"/>
                <w:b/>
                <w:color w:val="000000"/>
                <w:sz w:val="18"/>
              </w:rPr>
              <w:t>OTC derivatives counterparty credit exposure by counterparty credit rating</w:t>
            </w:r>
          </w:p>
        </w:tc>
      </w:tr>
      <w:tr>
        <w:trPr/>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 in 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December 31, 2025</w:t>
            </w:r>
          </w:p>
        </w:tc>
      </w:tr>
      <w:tr>
        <w:trPr/>
        <w:tc>
          <w:tcPr>
            <w:tcW w:w="87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left"/>
              <w:rPr/>
            </w:pPr>
            <w:r>
              <w:rPr>
                <w:rFonts w:ascii="Helvetica_Neue_LT_W1G_55_Roman;sans-serif" w:hAnsi="Helvetica_Neue_LT_W1G_55_Roman;sans-serif"/>
                <w:b/>
                <w:color w:val="000000"/>
                <w:sz w:val="16"/>
              </w:rPr>
              <w:t xml:space="preserve">Rating </w:t>
            </w:r>
            <w:r>
              <w:rPr>
                <w:rFonts w:ascii="Helvetica_Neue_LT_W1G_55_Roman;sans-serif" w:hAnsi="Helvetica_Neue_LT_W1G_55_Roman;sans-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Number of counter-parties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Helvetica_Neue_LT_W1G_55_Roman;sans-serif" w:hAnsi="Helvetica_Neue_LT_W1G_55_Roman;sans-serif"/>
                <w:b/>
                <w:color w:val="000000"/>
                <w:sz w:val="16"/>
              </w:rPr>
              <w:t xml:space="preserve">Notional amount </w:t>
            </w:r>
            <w:r>
              <w:rPr>
                <w:rFonts w:ascii="Helvetica_Neue_LT_W1G_55_Roman;sans-serif" w:hAnsi="Helvetica_Neue_LT_W1G_55_Roman;sans-serif"/>
                <w:b w:val="false"/>
                <w:color w:val="000000"/>
                <w:sz w:val="10"/>
              </w:rPr>
              <w:t>(2)</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Helvetica_Neue_LT_W1G_55_Roman;sans-serif" w:hAnsi="Helvetica_Neue_LT_W1G_55_Roman;sans-serif"/>
                <w:b/>
                <w:color w:val="000000"/>
                <w:sz w:val="16"/>
              </w:rPr>
              <w:t xml:space="preserve">Credit exposure </w:t>
            </w:r>
            <w:r>
              <w:rPr>
                <w:rFonts w:ascii="Helvetica_Neue_LT_W1G_55_Roman;sans-serif" w:hAnsi="Helvetica_Neue_LT_W1G_55_Roman;sans-serif"/>
                <w:b w:val="false"/>
                <w:color w:val="000000"/>
                <w:sz w:val="10"/>
              </w:rPr>
              <w:t>(2)</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Helvetica_Neue_LT_W1G_55_Roman;sans-serif" w:hAnsi="Helvetica_Neue_LT_W1G_55_Roman;sans-serif"/>
                <w:b/>
                <w:color w:val="000000"/>
                <w:sz w:val="16"/>
              </w:rPr>
              <w:t>Exposure, net of collateral</w:t>
            </w:r>
            <w:r>
              <w:rPr>
                <w:color w:val="000000"/>
              </w:rPr>
              <w:t xml:space="preserve"> </w:t>
            </w:r>
            <w:r>
              <w:rPr>
                <w:rFonts w:ascii="Helvetica_Neue_LT_W1G_55_Roman;sans-serif" w:hAnsi="Helvetica_Neue_LT_W1G_55_Roman;sans-serif"/>
                <w:b w:val="false"/>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Number of counter-parties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Helvetica_Neue_LT_W1G_55_Roman;sans-serif" w:hAnsi="Helvetica_Neue_LT_W1G_55_Roman;sans-serif"/>
                <w:b/>
                <w:color w:val="000000"/>
                <w:sz w:val="16"/>
              </w:rPr>
              <w:t xml:space="preserve">Notional amount </w:t>
            </w:r>
            <w:r>
              <w:rPr>
                <w:rFonts w:ascii="Helvetica_Neue_LT_W1G_55_Roman;sans-serif" w:hAnsi="Helvetica_Neue_LT_W1G_55_Roman;sans-serif"/>
                <w:b w:val="false"/>
                <w:color w:val="000000"/>
                <w:sz w:val="10"/>
              </w:rPr>
              <w:t>(2)</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Helvetica_Neue_LT_W1G_55_Roman;sans-serif" w:hAnsi="Helvetica_Neue_LT_W1G_55_Roman;sans-serif"/>
                <w:b/>
                <w:color w:val="000000"/>
                <w:sz w:val="16"/>
              </w:rPr>
              <w:t xml:space="preserve">Credit exposure </w:t>
            </w:r>
            <w:r>
              <w:rPr>
                <w:rFonts w:ascii="Helvetica_Neue_LT_W1G_55_Roman;sans-serif" w:hAnsi="Helvetica_Neue_LT_W1G_55_Roman;sans-serif"/>
                <w:b w:val="false"/>
                <w:color w:val="000000"/>
                <w:sz w:val="10"/>
              </w:rPr>
              <w:t>(2)</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Helvetica_Neue_LT_W1G_55_Roman;sans-serif" w:hAnsi="Helvetica_Neue_LT_W1G_55_Roman;sans-serif"/>
                <w:b/>
                <w:color w:val="000000"/>
                <w:sz w:val="16"/>
              </w:rPr>
              <w:t xml:space="preserve">Exposure, net of collateral </w:t>
            </w:r>
            <w:r>
              <w:rPr>
                <w:rFonts w:ascii="Helvetica_Neue_LT_W1G_55_Roman;sans-serif" w:hAnsi="Helvetica_Neue_LT_W1G_55_Roman;sans-serif"/>
                <w:b w:val="false"/>
                <w:color w:val="000000"/>
                <w:sz w:val="10"/>
              </w:rPr>
              <w:t>(2)</w:t>
            </w:r>
          </w:p>
        </w:tc>
      </w:tr>
      <w:tr>
        <w:trPr/>
        <w:tc>
          <w:tcPr>
            <w:tcW w:w="871"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AA-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1 </w:t>
            </w:r>
          </w:p>
        </w:tc>
        <w:tc>
          <w:tcPr>
            <w:tcW w:w="516"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550"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262 </w:t>
            </w:r>
          </w:p>
        </w:tc>
        <w:tc>
          <w:tcPr>
            <w:tcW w:w="115"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442"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3 </w:t>
            </w:r>
          </w:p>
        </w:tc>
        <w:tc>
          <w:tcPr>
            <w:tcW w:w="170"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567"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1 </w:t>
            </w:r>
          </w:p>
        </w:tc>
        <w:tc>
          <w:tcPr>
            <w:tcW w:w="516"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493"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37 </w:t>
            </w:r>
          </w:p>
        </w:tc>
        <w:tc>
          <w:tcPr>
            <w:tcW w:w="134"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526"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558"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1 </w:t>
            </w:r>
          </w:p>
        </w:tc>
        <w:tc>
          <w:tcPr>
            <w:tcW w:w="51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24 </w:t>
            </w:r>
          </w:p>
        </w:tc>
        <w:tc>
          <w:tcPr>
            <w:tcW w:w="11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r>
      <w:tr>
        <w:trPr/>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r>
      <w:tr>
        <w:trPr/>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r>
      <w:tr>
        <w:trPr/>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r>
      <w:tr>
        <w:trPr/>
        <w:tc>
          <w:tcPr>
            <w:tcW w:w="871" w:type="dxa"/>
            <w:gridSpan w:val="3"/>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2</w:t>
            </w:r>
            <w:r>
              <w:rPr>
                <w:color w:val="000000"/>
              </w:rPr>
              <w:t> </w:t>
            </w:r>
          </w:p>
        </w:tc>
        <w:tc>
          <w:tcPr>
            <w:tcW w:w="51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550"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286</w:t>
            </w:r>
            <w:r>
              <w:rPr>
                <w:color w:val="000000"/>
              </w:rPr>
              <w:t> </w:t>
            </w:r>
          </w:p>
        </w:tc>
        <w:tc>
          <w:tcPr>
            <w:tcW w:w="115"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442"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3</w:t>
            </w:r>
            <w:r>
              <w:rPr>
                <w:color w:val="000000"/>
              </w:rPr>
              <w:t> </w:t>
            </w:r>
          </w:p>
        </w:tc>
        <w:tc>
          <w:tcPr>
            <w:tcW w:w="170"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567"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w:t>
            </w:r>
            <w:r>
              <w:rPr>
                <w:color w:val="000000"/>
              </w:rPr>
              <w:t> </w:t>
            </w:r>
          </w:p>
        </w:tc>
        <w:tc>
          <w:tcPr>
            <w:tcW w:w="51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493"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37</w:t>
            </w:r>
            <w:r>
              <w:rPr>
                <w:color w:val="000000"/>
              </w:rPr>
              <w:t> </w:t>
            </w:r>
          </w:p>
        </w:tc>
        <w:tc>
          <w:tcPr>
            <w:tcW w:w="134"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52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558"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180"/>
        <w:jc w:val="left"/>
        <w:rPr/>
      </w:pPr>
      <w:r>
        <w:rPr>
          <w:rFonts w:ascii="Allstate Sans;sans-serif" w:hAnsi="Allstate Sans;sans-serif"/>
          <w:b w:val="false"/>
          <w:color w:val="000000"/>
          <w:sz w:val="10"/>
        </w:rPr>
        <w:t>(1)</w:t>
      </w:r>
      <w:r>
        <w:rPr>
          <w:rFonts w:ascii="Allstate Sans;sans-serif" w:hAnsi="Allstate Sans;sans-serif"/>
          <w:b w:val="false"/>
          <w:color w:val="000000"/>
          <w:sz w:val="16"/>
        </w:rPr>
        <w:t>Allstate uses the lower of S&amp;P’s or Moody’s long-term debt issuer ratings.</w:t>
      </w:r>
    </w:p>
    <w:p>
      <w:pPr>
        <w:pStyle w:val="TextBody"/>
        <w:bidi w:val="0"/>
        <w:spacing w:lineRule="auto" w:line="288" w:before="0" w:after="120"/>
        <w:ind w:left="0" w:right="0" w:hanging="180"/>
        <w:jc w:val="left"/>
        <w:rPr/>
      </w:pPr>
      <w:r>
        <w:rPr>
          <w:rFonts w:ascii="Allstate Sans;sans-serif" w:hAnsi="Allstate Sans;sans-serif"/>
          <w:b w:val="false"/>
          <w:color w:val="000000"/>
          <w:sz w:val="10"/>
        </w:rPr>
        <w:t>(2)</w:t>
      </w:r>
      <w:r>
        <w:rPr>
          <w:rFonts w:ascii="Allstate Sans;sans-serif" w:hAnsi="Allstate Sans;sans-serif"/>
          <w:b w:val="false"/>
          <w:color w:val="000000"/>
          <w:sz w:val="16"/>
        </w:rPr>
        <w:t>Only OTC derivatives with a net positive fair value are included for each counterparty.</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 xml:space="preserve">For certain exchange traded and cleared derivatives, margin deposits are required as well as daily cash settlements of margin accounts. </w:t>
      </w:r>
    </w:p>
    <w:tbl>
      <w:tblPr>
        <w:tblW w:w="6228" w:type="dxa"/>
        <w:jc w:val="left"/>
        <w:tblInd w:w="0" w:type="dxa"/>
        <w:tblLayout w:type="fixed"/>
        <w:tblCellMar>
          <w:top w:w="28" w:type="dxa"/>
          <w:left w:w="28" w:type="dxa"/>
          <w:bottom w:w="28" w:type="dxa"/>
          <w:right w:w="28" w:type="dxa"/>
        </w:tblCellMar>
      </w:tblPr>
      <w:tblGrid>
        <w:gridCol w:w="902"/>
        <w:gridCol w:w="794"/>
        <w:gridCol w:w="794"/>
        <w:gridCol w:w="366"/>
        <w:gridCol w:w="366"/>
        <w:gridCol w:w="366"/>
        <w:gridCol w:w="759"/>
        <w:gridCol w:w="1364"/>
        <w:gridCol w:w="517"/>
      </w:tblGrid>
      <w:tr>
        <w:trPr/>
        <w:tc>
          <w:tcPr>
            <w:tcW w:w="902"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r>
      <w:tr>
        <w:trPr/>
        <w:tc>
          <w:tcPr>
            <w:tcW w:w="6228"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120"/>
              <w:jc w:val="left"/>
              <w:rPr>
                <w:rFonts w:ascii="Allstate Sans;sans-serif" w:hAnsi="Allstate Sans;sans-serif"/>
                <w:b/>
                <w:color w:val="000000"/>
                <w:sz w:val="18"/>
              </w:rPr>
            </w:pPr>
            <w:r>
              <w:rPr>
                <w:rFonts w:ascii="Allstate Sans;sans-serif" w:hAnsi="Allstate Sans;sans-serif"/>
                <w:b/>
                <w:color w:val="000000"/>
                <w:sz w:val="18"/>
              </w:rPr>
              <w:t>Exchange traded and cleared margin deposits</w:t>
            </w:r>
          </w:p>
        </w:tc>
      </w:tr>
      <w:tr>
        <w:trPr/>
        <w:tc>
          <w:tcPr>
            <w:tcW w:w="24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 in millions)</w:t>
            </w:r>
          </w:p>
        </w:tc>
        <w:tc>
          <w:tcPr>
            <w:tcW w:w="10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June 30, 2026</w:t>
            </w:r>
          </w:p>
        </w:tc>
      </w:tr>
      <w:tr>
        <w:trPr/>
        <w:tc>
          <w:tcPr>
            <w:tcW w:w="2490"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Pledged by the Company</w:t>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1364"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88 </w:t>
            </w:r>
          </w:p>
        </w:tc>
        <w:tc>
          <w:tcPr>
            <w:tcW w:w="517"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Received by the Company</w:t>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3" w:type="dxa"/>
            <w:gridSpan w:val="2"/>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1 </w:t>
            </w:r>
          </w:p>
        </w:tc>
        <w:tc>
          <w:tcPr>
            <w:tcW w:w="517"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Market risk is the risk that the Company will incur losses due to adverse changes in market rates and prices. Market risk exists for all of the derivative financial instruments the Company currently holds, as these instruments may become less valuable due to adverse changes in market conditions. To limit this risk, the Company’s senior management has established risk control limits.</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 xml:space="preserve">Certain of the Company’s derivative transactions contain credit-risk-contingent termination events and </w:t>
      </w:r>
    </w:p>
    <w:p>
      <w:pPr>
        <w:pStyle w:val="TextBody"/>
        <w:bidi w:val="0"/>
        <w:spacing w:lineRule="auto" w:line="288" w:before="0" w:after="120"/>
        <w:jc w:val="left"/>
        <w:rPr>
          <w:rFonts w:ascii="Allstate Sans;sans-serif" w:hAnsi="Allstate Sans;sans-serif"/>
          <w:b w:val="false"/>
          <w:color w:val="000000"/>
          <w:sz w:val="18"/>
        </w:rPr>
      </w:pPr>
      <w:r>
        <w:rPr>
          <w:rFonts w:ascii="Allstate Sans;sans-serif" w:hAnsi="Allstate Sans;sans-serif"/>
          <w:b w:val="false"/>
          <w:color w:val="000000"/>
          <w:sz w:val="18"/>
        </w:rPr>
        <w:t>cross-default provisions. Credit-risk-contingent termination events allow the counterparties to terminate the derivative agreement or a specific trade on certain dates if AIC’s financial strength credit ratings by Moody’s or S&amp;P fall below a certain level. Credit-risk-contingent cross-default provisions allow the counterparties to terminate the derivative agreement if the Company defaults by pre-determined threshold amounts on certain debt instruments.</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The following table summarizes the fair value of derivative instruments with termination, cross-default or collateral credit-risk-contingent features that are in a liability position, as well as the fair value of assets and collateral that are netted against the liability in accordance with provisions within legally enforceable MNAs.</w:t>
      </w:r>
    </w:p>
    <w:tbl>
      <w:tblPr>
        <w:tblW w:w="10205" w:type="dxa"/>
        <w:jc w:val="left"/>
        <w:tblInd w:w="0" w:type="dxa"/>
        <w:tblLayout w:type="fixed"/>
        <w:tblCellMar>
          <w:top w:w="28" w:type="dxa"/>
          <w:left w:w="28" w:type="dxa"/>
          <w:bottom w:w="28" w:type="dxa"/>
          <w:right w:w="28" w:type="dxa"/>
        </w:tblCellMar>
      </w:tblPr>
      <w:tblGrid>
        <w:gridCol w:w="2629"/>
        <w:gridCol w:w="2155"/>
        <w:gridCol w:w="2178"/>
        <w:gridCol w:w="109"/>
        <w:gridCol w:w="109"/>
        <w:gridCol w:w="109"/>
        <w:gridCol w:w="315"/>
        <w:gridCol w:w="566"/>
        <w:gridCol w:w="152"/>
        <w:gridCol w:w="109"/>
        <w:gridCol w:w="109"/>
        <w:gridCol w:w="109"/>
        <w:gridCol w:w="446"/>
        <w:gridCol w:w="801"/>
        <w:gridCol w:w="309"/>
      </w:tblGrid>
      <w:tr>
        <w:trPr/>
        <w:tc>
          <w:tcPr>
            <w:tcW w:w="2629" w:type="dxa"/>
            <w:tcBorders/>
            <w:vAlign w:val="center"/>
          </w:tcPr>
          <w:p>
            <w:pPr>
              <w:pStyle w:val="TableContents"/>
              <w:bidi w:val="0"/>
              <w:spacing w:before="0" w:after="283"/>
              <w:jc w:val="left"/>
              <w:rPr>
                <w:sz w:val="4"/>
                <w:szCs w:val="4"/>
              </w:rPr>
            </w:pPr>
            <w:r>
              <w:rPr>
                <w:sz w:val="4"/>
                <w:szCs w:val="4"/>
              </w:rPr>
            </w:r>
          </w:p>
        </w:tc>
        <w:tc>
          <w:tcPr>
            <w:tcW w:w="2155" w:type="dxa"/>
            <w:tcBorders/>
            <w:vAlign w:val="center"/>
          </w:tcPr>
          <w:p>
            <w:pPr>
              <w:pStyle w:val="TableContents"/>
              <w:bidi w:val="0"/>
              <w:spacing w:before="0" w:after="283"/>
              <w:jc w:val="left"/>
              <w:rPr>
                <w:sz w:val="4"/>
                <w:szCs w:val="4"/>
              </w:rPr>
            </w:pPr>
            <w:r>
              <w:rPr>
                <w:sz w:val="4"/>
                <w:szCs w:val="4"/>
              </w:rPr>
            </w:r>
          </w:p>
        </w:tc>
        <w:tc>
          <w:tcPr>
            <w:tcW w:w="2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r>
      <w:tr>
        <w:trPr/>
        <w:tc>
          <w:tcPr>
            <w:tcW w:w="69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 in 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December 31, 2025</w:t>
            </w:r>
          </w:p>
        </w:tc>
      </w:tr>
      <w:tr>
        <w:trPr/>
        <w:tc>
          <w:tcPr>
            <w:tcW w:w="6962"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Gross liability fair value of contracts containing credit-risk-contingent features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566"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7 </w:t>
            </w:r>
          </w:p>
        </w:tc>
        <w:tc>
          <w:tcPr>
            <w:tcW w:w="152"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801"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16 </w:t>
            </w:r>
          </w:p>
        </w:tc>
        <w:tc>
          <w:tcPr>
            <w:tcW w:w="309"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Gross asset fair value of contracts containing credit-risk-contingent features and subject to MNAs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w:t>
            </w:r>
          </w:p>
        </w:tc>
        <w:tc>
          <w:tcPr>
            <w:tcW w:w="152"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w:t>
            </w:r>
          </w:p>
        </w:tc>
        <w:tc>
          <w:tcPr>
            <w:tcW w:w="309"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Collateral posted under MNAs for contracts containing credit-risk-contingent features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w:t>
            </w:r>
          </w:p>
        </w:tc>
        <w:tc>
          <w:tcPr>
            <w:tcW w:w="152"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(14)</w:t>
            </w:r>
          </w:p>
        </w:tc>
        <w:tc>
          <w:tcPr>
            <w:tcW w:w="309"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Maximum amount of additional exposure for contracts with credit-risk-contingent features if all features were triggered concurrently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56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801"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09"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Allstate Sans;sans-serif" w:hAnsi="Allstate Sans;sans-serif"/>
          <w:b/>
          <w:color w:val="0033A0"/>
          <w:sz w:val="18"/>
        </w:rPr>
      </w:pPr>
      <w:r>
        <w:rPr>
          <w:rFonts w:ascii="Allstate Sans;sans-serif" w:hAnsi="Allstate Sans;sans-serif"/>
          <w:b/>
          <w:color w:val="0033A0"/>
          <w:sz w:val="18"/>
        </w:rPr>
        <w:t>Credit derivatives - selling protection</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 xml:space="preserve">A credit default swap (“CDS”) is a derivative instrument, representing an agreement between two parties to exchange the credit risk of a specified entity (or a group of entities), or an index based on the credit risk of a group of entities (all commonly referred to as the “reference entity” or a portfolio of “reference entities”), in return for a periodic premium. In selling </w:t>
      </w:r>
    </w:p>
    <w:p>
      <w:pPr>
        <w:pStyle w:val="TextBody"/>
        <w:bidi w:val="0"/>
        <w:spacing w:lineRule="auto" w:line="288" w:before="0" w:after="120"/>
        <w:jc w:val="left"/>
        <w:rPr>
          <w:rFonts w:ascii="Allstate Sans;sans-serif" w:hAnsi="Allstate Sans;sans-serif"/>
          <w:b w:val="false"/>
          <w:color w:val="000000"/>
          <w:sz w:val="18"/>
        </w:rPr>
      </w:pPr>
      <w:r>
        <w:rPr>
          <w:rFonts w:ascii="Allstate Sans;sans-serif" w:hAnsi="Allstate Sans;sans-serif"/>
          <w:b w:val="false"/>
          <w:color w:val="000000"/>
          <w:sz w:val="18"/>
        </w:rPr>
        <w:t>protection, CDS are used to replicate fixed income securities and to complement the cash market when credit exposure to certain issuers is not available or when the derivative alternative is less expensive than the cash market alternative. CDS typically have a five-year term.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35" name="Frame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120"/>
                              <w:jc w:val="left"/>
                              <w:rPr/>
                            </w:pPr>
                            <w:r>
                              <w:rPr>
                                <w:rFonts w:ascii="Allstate Sans;sans-serif" w:hAnsi="Allstate Sans;sans-serif"/>
                                <w:b w:val="false"/>
                                <w:color w:val="0033A0"/>
                                <w:sz w:val="18"/>
                              </w:rPr>
                              <w:t>32</w:t>
                            </w:r>
                            <w:r>
                              <w:rPr>
                                <w:color w:val="1666AF"/>
                              </w:rPr>
                              <w:t xml:space="preserve"> </w:t>
                            </w:r>
                            <w:r>
                              <w:rPr>
                                <w:rFonts w:ascii="Allstate Sans;sans-serif" w:hAnsi="Allstate Sans;sans-serif"/>
                                <w:b w:val="false"/>
                                <w:color w:val="000000"/>
                                <w:sz w:val="18"/>
                              </w:rPr>
                              <w:t>www.allstate.com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left"/>
                        <w:rPr/>
                      </w:pPr>
                      <w:r>
                        <w:rPr>
                          <w:rFonts w:ascii="Allstate Sans;sans-serif" w:hAnsi="Allstate Sans;sans-serif"/>
                          <w:b w:val="false"/>
                          <w:color w:val="0033A0"/>
                          <w:sz w:val="18"/>
                        </w:rPr>
                        <w:t>32</w:t>
                      </w:r>
                      <w:r>
                        <w:rPr>
                          <w:color w:val="1666AF"/>
                        </w:rPr>
                        <w:t xml:space="preserve"> </w:t>
                      </w:r>
                      <w:r>
                        <w:rPr>
                          <w:rFonts w:ascii="Allstate Sans;sans-serif" w:hAnsi="Allstate Sans;sans-serif"/>
                          <w:b w:val="false"/>
                          <w:color w:val="000000"/>
                          <w:sz w:val="18"/>
                        </w:rPr>
                        <w:t>www.allstate.com</w:t>
                      </w:r>
                    </w:p>
                  </w:txbxContent>
                </v:textbox>
                <w10:wrap type="none"/>
              </v:rect>
            </w:pict>
          </mc:Fallback>
        </mc:AlternateContent>
      </w:r>
    </w:p>
    <w:p>
      <w:pPr>
        <w:pStyle w:val="TextBody"/>
        <w:bidi w:val="0"/>
        <w:spacing w:lineRule="auto" w:line="288" w:before="0" w:after="0"/>
        <w:jc w:val="right"/>
        <w:rPr>
          <w:rFonts w:ascii="Allstate Sans;sans-serif" w:hAnsi="Allstate Sans;sans-serif"/>
          <w:b w:val="false"/>
          <w:color w:val="0033A0"/>
          <w:sz w:val="18"/>
        </w:rPr>
      </w:pPr>
      <w:r>
        <w:rPr>
          <w:rFonts w:ascii="Allstate Sans;sans-serif" w:hAnsi="Allstate Sans;sans-serif"/>
          <w:b w:val="false"/>
          <w:color w:val="0033A0"/>
          <w:sz w:val="18"/>
        </w:rPr>
        <w:t>Notes to Condensed Consolidated Financial Statements</w:t>
      </w:r>
    </w:p>
    <w:p>
      <w:pPr>
        <w:pStyle w:val="TextBody"/>
        <w:bidi w:val="0"/>
        <w:spacing w:before="0" w:after="120"/>
        <w:ind w:left="0" w:right="0" w:firstLine="360"/>
        <w:jc w:val="left"/>
        <w:rPr/>
      </w:pPr>
      <w:r>
        <w:rPr/>
      </w:r>
    </w:p>
    <w:tbl>
      <w:tblPr>
        <w:tblW w:w="9913" w:type="dxa"/>
        <w:jc w:val="left"/>
        <w:tblInd w:w="0" w:type="dxa"/>
        <w:tblLayout w:type="fixed"/>
        <w:tblCellMar>
          <w:top w:w="28" w:type="dxa"/>
          <w:left w:w="28" w:type="dxa"/>
          <w:bottom w:w="28" w:type="dxa"/>
          <w:right w:w="28" w:type="dxa"/>
        </w:tblCellMar>
      </w:tblPr>
      <w:tblGrid>
        <w:gridCol w:w="749"/>
        <w:gridCol w:w="658"/>
        <w:gridCol w:w="662"/>
        <w:gridCol w:w="109"/>
        <w:gridCol w:w="109"/>
        <w:gridCol w:w="109"/>
        <w:gridCol w:w="226"/>
        <w:gridCol w:w="406"/>
        <w:gridCol w:w="109"/>
        <w:gridCol w:w="109"/>
        <w:gridCol w:w="109"/>
        <w:gridCol w:w="109"/>
        <w:gridCol w:w="226"/>
        <w:gridCol w:w="406"/>
        <w:gridCol w:w="109"/>
        <w:gridCol w:w="109"/>
        <w:gridCol w:w="109"/>
        <w:gridCol w:w="109"/>
        <w:gridCol w:w="226"/>
        <w:gridCol w:w="406"/>
        <w:gridCol w:w="109"/>
        <w:gridCol w:w="109"/>
        <w:gridCol w:w="109"/>
        <w:gridCol w:w="109"/>
        <w:gridCol w:w="226"/>
        <w:gridCol w:w="526"/>
        <w:gridCol w:w="109"/>
        <w:gridCol w:w="109"/>
        <w:gridCol w:w="109"/>
        <w:gridCol w:w="109"/>
        <w:gridCol w:w="251"/>
        <w:gridCol w:w="452"/>
        <w:gridCol w:w="121"/>
        <w:gridCol w:w="109"/>
        <w:gridCol w:w="109"/>
        <w:gridCol w:w="109"/>
        <w:gridCol w:w="226"/>
        <w:gridCol w:w="526"/>
        <w:gridCol w:w="109"/>
        <w:gridCol w:w="109"/>
        <w:gridCol w:w="109"/>
        <w:gridCol w:w="109"/>
        <w:gridCol w:w="226"/>
        <w:gridCol w:w="406"/>
        <w:gridCol w:w="154"/>
      </w:tblGrid>
      <w:tr>
        <w:trPr/>
        <w:tc>
          <w:tcPr>
            <w:tcW w:w="749"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13" w:type="dxa"/>
            <w:gridSpan w:val="45"/>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left"/>
              <w:rPr>
                <w:rFonts w:ascii="Allstate Sans;sans-serif" w:hAnsi="Allstate Sans;sans-serif"/>
                <w:b/>
                <w:color w:val="000000"/>
                <w:sz w:val="18"/>
              </w:rPr>
            </w:pPr>
            <w:r>
              <w:rPr>
                <w:rFonts w:ascii="Allstate Sans;sans-serif" w:hAnsi="Allstate Sans;sans-serif"/>
                <w:b/>
                <w:color w:val="000000"/>
                <w:sz w:val="18"/>
              </w:rPr>
              <w:t>CDS notional amounts by credit rating and fair value of protection sold</w:t>
            </w:r>
          </w:p>
        </w:tc>
      </w:tr>
      <w:tr>
        <w:trPr/>
        <w:tc>
          <w:tcPr>
            <w:tcW w:w="2069"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 in 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4"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Notional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AAA</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AA</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A</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BBB</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BB and</w:t>
            </w:r>
          </w:p>
          <w:p>
            <w:pPr>
              <w:pStyle w:val="TableContents"/>
              <w:bidi w:val="0"/>
              <w:spacing w:lineRule="auto" w:line="240" w:before="0" w:after="0"/>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lower</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Fair</w:t>
            </w:r>
          </w:p>
          <w:p>
            <w:pPr>
              <w:pStyle w:val="TableContents"/>
              <w:bidi w:val="0"/>
              <w:spacing w:lineRule="auto" w:line="240" w:before="0" w:after="0"/>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value</w:t>
            </w:r>
          </w:p>
        </w:tc>
      </w:tr>
      <w:tr>
        <w:trPr/>
        <w:tc>
          <w:tcPr>
            <w:tcW w:w="2069"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r>
      <w:tr>
        <w:trPr/>
        <w:tc>
          <w:tcPr>
            <w:tcW w:w="2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r>
      <w:tr>
        <w:trPr/>
        <w:tc>
          <w:tcPr>
            <w:tcW w:w="2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r>
      <w:tr>
        <w:trPr/>
        <w:tc>
          <w:tcPr>
            <w:tcW w:w="2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Index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4"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4"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4"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4"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4"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Corporate 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406"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406"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406"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526"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300 </w:t>
            </w:r>
          </w:p>
        </w:tc>
        <w:tc>
          <w:tcPr>
            <w:tcW w:w="109"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452"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47 </w:t>
            </w:r>
          </w:p>
        </w:tc>
        <w:tc>
          <w:tcPr>
            <w:tcW w:w="121"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526"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347 </w:t>
            </w:r>
          </w:p>
        </w:tc>
        <w:tc>
          <w:tcPr>
            <w:tcW w:w="109"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406"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10 </w:t>
            </w:r>
          </w:p>
        </w:tc>
        <w:tc>
          <w:tcPr>
            <w:tcW w:w="154"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40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40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40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5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300</w:t>
            </w: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452"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47</w:t>
            </w:r>
            <w:r>
              <w:rPr>
                <w:color w:val="000000"/>
              </w:rPr>
              <w:t> </w:t>
            </w:r>
          </w:p>
        </w:tc>
        <w:tc>
          <w:tcPr>
            <w:tcW w:w="12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5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347</w:t>
            </w: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40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10</w:t>
            </w:r>
            <w:r>
              <w:rPr>
                <w:color w:val="000000"/>
              </w:rPr>
              <w:t> </w:t>
            </w:r>
          </w:p>
        </w:tc>
        <w:tc>
          <w:tcPr>
            <w:tcW w:w="15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4"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4"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4"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r>
      <w:tr>
        <w:trPr/>
        <w:tc>
          <w:tcPr>
            <w:tcW w:w="2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r>
      <w:tr>
        <w:trPr/>
        <w:tc>
          <w:tcPr>
            <w:tcW w:w="2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r>
      <w:tr>
        <w:trPr/>
        <w:tc>
          <w:tcPr>
            <w:tcW w:w="2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Index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4"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4"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4"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4"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4"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Corporate 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40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406"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406"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526"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550 </w:t>
            </w:r>
          </w:p>
        </w:tc>
        <w:tc>
          <w:tcPr>
            <w:tcW w:w="109"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452"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526"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550 </w:t>
            </w:r>
          </w:p>
        </w:tc>
        <w:tc>
          <w:tcPr>
            <w:tcW w:w="109"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406"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9 </w:t>
            </w:r>
          </w:p>
        </w:tc>
        <w:tc>
          <w:tcPr>
            <w:tcW w:w="154"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40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40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40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52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550</w:t>
            </w:r>
            <w:r>
              <w:rPr>
                <w:color w:val="000000"/>
              </w:rPr>
              <w:t> </w:t>
            </w:r>
          </w:p>
        </w:tc>
        <w:tc>
          <w:tcPr>
            <w:tcW w:w="109"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452"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52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550</w:t>
            </w:r>
            <w:r>
              <w:rPr>
                <w:color w:val="000000"/>
              </w:rPr>
              <w:t> </w:t>
            </w:r>
          </w:p>
        </w:tc>
        <w:tc>
          <w:tcPr>
            <w:tcW w:w="109"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40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9</w:t>
            </w:r>
            <w:r>
              <w:rPr>
                <w:color w:val="000000"/>
              </w:rPr>
              <w:t> </w:t>
            </w:r>
          </w:p>
        </w:tc>
        <w:tc>
          <w:tcPr>
            <w:tcW w:w="154"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 xml:space="preserve">The Company sells credit protection through contracts on standardized credit indices (“CDX”), generally investment grade, which are centrally cleared through a registered Derivatives Clearing Organization, and in return receives periodic premiums through the expiration or termination of the contract. A CDX is utilized to take a position on multiple (generally 125) reference entities. Credit events are typically defined as bankruptcy, failure to pay, or restructuring, depending on the nature of the reference entities. </w:t>
      </w:r>
    </w:p>
    <w:p>
      <w:pPr>
        <w:pStyle w:val="TextBody"/>
        <w:bidi w:val="0"/>
        <w:spacing w:lineRule="auto" w:line="288" w:before="0" w:after="120"/>
        <w:jc w:val="left"/>
        <w:rPr>
          <w:rFonts w:ascii="Allstate Sans;sans-serif" w:hAnsi="Allstate Sans;sans-serif"/>
          <w:b w:val="false"/>
          <w:color w:val="000000"/>
          <w:sz w:val="18"/>
        </w:rPr>
      </w:pPr>
      <w:r>
        <w:rPr>
          <w:rFonts w:ascii="Allstate Sans;sans-serif" w:hAnsi="Allstate Sans;sans-serif"/>
          <w:b w:val="false"/>
          <w:color w:val="000000"/>
          <w:sz w:val="18"/>
        </w:rPr>
        <w:t xml:space="preserve">When a credit event occurs for a reference entity within the index, the affected name is removed from the index, and the contract continues until expiration. Settlement is conducted through an auction process, whereby the Company pays the difference between the contract’s notional amount and the final recovery value of the reference obligation as determined by the auction. The maximum payout on a CDX is the contract notional amount.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4261" w:type="dxa"/>
        <w:jc w:val="left"/>
        <w:tblInd w:w="0" w:type="dxa"/>
        <w:tblLayout w:type="fixed"/>
        <w:tblCellMar>
          <w:top w:w="28" w:type="dxa"/>
          <w:left w:w="28" w:type="dxa"/>
          <w:bottom w:w="28" w:type="dxa"/>
          <w:right w:w="28" w:type="dxa"/>
        </w:tblCellMar>
      </w:tblPr>
      <w:tblGrid>
        <w:gridCol w:w="342"/>
        <w:gridCol w:w="301"/>
        <w:gridCol w:w="303"/>
        <w:gridCol w:w="969"/>
        <w:gridCol w:w="969"/>
        <w:gridCol w:w="1377"/>
      </w:tblGrid>
      <w:tr>
        <w:trPr/>
        <w:tc>
          <w:tcPr>
            <w:tcW w:w="3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bottom w:val="single" w:sz="8" w:space="0" w:color="0033A0"/>
            </w:tcBorders>
            <w:tcMar>
              <w:top w:w="0" w:type="dxa"/>
              <w:left w:w="0" w:type="dxa"/>
              <w:bottom w:w="30" w:type="dxa"/>
              <w:right w:w="0" w:type="dxa"/>
            </w:tcMar>
            <w:vAlign w:val="center"/>
          </w:tcPr>
          <w:p>
            <w:pPr>
              <w:pStyle w:val="TableContents"/>
              <w:bidi w:val="0"/>
              <w:spacing w:lineRule="auto" w:line="240" w:before="0" w:after="283"/>
              <w:jc w:val="left"/>
              <w:rPr>
                <w:rFonts w:ascii="Allstate Sans;sans-serif" w:hAnsi="Allstate Sans;sans-serif"/>
                <w:b/>
                <w:color w:val="0033A0"/>
                <w:sz w:val="22"/>
              </w:rPr>
            </w:pPr>
            <w:r>
              <w:rPr>
                <w:rFonts w:ascii="Allstate Sans;sans-serif" w:hAnsi="Allstate Sans;sans-serif"/>
                <w:b/>
                <w:color w:val="0033A0"/>
                <w:sz w:val="22"/>
              </w:rPr>
              <w:t>Note 7</w:t>
            </w:r>
          </w:p>
        </w:tc>
        <w:tc>
          <w:tcPr>
            <w:tcW w:w="3315" w:type="dxa"/>
            <w:gridSpan w:val="3"/>
            <w:tcBorders>
              <w:bottom w:val="single" w:sz="8" w:space="0" w:color="0033A0"/>
            </w:tcBorders>
            <w:tcMar>
              <w:top w:w="0" w:type="dxa"/>
              <w:left w:w="0" w:type="dxa"/>
              <w:bottom w:w="30" w:type="dxa"/>
              <w:right w:w="0" w:type="dxa"/>
            </w:tcMar>
            <w:vAlign w:val="center"/>
          </w:tcPr>
          <w:p>
            <w:pPr>
              <w:pStyle w:val="TableContents"/>
              <w:bidi w:val="0"/>
              <w:spacing w:lineRule="auto" w:line="240" w:before="0" w:after="283"/>
              <w:jc w:val="left"/>
              <w:rPr>
                <w:rFonts w:ascii="Allstate Sans;sans-serif" w:hAnsi="Allstate Sans;sans-serif"/>
                <w:b/>
                <w:color w:val="000000"/>
                <w:sz w:val="22"/>
              </w:rPr>
            </w:pPr>
            <w:r>
              <w:rPr>
                <w:rFonts w:ascii="Allstate Sans;sans-serif" w:hAnsi="Allstate Sans;sans-serif"/>
                <w:b/>
                <w:color w:val="000000"/>
                <w:sz w:val="22"/>
              </w:rPr>
              <w:t>Variable Interest Entities</w:t>
            </w:r>
          </w:p>
        </w:tc>
      </w:tr>
    </w:tbl>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Consolidated VIEs primarily include Adirondack, a New York reciprocal insurer, and Skylands, a New Jersey reciprocal insurer. The Reciprocal Exchanges are insurance carriers organized as unincorporated associations. The Company does not own the equity of the Reciprocal Exchanges, which is owned by their respective policyholders.</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The results of the Reciprocal Exchanges are included in the Allstate Protection segment as the Company manages the business operations of the Reciprocal Exchanges and has the power to direct their activities that most significantly impact their economic performance.</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 xml:space="preserve">Due to ongoing operating losses, the Company recorded a loss related to variable interests held in the </w:t>
      </w:r>
    </w:p>
    <w:p>
      <w:pPr>
        <w:pStyle w:val="TextBody"/>
        <w:bidi w:val="0"/>
        <w:spacing w:lineRule="auto" w:line="288" w:before="0" w:after="120"/>
        <w:jc w:val="left"/>
        <w:rPr>
          <w:rFonts w:ascii="Allstate Sans;sans-serif" w:hAnsi="Allstate Sans;sans-serif"/>
          <w:b w:val="false"/>
          <w:color w:val="000000"/>
          <w:sz w:val="18"/>
        </w:rPr>
      </w:pPr>
      <w:r>
        <w:rPr>
          <w:rFonts w:ascii="Allstate Sans;sans-serif" w:hAnsi="Allstate Sans;sans-serif"/>
          <w:b w:val="false"/>
          <w:color w:val="000000"/>
          <w:sz w:val="18"/>
        </w:rPr>
        <w:t xml:space="preserve">Reciprocal Exchanges of $67 million in the first quarter of 2025. </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Adirondack has withdrawn and stopped writing new business and Skylands has withdrawn substantially all business and stopped writing new business. As the reciprocal insurers are dissolved, policyholders will share any residual unassigned surplus but are not subject to assessment for any deficit in unassigned surplus of the Reciprocal Exchanges. The assets of the Reciprocal Exchanges can be used only to settle the obligations of the Reciprocal Exchanges and general creditors have no recourse to the Company.</w:t>
      </w:r>
    </w:p>
    <w:tbl>
      <w:tblPr>
        <w:tblW w:w="10205" w:type="dxa"/>
        <w:jc w:val="left"/>
        <w:tblInd w:w="0" w:type="dxa"/>
        <w:tblLayout w:type="fixed"/>
        <w:tblCellMar>
          <w:top w:w="28" w:type="dxa"/>
          <w:left w:w="28" w:type="dxa"/>
          <w:bottom w:w="28" w:type="dxa"/>
          <w:right w:w="28" w:type="dxa"/>
        </w:tblCellMar>
      </w:tblPr>
      <w:tblGrid>
        <w:gridCol w:w="2086"/>
        <w:gridCol w:w="1761"/>
        <w:gridCol w:w="1775"/>
        <w:gridCol w:w="175"/>
        <w:gridCol w:w="175"/>
        <w:gridCol w:w="175"/>
        <w:gridCol w:w="362"/>
        <w:gridCol w:w="844"/>
        <w:gridCol w:w="175"/>
        <w:gridCol w:w="175"/>
        <w:gridCol w:w="175"/>
        <w:gridCol w:w="175"/>
        <w:gridCol w:w="512"/>
        <w:gridCol w:w="1141"/>
        <w:gridCol w:w="232"/>
        <w:gridCol w:w="109"/>
        <w:gridCol w:w="158"/>
      </w:tblGrid>
      <w:tr>
        <w:trPr/>
        <w:tc>
          <w:tcPr>
            <w:tcW w:w="2086" w:type="dxa"/>
            <w:tcBorders/>
            <w:vAlign w:val="center"/>
          </w:tcPr>
          <w:p>
            <w:pPr>
              <w:pStyle w:val="TableContents"/>
              <w:bidi w:val="0"/>
              <w:spacing w:before="0" w:after="283"/>
              <w:jc w:val="left"/>
              <w:rPr>
                <w:sz w:val="4"/>
                <w:szCs w:val="4"/>
              </w:rPr>
            </w:pPr>
            <w:r>
              <w:rPr>
                <w:sz w:val="4"/>
                <w:szCs w:val="4"/>
              </w:rPr>
            </w:r>
          </w:p>
        </w:tc>
        <w:tc>
          <w:tcPr>
            <w:tcW w:w="1761" w:type="dxa"/>
            <w:tcBorders/>
            <w:vAlign w:val="center"/>
          </w:tcPr>
          <w:p>
            <w:pPr>
              <w:pStyle w:val="TableContents"/>
              <w:bidi w:val="0"/>
              <w:spacing w:before="0" w:after="283"/>
              <w:jc w:val="left"/>
              <w:rPr>
                <w:sz w:val="4"/>
                <w:szCs w:val="4"/>
              </w:rPr>
            </w:pPr>
            <w:r>
              <w:rPr>
                <w:sz w:val="4"/>
                <w:szCs w:val="4"/>
              </w:rPr>
            </w:r>
          </w:p>
        </w:tc>
        <w:tc>
          <w:tcPr>
            <w:tcW w:w="17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9938" w:type="dxa"/>
            <w:gridSpan w:val="15"/>
            <w:tcBorders>
              <w:top w:val="single" w:sz="4" w:space="0" w:color="000000"/>
            </w:tcBorders>
            <w:tcMar>
              <w:top w:w="30" w:type="dxa"/>
              <w:left w:w="0" w:type="dxa"/>
              <w:bottom w:w="0" w:type="dxa"/>
              <w:right w:w="0" w:type="dxa"/>
            </w:tcMar>
            <w:vAlign w:val="center"/>
          </w:tcPr>
          <w:p>
            <w:pPr>
              <w:pStyle w:val="TableContents"/>
              <w:bidi w:val="0"/>
              <w:spacing w:lineRule="auto" w:line="240" w:before="0" w:after="120"/>
              <w:jc w:val="left"/>
              <w:rPr>
                <w:rFonts w:ascii="Allstate Sans;sans-serif" w:hAnsi="Allstate Sans;sans-serif"/>
                <w:b/>
                <w:color w:val="000000"/>
                <w:sz w:val="18"/>
              </w:rPr>
            </w:pPr>
            <w:r>
              <w:rPr>
                <w:rFonts w:ascii="Allstate Sans;sans-serif" w:hAnsi="Allstate Sans;sans-serif"/>
                <w:b/>
                <w:color w:val="000000"/>
                <w:sz w:val="18"/>
              </w:rPr>
              <w:t>Assets and liabilities of Reciprocal Exchanges</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6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 in millions)</w:t>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June 30, 2026</w:t>
            </w:r>
          </w:p>
        </w:tc>
        <w:tc>
          <w:tcPr>
            <w:tcW w:w="5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622"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Assets</w:t>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5"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622"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Fixed income securities</w:t>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844"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3 </w:t>
            </w:r>
          </w:p>
        </w:tc>
        <w:tc>
          <w:tcPr>
            <w:tcW w:w="17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114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4 </w:t>
            </w:r>
          </w:p>
        </w:tc>
        <w:tc>
          <w:tcPr>
            <w:tcW w:w="23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622"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Short-term investments</w:t>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51 </w:t>
            </w:r>
          </w:p>
        </w:tc>
        <w:tc>
          <w:tcPr>
            <w:tcW w:w="17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68 </w:t>
            </w:r>
          </w:p>
        </w:tc>
        <w:tc>
          <w:tcPr>
            <w:tcW w:w="23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622"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622"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622"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Reinsurance recoverables, net</w:t>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40 </w:t>
            </w:r>
          </w:p>
        </w:tc>
        <w:tc>
          <w:tcPr>
            <w:tcW w:w="17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53 </w:t>
            </w:r>
          </w:p>
        </w:tc>
        <w:tc>
          <w:tcPr>
            <w:tcW w:w="23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622"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Other assets</w:t>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1 </w:t>
            </w:r>
          </w:p>
        </w:tc>
        <w:tc>
          <w:tcPr>
            <w:tcW w:w="17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op w:val="single" w:sz="4"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622"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 assets</w:t>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844"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95</w:t>
            </w:r>
            <w:r>
              <w:rPr>
                <w:color w:val="000000"/>
              </w:rPr>
              <w:t> </w:t>
            </w:r>
          </w:p>
        </w:tc>
        <w:tc>
          <w:tcPr>
            <w:tcW w:w="17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114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125</w:t>
            </w:r>
            <w:r>
              <w:rPr>
                <w:color w:val="000000"/>
              </w:rPr>
              <w:t> </w:t>
            </w:r>
          </w:p>
        </w:tc>
        <w:tc>
          <w:tcPr>
            <w:tcW w:w="23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622"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Liabilities</w:t>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5"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622"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Reserve for property and casualty insurance claims and claims expense</w:t>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844"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124 </w:t>
            </w:r>
          </w:p>
        </w:tc>
        <w:tc>
          <w:tcPr>
            <w:tcW w:w="17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114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153 </w:t>
            </w:r>
          </w:p>
        </w:tc>
        <w:tc>
          <w:tcPr>
            <w:tcW w:w="23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622"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622"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Other liabilities and expenses</w:t>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184 </w:t>
            </w:r>
          </w:p>
        </w:tc>
        <w:tc>
          <w:tcPr>
            <w:tcW w:w="17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186 </w:t>
            </w:r>
          </w:p>
        </w:tc>
        <w:tc>
          <w:tcPr>
            <w:tcW w:w="23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622" w:type="dxa"/>
            <w:gridSpan w:val="3"/>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 liabilities</w:t>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844"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308</w:t>
            </w:r>
            <w:r>
              <w:rPr>
                <w:color w:val="000000"/>
              </w:rPr>
              <w:t> </w:t>
            </w:r>
          </w:p>
        </w:tc>
        <w:tc>
          <w:tcPr>
            <w:tcW w:w="175"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1141"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339</w:t>
            </w:r>
            <w:r>
              <w:rPr>
                <w:color w:val="000000"/>
              </w:rPr>
              <w:t> </w:t>
            </w:r>
          </w:p>
        </w:tc>
        <w:tc>
          <w:tcPr>
            <w:tcW w:w="232"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33350"/>
                <wp:effectExtent l="0" t="0" r="0" b="0"/>
                <wp:wrapNone/>
                <wp:docPr id="36" name="Frame35"/>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ind w:left="0" w:right="0" w:firstLine="360"/>
                              <w:jc w:val="right"/>
                              <w:rPr/>
                            </w:pPr>
                            <w:r>
                              <w:rPr>
                                <w:rFonts w:ascii="Allstate Sans;sans-serif" w:hAnsi="Allstate Sans;sans-serif"/>
                                <w:b w:val="false"/>
                                <w:color w:val="000000"/>
                                <w:sz w:val="18"/>
                              </w:rPr>
                              <w:t xml:space="preserve">Second Quarter 2026 Form 10-Q </w:t>
                            </w:r>
                            <w:r>
                              <w:rPr>
                                <w:rFonts w:ascii="Allstate Sans;sans-serif" w:hAnsi="Allstate Sans;sans-serif"/>
                                <w:b w:val="false"/>
                                <w:color w:val="0033A0"/>
                                <w:sz w:val="18"/>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right"/>
                        <w:rPr/>
                      </w:pPr>
                      <w:r>
                        <w:rPr>
                          <w:rFonts w:ascii="Allstate Sans;sans-serif" w:hAnsi="Allstate Sans;sans-serif"/>
                          <w:b w:val="false"/>
                          <w:color w:val="000000"/>
                          <w:sz w:val="18"/>
                        </w:rPr>
                        <w:t xml:space="preserve">Second Quarter 2026 Form 10-Q </w:t>
                      </w:r>
                      <w:r>
                        <w:rPr>
                          <w:rFonts w:ascii="Allstate Sans;sans-serif" w:hAnsi="Allstate Sans;sans-serif"/>
                          <w:b w:val="false"/>
                          <w:color w:val="0033A0"/>
                          <w:sz w:val="18"/>
                        </w:rPr>
                        <w:t>33</w:t>
                      </w:r>
                    </w:p>
                  </w:txbxContent>
                </v:textbox>
                <w10:wrap type="none"/>
              </v:rect>
            </w:pict>
          </mc:Fallback>
        </mc:AlternateContent>
      </w:r>
    </w:p>
    <w:p>
      <w:pPr>
        <w:pStyle w:val="TextBody"/>
        <w:bidi w:val="0"/>
        <w:spacing w:lineRule="auto" w:line="288" w:before="0" w:after="0"/>
        <w:jc w:val="left"/>
        <w:rPr>
          <w:rFonts w:ascii="Allstate Sans;sans-serif" w:hAnsi="Allstate Sans;sans-serif"/>
          <w:b w:val="false"/>
          <w:color w:val="0033A0"/>
          <w:sz w:val="18"/>
        </w:rPr>
      </w:pPr>
      <w:r>
        <w:rPr>
          <w:rFonts w:ascii="Allstate Sans;sans-serif" w:hAnsi="Allstate Sans;sans-serif"/>
          <w:b w:val="false"/>
          <w:color w:val="0033A0"/>
          <w:sz w:val="18"/>
        </w:rPr>
        <w:t>Notes to Condensed Consolidated Financial Statements</w:t>
      </w:r>
    </w:p>
    <w:tbl>
      <w:tblPr>
        <w:tblW w:w="10205" w:type="dxa"/>
        <w:jc w:val="left"/>
        <w:tblInd w:w="0" w:type="dxa"/>
        <w:tblLayout w:type="fixed"/>
        <w:tblCellMar>
          <w:top w:w="28" w:type="dxa"/>
          <w:left w:w="28" w:type="dxa"/>
          <w:bottom w:w="28" w:type="dxa"/>
          <w:right w:w="28" w:type="dxa"/>
        </w:tblCellMar>
      </w:tblPr>
      <w:tblGrid>
        <w:gridCol w:w="342"/>
        <w:gridCol w:w="301"/>
        <w:gridCol w:w="303"/>
        <w:gridCol w:w="2709"/>
        <w:gridCol w:w="2709"/>
        <w:gridCol w:w="3841"/>
      </w:tblGrid>
      <w:tr>
        <w:trPr/>
        <w:tc>
          <w:tcPr>
            <w:tcW w:w="3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709" w:type="dxa"/>
            <w:tcBorders/>
            <w:vAlign w:val="center"/>
          </w:tcPr>
          <w:p>
            <w:pPr>
              <w:pStyle w:val="TableContents"/>
              <w:bidi w:val="0"/>
              <w:spacing w:before="0" w:after="283"/>
              <w:jc w:val="left"/>
              <w:rPr>
                <w:sz w:val="4"/>
                <w:szCs w:val="4"/>
              </w:rPr>
            </w:pPr>
            <w:r>
              <w:rPr>
                <w:sz w:val="4"/>
                <w:szCs w:val="4"/>
              </w:rPr>
            </w:r>
          </w:p>
        </w:tc>
        <w:tc>
          <w:tcPr>
            <w:tcW w:w="2709" w:type="dxa"/>
            <w:tcBorders/>
            <w:vAlign w:val="center"/>
          </w:tcPr>
          <w:p>
            <w:pPr>
              <w:pStyle w:val="TableContents"/>
              <w:bidi w:val="0"/>
              <w:spacing w:before="0" w:after="283"/>
              <w:jc w:val="left"/>
              <w:rPr>
                <w:sz w:val="4"/>
                <w:szCs w:val="4"/>
              </w:rPr>
            </w:pPr>
            <w:r>
              <w:rPr>
                <w:sz w:val="4"/>
                <w:szCs w:val="4"/>
              </w:rPr>
            </w:r>
          </w:p>
        </w:tc>
        <w:tc>
          <w:tcPr>
            <w:tcW w:w="3841"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bottom w:val="single" w:sz="8" w:space="0" w:color="0033A0"/>
            </w:tcBorders>
            <w:tcMar>
              <w:top w:w="0" w:type="dxa"/>
              <w:left w:w="0" w:type="dxa"/>
              <w:bottom w:w="30" w:type="dxa"/>
              <w:right w:w="0" w:type="dxa"/>
            </w:tcMar>
            <w:vAlign w:val="center"/>
          </w:tcPr>
          <w:p>
            <w:pPr>
              <w:pStyle w:val="TableContents"/>
              <w:bidi w:val="0"/>
              <w:spacing w:lineRule="auto" w:line="240" w:before="0" w:after="283"/>
              <w:jc w:val="left"/>
              <w:rPr>
                <w:rFonts w:ascii="Allstate Sans;sans-serif" w:hAnsi="Allstate Sans;sans-serif"/>
                <w:b/>
                <w:color w:val="0033A0"/>
                <w:sz w:val="22"/>
              </w:rPr>
            </w:pPr>
            <w:r>
              <w:rPr>
                <w:rFonts w:ascii="Allstate Sans;sans-serif" w:hAnsi="Allstate Sans;sans-serif"/>
                <w:b/>
                <w:color w:val="0033A0"/>
                <w:sz w:val="22"/>
              </w:rPr>
              <w:t>Note 8</w:t>
            </w:r>
          </w:p>
        </w:tc>
        <w:tc>
          <w:tcPr>
            <w:tcW w:w="9259" w:type="dxa"/>
            <w:gridSpan w:val="3"/>
            <w:tcBorders>
              <w:bottom w:val="single" w:sz="8" w:space="0" w:color="0033A0"/>
            </w:tcBorders>
            <w:tcMar>
              <w:top w:w="0" w:type="dxa"/>
              <w:left w:w="0" w:type="dxa"/>
              <w:bottom w:w="30" w:type="dxa"/>
              <w:right w:w="0" w:type="dxa"/>
            </w:tcMar>
            <w:vAlign w:val="center"/>
          </w:tcPr>
          <w:p>
            <w:pPr>
              <w:pStyle w:val="TableContents"/>
              <w:bidi w:val="0"/>
              <w:spacing w:lineRule="auto" w:line="240" w:before="0" w:after="283"/>
              <w:jc w:val="left"/>
              <w:rPr>
                <w:rFonts w:ascii="Allstate Sans;sans-serif" w:hAnsi="Allstate Sans;sans-serif"/>
                <w:b/>
                <w:color w:val="000000"/>
                <w:sz w:val="22"/>
              </w:rPr>
            </w:pPr>
            <w:r>
              <w:rPr>
                <w:rFonts w:ascii="Allstate Sans;sans-serif" w:hAnsi="Allstate Sans;sans-serif"/>
                <w:b/>
                <w:color w:val="000000"/>
                <w:sz w:val="22"/>
              </w:rPr>
              <w:t>Reserve for Property and Casualty Insurance Claims and Claims Expense</w:t>
            </w:r>
          </w:p>
        </w:tc>
      </w:tr>
    </w:tbl>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 xml:space="preserve">The Company establishes reserves for claims and claims expense on reported and unreported claims of insured losses. The Company’s reserving process considers known facts and interpretations of circumstances and factors including the Company’s experience with similar cases, actual claims paid, historical trends involving claim payment patterns and pending levels of unpaid claims, loss management programs, product mix and contractual terms, changes in laws and regulations, judicial decisions and economic conditions. </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 xml:space="preserve">When the Company experiences changes in the mix or type of claims or changing claim settlement patterns or data, it applies actuarial judgment in the determination and selection of development factors to develop reserve liabilities. Recent tort reform measures in certain jurisdictions have altered the legal environment and may affect claim settlement patterns over time. These changes require the Company to evaluate whether historical settlement trends remain appropriate for reserve development. In cases where tort reform is expected to influence claim outcomes, more recent claim settlement experience may be given greater consideration when selecting development factors. While inflationary pressures have moderated compared to prior periods, factors such as a higher mix of more complex repairs, combined with skilled labor shortages, continue to influence physical damage loss costs. Medical cost trends, increased treatment trends, higher attorney representation, rising litigation costs and more severe accidents have contributed to higher third-party bodily injury loss costs. The Company continues to digitize and modernize claim processes to increase effectiveness and efficiency. These factors may lead to historical development trends being less predictive of future loss development, potentially creating additional reserve variability. </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 xml:space="preserve">Generally, the initial reserves for a new accident year are established based on claim frequency and severity assumptions for different business segments, lines and coverages based on historical relationships to relevant inflation indicators. Reserves for prior accident years are statistically determined using several different actuarial estimation methods. Changes in auto claim frequency may result from changes in mix of business, driving behaviors, miles driven or other factors. Changes in auto current year claim severity are generally influenced by inflation in the medical and auto repair sectors, changes in attorney represented and litigated claim behavior, the effectiveness and efficiency of claim settlements and changes in mix of claim types. When changes in claim data occur, actuarial judgment is used to determine appropriate </w:t>
      </w:r>
    </w:p>
    <w:p>
      <w:pPr>
        <w:pStyle w:val="TextBody"/>
        <w:bidi w:val="0"/>
        <w:spacing w:lineRule="auto" w:line="288" w:before="0" w:after="120"/>
        <w:jc w:val="left"/>
        <w:rPr>
          <w:rFonts w:ascii="Allstate Sans;sans-serif" w:hAnsi="Allstate Sans;sans-serif"/>
          <w:b w:val="false"/>
          <w:color w:val="000000"/>
          <w:sz w:val="18"/>
        </w:rPr>
      </w:pPr>
      <w:r>
        <w:rPr>
          <w:rFonts w:ascii="Allstate Sans;sans-serif" w:hAnsi="Allstate Sans;sans-serif"/>
          <w:b w:val="false"/>
          <w:color w:val="000000"/>
          <w:sz w:val="18"/>
        </w:rPr>
        <w:t>development factors to establish reserves. The Company’s reserving process incorporates changes in loss patterns, operational statistics and changes in claims reporting processes to determine its best estimate of recorded reserves.</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 xml:space="preserve">As part of the reserving process, the Company may also supplement its claims processes by utilizing third-party adjusters, appraisers, engineers, inspectors and other professionals and information sources to assess and settle catastrophe and non-catastrophe related claims. The effects of inflation are implicitly considered in the reserving process. </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 xml:space="preserve">Because reserves are estimates of unpaid portions of losses that have occurred, including incurred but not reported (“IBNR”) losses, the establishment of appropriate reserves, including reserves for catastrophes, Run-off Property-Liability and reinsurance and indemnification recoverables, is an inherently uncertain and complex process. The ultimate cost of losses may vary materially from recorded amounts, which are based on management’s best estimates. </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The highest degree of uncertainty is associated with reserves for losses incurred in the initial reporting period as it contains the greatest proportion of losses that have not been reported or settled as well as heightened uncertainty for claims that involve litigation or take longer to settle during periods of rapidly increasing loss costs. The Company also has uncertainty in the Run-off Property-Liability reserves that are based on events long since passed and are complicated by lack of historical data, legal interpretations, unresolved legal issues and legislative intent based on establishment of facts.</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The Company regularly updates its reserve estimates as new information becomes available and as events unfold that may affect the resolution of unsettled claims. Changes in reserve estimates, which may be material, are reported in property and casualty insurance claims and claims expense in the Condensed Consolidated Statements of Operations in the period such changes are determined.</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 xml:space="preserve">Management believes that the reserve for property and casualty insurance claims and claims expense, net of recoverables, is appropriately established in the aggregate and adequate to cover the ultimate net cost of reported and unreported claims arising from losses which had occurred by the date of the Condensed Consolidated Statements of Financial Position based on available facts, laws and regulations.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37"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120"/>
                              <w:jc w:val="left"/>
                              <w:rPr/>
                            </w:pPr>
                            <w:r>
                              <w:rPr>
                                <w:rFonts w:ascii="Allstate Sans;sans-serif" w:hAnsi="Allstate Sans;sans-serif"/>
                                <w:b w:val="false"/>
                                <w:color w:val="0033A0"/>
                                <w:sz w:val="18"/>
                              </w:rPr>
                              <w:t>34</w:t>
                            </w:r>
                            <w:r>
                              <w:rPr>
                                <w:color w:val="1666AF"/>
                              </w:rPr>
                              <w:t xml:space="preserve"> </w:t>
                            </w:r>
                            <w:r>
                              <w:rPr>
                                <w:rFonts w:ascii="Allstate Sans;sans-serif" w:hAnsi="Allstate Sans;sans-serif"/>
                                <w:b w:val="false"/>
                                <w:color w:val="000000"/>
                                <w:sz w:val="18"/>
                              </w:rPr>
                              <w:t>www.allstate.com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left"/>
                        <w:rPr/>
                      </w:pPr>
                      <w:r>
                        <w:rPr>
                          <w:rFonts w:ascii="Allstate Sans;sans-serif" w:hAnsi="Allstate Sans;sans-serif"/>
                          <w:b w:val="false"/>
                          <w:color w:val="0033A0"/>
                          <w:sz w:val="18"/>
                        </w:rPr>
                        <w:t>34</w:t>
                      </w:r>
                      <w:r>
                        <w:rPr>
                          <w:color w:val="1666AF"/>
                        </w:rPr>
                        <w:t xml:space="preserve"> </w:t>
                      </w:r>
                      <w:r>
                        <w:rPr>
                          <w:rFonts w:ascii="Allstate Sans;sans-serif" w:hAnsi="Allstate Sans;sans-serif"/>
                          <w:b w:val="false"/>
                          <w:color w:val="000000"/>
                          <w:sz w:val="18"/>
                        </w:rPr>
                        <w:t>www.allstate.com</w:t>
                      </w:r>
                    </w:p>
                  </w:txbxContent>
                </v:textbox>
                <w10:wrap type="none"/>
              </v:rect>
            </w:pict>
          </mc:Fallback>
        </mc:AlternateContent>
      </w:r>
    </w:p>
    <w:p>
      <w:pPr>
        <w:pStyle w:val="TextBody"/>
        <w:bidi w:val="0"/>
        <w:spacing w:lineRule="auto" w:line="288" w:before="0" w:after="0"/>
        <w:jc w:val="right"/>
        <w:rPr>
          <w:rFonts w:ascii="Allstate Sans;sans-serif" w:hAnsi="Allstate Sans;sans-serif"/>
          <w:b w:val="false"/>
          <w:color w:val="0033A0"/>
          <w:sz w:val="18"/>
        </w:rPr>
      </w:pPr>
      <w:r>
        <w:rPr>
          <w:rFonts w:ascii="Allstate Sans;sans-serif" w:hAnsi="Allstate Sans;sans-serif"/>
          <w:b w:val="false"/>
          <w:color w:val="0033A0"/>
          <w:sz w:val="18"/>
        </w:rPr>
        <w:t>Notes to Condensed Consolidated Financial Statements</w:t>
      </w:r>
    </w:p>
    <w:p>
      <w:pPr>
        <w:pStyle w:val="TextBody"/>
        <w:bidi w:val="0"/>
        <w:spacing w:before="0" w:after="120"/>
        <w:ind w:left="0" w:right="0" w:firstLine="360"/>
        <w:jc w:val="left"/>
        <w:rPr/>
      </w:pPr>
      <w:r>
        <w:rPr/>
      </w:r>
    </w:p>
    <w:tbl>
      <w:tblPr>
        <w:tblW w:w="10205" w:type="dxa"/>
        <w:jc w:val="center"/>
        <w:tblInd w:w="0" w:type="dxa"/>
        <w:tblLayout w:type="fixed"/>
        <w:tblCellMar>
          <w:top w:w="28" w:type="dxa"/>
          <w:left w:w="28" w:type="dxa"/>
          <w:bottom w:w="28" w:type="dxa"/>
          <w:right w:w="28" w:type="dxa"/>
        </w:tblCellMar>
      </w:tblPr>
      <w:tblGrid>
        <w:gridCol w:w="1258"/>
        <w:gridCol w:w="1070"/>
        <w:gridCol w:w="1050"/>
        <w:gridCol w:w="243"/>
        <w:gridCol w:w="243"/>
        <w:gridCol w:w="243"/>
        <w:gridCol w:w="505"/>
        <w:gridCol w:w="1882"/>
        <w:gridCol w:w="243"/>
        <w:gridCol w:w="243"/>
        <w:gridCol w:w="243"/>
        <w:gridCol w:w="243"/>
        <w:gridCol w:w="505"/>
        <w:gridCol w:w="1882"/>
        <w:gridCol w:w="352"/>
      </w:tblGrid>
      <w:tr>
        <w:trPr/>
        <w:tc>
          <w:tcPr>
            <w:tcW w:w="1258"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882"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88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both"/>
              <w:rPr>
                <w:rFonts w:ascii="Allstate Sans;sans-serif" w:hAnsi="Allstate Sans;sans-serif"/>
                <w:b/>
                <w:color w:val="000000"/>
                <w:sz w:val="18"/>
              </w:rPr>
            </w:pPr>
            <w:r>
              <w:rPr>
                <w:rFonts w:ascii="Allstate Sans;sans-serif" w:hAnsi="Allstate Sans;sans-serif"/>
                <w:b/>
                <w:color w:val="000000"/>
                <w:sz w:val="18"/>
              </w:rPr>
              <w:t>Rollforward of the reserve for property and casualty insurance claims and claims expense</w:t>
            </w:r>
          </w:p>
        </w:tc>
      </w:tr>
      <w:tr>
        <w:trPr/>
        <w:tc>
          <w:tcPr>
            <w:tcW w:w="3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Six months ended June 30,</w:t>
            </w:r>
          </w:p>
        </w:tc>
      </w:tr>
      <w:tr>
        <w:trPr/>
        <w:tc>
          <w:tcPr>
            <w:tcW w:w="33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 in millions)</w:t>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2026</w:t>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2025</w:t>
            </w:r>
          </w:p>
        </w:tc>
      </w:tr>
      <w:tr>
        <w:trPr/>
        <w:tc>
          <w:tcPr>
            <w:tcW w:w="3378"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Balance as of January 1</w:t>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1882"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41,079 </w:t>
            </w:r>
          </w:p>
        </w:tc>
        <w:tc>
          <w:tcPr>
            <w:tcW w:w="243"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1882"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41,917 </w:t>
            </w:r>
          </w:p>
        </w:tc>
        <w:tc>
          <w:tcPr>
            <w:tcW w:w="352"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8"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pPr>
            <w:r>
              <w:rPr>
                <w:rFonts w:ascii="Helvetica_Neue_LT_W1G_55_Roman;sans-serif" w:hAnsi="Helvetica_Neue_LT_W1G_55_Roman;sans-serif"/>
                <w:b w:val="false"/>
                <w:color w:val="000000"/>
                <w:sz w:val="18"/>
              </w:rPr>
              <w:t xml:space="preserve">Less: recoverables </w:t>
            </w:r>
            <w:r>
              <w:rPr>
                <w:rFonts w:ascii="Helvetica_Neue_LT_W1G_55_Roman;sans-serif" w:hAnsi="Helvetica_Neue_LT_W1G_55_Roman;sans-serif"/>
                <w:b w:val="false"/>
                <w:color w:val="000000"/>
                <w:sz w:val="12"/>
              </w:rPr>
              <w:t>(1)</w:t>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8,012 </w:t>
            </w:r>
          </w:p>
        </w:tc>
        <w:tc>
          <w:tcPr>
            <w:tcW w:w="24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8,602 </w:t>
            </w:r>
          </w:p>
        </w:tc>
        <w:tc>
          <w:tcPr>
            <w:tcW w:w="35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8"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Net balance as of January 1</w:t>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33,067</w:t>
            </w:r>
            <w:r>
              <w:rPr>
                <w:color w:val="000000"/>
              </w:rPr>
              <w:t> </w:t>
            </w:r>
          </w:p>
        </w:tc>
        <w:tc>
          <w:tcPr>
            <w:tcW w:w="24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33,315</w:t>
            </w:r>
            <w:r>
              <w:rPr>
                <w:color w:val="000000"/>
              </w:rPr>
              <w:t> </w:t>
            </w:r>
          </w:p>
        </w:tc>
        <w:tc>
          <w:tcPr>
            <w:tcW w:w="35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8" w:type="dxa"/>
            <w:gridSpan w:val="3"/>
            <w:tcBorders/>
            <w:vAlign w:val="center"/>
          </w:tcPr>
          <w:p>
            <w:pPr>
              <w:pStyle w:val="TableContents"/>
              <w:bidi w:val="0"/>
              <w:spacing w:before="0" w:after="283"/>
              <w:jc w:val="left"/>
              <w:rPr>
                <w:sz w:val="4"/>
                <w:szCs w:val="4"/>
              </w:rPr>
            </w:pPr>
            <w:r>
              <w:rPr>
                <w:sz w:val="4"/>
                <w:szCs w:val="4"/>
              </w:rPr>
            </w:r>
          </w:p>
        </w:tc>
        <w:tc>
          <w:tcPr>
            <w:tcW w:w="729" w:type="dxa"/>
            <w:gridSpan w:val="3"/>
            <w:tcBorders/>
            <w:vAlign w:val="center"/>
          </w:tcPr>
          <w:p>
            <w:pPr>
              <w:pStyle w:val="TableContents"/>
              <w:bidi w:val="0"/>
              <w:spacing w:before="0" w:after="283"/>
              <w:jc w:val="left"/>
              <w:rPr>
                <w:sz w:val="4"/>
                <w:szCs w:val="4"/>
              </w:rPr>
            </w:pPr>
            <w:r>
              <w:rPr>
                <w:sz w:val="4"/>
                <w:szCs w:val="4"/>
              </w:rPr>
            </w:r>
          </w:p>
        </w:tc>
        <w:tc>
          <w:tcPr>
            <w:tcW w:w="2630" w:type="dxa"/>
            <w:gridSpan w:val="3"/>
            <w:tcBorders/>
            <w:vAlign w:val="center"/>
          </w:tcPr>
          <w:p>
            <w:pPr>
              <w:pStyle w:val="TableContents"/>
              <w:bidi w:val="0"/>
              <w:spacing w:before="0" w:after="283"/>
              <w:jc w:val="left"/>
              <w:rPr>
                <w:sz w:val="4"/>
                <w:szCs w:val="4"/>
              </w:rPr>
            </w:pPr>
            <w:r>
              <w:rPr>
                <w:sz w:val="4"/>
                <w:szCs w:val="4"/>
              </w:rPr>
            </w:r>
          </w:p>
        </w:tc>
        <w:tc>
          <w:tcPr>
            <w:tcW w:w="729" w:type="dxa"/>
            <w:gridSpan w:val="3"/>
            <w:tcBorders/>
            <w:vAlign w:val="center"/>
          </w:tcPr>
          <w:p>
            <w:pPr>
              <w:pStyle w:val="TableContents"/>
              <w:bidi w:val="0"/>
              <w:spacing w:before="0" w:after="283"/>
              <w:jc w:val="left"/>
              <w:rPr>
                <w:sz w:val="4"/>
                <w:szCs w:val="4"/>
              </w:rPr>
            </w:pPr>
            <w:r>
              <w:rPr>
                <w:sz w:val="4"/>
                <w:szCs w:val="4"/>
              </w:rPr>
            </w:r>
          </w:p>
        </w:tc>
        <w:tc>
          <w:tcPr>
            <w:tcW w:w="2739" w:type="dxa"/>
            <w:gridSpan w:val="3"/>
            <w:tcBorders/>
            <w:vAlign w:val="center"/>
          </w:tcPr>
          <w:p>
            <w:pPr>
              <w:pStyle w:val="TableContents"/>
              <w:bidi w:val="0"/>
              <w:spacing w:before="0" w:after="283"/>
              <w:jc w:val="left"/>
              <w:rPr>
                <w:sz w:val="4"/>
                <w:szCs w:val="4"/>
              </w:rPr>
            </w:pPr>
            <w:r>
              <w:rPr>
                <w:sz w:val="4"/>
                <w:szCs w:val="4"/>
              </w:rPr>
            </w:r>
          </w:p>
        </w:tc>
      </w:tr>
      <w:tr>
        <w:trPr/>
        <w:tc>
          <w:tcPr>
            <w:tcW w:w="3378"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Incurred claims and claims expense related to:</w:t>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0"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9"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8"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Current year</w:t>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20,692 </w:t>
            </w:r>
          </w:p>
        </w:tc>
        <w:tc>
          <w:tcPr>
            <w:tcW w:w="24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21,685 </w:t>
            </w:r>
          </w:p>
        </w:tc>
        <w:tc>
          <w:tcPr>
            <w:tcW w:w="35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8"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Prior years</w:t>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(1,645)</w:t>
            </w:r>
          </w:p>
        </w:tc>
        <w:tc>
          <w:tcPr>
            <w:tcW w:w="24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(621)</w:t>
            </w:r>
          </w:p>
        </w:tc>
        <w:tc>
          <w:tcPr>
            <w:tcW w:w="35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8"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 incurred</w:t>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19,047</w:t>
            </w:r>
            <w:r>
              <w:rPr>
                <w:color w:val="000000"/>
              </w:rPr>
              <w:t> </w:t>
            </w:r>
          </w:p>
        </w:tc>
        <w:tc>
          <w:tcPr>
            <w:tcW w:w="24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21,064</w:t>
            </w:r>
            <w:r>
              <w:rPr>
                <w:color w:val="000000"/>
              </w:rPr>
              <w:t> </w:t>
            </w:r>
          </w:p>
        </w:tc>
        <w:tc>
          <w:tcPr>
            <w:tcW w:w="35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8"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Claims and claims expense paid related to:</w:t>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0"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9"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8"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Current year</w:t>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(9,320)</w:t>
            </w:r>
          </w:p>
        </w:tc>
        <w:tc>
          <w:tcPr>
            <w:tcW w:w="24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(10,002)</w:t>
            </w:r>
          </w:p>
        </w:tc>
        <w:tc>
          <w:tcPr>
            <w:tcW w:w="35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8"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Prior years</w:t>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(9,261)</w:t>
            </w:r>
          </w:p>
        </w:tc>
        <w:tc>
          <w:tcPr>
            <w:tcW w:w="24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(9,521)</w:t>
            </w:r>
          </w:p>
        </w:tc>
        <w:tc>
          <w:tcPr>
            <w:tcW w:w="35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8"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 paid</w:t>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(18,581)</w:t>
            </w:r>
          </w:p>
        </w:tc>
        <w:tc>
          <w:tcPr>
            <w:tcW w:w="24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(19,523)</w:t>
            </w:r>
          </w:p>
        </w:tc>
        <w:tc>
          <w:tcPr>
            <w:tcW w:w="35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8"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Net balance as of June 30</w:t>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33,533</w:t>
            </w:r>
            <w:r>
              <w:rPr>
                <w:color w:val="000000"/>
              </w:rPr>
              <w:t> </w:t>
            </w:r>
          </w:p>
        </w:tc>
        <w:tc>
          <w:tcPr>
            <w:tcW w:w="24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34,856</w:t>
            </w:r>
            <w:r>
              <w:rPr>
                <w:color w:val="000000"/>
              </w:rPr>
              <w:t> </w:t>
            </w:r>
          </w:p>
        </w:tc>
        <w:tc>
          <w:tcPr>
            <w:tcW w:w="35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8"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Plus: recoverables</w:t>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7,446 </w:t>
            </w:r>
          </w:p>
        </w:tc>
        <w:tc>
          <w:tcPr>
            <w:tcW w:w="24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9,285 </w:t>
            </w:r>
          </w:p>
        </w:tc>
        <w:tc>
          <w:tcPr>
            <w:tcW w:w="35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8" w:type="dxa"/>
            <w:gridSpan w:val="3"/>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Balance as of June 30</w:t>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1882"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40,979</w:t>
            </w:r>
            <w:r>
              <w:rPr>
                <w:color w:val="000000"/>
              </w:rPr>
              <w:t> </w:t>
            </w:r>
          </w:p>
        </w:tc>
        <w:tc>
          <w:tcPr>
            <w:tcW w:w="243"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1882"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44,141</w:t>
            </w:r>
            <w:r>
              <w:rPr>
                <w:color w:val="000000"/>
              </w:rPr>
              <w:t> </w:t>
            </w:r>
          </w:p>
        </w:tc>
        <w:tc>
          <w:tcPr>
            <w:tcW w:w="352"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180"/>
        <w:jc w:val="left"/>
        <w:rPr/>
      </w:pPr>
      <w:r>
        <w:rPr>
          <w:rFonts w:ascii="Allstate Sans;sans-serif" w:hAnsi="Allstate Sans;sans-serif"/>
          <w:b w:val="false"/>
          <w:color w:val="000000"/>
          <w:sz w:val="10"/>
        </w:rPr>
        <w:t>(1)</w:t>
      </w:r>
      <w:r>
        <w:rPr>
          <w:rFonts w:ascii="Allstate Sans;sans-serif" w:hAnsi="Allstate Sans;sans-serif"/>
          <w:b w:val="false"/>
          <w:color w:val="000000"/>
          <w:sz w:val="16"/>
        </w:rPr>
        <w:t>Recoverables comprises reinsurance and indemnification recoverables.</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 xml:space="preserve">Incurred claims and claims expense represents the sum of paid losses, claim adjustment expenses and reserve changes in the period. This expense included losses from catastrophes of $2.96 billion and $4.19 billion in the six months ended June 30, 2026 and 2025, respectively, net of recoverables. </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Catastrophes are an inherent risk of the property and casualty insurance business that have contributed to, and will continue to contribute to, material year-to-year fluctuations in the Company’s results of operations and financial position.</w:t>
      </w:r>
    </w:p>
    <w:tbl>
      <w:tblPr>
        <w:tblW w:w="10205" w:type="dxa"/>
        <w:jc w:val="left"/>
        <w:tblInd w:w="0" w:type="dxa"/>
        <w:tblLayout w:type="fixed"/>
        <w:tblCellMar>
          <w:top w:w="28" w:type="dxa"/>
          <w:left w:w="28" w:type="dxa"/>
          <w:bottom w:w="28" w:type="dxa"/>
          <w:right w:w="28" w:type="dxa"/>
        </w:tblCellMar>
      </w:tblPr>
      <w:tblGrid>
        <w:gridCol w:w="1206"/>
        <w:gridCol w:w="609"/>
        <w:gridCol w:w="613"/>
        <w:gridCol w:w="109"/>
        <w:gridCol w:w="109"/>
        <w:gridCol w:w="109"/>
        <w:gridCol w:w="245"/>
        <w:gridCol w:w="832"/>
        <w:gridCol w:w="118"/>
        <w:gridCol w:w="118"/>
        <w:gridCol w:w="118"/>
        <w:gridCol w:w="118"/>
        <w:gridCol w:w="245"/>
        <w:gridCol w:w="620"/>
        <w:gridCol w:w="118"/>
        <w:gridCol w:w="109"/>
        <w:gridCol w:w="109"/>
        <w:gridCol w:w="109"/>
        <w:gridCol w:w="226"/>
        <w:gridCol w:w="445"/>
        <w:gridCol w:w="109"/>
        <w:gridCol w:w="109"/>
        <w:gridCol w:w="109"/>
        <w:gridCol w:w="109"/>
        <w:gridCol w:w="226"/>
        <w:gridCol w:w="445"/>
        <w:gridCol w:w="109"/>
        <w:gridCol w:w="109"/>
        <w:gridCol w:w="109"/>
        <w:gridCol w:w="109"/>
        <w:gridCol w:w="226"/>
        <w:gridCol w:w="760"/>
        <w:gridCol w:w="109"/>
        <w:gridCol w:w="109"/>
        <w:gridCol w:w="109"/>
        <w:gridCol w:w="109"/>
        <w:gridCol w:w="226"/>
        <w:gridCol w:w="565"/>
        <w:gridCol w:w="164"/>
      </w:tblGrid>
      <w:tr>
        <w:trPr/>
        <w:tc>
          <w:tcPr>
            <w:tcW w:w="1206"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0205" w:type="dxa"/>
            <w:gridSpan w:val="39"/>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both"/>
              <w:rPr/>
            </w:pPr>
            <w:r>
              <w:rPr>
                <w:rFonts w:ascii="Allstate Sans;sans-serif" w:hAnsi="Allstate Sans;sans-serif"/>
                <w:b/>
                <w:color w:val="000000"/>
                <w:sz w:val="18"/>
              </w:rPr>
              <w:t xml:space="preserve">Prior year reserve reestimates included in claims and claims expense </w:t>
            </w:r>
            <w:r>
              <w:rPr>
                <w:rFonts w:ascii="Allstate Sans;sans-serif" w:hAnsi="Allstate Sans;sans-serif"/>
                <w:b w:val="false"/>
                <w:color w:val="000000"/>
                <w:sz w:val="10"/>
              </w:rPr>
              <w:t>(1)</w:t>
            </w:r>
          </w:p>
        </w:tc>
      </w:tr>
      <w:tr>
        <w:trPr/>
        <w:tc>
          <w:tcPr>
            <w:tcW w:w="24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Excluding catastrophe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Catastrophe</w:t>
            </w:r>
          </w:p>
          <w:p>
            <w:pPr>
              <w:pStyle w:val="TableContents"/>
              <w:bidi w:val="0"/>
              <w:spacing w:lineRule="auto" w:line="240" w:before="0" w:after="0"/>
              <w:jc w:val="center"/>
              <w:rPr/>
            </w:pPr>
            <w:r>
              <w:rPr>
                <w:color w:val="000000"/>
              </w:rPr>
              <w:t> </w:t>
            </w:r>
            <w:r>
              <w:rPr>
                <w:rFonts w:ascii="Helvetica_Neue_LT_W1G_55_Roman;sans-serif" w:hAnsi="Helvetica_Neue_LT_W1G_55_Roman;sans-serif"/>
                <w:b/>
                <w:color w:val="000000"/>
                <w:sz w:val="18"/>
              </w:rPr>
              <w:t xml:space="preserve">losses </w:t>
            </w:r>
            <w:r>
              <w:rPr>
                <w:rFonts w:ascii="Helvetica_Neue_LT_W1G_55_Roman;sans-serif" w:hAnsi="Helvetica_Neue_LT_W1G_55_Roman;sans-serif"/>
                <w:b/>
                <w:color w:val="000000"/>
                <w:sz w:val="12"/>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w:t>
            </w:r>
          </w:p>
        </w:tc>
      </w:tr>
      <w:tr>
        <w:trPr/>
        <w:tc>
          <w:tcPr>
            <w:tcW w:w="242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2026</w:t>
            </w:r>
          </w:p>
        </w:tc>
        <w:tc>
          <w:tcPr>
            <w:tcW w:w="35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40"/>
              <w:jc w:val="left"/>
              <w:rPr/>
            </w:pPr>
            <w:r>
              <w:rPr/>
            </w:r>
          </w:p>
        </w:tc>
        <w:tc>
          <w:tcPr>
            <w:tcW w:w="78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2025</w:t>
            </w:r>
          </w:p>
        </w:tc>
      </w:tr>
      <w:tr>
        <w:trPr/>
        <w:tc>
          <w:tcPr>
            <w:tcW w:w="2428"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8"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Auto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832"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(639)</w:t>
            </w:r>
          </w:p>
        </w:tc>
        <w:tc>
          <w:tcPr>
            <w:tcW w:w="11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620"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(415)</w:t>
            </w:r>
          </w:p>
        </w:tc>
        <w:tc>
          <w:tcPr>
            <w:tcW w:w="11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445"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(9)</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445"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(16)</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760"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(648)</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565"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(431)</w:t>
            </w:r>
          </w:p>
        </w:tc>
        <w:tc>
          <w:tcPr>
            <w:tcW w:w="16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8"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Homeowners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(28)</w:t>
            </w:r>
          </w:p>
        </w:tc>
        <w:tc>
          <w:tcPr>
            <w:tcW w:w="11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12 </w:t>
            </w:r>
          </w:p>
        </w:tc>
        <w:tc>
          <w:tcPr>
            <w:tcW w:w="11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66 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18 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38 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30 </w:t>
            </w:r>
          </w:p>
        </w:tc>
        <w:tc>
          <w:tcPr>
            <w:tcW w:w="16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8"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Specialty lines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(16)</w:t>
            </w:r>
          </w:p>
        </w:tc>
        <w:tc>
          <w:tcPr>
            <w:tcW w:w="11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28 </w:t>
            </w:r>
          </w:p>
        </w:tc>
        <w:tc>
          <w:tcPr>
            <w:tcW w:w="11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(19)</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30 </w:t>
            </w:r>
          </w:p>
        </w:tc>
        <w:tc>
          <w:tcPr>
            <w:tcW w:w="16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8"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Commercial lines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w:t>
            </w:r>
          </w:p>
        </w:tc>
        <w:tc>
          <w:tcPr>
            <w:tcW w:w="11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7 </w:t>
            </w:r>
          </w:p>
        </w:tc>
        <w:tc>
          <w:tcPr>
            <w:tcW w:w="11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(11)</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9 </w:t>
            </w:r>
          </w:p>
        </w:tc>
        <w:tc>
          <w:tcPr>
            <w:tcW w:w="16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8"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Brokered solutions and collateral protection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w:t>
            </w:r>
          </w:p>
        </w:tc>
        <w:tc>
          <w:tcPr>
            <w:tcW w:w="11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(10)</w:t>
            </w:r>
          </w:p>
        </w:tc>
        <w:tc>
          <w:tcPr>
            <w:tcW w:w="11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(10)</w:t>
            </w:r>
          </w:p>
        </w:tc>
        <w:tc>
          <w:tcPr>
            <w:tcW w:w="16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8"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pPr>
            <w:r>
              <w:rPr>
                <w:rFonts w:ascii="Helvetica_Neue_LT_W1G_55_Roman;sans-serif" w:hAnsi="Helvetica_Neue_LT_W1G_55_Roman;sans-serif"/>
                <w:b w:val="false"/>
                <w:color w:val="000000"/>
                <w:sz w:val="18"/>
              </w:rPr>
              <w:t>Run-off Property-Liability</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2 </w:t>
            </w:r>
          </w:p>
        </w:tc>
        <w:tc>
          <w:tcPr>
            <w:tcW w:w="11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2 </w:t>
            </w:r>
          </w:p>
        </w:tc>
        <w:tc>
          <w:tcPr>
            <w:tcW w:w="16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r>
      <w:tr>
        <w:trPr/>
        <w:tc>
          <w:tcPr>
            <w:tcW w:w="2428"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 prior year reserve reestimates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832"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(692)</w:t>
            </w:r>
          </w:p>
        </w:tc>
        <w:tc>
          <w:tcPr>
            <w:tcW w:w="11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620"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(376)</w:t>
            </w:r>
          </w:p>
        </w:tc>
        <w:tc>
          <w:tcPr>
            <w:tcW w:w="11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445"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51</w:t>
            </w: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445"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6</w:t>
            </w: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760"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(641)</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565"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(370)</w:t>
            </w:r>
          </w:p>
        </w:tc>
        <w:tc>
          <w:tcPr>
            <w:tcW w:w="16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8"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8"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op w:val="single" w:sz="4" w:space="0" w:color="B6B6B6"/>
            </w:tcBorders>
            <w:tcMar>
              <w:left w:w="0" w:type="dxa"/>
              <w:bottom w:w="0" w:type="dxa"/>
              <w:right w:w="0" w:type="dxa"/>
            </w:tcMar>
            <w:vAlign w:val="center"/>
          </w:tcPr>
          <w:p>
            <w:pPr>
              <w:pStyle w:val="TableContents"/>
              <w:bidi w:val="0"/>
              <w:spacing w:before="0" w:after="40"/>
              <w:jc w:val="righ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8"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Auto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832"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(1,477)</w:t>
            </w:r>
          </w:p>
        </w:tc>
        <w:tc>
          <w:tcPr>
            <w:tcW w:w="11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620"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(653)</w:t>
            </w:r>
          </w:p>
        </w:tc>
        <w:tc>
          <w:tcPr>
            <w:tcW w:w="11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445"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(11)</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445"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(27)</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760"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(1,488)</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565"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(680)</w:t>
            </w:r>
          </w:p>
        </w:tc>
        <w:tc>
          <w:tcPr>
            <w:tcW w:w="16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8"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Homeowners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(126)</w:t>
            </w:r>
          </w:p>
        </w:tc>
        <w:tc>
          <w:tcPr>
            <w:tcW w:w="11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5 </w:t>
            </w:r>
          </w:p>
        </w:tc>
        <w:tc>
          <w:tcPr>
            <w:tcW w:w="11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52 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17 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(74)</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22 </w:t>
            </w:r>
          </w:p>
        </w:tc>
        <w:tc>
          <w:tcPr>
            <w:tcW w:w="16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8"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Specialty lines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(70)</w:t>
            </w:r>
          </w:p>
        </w:tc>
        <w:tc>
          <w:tcPr>
            <w:tcW w:w="11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81 </w:t>
            </w:r>
          </w:p>
        </w:tc>
        <w:tc>
          <w:tcPr>
            <w:tcW w:w="11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22 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(48)</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76 </w:t>
            </w:r>
          </w:p>
        </w:tc>
        <w:tc>
          <w:tcPr>
            <w:tcW w:w="16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8"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Commercial lines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(28)</w:t>
            </w:r>
          </w:p>
        </w:tc>
        <w:tc>
          <w:tcPr>
            <w:tcW w:w="11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(24)</w:t>
            </w:r>
          </w:p>
        </w:tc>
        <w:tc>
          <w:tcPr>
            <w:tcW w:w="11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(28)</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(19)</w:t>
            </w:r>
          </w:p>
        </w:tc>
        <w:tc>
          <w:tcPr>
            <w:tcW w:w="16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8"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Brokered solutions and collateral protection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w:t>
            </w:r>
          </w:p>
        </w:tc>
        <w:tc>
          <w:tcPr>
            <w:tcW w:w="11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(25)</w:t>
            </w:r>
          </w:p>
        </w:tc>
        <w:tc>
          <w:tcPr>
            <w:tcW w:w="11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(25)</w:t>
            </w:r>
          </w:p>
        </w:tc>
        <w:tc>
          <w:tcPr>
            <w:tcW w:w="16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8"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Run-off Property-Liability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5 </w:t>
            </w:r>
          </w:p>
        </w:tc>
        <w:tc>
          <w:tcPr>
            <w:tcW w:w="11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5 </w:t>
            </w:r>
          </w:p>
        </w:tc>
        <w:tc>
          <w:tcPr>
            <w:tcW w:w="16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r>
      <w:tr>
        <w:trPr/>
        <w:tc>
          <w:tcPr>
            <w:tcW w:w="2428" w:type="dxa"/>
            <w:gridSpan w:val="3"/>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 prior year reserve reestimates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832"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(1,708)</w:t>
            </w:r>
          </w:p>
        </w:tc>
        <w:tc>
          <w:tcPr>
            <w:tcW w:w="118"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620"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(611)</w:t>
            </w:r>
          </w:p>
        </w:tc>
        <w:tc>
          <w:tcPr>
            <w:tcW w:w="118"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445"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63</w:t>
            </w:r>
            <w:r>
              <w:rPr>
                <w:color w:val="000000"/>
              </w:rPr>
              <w:t> </w:t>
            </w:r>
          </w:p>
        </w:tc>
        <w:tc>
          <w:tcPr>
            <w:tcW w:w="109"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445"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(10)</w:t>
            </w:r>
          </w:p>
        </w:tc>
        <w:tc>
          <w:tcPr>
            <w:tcW w:w="109"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760"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(1,645)</w:t>
            </w:r>
          </w:p>
        </w:tc>
        <w:tc>
          <w:tcPr>
            <w:tcW w:w="109"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565"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(621)</w:t>
            </w:r>
          </w:p>
        </w:tc>
        <w:tc>
          <w:tcPr>
            <w:tcW w:w="164"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180"/>
        <w:jc w:val="left"/>
        <w:rPr/>
      </w:pPr>
      <w:r>
        <w:rPr>
          <w:rFonts w:ascii="Allstate Sans;sans-serif" w:hAnsi="Allstate Sans;sans-serif"/>
          <w:b w:val="false"/>
          <w:color w:val="000000"/>
          <w:sz w:val="10"/>
        </w:rPr>
        <w:t>(1)</w:t>
      </w:r>
      <w:r>
        <w:rPr>
          <w:rFonts w:ascii="Allstate Sans;sans-serif" w:hAnsi="Allstate Sans;sans-serif"/>
          <w:b w:val="false"/>
          <w:color w:val="000000"/>
          <w:sz w:val="16"/>
        </w:rPr>
        <w:t>Reserve releases are shown in parentheses.</w:t>
      </w:r>
    </w:p>
    <w:p>
      <w:pPr>
        <w:pStyle w:val="TextBody"/>
        <w:bidi w:val="0"/>
        <w:spacing w:lineRule="auto" w:line="288" w:before="0" w:after="120"/>
        <w:ind w:left="0" w:right="0" w:hanging="180"/>
        <w:jc w:val="left"/>
        <w:rPr/>
      </w:pPr>
      <w:r>
        <w:rPr>
          <w:rFonts w:ascii="Allstate Sans;sans-serif" w:hAnsi="Allstate Sans;sans-serif"/>
          <w:b w:val="false"/>
          <w:color w:val="000000"/>
          <w:sz w:val="10"/>
        </w:rPr>
        <w:t>(2)</w:t>
      </w:r>
      <w:r>
        <w:rPr>
          <w:rFonts w:ascii="Allstate Sans;sans-serif" w:hAnsi="Allstate Sans;sans-serif"/>
          <w:b w:val="false"/>
          <w:color w:val="000000"/>
          <w:sz w:val="16"/>
        </w:rPr>
        <w:t>2025 includes $60 million of estimated recoveries related to the Nationwide Reinsurance Program aggregate cover for losses occurring between April 1, 2024 and December 31, 2024.</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 xml:space="preserve">During the second quarter of 2026, favorable auto severity, excluding catastrophes, reflected improved prior period loss development and better than expected claim outcomes. Auto reserve releases for the second quarter of 2026 included $597 million related to auto injury coverages and $42 million related to other auto coverages. Approximately 51% of auto injury coverage reserve releases related to accident year 2025 and approximately 33% to 2023 and 2024. </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During the first six months of 2026, favorable auto severity, excluding catastrophes, reflected improved prior period loss development and better than expected claim outcomes. Auto reserve releases for the first six months of 2026 included $1.27 billion related to auto injury coverages and $205 million related to other auto coverages. Approximately 30% of auto injury coverage reserve releases related to accident year 2025 and approximately 51% to 2023 and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33350"/>
                <wp:effectExtent l="0" t="0" r="0" b="0"/>
                <wp:wrapNone/>
                <wp:docPr id="38" name="Frame37"/>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ind w:left="0" w:right="0" w:firstLine="360"/>
                              <w:jc w:val="right"/>
                              <w:rPr/>
                            </w:pPr>
                            <w:r>
                              <w:rPr>
                                <w:rFonts w:ascii="Allstate Sans;sans-serif" w:hAnsi="Allstate Sans;sans-serif"/>
                                <w:b w:val="false"/>
                                <w:color w:val="000000"/>
                                <w:sz w:val="18"/>
                              </w:rPr>
                              <w:t xml:space="preserve">Second Quarter 2026 Form 10-Q </w:t>
                            </w:r>
                            <w:r>
                              <w:rPr>
                                <w:rFonts w:ascii="Allstate Sans;sans-serif" w:hAnsi="Allstate Sans;sans-serif"/>
                                <w:b w:val="false"/>
                                <w:color w:val="0033A0"/>
                                <w:sz w:val="18"/>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right"/>
                        <w:rPr/>
                      </w:pPr>
                      <w:r>
                        <w:rPr>
                          <w:rFonts w:ascii="Allstate Sans;sans-serif" w:hAnsi="Allstate Sans;sans-serif"/>
                          <w:b w:val="false"/>
                          <w:color w:val="000000"/>
                          <w:sz w:val="18"/>
                        </w:rPr>
                        <w:t xml:space="preserve">Second Quarter 2026 Form 10-Q </w:t>
                      </w:r>
                      <w:r>
                        <w:rPr>
                          <w:rFonts w:ascii="Allstate Sans;sans-serif" w:hAnsi="Allstate Sans;sans-serif"/>
                          <w:b w:val="false"/>
                          <w:color w:val="0033A0"/>
                          <w:sz w:val="18"/>
                        </w:rPr>
                        <w:t>35</w:t>
                      </w:r>
                    </w:p>
                  </w:txbxContent>
                </v:textbox>
                <w10:wrap type="none"/>
              </v:rect>
            </w:pict>
          </mc:Fallback>
        </mc:AlternateContent>
      </w:r>
    </w:p>
    <w:p>
      <w:pPr>
        <w:pStyle w:val="TextBody"/>
        <w:bidi w:val="0"/>
        <w:spacing w:lineRule="auto" w:line="288" w:before="0" w:after="0"/>
        <w:jc w:val="left"/>
        <w:rPr>
          <w:rFonts w:ascii="Allstate Sans;sans-serif" w:hAnsi="Allstate Sans;sans-serif"/>
          <w:b w:val="false"/>
          <w:color w:val="0033A0"/>
          <w:sz w:val="18"/>
        </w:rPr>
      </w:pPr>
      <w:r>
        <w:rPr>
          <w:rFonts w:ascii="Allstate Sans;sans-serif" w:hAnsi="Allstate Sans;sans-serif"/>
          <w:b w:val="false"/>
          <w:color w:val="0033A0"/>
          <w:sz w:val="18"/>
        </w:rPr>
        <w:t>Notes to Condensed Consolidated Financial Statements</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 xml:space="preserve">For the second quarter of 2026 and first six months of 2026, reserve releases in homeowners were primarily driven by favorable severity assumptions, offset by catastrophe reserve increases. Reserve </w:t>
      </w:r>
    </w:p>
    <w:p>
      <w:pPr>
        <w:pStyle w:val="TextBody"/>
        <w:bidi w:val="0"/>
        <w:spacing w:lineRule="auto" w:line="288" w:before="0" w:after="120"/>
        <w:jc w:val="left"/>
        <w:rPr>
          <w:rFonts w:ascii="Allstate Sans;sans-serif" w:hAnsi="Allstate Sans;sans-serif"/>
          <w:b w:val="false"/>
          <w:color w:val="000000"/>
          <w:sz w:val="18"/>
        </w:rPr>
      </w:pPr>
      <w:r>
        <w:rPr>
          <w:rFonts w:ascii="Allstate Sans;sans-serif" w:hAnsi="Allstate Sans;sans-serif"/>
          <w:b w:val="false"/>
          <w:color w:val="000000"/>
          <w:sz w:val="18"/>
        </w:rPr>
        <w:t>releases in specialty lines and commercial lines were primarily driven by favorable large loss experience in personal umbrella coverage and improved commercial auto injury severity.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371" w:type="dxa"/>
        <w:jc w:val="left"/>
        <w:tblInd w:w="0" w:type="dxa"/>
        <w:tblLayout w:type="fixed"/>
        <w:tblCellMar>
          <w:top w:w="28" w:type="dxa"/>
          <w:left w:w="28" w:type="dxa"/>
          <w:bottom w:w="28" w:type="dxa"/>
          <w:right w:w="28" w:type="dxa"/>
        </w:tblCellMar>
      </w:tblPr>
      <w:tblGrid>
        <w:gridCol w:w="342"/>
        <w:gridCol w:w="301"/>
        <w:gridCol w:w="303"/>
        <w:gridCol w:w="1295"/>
        <w:gridCol w:w="1295"/>
        <w:gridCol w:w="1835"/>
      </w:tblGrid>
      <w:tr>
        <w:trPr/>
        <w:tc>
          <w:tcPr>
            <w:tcW w:w="3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835"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bottom w:val="single" w:sz="8" w:space="0" w:color="0033A0"/>
            </w:tcBorders>
            <w:tcMar>
              <w:top w:w="0" w:type="dxa"/>
              <w:left w:w="0" w:type="dxa"/>
              <w:bottom w:w="30" w:type="dxa"/>
              <w:right w:w="0" w:type="dxa"/>
            </w:tcMar>
            <w:vAlign w:val="center"/>
          </w:tcPr>
          <w:p>
            <w:pPr>
              <w:pStyle w:val="TableContents"/>
              <w:bidi w:val="0"/>
              <w:spacing w:lineRule="auto" w:line="240" w:before="0" w:after="283"/>
              <w:jc w:val="left"/>
              <w:rPr>
                <w:rFonts w:ascii="Allstate Sans;sans-serif" w:hAnsi="Allstate Sans;sans-serif"/>
                <w:b/>
                <w:color w:val="0033A0"/>
                <w:sz w:val="22"/>
              </w:rPr>
            </w:pPr>
            <w:r>
              <w:rPr>
                <w:rFonts w:ascii="Allstate Sans;sans-serif" w:hAnsi="Allstate Sans;sans-serif"/>
                <w:b/>
                <w:color w:val="0033A0"/>
                <w:sz w:val="22"/>
              </w:rPr>
              <w:t>Note 9</w:t>
            </w:r>
          </w:p>
        </w:tc>
        <w:tc>
          <w:tcPr>
            <w:tcW w:w="4425" w:type="dxa"/>
            <w:gridSpan w:val="3"/>
            <w:tcBorders>
              <w:bottom w:val="single" w:sz="8" w:space="0" w:color="0033A0"/>
            </w:tcBorders>
            <w:tcMar>
              <w:top w:w="0" w:type="dxa"/>
              <w:left w:w="0" w:type="dxa"/>
              <w:bottom w:w="30" w:type="dxa"/>
              <w:right w:w="0" w:type="dxa"/>
            </w:tcMar>
            <w:vAlign w:val="center"/>
          </w:tcPr>
          <w:p>
            <w:pPr>
              <w:pStyle w:val="TableContents"/>
              <w:bidi w:val="0"/>
              <w:spacing w:lineRule="auto" w:line="240" w:before="0" w:after="283"/>
              <w:jc w:val="left"/>
              <w:rPr>
                <w:rFonts w:ascii="Allstate Sans;sans-serif" w:hAnsi="Allstate Sans;sans-serif"/>
                <w:b/>
                <w:color w:val="000000"/>
                <w:sz w:val="22"/>
              </w:rPr>
            </w:pPr>
            <w:r>
              <w:rPr>
                <w:rFonts w:ascii="Allstate Sans;sans-serif" w:hAnsi="Allstate Sans;sans-serif"/>
                <w:b/>
                <w:color w:val="000000"/>
                <w:sz w:val="22"/>
              </w:rPr>
              <w:t xml:space="preserve">Reinsurance and Indemnification </w:t>
            </w:r>
          </w:p>
        </w:tc>
      </w:tr>
    </w:tbl>
    <w:tbl>
      <w:tblPr>
        <w:tblW w:w="10205" w:type="dxa"/>
        <w:jc w:val="left"/>
        <w:tblInd w:w="0" w:type="dxa"/>
        <w:tblLayout w:type="fixed"/>
        <w:tblCellMar>
          <w:top w:w="28" w:type="dxa"/>
          <w:left w:w="28" w:type="dxa"/>
          <w:bottom w:w="28" w:type="dxa"/>
          <w:right w:w="28" w:type="dxa"/>
        </w:tblCellMar>
      </w:tblPr>
      <w:tblGrid>
        <w:gridCol w:w="925"/>
        <w:gridCol w:w="729"/>
        <w:gridCol w:w="590"/>
        <w:gridCol w:w="161"/>
        <w:gridCol w:w="161"/>
        <w:gridCol w:w="161"/>
        <w:gridCol w:w="335"/>
        <w:gridCol w:w="857"/>
        <w:gridCol w:w="161"/>
        <w:gridCol w:w="161"/>
        <w:gridCol w:w="161"/>
        <w:gridCol w:w="161"/>
        <w:gridCol w:w="335"/>
        <w:gridCol w:w="857"/>
        <w:gridCol w:w="161"/>
        <w:gridCol w:w="161"/>
        <w:gridCol w:w="161"/>
        <w:gridCol w:w="161"/>
        <w:gridCol w:w="335"/>
        <w:gridCol w:w="1124"/>
        <w:gridCol w:w="161"/>
        <w:gridCol w:w="161"/>
        <w:gridCol w:w="161"/>
        <w:gridCol w:w="161"/>
        <w:gridCol w:w="335"/>
        <w:gridCol w:w="1124"/>
        <w:gridCol w:w="244"/>
      </w:tblGrid>
      <w:tr>
        <w:trPr/>
        <w:tc>
          <w:tcPr>
            <w:tcW w:w="925"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10205" w:type="dxa"/>
            <w:gridSpan w:val="27"/>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left"/>
              <w:rPr>
                <w:rFonts w:ascii="Allstate Sans;sans-serif" w:hAnsi="Allstate Sans;sans-serif"/>
                <w:b/>
                <w:color w:val="000000"/>
                <w:sz w:val="18"/>
              </w:rPr>
            </w:pPr>
            <w:r>
              <w:rPr>
                <w:rFonts w:ascii="Allstate Sans;sans-serif" w:hAnsi="Allstate Sans;sans-serif"/>
                <w:b/>
                <w:color w:val="000000"/>
                <w:sz w:val="18"/>
              </w:rPr>
              <w:t xml:space="preserve">Effects of reinsurance ceded and indemnification programs on property and casualty premiums earned and accident and health insurance premiums and contract charges </w:t>
            </w:r>
          </w:p>
        </w:tc>
      </w:tr>
      <w:tr>
        <w:trPr/>
        <w:tc>
          <w:tcPr>
            <w:tcW w:w="2244"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 in millions)</w:t>
            </w:r>
          </w:p>
        </w:tc>
        <w:tc>
          <w:tcPr>
            <w:tcW w:w="4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Three months ended June 30,</w:t>
            </w:r>
          </w:p>
        </w:tc>
        <w:tc>
          <w:tcPr>
            <w:tcW w:w="4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Six months ended June 30,</w:t>
            </w:r>
          </w:p>
        </w:tc>
      </w:tr>
      <w:tr>
        <w:trPr/>
        <w:tc>
          <w:tcPr>
            <w:tcW w:w="2244"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2026</w:t>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2025</w:t>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2026</w:t>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2025</w:t>
            </w:r>
          </w:p>
        </w:tc>
      </w:tr>
      <w:tr>
        <w:trPr/>
        <w:tc>
          <w:tcPr>
            <w:tcW w:w="2244"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Property and casualty insurance premiums earned</w:t>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857"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(689)</w:t>
            </w:r>
          </w:p>
        </w:tc>
        <w:tc>
          <w:tcPr>
            <w:tcW w:w="161"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857"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(608)</w:t>
            </w:r>
          </w:p>
        </w:tc>
        <w:tc>
          <w:tcPr>
            <w:tcW w:w="161"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1124"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(1,294)</w:t>
            </w:r>
          </w:p>
        </w:tc>
        <w:tc>
          <w:tcPr>
            <w:tcW w:w="161"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1124"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(1,151)</w:t>
            </w:r>
          </w:p>
        </w:tc>
        <w:tc>
          <w:tcPr>
            <w:tcW w:w="244"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4" w:type="dxa"/>
            <w:gridSpan w:val="3"/>
            <w:tcBorders>
              <w:top w:val="single" w:sz="4" w:space="0" w:color="ACACAC"/>
              <w:bottom w:val="single" w:sz="8" w:space="0" w:color="0033A0"/>
            </w:tcBorders>
            <w:tcMar>
              <w:top w:w="30" w:type="dxa"/>
              <w:left w:w="0" w:type="dxa"/>
              <w:bottom w:w="30" w:type="dxa"/>
              <w:right w:w="0" w:type="dxa"/>
            </w:tcMar>
            <w:vAlign w:val="center"/>
          </w:tcPr>
          <w:p>
            <w:pPr>
              <w:pStyle w:val="TableContents"/>
              <w:bidi w:val="0"/>
              <w:spacing w:lineRule="auto" w:line="240" w:before="0" w:after="0"/>
              <w:jc w:val="left"/>
              <w:rPr/>
            </w:pPr>
            <w:r>
              <w:rPr>
                <w:rFonts w:ascii="Helvetica_Neue_LT_W1G_55_Roman;sans-serif" w:hAnsi="Helvetica_Neue_LT_W1G_55_Roman;sans-serif"/>
                <w:b w:val="false"/>
                <w:color w:val="000000"/>
                <w:sz w:val="18"/>
              </w:rPr>
              <w:t>Accident and health insurance premiums and contract charges</w:t>
            </w:r>
            <w:r>
              <w:rPr>
                <w:color w:val="000000"/>
              </w:rPr>
              <w:t xml:space="preserve"> </w:t>
            </w:r>
            <w:r>
              <w:rPr>
                <w:rFonts w:ascii="Helvetica_Neue_LT_W1G_55_Roman;sans-serif" w:hAnsi="Helvetica_Neue_LT_W1G_55_Roman;sans-serif"/>
                <w:b w:val="false"/>
                <w:color w:val="000000"/>
                <w:sz w:val="12"/>
              </w:rPr>
              <w:t>(1)</w:t>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(124)</w:t>
            </w:r>
          </w:p>
        </w:tc>
        <w:tc>
          <w:tcPr>
            <w:tcW w:w="161"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(10)</w:t>
            </w:r>
          </w:p>
        </w:tc>
        <w:tc>
          <w:tcPr>
            <w:tcW w:w="161"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2"/>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(256)</w:t>
            </w:r>
          </w:p>
        </w:tc>
        <w:tc>
          <w:tcPr>
            <w:tcW w:w="161"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2"/>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(23)</w:t>
            </w:r>
          </w:p>
        </w:tc>
        <w:tc>
          <w:tcPr>
            <w:tcW w:w="244"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933"/>
        <w:gridCol w:w="748"/>
        <w:gridCol w:w="573"/>
        <w:gridCol w:w="172"/>
        <w:gridCol w:w="172"/>
        <w:gridCol w:w="172"/>
        <w:gridCol w:w="357"/>
        <w:gridCol w:w="832"/>
        <w:gridCol w:w="172"/>
        <w:gridCol w:w="172"/>
        <w:gridCol w:w="172"/>
        <w:gridCol w:w="172"/>
        <w:gridCol w:w="357"/>
        <w:gridCol w:w="919"/>
        <w:gridCol w:w="172"/>
        <w:gridCol w:w="172"/>
        <w:gridCol w:w="172"/>
        <w:gridCol w:w="172"/>
        <w:gridCol w:w="357"/>
        <w:gridCol w:w="730"/>
        <w:gridCol w:w="172"/>
        <w:gridCol w:w="172"/>
        <w:gridCol w:w="172"/>
        <w:gridCol w:w="172"/>
        <w:gridCol w:w="357"/>
        <w:gridCol w:w="1204"/>
        <w:gridCol w:w="258"/>
      </w:tblGrid>
      <w:tr>
        <w:trPr/>
        <w:tc>
          <w:tcPr>
            <w:tcW w:w="933"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r>
      <w:tr>
        <w:trPr/>
        <w:tc>
          <w:tcPr>
            <w:tcW w:w="10205" w:type="dxa"/>
            <w:gridSpan w:val="27"/>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left"/>
              <w:rPr>
                <w:rFonts w:ascii="Allstate Sans;sans-serif" w:hAnsi="Allstate Sans;sans-serif"/>
                <w:b/>
                <w:color w:val="000000"/>
                <w:sz w:val="18"/>
              </w:rPr>
            </w:pPr>
            <w:r>
              <w:rPr>
                <w:rFonts w:ascii="Allstate Sans;sans-serif" w:hAnsi="Allstate Sans;sans-serif"/>
                <w:b/>
                <w:color w:val="000000"/>
                <w:sz w:val="18"/>
              </w:rPr>
              <w:t xml:space="preserve">Effects of reinsurance ceded and indemnification programs on property and casualty insurance claims and claims expense and accident, health and other policy benefits </w:t>
            </w:r>
          </w:p>
        </w:tc>
      </w:tr>
      <w:tr>
        <w:trPr/>
        <w:tc>
          <w:tcPr>
            <w:tcW w:w="2254"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 in millions)</w:t>
            </w:r>
          </w:p>
        </w:tc>
        <w:tc>
          <w:tcPr>
            <w:tcW w:w="5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Three months ended June 30,</w:t>
            </w:r>
          </w:p>
        </w:tc>
        <w:tc>
          <w:tcPr>
            <w:tcW w:w="5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Six months ended June 30,</w:t>
            </w:r>
          </w:p>
        </w:tc>
      </w:tr>
      <w:tr>
        <w:trPr/>
        <w:tc>
          <w:tcPr>
            <w:tcW w:w="2254"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2026</w:t>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2025</w:t>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2026</w:t>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2025</w:t>
            </w:r>
          </w:p>
        </w:tc>
      </w:tr>
      <w:tr>
        <w:trPr/>
        <w:tc>
          <w:tcPr>
            <w:tcW w:w="2254"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0"/>
              <w:jc w:val="left"/>
              <w:rPr/>
            </w:pPr>
            <w:r>
              <w:rPr>
                <w:rFonts w:ascii="Helvetica_Neue_LT_W1G_55_Roman;sans-serif" w:hAnsi="Helvetica_Neue_LT_W1G_55_Roman;sans-serif"/>
                <w:b w:val="false"/>
                <w:color w:val="000000"/>
                <w:sz w:val="18"/>
              </w:rPr>
              <w:t xml:space="preserve">Property and casualty insurance claims and claims expense </w:t>
            </w:r>
            <w:r>
              <w:rPr>
                <w:rFonts w:ascii="Helvetica_Neue_LT_W1G_55_Roman;sans-serif" w:hAnsi="Helvetica_Neue_LT_W1G_55_Roman;sans-serif"/>
                <w:b w:val="false"/>
                <w:color w:val="000000"/>
                <w:sz w:val="12"/>
              </w:rPr>
              <w:t>(2)</w:t>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832"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214 </w:t>
            </w:r>
          </w:p>
        </w:tc>
        <w:tc>
          <w:tcPr>
            <w:tcW w:w="172"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919"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(141)</w:t>
            </w:r>
          </w:p>
        </w:tc>
        <w:tc>
          <w:tcPr>
            <w:tcW w:w="172"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730"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(53)</w:t>
            </w:r>
          </w:p>
        </w:tc>
        <w:tc>
          <w:tcPr>
            <w:tcW w:w="172"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1204"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(1,826)</w:t>
            </w:r>
          </w:p>
        </w:tc>
        <w:tc>
          <w:tcPr>
            <w:tcW w:w="258"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4" w:type="dxa"/>
            <w:gridSpan w:val="3"/>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0"/>
              <w:jc w:val="left"/>
              <w:rPr/>
            </w:pPr>
            <w:r>
              <w:rPr>
                <w:rFonts w:ascii="Helvetica_Neue_LT_W1G_55_Roman;sans-serif" w:hAnsi="Helvetica_Neue_LT_W1G_55_Roman;sans-serif"/>
                <w:b w:val="false"/>
                <w:color w:val="000000"/>
                <w:sz w:val="18"/>
              </w:rPr>
              <w:t xml:space="preserve">Accident, health and other policy benefits </w:t>
            </w:r>
            <w:r>
              <w:rPr>
                <w:rFonts w:ascii="Helvetica_Neue_LT_W1G_55_Roman;sans-serif" w:hAnsi="Helvetica_Neue_LT_W1G_55_Roman;sans-serif"/>
                <w:b w:val="false"/>
                <w:color w:val="000000"/>
                <w:sz w:val="12"/>
              </w:rPr>
              <w:t xml:space="preserve">(1) </w:t>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top w:val="single" w:sz="4" w:space="0" w:color="ACACAC"/>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(106)</w:t>
            </w:r>
          </w:p>
        </w:tc>
        <w:tc>
          <w:tcPr>
            <w:tcW w:w="172" w:type="dxa"/>
            <w:tcBorders>
              <w:top w:val="single" w:sz="4" w:space="0" w:color="ACACAC"/>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top w:val="single" w:sz="4" w:space="0" w:color="ACACAC"/>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(9)</w:t>
            </w:r>
          </w:p>
        </w:tc>
        <w:tc>
          <w:tcPr>
            <w:tcW w:w="172" w:type="dxa"/>
            <w:tcBorders>
              <w:top w:val="single" w:sz="4" w:space="0" w:color="ACACAC"/>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4" w:space="0" w:color="ACACAC"/>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(217)</w:t>
            </w:r>
          </w:p>
        </w:tc>
        <w:tc>
          <w:tcPr>
            <w:tcW w:w="172" w:type="dxa"/>
            <w:tcBorders>
              <w:top w:val="single" w:sz="4" w:space="0" w:color="ACACAC"/>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top w:val="single" w:sz="4" w:space="0" w:color="ACACAC"/>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(28)</w:t>
            </w:r>
          </w:p>
        </w:tc>
        <w:tc>
          <w:tcPr>
            <w:tcW w:w="258" w:type="dxa"/>
            <w:tcBorders>
              <w:top w:val="single" w:sz="4" w:space="0" w:color="ACACAC"/>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180"/>
        <w:jc w:val="left"/>
        <w:rPr/>
      </w:pPr>
      <w:r>
        <w:rPr>
          <w:rFonts w:ascii="Allstate Sans;sans-serif" w:hAnsi="Allstate Sans;sans-serif"/>
          <w:b w:val="false"/>
          <w:color w:val="000000"/>
          <w:sz w:val="10"/>
        </w:rPr>
        <w:t>(1)</w:t>
      </w:r>
      <w:r>
        <w:rPr>
          <w:rFonts w:ascii="Allstate Sans;sans-serif" w:hAnsi="Allstate Sans;sans-serif"/>
          <w:b w:val="false"/>
          <w:color w:val="000000"/>
          <w:sz w:val="16"/>
        </w:rPr>
        <w:t>2026 includes business reinsured to Nationwide Life Insurance Company in connection with the group health sale in the third quarter of 2025.</w:t>
      </w:r>
    </w:p>
    <w:p>
      <w:pPr>
        <w:pStyle w:val="TextBody"/>
        <w:bidi w:val="0"/>
        <w:spacing w:lineRule="auto" w:line="288" w:before="0" w:after="120"/>
        <w:ind w:left="0" w:right="0" w:hanging="180"/>
        <w:jc w:val="left"/>
        <w:rPr/>
      </w:pPr>
      <w:r>
        <w:rPr>
          <w:rFonts w:ascii="Allstate Sans;sans-serif" w:hAnsi="Allstate Sans;sans-serif"/>
          <w:b w:val="false"/>
          <w:color w:val="000000"/>
          <w:sz w:val="10"/>
        </w:rPr>
        <w:t>(2)</w:t>
      </w:r>
      <w:r>
        <w:rPr>
          <w:rFonts w:ascii="Allstate Sans;sans-serif" w:hAnsi="Allstate Sans;sans-serif"/>
          <w:b w:val="false"/>
          <w:color w:val="000000"/>
          <w:sz w:val="16"/>
        </w:rPr>
        <w:t>2025 includes ceded losses related to the Nationwide Reinsurance Program for the California wildfires.</w:t>
      </w:r>
    </w:p>
    <w:p>
      <w:pPr>
        <w:pStyle w:val="TextBody"/>
        <w:bidi w:val="0"/>
        <w:spacing w:lineRule="auto" w:line="288" w:before="0" w:after="120"/>
        <w:jc w:val="left"/>
        <w:rPr>
          <w:rFonts w:ascii="Allstate Sans;sans-serif" w:hAnsi="Allstate Sans;sans-serif"/>
          <w:b/>
          <w:color w:val="0033A0"/>
          <w:sz w:val="18"/>
        </w:rPr>
      </w:pPr>
      <w:r>
        <w:rPr>
          <w:rFonts w:ascii="Allstate Sans;sans-serif" w:hAnsi="Allstate Sans;sans-serif"/>
          <w:b/>
          <w:color w:val="0033A0"/>
          <w:sz w:val="18"/>
        </w:rPr>
        <w:t>Reinsurance and indemnification recoverables</w:t>
      </w:r>
    </w:p>
    <w:tbl>
      <w:tblPr>
        <w:tblW w:w="9308" w:type="dxa"/>
        <w:jc w:val="left"/>
        <w:tblInd w:w="0" w:type="dxa"/>
        <w:tblLayout w:type="fixed"/>
        <w:tblCellMar>
          <w:top w:w="28" w:type="dxa"/>
          <w:left w:w="28" w:type="dxa"/>
          <w:bottom w:w="28" w:type="dxa"/>
          <w:right w:w="28" w:type="dxa"/>
        </w:tblCellMar>
      </w:tblPr>
      <w:tblGrid>
        <w:gridCol w:w="1556"/>
        <w:gridCol w:w="1365"/>
        <w:gridCol w:w="1369"/>
        <w:gridCol w:w="186"/>
        <w:gridCol w:w="186"/>
        <w:gridCol w:w="186"/>
        <w:gridCol w:w="386"/>
        <w:gridCol w:w="1231"/>
        <w:gridCol w:w="186"/>
        <w:gridCol w:w="186"/>
        <w:gridCol w:w="186"/>
        <w:gridCol w:w="186"/>
        <w:gridCol w:w="431"/>
        <w:gridCol w:w="1375"/>
        <w:gridCol w:w="293"/>
      </w:tblGrid>
      <w:tr>
        <w:trPr/>
        <w:tc>
          <w:tcPr>
            <w:tcW w:w="1556"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r>
      <w:tr>
        <w:trPr/>
        <w:tc>
          <w:tcPr>
            <w:tcW w:w="9308" w:type="dxa"/>
            <w:gridSpan w:val="15"/>
            <w:tcBorders>
              <w:top w:val="single" w:sz="4" w:space="0" w:color="000000"/>
            </w:tcBorders>
            <w:tcMar>
              <w:top w:w="30" w:type="dxa"/>
              <w:left w:w="0" w:type="dxa"/>
              <w:bottom w:w="0" w:type="dxa"/>
              <w:right w:w="0" w:type="dxa"/>
            </w:tcMar>
            <w:vAlign w:val="center"/>
          </w:tcPr>
          <w:p>
            <w:pPr>
              <w:pStyle w:val="TableContents"/>
              <w:bidi w:val="0"/>
              <w:spacing w:lineRule="auto" w:line="240" w:before="0" w:after="120"/>
              <w:jc w:val="left"/>
              <w:rPr>
                <w:rFonts w:ascii="Allstate Sans;sans-serif" w:hAnsi="Allstate Sans;sans-serif"/>
                <w:b/>
                <w:color w:val="000000"/>
                <w:sz w:val="18"/>
              </w:rPr>
            </w:pPr>
            <w:r>
              <w:rPr>
                <w:rFonts w:ascii="Allstate Sans;sans-serif" w:hAnsi="Allstate Sans;sans-serif"/>
                <w:b/>
                <w:color w:val="000000"/>
                <w:sz w:val="18"/>
              </w:rPr>
              <w:t>Reinsurance and indemnification recoverables, net</w:t>
            </w:r>
          </w:p>
        </w:tc>
      </w:tr>
      <w:tr>
        <w:trPr/>
        <w:tc>
          <w:tcPr>
            <w:tcW w:w="4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 in millions)</w:t>
            </w:r>
          </w:p>
        </w:tc>
        <w:tc>
          <w:tcPr>
            <w:tcW w:w="5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June 30, 2026</w:t>
            </w:r>
          </w:p>
        </w:tc>
        <w:tc>
          <w:tcPr>
            <w:tcW w:w="5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December 31, 2025</w:t>
            </w:r>
          </w:p>
        </w:tc>
      </w:tr>
      <w:tr>
        <w:trPr/>
        <w:tc>
          <w:tcPr>
            <w:tcW w:w="4290"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Property and casualty</w:t>
            </w:r>
          </w:p>
        </w:tc>
        <w:tc>
          <w:tcPr>
            <w:tcW w:w="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3"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Paid and due from reinsurers and indemnitors</w:t>
            </w:r>
          </w:p>
        </w:tc>
        <w:tc>
          <w:tcPr>
            <w:tcW w:w="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123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206 </w:t>
            </w:r>
          </w:p>
        </w:tc>
        <w:tc>
          <w:tcPr>
            <w:tcW w:w="18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1375"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267 </w:t>
            </w:r>
          </w:p>
        </w:tc>
        <w:tc>
          <w:tcPr>
            <w:tcW w:w="29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 xml:space="preserve">Unpaid losses estimated (including IBNR) </w:t>
            </w:r>
          </w:p>
        </w:tc>
        <w:tc>
          <w:tcPr>
            <w:tcW w:w="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7,446 </w:t>
            </w:r>
          </w:p>
        </w:tc>
        <w:tc>
          <w:tcPr>
            <w:tcW w:w="18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8,012 </w:t>
            </w:r>
          </w:p>
        </w:tc>
        <w:tc>
          <w:tcPr>
            <w:tcW w:w="29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 property and casualty</w:t>
            </w:r>
          </w:p>
        </w:tc>
        <w:tc>
          <w:tcPr>
            <w:tcW w:w="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123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7,652</w:t>
            </w:r>
            <w:r>
              <w:rPr>
                <w:color w:val="000000"/>
              </w:rPr>
              <w:t> </w:t>
            </w:r>
          </w:p>
        </w:tc>
        <w:tc>
          <w:tcPr>
            <w:tcW w:w="18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1375"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8,279</w:t>
            </w:r>
            <w:r>
              <w:rPr>
                <w:color w:val="000000"/>
              </w:rPr>
              <w:t> </w:t>
            </w:r>
          </w:p>
        </w:tc>
        <w:tc>
          <w:tcPr>
            <w:tcW w:w="29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Accident and health insurance</w:t>
            </w:r>
          </w:p>
        </w:tc>
        <w:tc>
          <w:tcPr>
            <w:tcW w:w="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228 </w:t>
            </w:r>
          </w:p>
        </w:tc>
        <w:tc>
          <w:tcPr>
            <w:tcW w:w="18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222 </w:t>
            </w:r>
          </w:p>
        </w:tc>
        <w:tc>
          <w:tcPr>
            <w:tcW w:w="29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w:t>
            </w:r>
          </w:p>
        </w:tc>
        <w:tc>
          <w:tcPr>
            <w:tcW w:w="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1231"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7,880</w:t>
            </w:r>
            <w:r>
              <w:rPr>
                <w:color w:val="000000"/>
              </w:rPr>
              <w:t> </w:t>
            </w:r>
          </w:p>
        </w:tc>
        <w:tc>
          <w:tcPr>
            <w:tcW w:w="18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1375"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8,501</w:t>
            </w:r>
            <w:r>
              <w:rPr>
                <w:color w:val="000000"/>
              </w:rPr>
              <w:t> </w:t>
            </w:r>
          </w:p>
        </w:tc>
        <w:tc>
          <w:tcPr>
            <w:tcW w:w="293"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443"/>
        <w:gridCol w:w="1234"/>
        <w:gridCol w:w="1242"/>
        <w:gridCol w:w="137"/>
        <w:gridCol w:w="137"/>
        <w:gridCol w:w="137"/>
        <w:gridCol w:w="323"/>
        <w:gridCol w:w="693"/>
        <w:gridCol w:w="155"/>
        <w:gridCol w:w="155"/>
        <w:gridCol w:w="155"/>
        <w:gridCol w:w="155"/>
        <w:gridCol w:w="323"/>
        <w:gridCol w:w="693"/>
        <w:gridCol w:w="155"/>
        <w:gridCol w:w="137"/>
        <w:gridCol w:w="137"/>
        <w:gridCol w:w="137"/>
        <w:gridCol w:w="298"/>
        <w:gridCol w:w="638"/>
        <w:gridCol w:w="143"/>
        <w:gridCol w:w="143"/>
        <w:gridCol w:w="143"/>
        <w:gridCol w:w="143"/>
        <w:gridCol w:w="298"/>
        <w:gridCol w:w="638"/>
        <w:gridCol w:w="213"/>
      </w:tblGrid>
      <w:tr>
        <w:trPr/>
        <w:tc>
          <w:tcPr>
            <w:tcW w:w="1443"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10205" w:type="dxa"/>
            <w:gridSpan w:val="27"/>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120"/>
              <w:jc w:val="left"/>
              <w:rPr>
                <w:rFonts w:ascii="Allstate Sans;sans-serif" w:hAnsi="Allstate Sans;sans-serif"/>
                <w:b/>
                <w:color w:val="000000"/>
                <w:sz w:val="18"/>
              </w:rPr>
            </w:pPr>
            <w:r>
              <w:rPr>
                <w:rFonts w:ascii="Allstate Sans;sans-serif" w:hAnsi="Allstate Sans;sans-serif"/>
                <w:b/>
                <w:color w:val="000000"/>
                <w:sz w:val="18"/>
              </w:rPr>
              <w:t>Rollforward of credit loss allowance for reinsurance recoverables</w:t>
            </w:r>
          </w:p>
        </w:tc>
      </w:tr>
      <w:tr>
        <w:trPr/>
        <w:tc>
          <w:tcPr>
            <w:tcW w:w="3919"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 in millions)</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Three months ended June 30,</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Six months ended June 30,</w:t>
            </w:r>
          </w:p>
        </w:tc>
      </w:tr>
      <w:tr>
        <w:trPr/>
        <w:tc>
          <w:tcPr>
            <w:tcW w:w="3919"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2026</w:t>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2025</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2026</w:t>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2025</w:t>
            </w:r>
          </w:p>
        </w:tc>
      </w:tr>
      <w:tr>
        <w:trPr/>
        <w:tc>
          <w:tcPr>
            <w:tcW w:w="3919"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0"/>
              <w:jc w:val="left"/>
              <w:rPr/>
            </w:pPr>
            <w:r>
              <w:rPr>
                <w:rFonts w:ascii="Helvetica_Neue_LT_W1G_55_Roman;sans-serif" w:hAnsi="Helvetica_Neue_LT_W1G_55_Roman;sans-serif"/>
                <w:b/>
                <w:color w:val="000000"/>
                <w:sz w:val="18"/>
              </w:rPr>
              <w:t xml:space="preserve">Property and casualty </w:t>
            </w:r>
            <w:r>
              <w:rPr>
                <w:rFonts w:ascii="Helvetica_Neue_LT_W1G_55_Roman;sans-serif" w:hAnsi="Helvetica_Neue_LT_W1G_55_Roman;sans-serif"/>
                <w:b w:val="false"/>
                <w:color w:val="000000"/>
                <w:sz w:val="12"/>
              </w:rPr>
              <w:t>(1) (2)</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9"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Beginning balance</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693"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(55)</w:t>
            </w:r>
          </w:p>
        </w:tc>
        <w:tc>
          <w:tcPr>
            <w:tcW w:w="15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693"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(63)</w:t>
            </w:r>
          </w:p>
        </w:tc>
        <w:tc>
          <w:tcPr>
            <w:tcW w:w="15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638"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(54)</w:t>
            </w:r>
          </w:p>
        </w:tc>
        <w:tc>
          <w:tcPr>
            <w:tcW w:w="14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638"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(63)</w:t>
            </w:r>
          </w:p>
        </w:tc>
        <w:tc>
          <w:tcPr>
            <w:tcW w:w="21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9"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Decrease (increase) in the provision for credit losses</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w:t>
            </w:r>
          </w:p>
        </w:tc>
        <w:tc>
          <w:tcPr>
            <w:tcW w:w="14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9"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Write-offs</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9" w:type="dxa"/>
            <w:gridSpan w:val="3"/>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Ending balance</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693"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(55)</w:t>
            </w:r>
          </w:p>
        </w:tc>
        <w:tc>
          <w:tcPr>
            <w:tcW w:w="155"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693"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(63)</w:t>
            </w:r>
          </w:p>
        </w:tc>
        <w:tc>
          <w:tcPr>
            <w:tcW w:w="155"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638"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(55)</w:t>
            </w:r>
          </w:p>
        </w:tc>
        <w:tc>
          <w:tcPr>
            <w:tcW w:w="143"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638"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(63)</w:t>
            </w:r>
          </w:p>
        </w:tc>
        <w:tc>
          <w:tcPr>
            <w:tcW w:w="213"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180"/>
        <w:jc w:val="left"/>
        <w:rPr/>
      </w:pPr>
      <w:r>
        <w:rPr>
          <w:rFonts w:ascii="Allstate Sans;sans-serif" w:hAnsi="Allstate Sans;sans-serif"/>
          <w:b w:val="false"/>
          <w:color w:val="000000"/>
          <w:sz w:val="10"/>
        </w:rPr>
        <w:t>(1)</w:t>
      </w:r>
      <w:r>
        <w:rPr>
          <w:rFonts w:ascii="Allstate Sans;sans-serif" w:hAnsi="Allstate Sans;sans-serif"/>
          <w:b w:val="false"/>
          <w:color w:val="000000"/>
          <w:sz w:val="16"/>
        </w:rPr>
        <w:t xml:space="preserve">Primarily related to Run-off Property-Liability reinsurance ceded. </w:t>
      </w:r>
    </w:p>
    <w:p>
      <w:pPr>
        <w:pStyle w:val="TextBody"/>
        <w:bidi w:val="0"/>
        <w:spacing w:lineRule="auto" w:line="288" w:before="0" w:after="120"/>
        <w:ind w:left="0" w:right="0" w:hanging="180"/>
        <w:jc w:val="left"/>
        <w:rPr/>
      </w:pPr>
      <w:r>
        <w:rPr>
          <w:rFonts w:ascii="Allstate Sans;sans-serif" w:hAnsi="Allstate Sans;sans-serif"/>
          <w:b w:val="false"/>
          <w:color w:val="000000"/>
          <w:sz w:val="10"/>
        </w:rPr>
        <w:t>(2)</w:t>
      </w:r>
      <w:r>
        <w:rPr>
          <w:rFonts w:ascii="Allstate Sans;sans-serif" w:hAnsi="Allstate Sans;sans-serif"/>
          <w:b w:val="false"/>
          <w:color w:val="000000"/>
          <w:sz w:val="16"/>
        </w:rPr>
        <w:t>Indemnification recoverables are considered collectible based on the industry pool and facility enabling legislation.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39"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120"/>
                              <w:jc w:val="left"/>
                              <w:rPr/>
                            </w:pPr>
                            <w:r>
                              <w:rPr>
                                <w:rFonts w:ascii="Allstate Sans;sans-serif" w:hAnsi="Allstate Sans;sans-serif"/>
                                <w:b w:val="false"/>
                                <w:color w:val="0033A0"/>
                                <w:sz w:val="18"/>
                              </w:rPr>
                              <w:t>36</w:t>
                            </w:r>
                            <w:r>
                              <w:rPr>
                                <w:color w:val="1666AF"/>
                              </w:rPr>
                              <w:t xml:space="preserve"> </w:t>
                            </w:r>
                            <w:r>
                              <w:rPr>
                                <w:rFonts w:ascii="Allstate Sans;sans-serif" w:hAnsi="Allstate Sans;sans-serif"/>
                                <w:b w:val="false"/>
                                <w:color w:val="000000"/>
                                <w:sz w:val="18"/>
                              </w:rPr>
                              <w:t>www.allstate.com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left"/>
                        <w:rPr/>
                      </w:pPr>
                      <w:r>
                        <w:rPr>
                          <w:rFonts w:ascii="Allstate Sans;sans-serif" w:hAnsi="Allstate Sans;sans-serif"/>
                          <w:b w:val="false"/>
                          <w:color w:val="0033A0"/>
                          <w:sz w:val="18"/>
                        </w:rPr>
                        <w:t>36</w:t>
                      </w:r>
                      <w:r>
                        <w:rPr>
                          <w:color w:val="1666AF"/>
                        </w:rPr>
                        <w:t xml:space="preserve"> </w:t>
                      </w:r>
                      <w:r>
                        <w:rPr>
                          <w:rFonts w:ascii="Allstate Sans;sans-serif" w:hAnsi="Allstate Sans;sans-serif"/>
                          <w:b w:val="false"/>
                          <w:color w:val="000000"/>
                          <w:sz w:val="18"/>
                        </w:rPr>
                        <w:t>www.allstate.com</w:t>
                      </w:r>
                    </w:p>
                  </w:txbxContent>
                </v:textbox>
                <w10:wrap type="none"/>
              </v:rect>
            </w:pict>
          </mc:Fallback>
        </mc:AlternateContent>
      </w:r>
    </w:p>
    <w:p>
      <w:pPr>
        <w:pStyle w:val="TextBody"/>
        <w:bidi w:val="0"/>
        <w:spacing w:lineRule="auto" w:line="288" w:before="0" w:after="0"/>
        <w:jc w:val="right"/>
        <w:rPr>
          <w:rFonts w:ascii="Allstate Sans;sans-serif" w:hAnsi="Allstate Sans;sans-serif"/>
          <w:b w:val="false"/>
          <w:color w:val="0033A0"/>
          <w:sz w:val="18"/>
        </w:rPr>
      </w:pPr>
      <w:r>
        <w:rPr>
          <w:rFonts w:ascii="Allstate Sans;sans-serif" w:hAnsi="Allstate Sans;sans-serif"/>
          <w:b w:val="false"/>
          <w:color w:val="0033A0"/>
          <w:sz w:val="18"/>
        </w:rPr>
        <w:t>Notes to Condensed Consolidated Financial Statements</w:t>
      </w:r>
    </w:p>
    <w:p>
      <w:pPr>
        <w:pStyle w:val="TextBody"/>
        <w:bidi w:val="0"/>
        <w:spacing w:before="0" w:after="120"/>
        <w:ind w:left="0" w:right="0" w:firstLine="360"/>
        <w:jc w:val="left"/>
        <w:rPr/>
      </w:pPr>
      <w:r>
        <w:rPr/>
      </w:r>
    </w:p>
    <w:tbl>
      <w:tblPr>
        <w:tblW w:w="4260" w:type="dxa"/>
        <w:jc w:val="left"/>
        <w:tblInd w:w="0" w:type="dxa"/>
        <w:tblLayout w:type="fixed"/>
        <w:tblCellMar>
          <w:top w:w="28" w:type="dxa"/>
          <w:left w:w="28" w:type="dxa"/>
          <w:bottom w:w="28" w:type="dxa"/>
          <w:right w:w="28" w:type="dxa"/>
        </w:tblCellMar>
      </w:tblPr>
      <w:tblGrid>
        <w:gridCol w:w="397"/>
        <w:gridCol w:w="349"/>
        <w:gridCol w:w="350"/>
        <w:gridCol w:w="926"/>
        <w:gridCol w:w="926"/>
        <w:gridCol w:w="1312"/>
      </w:tblGrid>
      <w:tr>
        <w:trPr/>
        <w:tc>
          <w:tcPr>
            <w:tcW w:w="397"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bottom w:val="single" w:sz="8" w:space="0" w:color="0033A0"/>
            </w:tcBorders>
            <w:tcMar>
              <w:top w:w="0" w:type="dxa"/>
              <w:left w:w="0" w:type="dxa"/>
              <w:bottom w:w="30" w:type="dxa"/>
              <w:right w:w="0" w:type="dxa"/>
            </w:tcMar>
            <w:vAlign w:val="center"/>
          </w:tcPr>
          <w:p>
            <w:pPr>
              <w:pStyle w:val="TableContents"/>
              <w:bidi w:val="0"/>
              <w:spacing w:lineRule="auto" w:line="240" w:before="0" w:after="283"/>
              <w:jc w:val="left"/>
              <w:rPr>
                <w:rFonts w:ascii="Allstate Sans;sans-serif" w:hAnsi="Allstate Sans;sans-serif"/>
                <w:b/>
                <w:color w:val="0033A0"/>
                <w:sz w:val="22"/>
              </w:rPr>
            </w:pPr>
            <w:r>
              <w:rPr>
                <w:rFonts w:ascii="Allstate Sans;sans-serif" w:hAnsi="Allstate Sans;sans-serif"/>
                <w:b/>
                <w:color w:val="0033A0"/>
                <w:sz w:val="22"/>
              </w:rPr>
              <w:t>Note 10</w:t>
            </w:r>
          </w:p>
        </w:tc>
        <w:tc>
          <w:tcPr>
            <w:tcW w:w="3164" w:type="dxa"/>
            <w:gridSpan w:val="3"/>
            <w:tcBorders>
              <w:bottom w:val="single" w:sz="8" w:space="0" w:color="0033A0"/>
            </w:tcBorders>
            <w:tcMar>
              <w:top w:w="0" w:type="dxa"/>
              <w:left w:w="0" w:type="dxa"/>
              <w:bottom w:w="30" w:type="dxa"/>
              <w:right w:w="0" w:type="dxa"/>
            </w:tcMar>
            <w:vAlign w:val="center"/>
          </w:tcPr>
          <w:p>
            <w:pPr>
              <w:pStyle w:val="TableContents"/>
              <w:bidi w:val="0"/>
              <w:spacing w:lineRule="auto" w:line="240" w:before="0" w:after="283"/>
              <w:jc w:val="left"/>
              <w:rPr>
                <w:rFonts w:ascii="Allstate Sans;sans-serif" w:hAnsi="Allstate Sans;sans-serif"/>
                <w:b/>
                <w:color w:val="000000"/>
                <w:sz w:val="22"/>
              </w:rPr>
            </w:pPr>
            <w:r>
              <w:rPr>
                <w:rFonts w:ascii="Allstate Sans;sans-serif" w:hAnsi="Allstate Sans;sans-serif"/>
                <w:b/>
                <w:color w:val="000000"/>
                <w:sz w:val="22"/>
              </w:rPr>
              <w:t>Company Restructuring</w:t>
            </w:r>
          </w:p>
        </w:tc>
      </w:tr>
    </w:tbl>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The Company undertakes various programs to reduce expenses. These programs generally involve a reduction in staffing levels, and in certain cases, office closures. Restructuring and related charges primarily include the following costs related to these programs:</w:t>
      </w:r>
    </w:p>
    <w:p>
      <w:pPr>
        <w:pStyle w:val="TextBody"/>
        <w:bidi w:val="0"/>
        <w:spacing w:lineRule="auto" w:line="288" w:before="0" w:after="120"/>
        <w:ind w:left="0" w:right="0" w:hanging="180"/>
        <w:jc w:val="left"/>
        <w:rPr/>
      </w:pPr>
      <w:r>
        <w:rPr>
          <w:color w:val="0033A0"/>
        </w:rPr>
        <w:t>•</w:t>
      </w:r>
      <w:r>
        <w:rPr>
          <w:rFonts w:ascii="Allstate Sans;sans-serif" w:hAnsi="Allstate Sans;sans-serif"/>
          <w:b w:val="false"/>
          <w:i/>
          <w:color w:val="0033A0"/>
          <w:sz w:val="18"/>
        </w:rPr>
        <w:t>Employee</w:t>
      </w:r>
      <w:r>
        <w:rPr>
          <w:color w:val="000000"/>
        </w:rPr>
        <w:t xml:space="preserve"> </w:t>
      </w:r>
      <w:r>
        <w:rPr>
          <w:rFonts w:ascii="Allstate Sans;sans-serif" w:hAnsi="Allstate Sans;sans-serif"/>
          <w:b w:val="false"/>
          <w:color w:val="000000"/>
          <w:sz w:val="18"/>
        </w:rPr>
        <w:t>- severance and relocation benefits</w:t>
      </w:r>
    </w:p>
    <w:p>
      <w:pPr>
        <w:pStyle w:val="TextBody"/>
        <w:bidi w:val="0"/>
        <w:spacing w:lineRule="auto" w:line="288" w:before="0" w:after="120"/>
        <w:ind w:left="0" w:right="0" w:hanging="180"/>
        <w:jc w:val="left"/>
        <w:rPr/>
      </w:pPr>
      <w:r>
        <w:rPr>
          <w:color w:val="0033A0"/>
        </w:rPr>
        <w:t>•</w:t>
      </w:r>
      <w:r>
        <w:rPr>
          <w:rFonts w:ascii="Allstate Sans;sans-serif" w:hAnsi="Allstate Sans;sans-serif"/>
          <w:b w:val="false"/>
          <w:i/>
          <w:color w:val="0033A0"/>
          <w:sz w:val="18"/>
        </w:rPr>
        <w:t xml:space="preserve">Exit - </w:t>
      </w:r>
      <w:r>
        <w:rPr>
          <w:rFonts w:ascii="Allstate Sans;sans-serif" w:hAnsi="Allstate Sans;sans-serif"/>
          <w:b w:val="false"/>
          <w:color w:val="000000"/>
          <w:sz w:val="18"/>
        </w:rPr>
        <w:t>contract termination penalties and real estate costs primarily related to accelerated amortization of right-of-use assets and related leasehold improvements at facilities to be vacated</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The expenses related to these activities are included in the Condensed Consolidated Statements of Operations as restructuring and related charges and totaled $7 million and $15 million during the three months ended June 30, 2026 and 2025, respectively, and $12 million and $31 million during the six months ended June 30, 2026 and 2025, respectively. The Company continues to identify ways to improve operating efficiency and reduce costs which may result in additional restructuring charges in the future.</w:t>
      </w:r>
    </w:p>
    <w:tbl>
      <w:tblPr>
        <w:tblW w:w="8514" w:type="dxa"/>
        <w:jc w:val="left"/>
        <w:tblInd w:w="0" w:type="dxa"/>
        <w:tblLayout w:type="fixed"/>
        <w:tblCellMar>
          <w:top w:w="28" w:type="dxa"/>
          <w:left w:w="28" w:type="dxa"/>
          <w:bottom w:w="28" w:type="dxa"/>
          <w:right w:w="28" w:type="dxa"/>
        </w:tblCellMar>
      </w:tblPr>
      <w:tblGrid>
        <w:gridCol w:w="1601"/>
        <w:gridCol w:w="1407"/>
        <w:gridCol w:w="1416"/>
        <w:gridCol w:w="130"/>
        <w:gridCol w:w="130"/>
        <w:gridCol w:w="130"/>
        <w:gridCol w:w="334"/>
        <w:gridCol w:w="600"/>
        <w:gridCol w:w="162"/>
        <w:gridCol w:w="130"/>
        <w:gridCol w:w="130"/>
        <w:gridCol w:w="130"/>
        <w:gridCol w:w="270"/>
        <w:gridCol w:w="485"/>
        <w:gridCol w:w="130"/>
        <w:gridCol w:w="130"/>
        <w:gridCol w:w="130"/>
        <w:gridCol w:w="130"/>
        <w:gridCol w:w="270"/>
        <w:gridCol w:w="485"/>
        <w:gridCol w:w="184"/>
      </w:tblGrid>
      <w:tr>
        <w:trPr/>
        <w:tc>
          <w:tcPr>
            <w:tcW w:w="1601"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8514" w:type="dxa"/>
            <w:gridSpan w:val="21"/>
            <w:tcBorders>
              <w:top w:val="single" w:sz="4" w:space="0" w:color="000000"/>
            </w:tcBorders>
            <w:tcMar>
              <w:top w:w="30" w:type="dxa"/>
              <w:left w:w="0" w:type="dxa"/>
              <w:bottom w:w="0" w:type="dxa"/>
              <w:right w:w="0" w:type="dxa"/>
            </w:tcMar>
            <w:vAlign w:val="center"/>
          </w:tcPr>
          <w:p>
            <w:pPr>
              <w:pStyle w:val="TableContents"/>
              <w:bidi w:val="0"/>
              <w:spacing w:lineRule="auto" w:line="288" w:before="0" w:after="120"/>
              <w:jc w:val="left"/>
              <w:rPr>
                <w:rFonts w:ascii="Allstate Sans;sans-serif" w:hAnsi="Allstate Sans;sans-serif"/>
                <w:b/>
                <w:color w:val="000000"/>
                <w:sz w:val="18"/>
              </w:rPr>
            </w:pPr>
            <w:r>
              <w:rPr>
                <w:rFonts w:ascii="Allstate Sans;sans-serif" w:hAnsi="Allstate Sans;sans-serif"/>
                <w:b/>
                <w:color w:val="000000"/>
                <w:sz w:val="18"/>
              </w:rPr>
              <w:t>Restructuring activity during the period</w:t>
            </w:r>
          </w:p>
        </w:tc>
      </w:tr>
      <w:tr>
        <w:trPr/>
        <w:tc>
          <w:tcPr>
            <w:tcW w:w="4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 in millions)</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Employee</w:t>
            </w:r>
          </w:p>
          <w:p>
            <w:pPr>
              <w:pStyle w:val="TableContents"/>
              <w:bidi w:val="0"/>
              <w:spacing w:lineRule="auto" w:line="240" w:before="0" w:after="0"/>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costs</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Exit</w:t>
            </w:r>
          </w:p>
          <w:p>
            <w:pPr>
              <w:pStyle w:val="TableContents"/>
              <w:bidi w:val="0"/>
              <w:spacing w:lineRule="auto" w:line="240" w:before="0" w:after="0"/>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costs</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w:t>
            </w:r>
          </w:p>
          <w:p>
            <w:pPr>
              <w:pStyle w:val="TableContents"/>
              <w:bidi w:val="0"/>
              <w:spacing w:lineRule="auto" w:line="240" w:before="0" w:after="0"/>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liability</w:t>
            </w:r>
          </w:p>
        </w:tc>
      </w:tr>
      <w:tr>
        <w:trPr/>
        <w:tc>
          <w:tcPr>
            <w:tcW w:w="4424"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Restructuring liability as of December 31, 2025</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600"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20 </w:t>
            </w:r>
          </w:p>
        </w:tc>
        <w:tc>
          <w:tcPr>
            <w:tcW w:w="162"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485"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3 </w:t>
            </w:r>
          </w:p>
        </w:tc>
        <w:tc>
          <w:tcPr>
            <w:tcW w:w="130"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485"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23 </w:t>
            </w:r>
          </w:p>
        </w:tc>
        <w:tc>
          <w:tcPr>
            <w:tcW w:w="184"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0"/>
              <w:jc w:val="left"/>
              <w:rPr/>
            </w:pPr>
            <w:r>
              <w:rPr>
                <w:rFonts w:ascii="Helvetica_Neue_LT_W1G_55_Roman;sans-serif" w:hAnsi="Helvetica_Neue_LT_W1G_55_Roman;sans-serif"/>
                <w:b w:val="false"/>
                <w:color w:val="000000"/>
                <w:sz w:val="18"/>
              </w:rPr>
              <w:t>Expense incurred</w:t>
            </w:r>
            <w:r>
              <w:rPr>
                <w:color w:val="005BA5"/>
              </w:rPr>
              <w:t xml:space="preserve"> </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17 </w:t>
            </w:r>
          </w:p>
        </w:tc>
        <w:tc>
          <w:tcPr>
            <w:tcW w:w="162"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2 </w:t>
            </w:r>
          </w:p>
        </w:tc>
        <w:tc>
          <w:tcPr>
            <w:tcW w:w="130"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19 </w:t>
            </w:r>
          </w:p>
        </w:tc>
        <w:tc>
          <w:tcPr>
            <w:tcW w:w="184"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Adjustments to liability</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w:t>
            </w:r>
          </w:p>
        </w:tc>
        <w:tc>
          <w:tcPr>
            <w:tcW w:w="162"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w:t>
            </w:r>
          </w:p>
        </w:tc>
        <w:tc>
          <w:tcPr>
            <w:tcW w:w="130"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w:t>
            </w:r>
          </w:p>
        </w:tc>
        <w:tc>
          <w:tcPr>
            <w:tcW w:w="184"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Payments and non-cash charges</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(16)</w:t>
            </w:r>
          </w:p>
        </w:tc>
        <w:tc>
          <w:tcPr>
            <w:tcW w:w="162"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w:t>
            </w:r>
          </w:p>
        </w:tc>
        <w:tc>
          <w:tcPr>
            <w:tcW w:w="130"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(17)</w:t>
            </w:r>
          </w:p>
        </w:tc>
        <w:tc>
          <w:tcPr>
            <w:tcW w:w="184"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Restructuring liability as of June 30, 2026</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600"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18</w:t>
            </w:r>
            <w:r>
              <w:rPr>
                <w:color w:val="000000"/>
              </w:rPr>
              <w:t> </w:t>
            </w:r>
          </w:p>
        </w:tc>
        <w:tc>
          <w:tcPr>
            <w:tcW w:w="162"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485"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485"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18</w:t>
            </w:r>
            <w:r>
              <w:rPr>
                <w:color w:val="000000"/>
              </w:rPr>
              <w:t> </w:t>
            </w:r>
          </w:p>
        </w:tc>
        <w:tc>
          <w:tcPr>
            <w:tcW w:w="184"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As of June 30, 2026, the cumulative amount incurred to date for active programs related to employee severance, relocation benefits and exit expenses totaled $27 million for employee costs and $2 million for exit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6045" w:type="dxa"/>
        <w:jc w:val="left"/>
        <w:tblInd w:w="0" w:type="dxa"/>
        <w:tblLayout w:type="fixed"/>
        <w:tblCellMar>
          <w:top w:w="28" w:type="dxa"/>
          <w:left w:w="28" w:type="dxa"/>
          <w:bottom w:w="28" w:type="dxa"/>
          <w:right w:w="28" w:type="dxa"/>
        </w:tblCellMar>
      </w:tblPr>
      <w:tblGrid>
        <w:gridCol w:w="397"/>
        <w:gridCol w:w="349"/>
        <w:gridCol w:w="350"/>
        <w:gridCol w:w="1448"/>
        <w:gridCol w:w="1448"/>
        <w:gridCol w:w="2053"/>
      </w:tblGrid>
      <w:tr>
        <w:trPr/>
        <w:tc>
          <w:tcPr>
            <w:tcW w:w="397"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2053"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bottom w:val="single" w:sz="8" w:space="0" w:color="0033A0"/>
            </w:tcBorders>
            <w:tcMar>
              <w:top w:w="0" w:type="dxa"/>
              <w:left w:w="0" w:type="dxa"/>
              <w:bottom w:w="30" w:type="dxa"/>
              <w:right w:w="0" w:type="dxa"/>
            </w:tcMar>
            <w:vAlign w:val="center"/>
          </w:tcPr>
          <w:p>
            <w:pPr>
              <w:pStyle w:val="TableContents"/>
              <w:bidi w:val="0"/>
              <w:spacing w:lineRule="auto" w:line="240" w:before="0" w:after="283"/>
              <w:jc w:val="left"/>
              <w:rPr>
                <w:rFonts w:ascii="Allstate Sans;sans-serif" w:hAnsi="Allstate Sans;sans-serif"/>
                <w:b/>
                <w:color w:val="0033A0"/>
                <w:sz w:val="22"/>
              </w:rPr>
            </w:pPr>
            <w:r>
              <w:rPr>
                <w:rFonts w:ascii="Allstate Sans;sans-serif" w:hAnsi="Allstate Sans;sans-serif"/>
                <w:b/>
                <w:color w:val="0033A0"/>
                <w:sz w:val="22"/>
              </w:rPr>
              <w:t>Note 11</w:t>
            </w:r>
          </w:p>
        </w:tc>
        <w:tc>
          <w:tcPr>
            <w:tcW w:w="4949" w:type="dxa"/>
            <w:gridSpan w:val="3"/>
            <w:tcBorders>
              <w:bottom w:val="single" w:sz="8" w:space="0" w:color="0033A0"/>
            </w:tcBorders>
            <w:tcMar>
              <w:top w:w="0" w:type="dxa"/>
              <w:left w:w="0" w:type="dxa"/>
              <w:bottom w:w="30" w:type="dxa"/>
              <w:right w:w="0" w:type="dxa"/>
            </w:tcMar>
            <w:vAlign w:val="center"/>
          </w:tcPr>
          <w:p>
            <w:pPr>
              <w:pStyle w:val="TableContents"/>
              <w:bidi w:val="0"/>
              <w:spacing w:lineRule="auto" w:line="240" w:before="0" w:after="283"/>
              <w:jc w:val="left"/>
              <w:rPr>
                <w:rFonts w:ascii="Allstate Sans;sans-serif" w:hAnsi="Allstate Sans;sans-serif"/>
                <w:b/>
                <w:color w:val="000000"/>
                <w:sz w:val="22"/>
              </w:rPr>
            </w:pPr>
            <w:r>
              <w:rPr>
                <w:rFonts w:ascii="Allstate Sans;sans-serif" w:hAnsi="Allstate Sans;sans-serif"/>
                <w:b/>
                <w:color w:val="000000"/>
                <w:sz w:val="22"/>
              </w:rPr>
              <w:t>Guarantees and Contingent Liabilities</w:t>
            </w:r>
          </w:p>
        </w:tc>
      </w:tr>
    </w:tbl>
    <w:p>
      <w:pPr>
        <w:pStyle w:val="TextBody"/>
        <w:bidi w:val="0"/>
        <w:spacing w:lineRule="auto" w:line="288" w:before="0" w:after="120"/>
        <w:jc w:val="left"/>
        <w:rPr>
          <w:rFonts w:ascii="Allstate Sans;sans-serif" w:hAnsi="Allstate Sans;sans-serif"/>
          <w:b/>
          <w:color w:val="0033A0"/>
          <w:sz w:val="18"/>
        </w:rPr>
      </w:pPr>
      <w:r>
        <w:rPr>
          <w:rFonts w:ascii="Allstate Sans;sans-serif" w:hAnsi="Allstate Sans;sans-serif"/>
          <w:b/>
          <w:color w:val="0033A0"/>
          <w:sz w:val="18"/>
        </w:rPr>
        <w:t>Shared markets and state facility assessments</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The Company is required to participate in assigned risk plans, reinsurance facilities and joint underwriting associations in various states that provide insurance coverage to individuals or entities that otherwise are unable to purchase such coverage from private insurers.</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The Company routinely reviews its exposure to assessments from these plans, facilities and government programs, and underwriting results related to these arrangements tend to be adverse. Because of the Company’s participation, it may be exposed to losses that surpass the capitalization of these facilities or assessments from these facilities.</w:t>
      </w:r>
    </w:p>
    <w:p>
      <w:pPr>
        <w:pStyle w:val="TextBody"/>
        <w:bidi w:val="0"/>
        <w:spacing w:lineRule="auto" w:line="288" w:before="0" w:after="120"/>
        <w:jc w:val="left"/>
        <w:rPr>
          <w:rFonts w:ascii="Allstate Sans;sans-serif" w:hAnsi="Allstate Sans;sans-serif"/>
          <w:b/>
          <w:color w:val="0033A0"/>
          <w:sz w:val="18"/>
        </w:rPr>
      </w:pPr>
      <w:r>
        <w:rPr>
          <w:rFonts w:ascii="Allstate Sans;sans-serif" w:hAnsi="Allstate Sans;sans-serif"/>
          <w:b/>
          <w:color w:val="0033A0"/>
          <w:sz w:val="18"/>
        </w:rPr>
        <w:t>Guarantees</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 xml:space="preserve">In the normal course of business, the Company provides standard indemnifications to contractual counterparties in connection with numerous transactions, including acquisitions and divestitures. The types of indemnifications typically provided include indemnifications for breaches of representations and warranties, taxes and certain other liabilities, such as third-party lawsuits. The indemnification clauses are often standard contractual terms and are entered into in the normal course of business based on an assessment of the risk of loss. The terms of the indemnifications vary in duration and nature. In many cases, the maximum obligation is not explicitly stated and the contingencies triggering the obligation to indemnify have not occurred and are not expected to occur. Consequently, the maximum amount of the obligation under such indemnifications is not determinable. Historically, the Company has not </w:t>
      </w:r>
    </w:p>
    <w:p>
      <w:pPr>
        <w:pStyle w:val="TextBody"/>
        <w:bidi w:val="0"/>
        <w:spacing w:lineRule="auto" w:line="288" w:before="0" w:after="120"/>
        <w:jc w:val="left"/>
        <w:rPr>
          <w:rFonts w:ascii="Allstate Sans;sans-serif" w:hAnsi="Allstate Sans;sans-serif"/>
          <w:b w:val="false"/>
          <w:color w:val="000000"/>
          <w:sz w:val="18"/>
        </w:rPr>
      </w:pPr>
      <w:r>
        <w:rPr>
          <w:rFonts w:ascii="Allstate Sans;sans-serif" w:hAnsi="Allstate Sans;sans-serif"/>
          <w:b w:val="false"/>
          <w:color w:val="000000"/>
          <w:sz w:val="18"/>
        </w:rPr>
        <w:t>made any material payments pursuant to these obligations.</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 xml:space="preserve">In connection with the sales of Allstate Life Insurance Company of New York to Wilton Reassurance Company (“Wilton”) and Allstate Life Insurance Company and Allstate Assurance Company to Everlake US Holdings Company (“Everlake”) in 2021, AIC agreed to indemnify Wilton and AIC and Allstate Financial Insurance Holdings Corporation (collectively, the “Sellers”) agreed to indemnify Everlake. The indemnification is in connection with certain representations, warranties and covenants of the Sellers, and certain liabilities specifically excluded from the transactions, subject to specific contractual limitations regarding the Sellers’ maximum obligations. Management does not believe these indemnifications will have a material effect on results of operations, cash flows or financial position of the Company. </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The aggregate liability balance related to all guarantees was immaterial as of June 30, 2026.</w:t>
      </w:r>
    </w:p>
    <w:p>
      <w:pPr>
        <w:pStyle w:val="TextBody"/>
        <w:bidi w:val="0"/>
        <w:spacing w:lineRule="auto" w:line="288" w:before="0" w:after="120"/>
        <w:jc w:val="left"/>
        <w:rPr>
          <w:rFonts w:ascii="Allstate Sans;sans-serif" w:hAnsi="Allstate Sans;sans-serif"/>
          <w:b/>
          <w:color w:val="0033A0"/>
          <w:sz w:val="18"/>
        </w:rPr>
      </w:pPr>
      <w:r>
        <w:rPr>
          <w:rFonts w:ascii="Allstate Sans;sans-serif" w:hAnsi="Allstate Sans;sans-serif"/>
          <w:b/>
          <w:color w:val="0033A0"/>
          <w:sz w:val="18"/>
        </w:rPr>
        <w:t>Regulation and compliance</w:t>
      </w:r>
    </w:p>
    <w:p>
      <w:pPr>
        <w:pStyle w:val="TextBody"/>
        <w:bidi w:val="0"/>
        <w:spacing w:lineRule="auto" w:line="288" w:before="0" w:after="120"/>
        <w:ind w:left="0" w:right="0" w:firstLine="360"/>
        <w:jc w:val="left"/>
        <w:rPr/>
      </w:pPr>
      <w:r>
        <w:rPr>
          <w:rFonts w:ascii="Allstate Sans;sans-serif" w:hAnsi="Allstate Sans;sans-serif"/>
          <w:b w:val="false"/>
          <w:color w:val="000000"/>
          <w:sz w:val="18"/>
        </w:rPr>
        <w:t>The Company is subject to extensive laws, regulations, administrative directives, and regulatory actions, primarily in its property-liability business, by individual U.S. states and Canadian provinces. From time to time</w:t>
      </w:r>
      <w:r>
        <w:rPr>
          <w:rFonts w:ascii="Allstate Sans;sans-serif" w:hAnsi="Allstate Sans;sans-serif"/>
          <w:b/>
          <w:color w:val="000000"/>
          <w:sz w:val="18"/>
        </w:rPr>
        <w:t>,</w:t>
      </w:r>
      <w:r>
        <w:rPr>
          <w:color w:val="000000"/>
        </w:rPr>
        <w:t xml:space="preserve"> </w:t>
      </w:r>
      <w:r>
        <w:rPr>
          <w:rFonts w:ascii="Allstate Sans;sans-serif" w:hAnsi="Allstate Sans;sans-serif"/>
          <w:b w:val="false"/>
          <w:color w:val="000000"/>
          <w:sz w:val="18"/>
        </w:rPr>
        <w:t xml:space="preserve">regulatory authorities or legislative bodies seek to influence and restrict premium rates, require premium refunds to policyholders, require reinstatement of terminated policies, prescribe rules or guidelines on how affiliates compete in the marketplace, restrict the ability of insurers to cancel or non-renew policies, require insurers to continue to write new policies or limit their ability to write new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33350"/>
                <wp:effectExtent l="0" t="0" r="0" b="0"/>
                <wp:wrapNone/>
                <wp:docPr id="40" name="Frame39"/>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ind w:left="0" w:right="0" w:firstLine="360"/>
                              <w:jc w:val="right"/>
                              <w:rPr/>
                            </w:pPr>
                            <w:r>
                              <w:rPr>
                                <w:rFonts w:ascii="Allstate Sans;sans-serif" w:hAnsi="Allstate Sans;sans-serif"/>
                                <w:b w:val="false"/>
                                <w:color w:val="000000"/>
                                <w:sz w:val="18"/>
                              </w:rPr>
                              <w:t xml:space="preserve">Second Quarter 2026 Form 10-Q </w:t>
                            </w:r>
                            <w:r>
                              <w:rPr>
                                <w:rFonts w:ascii="Allstate Sans;sans-serif" w:hAnsi="Allstate Sans;sans-serif"/>
                                <w:b w:val="false"/>
                                <w:color w:val="0033A0"/>
                                <w:sz w:val="18"/>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right"/>
                        <w:rPr/>
                      </w:pPr>
                      <w:r>
                        <w:rPr>
                          <w:rFonts w:ascii="Allstate Sans;sans-serif" w:hAnsi="Allstate Sans;sans-serif"/>
                          <w:b w:val="false"/>
                          <w:color w:val="000000"/>
                          <w:sz w:val="18"/>
                        </w:rPr>
                        <w:t xml:space="preserve">Second Quarter 2026 Form 10-Q </w:t>
                      </w:r>
                      <w:r>
                        <w:rPr>
                          <w:rFonts w:ascii="Allstate Sans;sans-serif" w:hAnsi="Allstate Sans;sans-serif"/>
                          <w:b w:val="false"/>
                          <w:color w:val="0033A0"/>
                          <w:sz w:val="18"/>
                        </w:rPr>
                        <w:t>37</w:t>
                      </w:r>
                    </w:p>
                  </w:txbxContent>
                </v:textbox>
                <w10:wrap type="none"/>
              </v:rect>
            </w:pict>
          </mc:Fallback>
        </mc:AlternateContent>
      </w:r>
    </w:p>
    <w:p>
      <w:pPr>
        <w:pStyle w:val="TextBody"/>
        <w:bidi w:val="0"/>
        <w:spacing w:lineRule="auto" w:line="288" w:before="0" w:after="0"/>
        <w:jc w:val="left"/>
        <w:rPr>
          <w:rFonts w:ascii="Allstate Sans;sans-serif" w:hAnsi="Allstate Sans;sans-serif"/>
          <w:b w:val="false"/>
          <w:color w:val="0033A0"/>
          <w:sz w:val="18"/>
        </w:rPr>
      </w:pPr>
      <w:r>
        <w:rPr>
          <w:rFonts w:ascii="Allstate Sans;sans-serif" w:hAnsi="Allstate Sans;sans-serif"/>
          <w:b w:val="false"/>
          <w:color w:val="0033A0"/>
          <w:sz w:val="18"/>
        </w:rPr>
        <w:t>Notes to Condensed Consolidated Financial Statements</w:t>
      </w:r>
    </w:p>
    <w:p>
      <w:pPr>
        <w:pStyle w:val="TextBody"/>
        <w:bidi w:val="0"/>
        <w:spacing w:before="0" w:after="120"/>
        <w:ind w:left="0" w:right="0" w:firstLine="360"/>
        <w:jc w:val="left"/>
        <w:rPr/>
      </w:pPr>
      <w:r>
        <w:rPr/>
      </w:r>
    </w:p>
    <w:p>
      <w:pPr>
        <w:pStyle w:val="TextBody"/>
        <w:bidi w:val="0"/>
        <w:spacing w:lineRule="auto" w:line="288" w:before="0" w:after="120"/>
        <w:jc w:val="left"/>
        <w:rPr>
          <w:rFonts w:ascii="Allstate Sans;sans-serif" w:hAnsi="Allstate Sans;sans-serif"/>
          <w:b w:val="false"/>
          <w:color w:val="000000"/>
          <w:sz w:val="18"/>
        </w:rPr>
      </w:pPr>
      <w:r>
        <w:rPr>
          <w:rFonts w:ascii="Allstate Sans;sans-serif" w:hAnsi="Allstate Sans;sans-serif"/>
          <w:b w:val="false"/>
          <w:color w:val="000000"/>
          <w:sz w:val="18"/>
        </w:rPr>
        <w:t>policies, limit insurers’ ability to change coverage terms or to impose underwriting standards, impose additional regulations regarding agency and broker compensation, regulate the nature of and amount of investments, impose fines and penalties for unintended errors or mistakes, impose additional regulations regarding cybersecurity and privacy, restrict the use of advanced technologies, non-traditional data sources, or large language models and otherwise expand overall regulation of insurance products and the insurance industry.</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In addition, the Company is subject to laws and regulations administered and enforced by federal agencies, international agencies, and other organizations, including but not limited to the SEC, the Financial Industry Regulatory Authority, the U.S. Equal Employment Opportunity Commission, and the U.S. Department of Justice.</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 xml:space="preserve">The Company has established procedures and policies to facilitate compliance with laws and regulations, to foster prudent business operations, and to support financial reporting. The Company routinely reviews its practices to validate compliance with laws and regulations and with internal procedures and policies. As a result of these reviews, from time to time the Company may decide to modify some of its procedures and policies. Such modifications, and the reviews that led to them, may be accompanied by payments being made and costs being incurred. The ultimate changes and eventual effects of these actions on the Company’s business, if any, are uncertain. </w:t>
      </w:r>
    </w:p>
    <w:p>
      <w:pPr>
        <w:pStyle w:val="TextBody"/>
        <w:bidi w:val="0"/>
        <w:spacing w:lineRule="auto" w:line="288" w:before="0" w:after="120"/>
        <w:jc w:val="left"/>
        <w:rPr>
          <w:rFonts w:ascii="Allstate Sans;sans-serif" w:hAnsi="Allstate Sans;sans-serif"/>
          <w:b/>
          <w:color w:val="0033A0"/>
          <w:sz w:val="18"/>
        </w:rPr>
      </w:pPr>
      <w:r>
        <w:rPr>
          <w:rFonts w:ascii="Allstate Sans;sans-serif" w:hAnsi="Allstate Sans;sans-serif"/>
          <w:b/>
          <w:color w:val="0033A0"/>
          <w:sz w:val="18"/>
        </w:rPr>
        <w:t xml:space="preserve">Legal and regulatory proceedings and inquiries </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The Company and certain subsidiaries are involved in a number of lawsuits, regulatory inquiries, and other legal proceedings arising out of various aspects of its business.</w:t>
      </w:r>
    </w:p>
    <w:p>
      <w:pPr>
        <w:pStyle w:val="TextBody"/>
        <w:bidi w:val="0"/>
        <w:spacing w:lineRule="auto" w:line="288" w:before="0" w:after="120"/>
        <w:ind w:left="0" w:right="0" w:firstLine="360"/>
        <w:jc w:val="left"/>
        <w:rPr/>
      </w:pPr>
      <w:r>
        <w:rPr>
          <w:rFonts w:ascii="Allstate Sans;sans-serif" w:hAnsi="Allstate Sans;sans-serif"/>
          <w:b w:val="false"/>
          <w:i/>
          <w:color w:val="0033A0"/>
          <w:sz w:val="18"/>
        </w:rPr>
        <w:t>Background</w:t>
      </w:r>
      <w:r>
        <w:rPr>
          <w:color w:val="000000"/>
        </w:rPr>
        <w:t xml:space="preserve"> </w:t>
      </w:r>
      <w:r>
        <w:rPr>
          <w:rFonts w:ascii="Allstate Sans;sans-serif" w:hAnsi="Allstate Sans;sans-serif"/>
          <w:b w:val="false"/>
          <w:color w:val="000000"/>
          <w:sz w:val="18"/>
        </w:rPr>
        <w:t>These matters raise difficult and complicated factual and legal issues and are subject to many uncertainties and complexities, including the underlying facts of each matter; novel legal issues; variations between jurisdictions in which matters are being litigated, heard, or investigated; changes in assigned judges; differences or developments in applicable laws and judicial interpretations; judges reconsidering prior rulings; the length of time before many of these matters might be resolved by settlement, through litigation, or otherwise; adjustments with respect to anticipated trial schedules and other proceedings; developments in similar actions against other companies; the fact that some of the lawsuits are putative class actions in which a class has not been certified and in which the purported class may not be clearly defined; the fact that some of the lawsuits involve multi-state class actions in which the applicable law(s) for the claims at issue is in dispute and therefore unclear; and the challenging legal environment faced by corporations and insurance companies.</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 xml:space="preserve">The outcome of these matters may be affected by decisions, verdicts and settlements, and the timing of such decisions, verdicts and settlements, in other </w:t>
      </w:r>
    </w:p>
    <w:p>
      <w:pPr>
        <w:pStyle w:val="TextBody"/>
        <w:bidi w:val="0"/>
        <w:spacing w:lineRule="auto" w:line="288" w:before="0" w:after="120"/>
        <w:jc w:val="left"/>
        <w:rPr>
          <w:rFonts w:ascii="Allstate Sans;sans-serif" w:hAnsi="Allstate Sans;sans-serif"/>
          <w:b w:val="false"/>
          <w:color w:val="000000"/>
          <w:sz w:val="18"/>
        </w:rPr>
      </w:pPr>
      <w:r>
        <w:rPr>
          <w:rFonts w:ascii="Allstate Sans;sans-serif" w:hAnsi="Allstate Sans;sans-serif"/>
          <w:b w:val="false"/>
          <w:color w:val="000000"/>
          <w:sz w:val="18"/>
        </w:rPr>
        <w:t>individual and class action lawsuits that involve the Company, other insurers or other entities and by other legal, governmental and regulatory actions that involve the Company, other insurers or other entities. The outcome may also be affected by future state or federal legislation, the timing or substance of which cannot be predicted.</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In the lawsuits, plaintiffs seek a variety of remedies which may include equitable relief in the form of injunctive and other remedies and monetary relief in the form of contractual and extra-contractual damages. In some cases, the monetary damages sought may include punitive or treble damages. Often specific information about the relief sought, such as the amount of damages, is not available because plaintiffs have not requested specific relief in their pleadings. When specific monetary demands are made, they are often set just below a state court jurisdictional limit in order to seek the maximum amount available in state court, regardless of the specifics of the case, while still avoiding the risk of removal to federal court. In Allstate’s experience, monetary demands in pleadings bear little relation to the ultimate loss, if any, to the Company.</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In connection with regulatory examinations and proceedings, government authorities may seek various forms of relief, including penalties, restitution, and changes in business practices. The Company may not be advised of the nature and extent of relief sought until the final stages of the examination or proceeding.</w:t>
      </w:r>
    </w:p>
    <w:p>
      <w:pPr>
        <w:pStyle w:val="TextBody"/>
        <w:bidi w:val="0"/>
        <w:spacing w:lineRule="auto" w:line="288" w:before="0" w:after="120"/>
        <w:ind w:left="0" w:right="0" w:firstLine="360"/>
        <w:jc w:val="left"/>
        <w:rPr/>
      </w:pPr>
      <w:r>
        <w:rPr>
          <w:rFonts w:ascii="Allstate Sans;sans-serif" w:hAnsi="Allstate Sans;sans-serif"/>
          <w:b w:val="false"/>
          <w:i/>
          <w:color w:val="0033A0"/>
          <w:sz w:val="18"/>
        </w:rPr>
        <w:t xml:space="preserve">Accrual and disclosure policy </w:t>
      </w:r>
      <w:r>
        <w:rPr>
          <w:rFonts w:ascii="Allstate Sans;sans-serif" w:hAnsi="Allstate Sans;sans-serif"/>
          <w:b w:val="false"/>
          <w:color w:val="000000"/>
          <w:sz w:val="18"/>
        </w:rPr>
        <w:t>The Company reviews its lawsuits, regulatory inquiries, and other legal proceedings on an ongoing basis and follows appropriate accounting guidance when making accrual and disclosure decisions. The Company establishes accruals for such matters at management’s best estimate, which may include the low end of a range of loss, when the Company assesses that it is probable that a loss has been incurred and the amount of the loss can be reasonably estimated. The Company does not establish accruals for such matters when the Company does not believe both that it is probable that a loss has been incurred and the amount of the loss can be reasonably estimated. The Company’s assessment of whether a loss is reasonably possible or probable is based on its assessment of the ultimate outcome of the matter following all appeals. The Company does not include potential recoveries in its estimates of reasonably possible or probable losses. Legal fees are expensed as incurred.</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The Company continues to monitor its lawsuits, regulatory inquiries, and other legal proceedings for further developments that would make the loss contingency both probable and estimable, and accordingly accruable, or that could affect the amount of accruals that have been previously established. There may continue to be exposure to loss in excess of any amount accrued. Disclosure of the nature and amount of an accrual is made when there have been sufficient legal and factual developments such that the Company’s ability to resolve the matter would not be impaired by the disclosure of the amount of accrual.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1"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120"/>
                              <w:jc w:val="left"/>
                              <w:rPr/>
                            </w:pPr>
                            <w:r>
                              <w:rPr>
                                <w:rFonts w:ascii="Allstate Sans;sans-serif" w:hAnsi="Allstate Sans;sans-serif"/>
                                <w:b w:val="false"/>
                                <w:color w:val="0033A0"/>
                                <w:sz w:val="18"/>
                              </w:rPr>
                              <w:t>38</w:t>
                            </w:r>
                            <w:r>
                              <w:rPr>
                                <w:color w:val="1666AF"/>
                              </w:rPr>
                              <w:t xml:space="preserve"> </w:t>
                            </w:r>
                            <w:r>
                              <w:rPr>
                                <w:rFonts w:ascii="Allstate Sans;sans-serif" w:hAnsi="Allstate Sans;sans-serif"/>
                                <w:b w:val="false"/>
                                <w:color w:val="000000"/>
                                <w:sz w:val="18"/>
                              </w:rPr>
                              <w:t>www.allstate.com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left"/>
                        <w:rPr/>
                      </w:pPr>
                      <w:r>
                        <w:rPr>
                          <w:rFonts w:ascii="Allstate Sans;sans-serif" w:hAnsi="Allstate Sans;sans-serif"/>
                          <w:b w:val="false"/>
                          <w:color w:val="0033A0"/>
                          <w:sz w:val="18"/>
                        </w:rPr>
                        <w:t>38</w:t>
                      </w:r>
                      <w:r>
                        <w:rPr>
                          <w:color w:val="1666AF"/>
                        </w:rPr>
                        <w:t xml:space="preserve"> </w:t>
                      </w:r>
                      <w:r>
                        <w:rPr>
                          <w:rFonts w:ascii="Allstate Sans;sans-serif" w:hAnsi="Allstate Sans;sans-serif"/>
                          <w:b w:val="false"/>
                          <w:color w:val="000000"/>
                          <w:sz w:val="18"/>
                        </w:rPr>
                        <w:t>www.allstate.com</w:t>
                      </w:r>
                    </w:p>
                  </w:txbxContent>
                </v:textbox>
                <w10:wrap type="none"/>
              </v:rect>
            </w:pict>
          </mc:Fallback>
        </mc:AlternateContent>
      </w:r>
    </w:p>
    <w:p>
      <w:pPr>
        <w:pStyle w:val="TextBody"/>
        <w:bidi w:val="0"/>
        <w:spacing w:lineRule="auto" w:line="288" w:before="0" w:after="0"/>
        <w:jc w:val="right"/>
        <w:rPr>
          <w:rFonts w:ascii="Allstate Sans;sans-serif" w:hAnsi="Allstate Sans;sans-serif"/>
          <w:b w:val="false"/>
          <w:color w:val="0033A0"/>
          <w:sz w:val="18"/>
        </w:rPr>
      </w:pPr>
      <w:r>
        <w:rPr>
          <w:rFonts w:ascii="Allstate Sans;sans-serif" w:hAnsi="Allstate Sans;sans-serif"/>
          <w:b w:val="false"/>
          <w:color w:val="0033A0"/>
          <w:sz w:val="18"/>
        </w:rPr>
        <w:t>Notes to Condensed Consolidated Financial Statements</w:t>
      </w:r>
    </w:p>
    <w:p>
      <w:pPr>
        <w:pStyle w:val="TextBody"/>
        <w:bidi w:val="0"/>
        <w:spacing w:before="0" w:after="120"/>
        <w:ind w:left="0" w:right="0" w:firstLine="360"/>
        <w:jc w:val="left"/>
        <w:rPr/>
      </w:pPr>
      <w:r>
        <w:rPr/>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When the Company assesses it is reasonably possible or probable that a loss has been incurred, it discloses the matter. When it is possible to estimate the reasonably possible loss or range of loss above the amount accrued, if any, for the matters disclosed, that estimate is aggregated and disclosed. Disclosure is not required when an estimate of the reasonably possible loss or range of loss cannot be made.</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For certain of the matters described below in the "Claims related proceedings” and "Other proceedings” subsections, the Company is able to estimate the reasonably possible loss or range of loss above the amount accrued, if any. In determining whether it is possible to estimate the reasonably possible loss or range of loss, the Company reviews and evaluates the disclosed matters, in conjunction with counsel, in light of potentially relevant factual and legal developments.</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These developments may include information learned through the discovery process, rulings on dispositive motions, settlement discussions, information obtained from other sources, experience from managing these and other matters, and other rulings by courts, arbitrators or others. When the Company possesses sufficient appropriate information to develop an estimate of the reasonably possible loss or range of loss above the amount accrued, if any, that estimate is aggregated and disclosed below. There may be other disclosed matters for which a loss is probable or reasonably possible, but such an estimate is not possible. Disclosure of the estimate of the reasonably possible loss or range of loss above the amount accrued, if any, for any individual matter would only be considered when there have been sufficient legal and factual developments such that the Company’s ability to resolve the matter would not be impaired by the disclosure of the individual estimate.</w:t>
      </w:r>
    </w:p>
    <w:p>
      <w:pPr>
        <w:pStyle w:val="TextBody"/>
        <w:bidi w:val="0"/>
        <w:spacing w:lineRule="auto" w:line="288" w:before="0" w:after="120"/>
        <w:ind w:left="0" w:right="0" w:firstLine="360"/>
        <w:jc w:val="left"/>
        <w:rPr/>
      </w:pPr>
      <w:r>
        <w:rPr>
          <w:rFonts w:ascii="Allstate Sans;sans-serif" w:hAnsi="Allstate Sans;sans-serif"/>
          <w:b w:val="false"/>
          <w:color w:val="000000"/>
          <w:sz w:val="18"/>
        </w:rPr>
        <w:t>The Company currently estimates that the aggregate range of reasonably possible loss in excess of the amount accrued, if any, for the disclosed matters where such an estimate is possible is zero to $51 million, pre-tax. This disclosure is not an indication of expected loss, if any. Under accounting guidance, an event is “reasonably possible” if “the chance of the future event or events occurring is more than remote but less than likely” and an event is “remote” if “the chance of the future event or events occurring is slight.” This estimate is based upon currently available information and is subject to significant judgment and a variety of assumptions and known and unknown uncertainties. The matters underlying the estimate will change from time to time, and actual results may vary significantly from the current estimate. The estimate does not include matters or losses</w:t>
      </w:r>
      <w:r>
        <w:rPr>
          <w:color w:val="000000"/>
        </w:rPr>
        <w:t xml:space="preserve"> </w:t>
      </w:r>
      <w:r>
        <w:rPr>
          <w:rFonts w:ascii="Allstate Sans;sans-serif" w:hAnsi="Allstate Sans;sans-serif"/>
          <w:b w:val="false"/>
          <w:color w:val="000000"/>
          <w:sz w:val="18"/>
        </w:rPr>
        <w:t>for which an estimate is not possible. Therefore, this estimate represents an estimate of possible loss only for certain matters meeting these criteria. It does not represent the Company’s maximum possible loss exposure. Information is provided below regarding the nature of all of the disclosed matters and, where specified, the amount, if any, of plaintiff claims associated with these loss contingencies.</w:t>
      </w:r>
    </w:p>
    <w:p>
      <w:pPr>
        <w:pStyle w:val="TextBody"/>
        <w:bidi w:val="0"/>
        <w:spacing w:lineRule="auto" w:line="288" w:before="12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 xml:space="preserve">Due to the complexity and scope of the matters disclosed in the “Claims related proceedings” and </w:t>
      </w:r>
    </w:p>
    <w:p>
      <w:pPr>
        <w:pStyle w:val="TextBody"/>
        <w:bidi w:val="0"/>
        <w:spacing w:lineRule="auto" w:line="288" w:before="120" w:after="120"/>
        <w:jc w:val="left"/>
        <w:rPr/>
      </w:pPr>
      <w:r>
        <w:rPr>
          <w:color w:val="000000"/>
        </w:rPr>
        <w:t>“</w:t>
      </w:r>
      <w:r>
        <w:rPr>
          <w:rFonts w:ascii="Allstate Sans;sans-serif" w:hAnsi="Allstate Sans;sans-serif"/>
          <w:b w:val="false"/>
          <w:color w:val="000000"/>
          <w:sz w:val="18"/>
        </w:rPr>
        <w:t>Other proceedings” subsections below and the many uncertainties that exist, the ultimate outcome of these matters cannot be predicted and in the Company’s judgment, a loss, in excess of amounts accrued, if any, is not probable. In the event of an unfavorable outcome in one or more of these matters, the ultimate liability may be in excess of amounts currently accrued, if any, and may be material to the Company’s operating results or cash flows for a particular quarterly or annual period. However, based on information currently known to it, management believes that the ultimate outcome of all matters described below</w:t>
      </w:r>
      <w:r>
        <w:rPr>
          <w:rFonts w:ascii="Allstate Sans;sans-serif" w:hAnsi="Allstate Sans;sans-serif"/>
          <w:b/>
          <w:color w:val="000000"/>
          <w:sz w:val="18"/>
        </w:rPr>
        <w:t xml:space="preserve">, </w:t>
      </w:r>
      <w:r>
        <w:rPr>
          <w:rFonts w:ascii="Allstate Sans;sans-serif" w:hAnsi="Allstate Sans;sans-serif"/>
          <w:b w:val="false"/>
          <w:color w:val="000000"/>
          <w:sz w:val="18"/>
        </w:rPr>
        <w:t>as they are resolved over time</w:t>
      </w:r>
      <w:r>
        <w:rPr>
          <w:rFonts w:ascii="Allstate Sans;sans-serif" w:hAnsi="Allstate Sans;sans-serif"/>
          <w:b/>
          <w:color w:val="000000"/>
          <w:sz w:val="18"/>
        </w:rPr>
        <w:t>,</w:t>
      </w:r>
      <w:r>
        <w:rPr>
          <w:color w:val="000000"/>
        </w:rPr>
        <w:t xml:space="preserve"> </w:t>
      </w:r>
      <w:r>
        <w:rPr>
          <w:rFonts w:ascii="Allstate Sans;sans-serif" w:hAnsi="Allstate Sans;sans-serif"/>
          <w:b w:val="false"/>
          <w:color w:val="000000"/>
          <w:sz w:val="18"/>
        </w:rPr>
        <w:t>is not likely to have a material effect on the financial position of the Company.</w:t>
      </w:r>
    </w:p>
    <w:p>
      <w:pPr>
        <w:pStyle w:val="TextBody"/>
        <w:bidi w:val="0"/>
        <w:spacing w:lineRule="auto" w:line="288" w:before="0" w:after="120"/>
        <w:ind w:left="0" w:right="0" w:firstLine="360"/>
        <w:jc w:val="left"/>
        <w:rPr/>
      </w:pPr>
      <w:r>
        <w:rPr>
          <w:rFonts w:ascii="Allstate Sans;sans-serif" w:hAnsi="Allstate Sans;sans-serif"/>
          <w:b w:val="false"/>
          <w:i/>
          <w:color w:val="0033A0"/>
          <w:sz w:val="18"/>
        </w:rPr>
        <w:t>Claims related proceedings</w:t>
      </w:r>
      <w:r>
        <w:rPr>
          <w:color w:val="000000"/>
        </w:rPr>
        <w:t xml:space="preserve"> </w:t>
      </w:r>
      <w:r>
        <w:rPr>
          <w:rFonts w:ascii="Allstate Sans;sans-serif" w:hAnsi="Allstate Sans;sans-serif"/>
          <w:b w:val="false"/>
          <w:color w:val="000000"/>
          <w:sz w:val="18"/>
        </w:rPr>
        <w:t>The Company is subject to lawsuits in multiple states that raise challenges to the Company’s depreciation practices in homeowner property claims. In these lawsuits, plaintiffs generally allege that, when calculating actual cash value, the costs of “non-materials” such as labor, general contractor’s overhead and profit, and sales tax should not be subject to depreciation. The plaintiffs seek damages and declaratory relief.</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 xml:space="preserve">The Company is subject to lawsuits in multiple states alleging that the Company underpays total loss vehicle physical damage claims on auto policies. The alleged systematic underpayments result from the following theories: (a) the third-party valuation tool used by the Company as part of a comprehensive adjustment process is allegedly flawed, biased, or contrary to applicable law; and/or (b) the Company allegedly does not pay sales tax, title fees, registration fees, and/or other specified fees or costs that are allegedly mandatory under policy language or state legal authority. The plaintiffs seek damages, equitable relief, attorneys’ fees and costs. </w:t>
      </w:r>
    </w:p>
    <w:p>
      <w:pPr>
        <w:pStyle w:val="TextBody"/>
        <w:bidi w:val="0"/>
        <w:spacing w:lineRule="auto" w:line="288" w:before="0" w:after="120"/>
        <w:ind w:left="0" w:right="0" w:firstLine="360"/>
        <w:jc w:val="left"/>
        <w:rPr/>
      </w:pPr>
      <w:r>
        <w:rPr>
          <w:rFonts w:ascii="Allstate Sans;sans-serif" w:hAnsi="Allstate Sans;sans-serif"/>
          <w:b w:val="false"/>
          <w:color w:val="000000"/>
          <w:sz w:val="18"/>
        </w:rPr>
        <w:t>The Company is subject to lawsuits in the U.S. District Court for the District of Arizona that allege underpayment of uninsured/underinsured motorist claims, including</w:t>
      </w:r>
      <w:r>
        <w:rPr>
          <w:color w:val="000000"/>
        </w:rPr>
        <w:t xml:space="preserve"> </w:t>
      </w:r>
      <w:r>
        <w:rPr>
          <w:rFonts w:ascii="Allstate Sans;sans-serif" w:hAnsi="Allstate Sans;sans-serif"/>
          <w:b w:val="false"/>
          <w:i/>
          <w:color w:val="000000"/>
          <w:sz w:val="18"/>
        </w:rPr>
        <w:t>Dorazio v. Allstate Fire and Casualty Insurance Company</w:t>
      </w:r>
      <w:r>
        <w:rPr>
          <w:rFonts w:ascii="Allstate Sans;sans-serif" w:hAnsi="Allstate Sans;sans-serif"/>
          <w:b w:val="false"/>
          <w:color w:val="000000"/>
          <w:sz w:val="18"/>
        </w:rPr>
        <w:t>, filed December 2022. The plaintiffs allege that, where statute permits, they are entitled to combine separate uninsured/underinsured coverage limits of multiple vehicles into one higher coverage limit. The plaintiffs seek damages, punitive damages, and attorneys’ fees. The court has granted preliminary approval of a settlement in one of the cases,</w:t>
      </w:r>
      <w:r>
        <w:rPr>
          <w:color w:val="000000"/>
        </w:rPr>
        <w:t xml:space="preserve"> </w:t>
      </w:r>
      <w:r>
        <w:rPr>
          <w:rFonts w:ascii="Allstate Sans;sans-serif" w:hAnsi="Allstate Sans;sans-serif"/>
          <w:b w:val="false"/>
          <w:i/>
          <w:color w:val="000000"/>
          <w:sz w:val="18"/>
        </w:rPr>
        <w:t>Loughran v. MIC General Insurance Corporation</w:t>
      </w:r>
      <w:r>
        <w:rPr>
          <w:rFonts w:ascii="Allstate Sans;sans-serif" w:hAnsi="Allstate Sans;sans-serif"/>
          <w:b w:val="false"/>
          <w:color w:val="000000"/>
          <w:sz w:val="18"/>
        </w:rPr>
        <w:t xml:space="preserve">. </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 xml:space="preserve">The Company is subject to a lawsuit brought by the Oklahoma Attorney General in Cleveland County, Oklahoma District Court in July 2026, which alleges that the Company’s homeowners insurance practices violate the Oklahoma Consumer Protection Act and the Oklahoma Racketeer-Influenced and Corrupt Organizations Act. The suit seeks injunctive relief, restitution, disgorgement, statutory damages, civil penalties and attorneys' fees. </w:t>
      </w:r>
    </w:p>
    <w:p>
      <w:pPr>
        <w:pStyle w:val="TextBody"/>
        <w:bidi w:val="0"/>
        <w:spacing w:lineRule="auto" w:line="288" w:before="0" w:after="120"/>
        <w:ind w:left="0" w:right="0" w:firstLine="360"/>
        <w:jc w:val="left"/>
        <w:rPr/>
      </w:pPr>
      <w:r>
        <w:rPr>
          <w:rFonts w:ascii="Allstate Sans;sans-serif" w:hAnsi="Allstate Sans;sans-serif"/>
          <w:b w:val="false"/>
          <w:i/>
          <w:color w:val="0033A0"/>
          <w:sz w:val="18"/>
        </w:rPr>
        <w:t>Other proceedings</w:t>
      </w:r>
      <w:r>
        <w:rPr>
          <w:color w:val="000000"/>
        </w:rPr>
        <w:t xml:space="preserve"> </w:t>
      </w:r>
    </w:p>
    <w:p>
      <w:pPr>
        <w:pStyle w:val="TextBody"/>
        <w:bidi w:val="0"/>
        <w:spacing w:lineRule="auto" w:line="288" w:before="0" w:after="120"/>
        <w:ind w:left="0" w:right="0" w:firstLine="360"/>
        <w:jc w:val="left"/>
        <w:rPr/>
      </w:pPr>
      <w:r>
        <w:rPr>
          <w:rFonts w:ascii="Allstate Sans;sans-serif" w:hAnsi="Allstate Sans;sans-serif"/>
          <w:b w:val="false"/>
          <w:color w:val="000000"/>
          <w:sz w:val="18"/>
        </w:rPr>
        <w:t xml:space="preserve">The Company is subject to lawsuits in the U.S. District Court for the Eastern District of California, including </w:t>
      </w:r>
      <w:r>
        <w:rPr>
          <w:rFonts w:ascii="Allstate Sans;sans-serif" w:hAnsi="Allstate Sans;sans-serif"/>
          <w:b w:val="false"/>
          <w:i/>
          <w:color w:val="000000"/>
          <w:sz w:val="18"/>
        </w:rPr>
        <w:t xml:space="preserve">Holland Hewitt v. Allstate Life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33350"/>
                <wp:effectExtent l="0" t="0" r="0" b="0"/>
                <wp:wrapNone/>
                <wp:docPr id="42" name="Frame41"/>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ind w:left="0" w:right="0" w:firstLine="360"/>
                              <w:jc w:val="right"/>
                              <w:rPr/>
                            </w:pPr>
                            <w:r>
                              <w:rPr>
                                <w:rFonts w:ascii="Allstate Sans;sans-serif" w:hAnsi="Allstate Sans;sans-serif"/>
                                <w:b w:val="false"/>
                                <w:color w:val="000000"/>
                                <w:sz w:val="18"/>
                              </w:rPr>
                              <w:t xml:space="preserve">Second Quarter 2026 Form 10-Q </w:t>
                            </w:r>
                            <w:r>
                              <w:rPr>
                                <w:rFonts w:ascii="Allstate Sans;sans-serif" w:hAnsi="Allstate Sans;sans-serif"/>
                                <w:b w:val="false"/>
                                <w:color w:val="0033A0"/>
                                <w:sz w:val="18"/>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right"/>
                        <w:rPr/>
                      </w:pPr>
                      <w:r>
                        <w:rPr>
                          <w:rFonts w:ascii="Allstate Sans;sans-serif" w:hAnsi="Allstate Sans;sans-serif"/>
                          <w:b w:val="false"/>
                          <w:color w:val="000000"/>
                          <w:sz w:val="18"/>
                        </w:rPr>
                        <w:t xml:space="preserve">Second Quarter 2026 Form 10-Q </w:t>
                      </w:r>
                      <w:r>
                        <w:rPr>
                          <w:rFonts w:ascii="Allstate Sans;sans-serif" w:hAnsi="Allstate Sans;sans-serif"/>
                          <w:b w:val="false"/>
                          <w:color w:val="0033A0"/>
                          <w:sz w:val="18"/>
                        </w:rPr>
                        <w:t>39</w:t>
                      </w:r>
                    </w:p>
                  </w:txbxContent>
                </v:textbox>
                <w10:wrap type="none"/>
              </v:rect>
            </w:pict>
          </mc:Fallback>
        </mc:AlternateContent>
      </w:r>
    </w:p>
    <w:p>
      <w:pPr>
        <w:pStyle w:val="TextBody"/>
        <w:bidi w:val="0"/>
        <w:spacing w:lineRule="auto" w:line="288" w:before="0" w:after="0"/>
        <w:jc w:val="left"/>
        <w:rPr>
          <w:rFonts w:ascii="Allstate Sans;sans-serif" w:hAnsi="Allstate Sans;sans-serif"/>
          <w:b w:val="false"/>
          <w:color w:val="0033A0"/>
          <w:sz w:val="18"/>
        </w:rPr>
      </w:pPr>
      <w:r>
        <w:rPr>
          <w:rFonts w:ascii="Allstate Sans;sans-serif" w:hAnsi="Allstate Sans;sans-serif"/>
          <w:b w:val="false"/>
          <w:color w:val="0033A0"/>
          <w:sz w:val="18"/>
        </w:rPr>
        <w:t>Notes to Condensed Consolidated Financial Statements</w:t>
      </w:r>
    </w:p>
    <w:p>
      <w:pPr>
        <w:pStyle w:val="TextBody"/>
        <w:bidi w:val="0"/>
        <w:spacing w:before="0" w:after="120"/>
        <w:ind w:left="0" w:right="0" w:firstLine="360"/>
        <w:jc w:val="left"/>
        <w:rPr/>
      </w:pPr>
      <w:r>
        <w:rPr/>
      </w:r>
    </w:p>
    <w:p>
      <w:pPr>
        <w:pStyle w:val="TextBody"/>
        <w:bidi w:val="0"/>
        <w:spacing w:lineRule="auto" w:line="288" w:before="0" w:after="120"/>
        <w:jc w:val="left"/>
        <w:rPr/>
      </w:pPr>
      <w:r>
        <w:rPr>
          <w:rFonts w:ascii="Allstate Sans;sans-serif" w:hAnsi="Allstate Sans;sans-serif"/>
          <w:b w:val="false"/>
          <w:i/>
          <w:color w:val="000000"/>
          <w:sz w:val="18"/>
        </w:rPr>
        <w:t>Insurance Company,</w:t>
      </w:r>
      <w:r>
        <w:rPr>
          <w:color w:val="000000"/>
        </w:rPr>
        <w:t> </w:t>
      </w:r>
      <w:r>
        <w:rPr>
          <w:rFonts w:ascii="Allstate Sans;sans-serif" w:hAnsi="Allstate Sans;sans-serif"/>
          <w:b w:val="false"/>
          <w:color w:val="000000"/>
          <w:sz w:val="18"/>
        </w:rPr>
        <w:t xml:space="preserve">filed May 2020, related to the alleged failure by former life insurance subsidiaries to comply with certain California statutes which address contractual grace periods and lapse notice requirements for certain life insurance policies. The plaintiffs seek damages and injunctive relief. </w:t>
      </w:r>
    </w:p>
    <w:p>
      <w:pPr>
        <w:pStyle w:val="TextBody"/>
        <w:bidi w:val="0"/>
        <w:spacing w:lineRule="auto" w:line="288" w:before="0" w:after="120"/>
        <w:ind w:left="0" w:right="0" w:firstLine="360"/>
        <w:jc w:val="left"/>
        <w:rPr/>
      </w:pPr>
      <w:r>
        <w:rPr>
          <w:rFonts w:ascii="Allstate Sans;sans-serif" w:hAnsi="Allstate Sans;sans-serif"/>
          <w:b w:val="false"/>
          <w:color w:val="000000"/>
          <w:sz w:val="18"/>
        </w:rPr>
        <w:t xml:space="preserve">The Company is subject to a lawsuit brought by the Department of Justice in the U.S. District Court for the Western District of Pennsylvania, </w:t>
      </w:r>
      <w:r>
        <w:rPr>
          <w:rFonts w:ascii="Allstate Sans;sans-serif" w:hAnsi="Allstate Sans;sans-serif"/>
          <w:b w:val="false"/>
          <w:i/>
          <w:color w:val="000000"/>
          <w:sz w:val="18"/>
        </w:rPr>
        <w:t>United States v. National General Holdings Corp., et al.,</w:t>
      </w:r>
      <w:r>
        <w:rPr>
          <w:color w:val="000000"/>
        </w:rPr>
        <w:t xml:space="preserve"> </w:t>
      </w:r>
      <w:r>
        <w:rPr>
          <w:rFonts w:ascii="Allstate Sans;sans-serif" w:hAnsi="Allstate Sans;sans-serif"/>
          <w:b w:val="false"/>
          <w:color w:val="000000"/>
          <w:sz w:val="18"/>
        </w:rPr>
        <w:t>filed July 2024, which alleges that certain services that National General provided as a vendor to a large national bank for its collateral protection insurance program violated the Financial Institutions, Reform, Recovery, and Enforcement Act of 1989 (the “Act”). The suit seeks civil monetary penalties available under the Act.</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The Company is subject to lawsuits related to the collection and use of driving behavior data, including a civil lawsuit filed by the Texas Attorney General in Montgomery County, Texas District Court and putative class actions filed in federal court. The lawsuits allege privacy and consumer protection claims and seek actual, statutory and punitive damages, restitution, injunctive relief and attorneys’ fees.</w:t>
      </w:r>
    </w:p>
    <w:p>
      <w:pPr>
        <w:pStyle w:val="TextBody"/>
        <w:bidi w:val="0"/>
        <w:spacing w:lineRule="auto" w:line="288" w:before="12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 xml:space="preserve">The Company is subject to a class action lawsuit in the U.S. District Court for the Central District of </w:t>
      </w:r>
    </w:p>
    <w:p>
      <w:pPr>
        <w:pStyle w:val="TextBody"/>
        <w:bidi w:val="0"/>
        <w:spacing w:lineRule="auto" w:line="288" w:before="120" w:after="120"/>
        <w:jc w:val="left"/>
        <w:rPr/>
      </w:pPr>
      <w:r>
        <w:rPr>
          <w:rFonts w:ascii="Allstate Sans;sans-serif" w:hAnsi="Allstate Sans;sans-serif"/>
          <w:b w:val="false"/>
          <w:color w:val="000000"/>
          <w:sz w:val="18"/>
        </w:rPr>
        <w:t>California,</w:t>
      </w:r>
      <w:r>
        <w:rPr>
          <w:color w:val="000000"/>
        </w:rPr>
        <w:t xml:space="preserve"> </w:t>
      </w:r>
      <w:r>
        <w:rPr>
          <w:rFonts w:ascii="Allstate Sans;sans-serif" w:hAnsi="Allstate Sans;sans-serif"/>
          <w:b w:val="false"/>
          <w:i/>
          <w:color w:val="000000"/>
          <w:sz w:val="18"/>
        </w:rPr>
        <w:t>Canchola, et al v. Allstate Insurance Company</w:t>
      </w:r>
      <w:r>
        <w:rPr>
          <w:rFonts w:ascii="Allstate Sans;sans-serif" w:hAnsi="Allstate Sans;sans-serif"/>
          <w:b w:val="false"/>
          <w:color w:val="000000"/>
          <w:sz w:val="18"/>
        </w:rPr>
        <w:t>, filed March 2023. Plaintiffs generally allege that Allstate owes them business expenses incurred in their operation of Allstate Exclusive Agencies under the California Labor Code because they were misclassified as independent contractors. The Company continues to defend the litigation and oppose plaintiffs’ allegations.</w:t>
      </w:r>
    </w:p>
    <w:p>
      <w:pPr>
        <w:pStyle w:val="TextBody"/>
        <w:bidi w:val="0"/>
        <w:spacing w:lineRule="auto" w:line="288" w:before="0" w:after="120"/>
        <w:ind w:left="0" w:right="0" w:firstLine="360"/>
        <w:jc w:val="left"/>
        <w:rPr/>
      </w:pPr>
      <w:r>
        <w:rPr>
          <w:rFonts w:ascii="Allstate Sans;sans-serif" w:hAnsi="Allstate Sans;sans-serif"/>
          <w:b w:val="false"/>
          <w:color w:val="000000"/>
          <w:sz w:val="18"/>
        </w:rPr>
        <w:t xml:space="preserve">The Company is subject to lawsuits in New York relating to the non-payment of trust preferred securities (“TruPS”), </w:t>
      </w:r>
      <w:r>
        <w:rPr>
          <w:rFonts w:ascii="Allstate Sans;sans-serif" w:hAnsi="Allstate Sans;sans-serif"/>
          <w:b w:val="false"/>
          <w:i/>
          <w:color w:val="000000"/>
          <w:sz w:val="18"/>
        </w:rPr>
        <w:t xml:space="preserve">Alesco Preferred Funding VIII, Ltd., et al. v. ACP Re, Ltd., et al. </w:t>
      </w:r>
      <w:r>
        <w:rPr>
          <w:rFonts w:ascii="Allstate Sans;sans-serif" w:hAnsi="Allstate Sans;sans-serif"/>
          <w:b w:val="false"/>
          <w:color w:val="000000"/>
          <w:sz w:val="18"/>
        </w:rPr>
        <w:t>and</w:t>
      </w:r>
      <w:r>
        <w:rPr>
          <w:color w:val="000000"/>
        </w:rPr>
        <w:t xml:space="preserve"> </w:t>
      </w:r>
      <w:r>
        <w:rPr>
          <w:rFonts w:ascii="Allstate Sans;sans-serif" w:hAnsi="Allstate Sans;sans-serif"/>
          <w:b w:val="false"/>
          <w:i/>
          <w:color w:val="000000"/>
          <w:sz w:val="18"/>
        </w:rPr>
        <w:t>Preferred Term Securities XXV, Ltd., et al. v. ACP Re, Ltd., et al.</w:t>
      </w:r>
      <w:r>
        <w:rPr>
          <w:color w:val="000000"/>
        </w:rPr>
        <w:t xml:space="preserve"> </w:t>
      </w:r>
      <w:r>
        <w:rPr>
          <w:rFonts w:ascii="Allstate Sans;sans-serif" w:hAnsi="Allstate Sans;sans-serif"/>
          <w:b w:val="false"/>
          <w:color w:val="000000"/>
          <w:sz w:val="18"/>
        </w:rPr>
        <w:t>Plaintiffs are the holders of TruPS that were issued by companies subsequently acquired by a former National General affiliate. Plaintiffs filed this lawsuit against National General and several other defendants, alleging that they are successors to the TruPS issuers and are responsible for repayment of the principal and interest owed under the TruPS. Plaintiffs assert claims of breach of contract, tortious interference with contract, and fraud against all defendants. The Company denies all allegations and continues to defend plaintiffs’ claims.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911" w:type="dxa"/>
        <w:jc w:val="left"/>
        <w:tblInd w:w="0" w:type="dxa"/>
        <w:tblLayout w:type="fixed"/>
        <w:tblCellMar>
          <w:top w:w="28" w:type="dxa"/>
          <w:left w:w="28" w:type="dxa"/>
          <w:bottom w:w="28" w:type="dxa"/>
          <w:right w:w="28" w:type="dxa"/>
        </w:tblCellMar>
      </w:tblPr>
      <w:tblGrid>
        <w:gridCol w:w="397"/>
        <w:gridCol w:w="349"/>
        <w:gridCol w:w="350"/>
        <w:gridCol w:w="530"/>
        <w:gridCol w:w="530"/>
        <w:gridCol w:w="755"/>
      </w:tblGrid>
      <w:tr>
        <w:trPr/>
        <w:tc>
          <w:tcPr>
            <w:tcW w:w="397"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bottom w:val="single" w:sz="8" w:space="0" w:color="0033A0"/>
            </w:tcBorders>
            <w:tcMar>
              <w:top w:w="0" w:type="dxa"/>
              <w:left w:w="0" w:type="dxa"/>
              <w:bottom w:w="30" w:type="dxa"/>
              <w:right w:w="0" w:type="dxa"/>
            </w:tcMar>
            <w:vAlign w:val="center"/>
          </w:tcPr>
          <w:p>
            <w:pPr>
              <w:pStyle w:val="TableContents"/>
              <w:bidi w:val="0"/>
              <w:spacing w:lineRule="auto" w:line="240" w:before="0" w:after="283"/>
              <w:jc w:val="left"/>
              <w:rPr>
                <w:rFonts w:ascii="Allstate Sans;sans-serif" w:hAnsi="Allstate Sans;sans-serif"/>
                <w:b/>
                <w:color w:val="0033A0"/>
                <w:sz w:val="22"/>
              </w:rPr>
            </w:pPr>
            <w:r>
              <w:rPr>
                <w:rFonts w:ascii="Allstate Sans;sans-serif" w:hAnsi="Allstate Sans;sans-serif"/>
                <w:b/>
                <w:color w:val="0033A0"/>
                <w:sz w:val="22"/>
              </w:rPr>
              <w:t>Note 12</w:t>
            </w:r>
          </w:p>
        </w:tc>
        <w:tc>
          <w:tcPr>
            <w:tcW w:w="1815" w:type="dxa"/>
            <w:gridSpan w:val="3"/>
            <w:tcBorders>
              <w:bottom w:val="single" w:sz="8" w:space="0" w:color="0033A0"/>
            </w:tcBorders>
            <w:tcMar>
              <w:top w:w="0" w:type="dxa"/>
              <w:left w:w="0" w:type="dxa"/>
              <w:bottom w:w="30" w:type="dxa"/>
              <w:right w:w="0" w:type="dxa"/>
            </w:tcMar>
            <w:vAlign w:val="center"/>
          </w:tcPr>
          <w:p>
            <w:pPr>
              <w:pStyle w:val="TableContents"/>
              <w:bidi w:val="0"/>
              <w:spacing w:lineRule="auto" w:line="240" w:before="0" w:after="283"/>
              <w:jc w:val="left"/>
              <w:rPr>
                <w:rFonts w:ascii="Allstate Sans;sans-serif" w:hAnsi="Allstate Sans;sans-serif"/>
                <w:b/>
                <w:color w:val="000000"/>
                <w:sz w:val="22"/>
              </w:rPr>
            </w:pPr>
            <w:r>
              <w:rPr>
                <w:rFonts w:ascii="Allstate Sans;sans-serif" w:hAnsi="Allstate Sans;sans-serif"/>
                <w:b/>
                <w:color w:val="000000"/>
                <w:sz w:val="22"/>
              </w:rPr>
              <w:t>Benefit Plans</w:t>
            </w:r>
          </w:p>
        </w:tc>
      </w:tr>
    </w:tbl>
    <w:tbl>
      <w:tblPr>
        <w:tblW w:w="10205" w:type="dxa"/>
        <w:jc w:val="left"/>
        <w:tblInd w:w="0" w:type="dxa"/>
        <w:tblLayout w:type="fixed"/>
        <w:tblCellMar>
          <w:top w:w="28" w:type="dxa"/>
          <w:left w:w="28" w:type="dxa"/>
          <w:bottom w:w="28" w:type="dxa"/>
          <w:right w:w="28" w:type="dxa"/>
        </w:tblCellMar>
      </w:tblPr>
      <w:tblGrid>
        <w:gridCol w:w="1418"/>
        <w:gridCol w:w="842"/>
        <w:gridCol w:w="746"/>
        <w:gridCol w:w="208"/>
        <w:gridCol w:w="208"/>
        <w:gridCol w:w="208"/>
        <w:gridCol w:w="433"/>
        <w:gridCol w:w="1142"/>
        <w:gridCol w:w="208"/>
        <w:gridCol w:w="208"/>
        <w:gridCol w:w="208"/>
        <w:gridCol w:w="208"/>
        <w:gridCol w:w="433"/>
        <w:gridCol w:w="779"/>
        <w:gridCol w:w="208"/>
        <w:gridCol w:w="109"/>
        <w:gridCol w:w="109"/>
        <w:gridCol w:w="109"/>
        <w:gridCol w:w="268"/>
        <w:gridCol w:w="691"/>
        <w:gridCol w:w="128"/>
        <w:gridCol w:w="128"/>
        <w:gridCol w:w="128"/>
        <w:gridCol w:w="128"/>
        <w:gridCol w:w="268"/>
        <w:gridCol w:w="481"/>
        <w:gridCol w:w="201"/>
      </w:tblGrid>
      <w:tr>
        <w:trPr/>
        <w:tc>
          <w:tcPr>
            <w:tcW w:w="1418"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7457" w:type="dxa"/>
            <w:gridSpan w:val="15"/>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120"/>
              <w:jc w:val="left"/>
              <w:rPr>
                <w:rFonts w:ascii="Allstate Sans;sans-serif" w:hAnsi="Allstate Sans;sans-serif"/>
                <w:b/>
                <w:color w:val="000000"/>
                <w:sz w:val="18"/>
              </w:rPr>
            </w:pPr>
            <w:r>
              <w:rPr>
                <w:rFonts w:ascii="Allstate Sans;sans-serif" w:hAnsi="Allstate Sans;sans-serif"/>
                <w:b/>
                <w:color w:val="000000"/>
                <w:sz w:val="18"/>
              </w:rPr>
              <w:t>Components of net cost (benefit) for pension and other postretirement plans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0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Six months ended June 30,</w:t>
            </w:r>
          </w:p>
        </w:tc>
      </w:tr>
      <w:tr>
        <w:trPr/>
        <w:tc>
          <w:tcPr>
            <w:tcW w:w="30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 in millions)</w:t>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2026</w:t>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2026</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2025</w:t>
            </w:r>
          </w:p>
        </w:tc>
      </w:tr>
      <w:tr>
        <w:trPr/>
        <w:tc>
          <w:tcPr>
            <w:tcW w:w="3006"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Pension benefits</w:t>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3"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Service cost</w:t>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1142"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28 </w:t>
            </w:r>
          </w:p>
        </w:tc>
        <w:tc>
          <w:tcPr>
            <w:tcW w:w="20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779"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26 </w:t>
            </w:r>
          </w:p>
        </w:tc>
        <w:tc>
          <w:tcPr>
            <w:tcW w:w="20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69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58 </w:t>
            </w:r>
          </w:p>
        </w:tc>
        <w:tc>
          <w:tcPr>
            <w:tcW w:w="12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48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51 </w:t>
            </w:r>
          </w:p>
        </w:tc>
        <w:tc>
          <w:tcPr>
            <w:tcW w:w="20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Interest cost</w:t>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59 </w:t>
            </w:r>
          </w:p>
        </w:tc>
        <w:tc>
          <w:tcPr>
            <w:tcW w:w="20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59 </w:t>
            </w:r>
          </w:p>
        </w:tc>
        <w:tc>
          <w:tcPr>
            <w:tcW w:w="20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117 </w:t>
            </w:r>
          </w:p>
        </w:tc>
        <w:tc>
          <w:tcPr>
            <w:tcW w:w="12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119 </w:t>
            </w:r>
          </w:p>
        </w:tc>
        <w:tc>
          <w:tcPr>
            <w:tcW w:w="20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Expected return on plan assets</w:t>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(79)</w:t>
            </w:r>
          </w:p>
        </w:tc>
        <w:tc>
          <w:tcPr>
            <w:tcW w:w="20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(78)</w:t>
            </w:r>
          </w:p>
        </w:tc>
        <w:tc>
          <w:tcPr>
            <w:tcW w:w="20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(161)</w:t>
            </w:r>
          </w:p>
        </w:tc>
        <w:tc>
          <w:tcPr>
            <w:tcW w:w="12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(156)</w:t>
            </w:r>
          </w:p>
        </w:tc>
        <w:tc>
          <w:tcPr>
            <w:tcW w:w="20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6"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1783"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r>
      <w:tr>
        <w:trPr/>
        <w:tc>
          <w:tcPr>
            <w:tcW w:w="3006"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1783"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r>
      <w:tr>
        <w:trPr/>
        <w:tc>
          <w:tcPr>
            <w:tcW w:w="300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Costs and expenses</w:t>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8</w:t>
            </w:r>
            <w:r>
              <w:rPr>
                <w:color w:val="000000"/>
              </w:rPr>
              <w:t> </w:t>
            </w:r>
          </w:p>
        </w:tc>
        <w:tc>
          <w:tcPr>
            <w:tcW w:w="20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7</w:t>
            </w:r>
            <w:r>
              <w:rPr>
                <w:color w:val="000000"/>
              </w:rPr>
              <w:t> </w:t>
            </w:r>
          </w:p>
        </w:tc>
        <w:tc>
          <w:tcPr>
            <w:tcW w:w="20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14</w:t>
            </w:r>
            <w:r>
              <w:rPr>
                <w:color w:val="000000"/>
              </w:rPr>
              <w:t> </w:t>
            </w:r>
          </w:p>
        </w:tc>
        <w:tc>
          <w:tcPr>
            <w:tcW w:w="12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14</w:t>
            </w:r>
            <w:r>
              <w:rPr>
                <w:color w:val="000000"/>
              </w:rPr>
              <w:t> </w:t>
            </w:r>
          </w:p>
        </w:tc>
        <w:tc>
          <w:tcPr>
            <w:tcW w:w="20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Remeasurement of projected benefit obligation</w:t>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43 </w:t>
            </w:r>
          </w:p>
        </w:tc>
        <w:tc>
          <w:tcPr>
            <w:tcW w:w="20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55 </w:t>
            </w:r>
          </w:p>
        </w:tc>
        <w:tc>
          <w:tcPr>
            <w:tcW w:w="20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(39)</w:t>
            </w:r>
          </w:p>
        </w:tc>
        <w:tc>
          <w:tcPr>
            <w:tcW w:w="12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108 </w:t>
            </w:r>
          </w:p>
        </w:tc>
        <w:tc>
          <w:tcPr>
            <w:tcW w:w="20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Remeasurement of plan assets</w:t>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(190)</w:t>
            </w:r>
          </w:p>
        </w:tc>
        <w:tc>
          <w:tcPr>
            <w:tcW w:w="20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(54)</w:t>
            </w:r>
          </w:p>
        </w:tc>
        <w:tc>
          <w:tcPr>
            <w:tcW w:w="20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(87)</w:t>
            </w:r>
          </w:p>
        </w:tc>
        <w:tc>
          <w:tcPr>
            <w:tcW w:w="12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(31)</w:t>
            </w:r>
          </w:p>
        </w:tc>
        <w:tc>
          <w:tcPr>
            <w:tcW w:w="20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Remeasurement (gains) losses</w:t>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(147)</w:t>
            </w:r>
          </w:p>
        </w:tc>
        <w:tc>
          <w:tcPr>
            <w:tcW w:w="20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w:t>
            </w:r>
            <w:r>
              <w:rPr>
                <w:color w:val="000000"/>
              </w:rPr>
              <w:t> </w:t>
            </w:r>
          </w:p>
        </w:tc>
        <w:tc>
          <w:tcPr>
            <w:tcW w:w="20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(126)</w:t>
            </w:r>
          </w:p>
        </w:tc>
        <w:tc>
          <w:tcPr>
            <w:tcW w:w="12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77</w:t>
            </w:r>
            <w:r>
              <w:rPr>
                <w:color w:val="000000"/>
              </w:rPr>
              <w:t> </w:t>
            </w:r>
          </w:p>
        </w:tc>
        <w:tc>
          <w:tcPr>
            <w:tcW w:w="20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Pension net (benefit) cost</w:t>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1142"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(139)</w:t>
            </w:r>
          </w:p>
        </w:tc>
        <w:tc>
          <w:tcPr>
            <w:tcW w:w="20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779"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8</w:t>
            </w:r>
            <w:r>
              <w:rPr>
                <w:color w:val="000000"/>
              </w:rPr>
              <w:t> </w:t>
            </w:r>
          </w:p>
        </w:tc>
        <w:tc>
          <w:tcPr>
            <w:tcW w:w="20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69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(112)</w:t>
            </w:r>
          </w:p>
        </w:tc>
        <w:tc>
          <w:tcPr>
            <w:tcW w:w="12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48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91</w:t>
            </w:r>
            <w:r>
              <w:rPr>
                <w:color w:val="000000"/>
              </w:rPr>
              <w:t> </w:t>
            </w:r>
          </w:p>
        </w:tc>
        <w:tc>
          <w:tcPr>
            <w:tcW w:w="20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6"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3"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6"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Postretirement benefits</w:t>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3" w:type="dxa"/>
            <w:gridSpan w:val="3"/>
            <w:tcBorders>
              <w:top w:val="single" w:sz="4"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top w:val="single" w:sz="4"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4"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4"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Service cost</w:t>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1142"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779"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691"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481"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Interest cost</w:t>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2 </w:t>
            </w:r>
          </w:p>
        </w:tc>
        <w:tc>
          <w:tcPr>
            <w:tcW w:w="20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2 </w:t>
            </w:r>
          </w:p>
        </w:tc>
        <w:tc>
          <w:tcPr>
            <w:tcW w:w="20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4 </w:t>
            </w:r>
          </w:p>
        </w:tc>
        <w:tc>
          <w:tcPr>
            <w:tcW w:w="12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4 </w:t>
            </w:r>
          </w:p>
        </w:tc>
        <w:tc>
          <w:tcPr>
            <w:tcW w:w="20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Amortization of prior service credit</w:t>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w:t>
            </w:r>
          </w:p>
        </w:tc>
        <w:tc>
          <w:tcPr>
            <w:tcW w:w="12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6"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1783"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r>
      <w:tr>
        <w:trPr/>
        <w:tc>
          <w:tcPr>
            <w:tcW w:w="300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Costs and expenses</w:t>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2</w:t>
            </w:r>
            <w:r>
              <w:rPr>
                <w:color w:val="000000"/>
              </w:rPr>
              <w:t> </w:t>
            </w:r>
          </w:p>
        </w:tc>
        <w:tc>
          <w:tcPr>
            <w:tcW w:w="20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2</w:t>
            </w:r>
            <w:r>
              <w:rPr>
                <w:color w:val="000000"/>
              </w:rPr>
              <w:t> </w:t>
            </w:r>
          </w:p>
        </w:tc>
        <w:tc>
          <w:tcPr>
            <w:tcW w:w="20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3</w:t>
            </w:r>
            <w:r>
              <w:rPr>
                <w:color w:val="000000"/>
              </w:rPr>
              <w:t> </w:t>
            </w:r>
          </w:p>
        </w:tc>
        <w:tc>
          <w:tcPr>
            <w:tcW w:w="12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4</w:t>
            </w:r>
            <w:r>
              <w:rPr>
                <w:color w:val="000000"/>
              </w:rPr>
              <w:t> </w:t>
            </w:r>
          </w:p>
        </w:tc>
        <w:tc>
          <w:tcPr>
            <w:tcW w:w="20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Remeasurement of benefit obligation</w:t>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1 </w:t>
            </w:r>
          </w:p>
        </w:tc>
        <w:tc>
          <w:tcPr>
            <w:tcW w:w="20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w:t>
            </w:r>
          </w:p>
        </w:tc>
        <w:tc>
          <w:tcPr>
            <w:tcW w:w="20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w:t>
            </w:r>
          </w:p>
        </w:tc>
        <w:tc>
          <w:tcPr>
            <w:tcW w:w="12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1 </w:t>
            </w:r>
          </w:p>
        </w:tc>
        <w:tc>
          <w:tcPr>
            <w:tcW w:w="20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6"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1783"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r>
      <w:tr>
        <w:trPr/>
        <w:tc>
          <w:tcPr>
            <w:tcW w:w="300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Remeasurement (gains) losses</w:t>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w:t>
            </w:r>
            <w:r>
              <w:rPr>
                <w:color w:val="000000"/>
              </w:rPr>
              <w:t> </w:t>
            </w:r>
          </w:p>
        </w:tc>
        <w:tc>
          <w:tcPr>
            <w:tcW w:w="20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(1)</w:t>
            </w:r>
          </w:p>
        </w:tc>
        <w:tc>
          <w:tcPr>
            <w:tcW w:w="20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(1)</w:t>
            </w:r>
          </w:p>
        </w:tc>
        <w:tc>
          <w:tcPr>
            <w:tcW w:w="12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w:t>
            </w:r>
            <w:r>
              <w:rPr>
                <w:color w:val="000000"/>
              </w:rPr>
              <w:t> </w:t>
            </w:r>
          </w:p>
        </w:tc>
        <w:tc>
          <w:tcPr>
            <w:tcW w:w="20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Postretirement net cost</w:t>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1142"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3</w:t>
            </w:r>
            <w:r>
              <w:rPr>
                <w:color w:val="000000"/>
              </w:rPr>
              <w:t> </w:t>
            </w:r>
          </w:p>
        </w:tc>
        <w:tc>
          <w:tcPr>
            <w:tcW w:w="20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779"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w:t>
            </w:r>
            <w:r>
              <w:rPr>
                <w:color w:val="000000"/>
              </w:rPr>
              <w:t> </w:t>
            </w:r>
          </w:p>
        </w:tc>
        <w:tc>
          <w:tcPr>
            <w:tcW w:w="20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69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2</w:t>
            </w:r>
            <w:r>
              <w:rPr>
                <w:color w:val="000000"/>
              </w:rPr>
              <w:t> </w:t>
            </w:r>
          </w:p>
        </w:tc>
        <w:tc>
          <w:tcPr>
            <w:tcW w:w="12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48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5</w:t>
            </w:r>
            <w:r>
              <w:rPr>
                <w:color w:val="000000"/>
              </w:rPr>
              <w:t> </w:t>
            </w:r>
          </w:p>
        </w:tc>
        <w:tc>
          <w:tcPr>
            <w:tcW w:w="20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6"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3"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6"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Pension and postretirement benefits</w:t>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3" w:type="dxa"/>
            <w:gridSpan w:val="3"/>
            <w:tcBorders>
              <w:top w:val="single" w:sz="4"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top w:val="single" w:sz="4"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4"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4"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Costs and expenses</w:t>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1142"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10 </w:t>
            </w:r>
          </w:p>
        </w:tc>
        <w:tc>
          <w:tcPr>
            <w:tcW w:w="20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779"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9 </w:t>
            </w:r>
          </w:p>
        </w:tc>
        <w:tc>
          <w:tcPr>
            <w:tcW w:w="20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69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17 </w:t>
            </w:r>
          </w:p>
        </w:tc>
        <w:tc>
          <w:tcPr>
            <w:tcW w:w="12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48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18 </w:t>
            </w:r>
          </w:p>
        </w:tc>
        <w:tc>
          <w:tcPr>
            <w:tcW w:w="20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Remeasurement (gains) losses</w:t>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(146)</w:t>
            </w:r>
          </w:p>
        </w:tc>
        <w:tc>
          <w:tcPr>
            <w:tcW w:w="20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(127)</w:t>
            </w:r>
          </w:p>
        </w:tc>
        <w:tc>
          <w:tcPr>
            <w:tcW w:w="12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78 </w:t>
            </w:r>
          </w:p>
        </w:tc>
        <w:tc>
          <w:tcPr>
            <w:tcW w:w="20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6" w:type="dxa"/>
            <w:gridSpan w:val="3"/>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 net (benefit) cost</w:t>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1142"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(136)</w:t>
            </w:r>
          </w:p>
        </w:tc>
        <w:tc>
          <w:tcPr>
            <w:tcW w:w="208"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779"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9</w:t>
            </w:r>
            <w:r>
              <w:rPr>
                <w:color w:val="000000"/>
              </w:rPr>
              <w:t> </w:t>
            </w:r>
          </w:p>
        </w:tc>
        <w:tc>
          <w:tcPr>
            <w:tcW w:w="208"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691"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(110)</w:t>
            </w:r>
          </w:p>
        </w:tc>
        <w:tc>
          <w:tcPr>
            <w:tcW w:w="128"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481"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96</w:t>
            </w:r>
            <w:r>
              <w:rPr>
                <w:color w:val="000000"/>
              </w:rPr>
              <w:t> </w:t>
            </w:r>
          </w:p>
        </w:tc>
        <w:tc>
          <w:tcPr>
            <w:tcW w:w="201"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Differences in actual experience and changes in other assumptions affect our pension and other postretirement obligations and expenses. Differences between expected and actual returns on plan assets affect remeasurement (gains) losses.</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 xml:space="preserve">Pension and other postretirement service cost, interest cost, expected return on plan assets and amortization of prior service credit are reported in property and casualty insurance claims and claims expense, operating costs and expenses, net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43"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120"/>
                              <w:jc w:val="left"/>
                              <w:rPr/>
                            </w:pPr>
                            <w:r>
                              <w:rPr>
                                <w:rFonts w:ascii="Allstate Sans;sans-serif" w:hAnsi="Allstate Sans;sans-serif"/>
                                <w:b w:val="false"/>
                                <w:color w:val="0033A0"/>
                                <w:sz w:val="18"/>
                              </w:rPr>
                              <w:t>40</w:t>
                            </w:r>
                            <w:r>
                              <w:rPr>
                                <w:color w:val="1666AF"/>
                              </w:rPr>
                              <w:t xml:space="preserve"> </w:t>
                            </w:r>
                            <w:r>
                              <w:rPr>
                                <w:rFonts w:ascii="Allstate Sans;sans-serif" w:hAnsi="Allstate Sans;sans-serif"/>
                                <w:b w:val="false"/>
                                <w:color w:val="000000"/>
                                <w:sz w:val="18"/>
                              </w:rPr>
                              <w:t>www.allstate.com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left"/>
                        <w:rPr/>
                      </w:pPr>
                      <w:r>
                        <w:rPr>
                          <w:rFonts w:ascii="Allstate Sans;sans-serif" w:hAnsi="Allstate Sans;sans-serif"/>
                          <w:b w:val="false"/>
                          <w:color w:val="0033A0"/>
                          <w:sz w:val="18"/>
                        </w:rPr>
                        <w:t>40</w:t>
                      </w:r>
                      <w:r>
                        <w:rPr>
                          <w:color w:val="1666AF"/>
                        </w:rPr>
                        <w:t xml:space="preserve"> </w:t>
                      </w:r>
                      <w:r>
                        <w:rPr>
                          <w:rFonts w:ascii="Allstate Sans;sans-serif" w:hAnsi="Allstate Sans;sans-serif"/>
                          <w:b w:val="false"/>
                          <w:color w:val="000000"/>
                          <w:sz w:val="18"/>
                        </w:rPr>
                        <w:t>www.allstate.com</w:t>
                      </w:r>
                    </w:p>
                  </w:txbxContent>
                </v:textbox>
                <w10:wrap type="none"/>
              </v:rect>
            </w:pict>
          </mc:Fallback>
        </mc:AlternateContent>
      </w:r>
    </w:p>
    <w:p>
      <w:pPr>
        <w:pStyle w:val="TextBody"/>
        <w:bidi w:val="0"/>
        <w:spacing w:lineRule="auto" w:line="288" w:before="0" w:after="0"/>
        <w:jc w:val="right"/>
        <w:rPr>
          <w:rFonts w:ascii="Allstate Sans;sans-serif" w:hAnsi="Allstate Sans;sans-serif"/>
          <w:b w:val="false"/>
          <w:color w:val="0033A0"/>
          <w:sz w:val="18"/>
        </w:rPr>
      </w:pPr>
      <w:r>
        <w:rPr>
          <w:rFonts w:ascii="Allstate Sans;sans-serif" w:hAnsi="Allstate Sans;sans-serif"/>
          <w:b w:val="false"/>
          <w:color w:val="0033A0"/>
          <w:sz w:val="18"/>
        </w:rPr>
        <w:t>Notes to Condensed Consolidated Financial Statements</w:t>
      </w:r>
    </w:p>
    <w:p>
      <w:pPr>
        <w:pStyle w:val="TextBody"/>
        <w:bidi w:val="0"/>
        <w:spacing w:before="0" w:after="120"/>
        <w:ind w:left="0" w:right="0" w:firstLine="360"/>
        <w:jc w:val="left"/>
        <w:rPr/>
      </w:pPr>
      <w:r>
        <w:rPr/>
      </w:r>
    </w:p>
    <w:p>
      <w:pPr>
        <w:pStyle w:val="TextBody"/>
        <w:bidi w:val="0"/>
        <w:spacing w:lineRule="auto" w:line="288" w:before="0" w:after="120"/>
        <w:jc w:val="left"/>
        <w:rPr>
          <w:rFonts w:ascii="Allstate Sans;sans-serif" w:hAnsi="Allstate Sans;sans-serif"/>
          <w:b w:val="false"/>
          <w:color w:val="000000"/>
          <w:sz w:val="18"/>
        </w:rPr>
      </w:pPr>
      <w:r>
        <w:rPr>
          <w:rFonts w:ascii="Allstate Sans;sans-serif" w:hAnsi="Allstate Sans;sans-serif"/>
          <w:b w:val="false"/>
          <w:color w:val="000000"/>
          <w:sz w:val="18"/>
        </w:rPr>
        <w:t>investment income and (if applicable) restructuring and related charges on the Condensed Consolidated Statements of Operations.</w:t>
      </w:r>
    </w:p>
    <w:tbl>
      <w:tblPr>
        <w:tblW w:w="10205" w:type="dxa"/>
        <w:jc w:val="left"/>
        <w:tblInd w:w="0" w:type="dxa"/>
        <w:tblLayout w:type="fixed"/>
        <w:tblCellMar>
          <w:top w:w="28" w:type="dxa"/>
          <w:left w:w="28" w:type="dxa"/>
          <w:bottom w:w="28" w:type="dxa"/>
          <w:right w:w="28" w:type="dxa"/>
        </w:tblCellMar>
      </w:tblPr>
      <w:tblGrid>
        <w:gridCol w:w="1234"/>
        <w:gridCol w:w="995"/>
        <w:gridCol w:w="1001"/>
        <w:gridCol w:w="198"/>
        <w:gridCol w:w="198"/>
        <w:gridCol w:w="198"/>
        <w:gridCol w:w="411"/>
        <w:gridCol w:w="1082"/>
        <w:gridCol w:w="198"/>
        <w:gridCol w:w="198"/>
        <w:gridCol w:w="198"/>
        <w:gridCol w:w="198"/>
        <w:gridCol w:w="411"/>
        <w:gridCol w:w="739"/>
        <w:gridCol w:w="198"/>
        <w:gridCol w:w="109"/>
        <w:gridCol w:w="109"/>
        <w:gridCol w:w="109"/>
        <w:gridCol w:w="269"/>
        <w:gridCol w:w="694"/>
        <w:gridCol w:w="129"/>
        <w:gridCol w:w="129"/>
        <w:gridCol w:w="129"/>
        <w:gridCol w:w="129"/>
        <w:gridCol w:w="269"/>
        <w:gridCol w:w="483"/>
        <w:gridCol w:w="190"/>
      </w:tblGrid>
      <w:tr>
        <w:trPr/>
        <w:tc>
          <w:tcPr>
            <w:tcW w:w="1234"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7457" w:type="dxa"/>
            <w:gridSpan w:val="15"/>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120"/>
              <w:jc w:val="left"/>
              <w:rPr>
                <w:rFonts w:ascii="Allstate Sans;sans-serif" w:hAnsi="Allstate Sans;sans-serif"/>
                <w:b/>
                <w:color w:val="000000"/>
                <w:sz w:val="18"/>
              </w:rPr>
            </w:pPr>
            <w:r>
              <w:rPr>
                <w:rFonts w:ascii="Allstate Sans;sans-serif" w:hAnsi="Allstate Sans;sans-serif"/>
                <w:b/>
                <w:color w:val="000000"/>
                <w:sz w:val="18"/>
              </w:rPr>
              <w:t>Pension and postretirement benefits remeasurement gains and losses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2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Six months ended June 30,</w:t>
            </w:r>
          </w:p>
        </w:tc>
      </w:tr>
      <w:tr>
        <w:trPr/>
        <w:tc>
          <w:tcPr>
            <w:tcW w:w="3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 in millions)</w:t>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2026</w:t>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2026</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2025</w:t>
            </w:r>
          </w:p>
        </w:tc>
      </w:tr>
      <w:tr>
        <w:trPr/>
        <w:tc>
          <w:tcPr>
            <w:tcW w:w="3230"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Remeasurement of benefit obligation (gains) losses:</w:t>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Discount rate</w:t>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1082"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4 </w:t>
            </w:r>
          </w:p>
        </w:tc>
        <w:tc>
          <w:tcPr>
            <w:tcW w:w="19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739"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5 </w:t>
            </w:r>
          </w:p>
        </w:tc>
        <w:tc>
          <w:tcPr>
            <w:tcW w:w="19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694"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(69)</w:t>
            </w:r>
          </w:p>
        </w:tc>
        <w:tc>
          <w:tcPr>
            <w:tcW w:w="12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483"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64 </w:t>
            </w:r>
          </w:p>
        </w:tc>
        <w:tc>
          <w:tcPr>
            <w:tcW w:w="19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Other assumptions</w:t>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40 </w:t>
            </w:r>
          </w:p>
        </w:tc>
        <w:tc>
          <w:tcPr>
            <w:tcW w:w="19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49 </w:t>
            </w:r>
          </w:p>
        </w:tc>
        <w:tc>
          <w:tcPr>
            <w:tcW w:w="19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29 </w:t>
            </w:r>
          </w:p>
        </w:tc>
        <w:tc>
          <w:tcPr>
            <w:tcW w:w="12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45 </w:t>
            </w:r>
          </w:p>
        </w:tc>
        <w:tc>
          <w:tcPr>
            <w:tcW w:w="19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Remeasurement of plan assets (gains) losses</w:t>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(190)</w:t>
            </w:r>
          </w:p>
        </w:tc>
        <w:tc>
          <w:tcPr>
            <w:tcW w:w="19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(54)</w:t>
            </w:r>
          </w:p>
        </w:tc>
        <w:tc>
          <w:tcPr>
            <w:tcW w:w="19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(87)</w:t>
            </w:r>
          </w:p>
        </w:tc>
        <w:tc>
          <w:tcPr>
            <w:tcW w:w="12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(31)</w:t>
            </w:r>
          </w:p>
        </w:tc>
        <w:tc>
          <w:tcPr>
            <w:tcW w:w="19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0" w:type="dxa"/>
            <w:gridSpan w:val="3"/>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Remeasurement (gains) losses</w:t>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1082"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(146)</w:t>
            </w:r>
          </w:p>
        </w:tc>
        <w:tc>
          <w:tcPr>
            <w:tcW w:w="198"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739"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694"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(127)</w:t>
            </w:r>
          </w:p>
        </w:tc>
        <w:tc>
          <w:tcPr>
            <w:tcW w:w="129"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483"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78</w:t>
            </w:r>
            <w:r>
              <w:rPr>
                <w:color w:val="000000"/>
              </w:rPr>
              <w:t> </w:t>
            </w:r>
          </w:p>
        </w:tc>
        <w:tc>
          <w:tcPr>
            <w:tcW w:w="190"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Remeasurement gains of $146 million for the second quarter of 2026 are primarily related to favorable asset performance compared to expected return on plan assets. Remeasurement gains of $127 million in the first six months of 2026 are primarily related to favorable asset performance compared to expected return on plan assets and an increase in the liability discount rate.</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 xml:space="preserve">For the second quarter of 2026, the actual return on plan assets was higher than the expected return </w:t>
      </w:r>
    </w:p>
    <w:p>
      <w:pPr>
        <w:pStyle w:val="TextBody"/>
        <w:bidi w:val="0"/>
        <w:spacing w:lineRule="auto" w:line="288" w:before="0" w:after="120"/>
        <w:jc w:val="left"/>
        <w:rPr>
          <w:rFonts w:ascii="Allstate Sans;sans-serif" w:hAnsi="Allstate Sans;sans-serif"/>
          <w:b w:val="false"/>
          <w:color w:val="000000"/>
          <w:sz w:val="18"/>
        </w:rPr>
      </w:pPr>
      <w:r>
        <w:rPr>
          <w:rFonts w:ascii="Allstate Sans;sans-serif" w:hAnsi="Allstate Sans;sans-serif"/>
          <w:b w:val="false"/>
          <w:color w:val="000000"/>
          <w:sz w:val="18"/>
        </w:rPr>
        <w:t>due to higher public equity valuations. For the first six months of 2026, the actual return on plan assets was higher than the expected return due to higher public equity valuations, partially offset by lower fixed income valuations.</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The weighted average discount rate used to measure the pension benefit obligation was 5.73% on June 30, 2026 and March 31, 2026 and increased from 5.52% at December 31, 2025 resulting in gains for the first six months of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940" w:type="dxa"/>
        <w:jc w:val="left"/>
        <w:tblInd w:w="0" w:type="dxa"/>
        <w:tblLayout w:type="fixed"/>
        <w:tblCellMar>
          <w:top w:w="28" w:type="dxa"/>
          <w:left w:w="28" w:type="dxa"/>
          <w:bottom w:w="28" w:type="dxa"/>
          <w:right w:w="28" w:type="dxa"/>
        </w:tblCellMar>
      </w:tblPr>
      <w:tblGrid>
        <w:gridCol w:w="397"/>
        <w:gridCol w:w="349"/>
        <w:gridCol w:w="350"/>
        <w:gridCol w:w="1417"/>
        <w:gridCol w:w="1417"/>
        <w:gridCol w:w="2010"/>
      </w:tblGrid>
      <w:tr>
        <w:trPr/>
        <w:tc>
          <w:tcPr>
            <w:tcW w:w="397"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c>
          <w:tcPr>
            <w:tcW w:w="2010"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bottom w:val="single" w:sz="8" w:space="0" w:color="0033A0"/>
            </w:tcBorders>
            <w:tcMar>
              <w:top w:w="0" w:type="dxa"/>
              <w:left w:w="0" w:type="dxa"/>
              <w:bottom w:w="30" w:type="dxa"/>
              <w:right w:w="0" w:type="dxa"/>
            </w:tcMar>
            <w:vAlign w:val="center"/>
          </w:tcPr>
          <w:p>
            <w:pPr>
              <w:pStyle w:val="TableContents"/>
              <w:bidi w:val="0"/>
              <w:spacing w:lineRule="auto" w:line="240" w:before="0" w:after="283"/>
              <w:jc w:val="left"/>
              <w:rPr>
                <w:rFonts w:ascii="Allstate Sans;sans-serif" w:hAnsi="Allstate Sans;sans-serif"/>
                <w:b/>
                <w:color w:val="0033A0"/>
                <w:sz w:val="22"/>
              </w:rPr>
            </w:pPr>
            <w:r>
              <w:rPr>
                <w:rFonts w:ascii="Allstate Sans;sans-serif" w:hAnsi="Allstate Sans;sans-serif"/>
                <w:b/>
                <w:color w:val="0033A0"/>
                <w:sz w:val="22"/>
              </w:rPr>
              <w:t>Note 13</w:t>
            </w:r>
          </w:p>
        </w:tc>
        <w:tc>
          <w:tcPr>
            <w:tcW w:w="4844" w:type="dxa"/>
            <w:gridSpan w:val="3"/>
            <w:tcBorders>
              <w:bottom w:val="single" w:sz="8" w:space="0" w:color="0033A0"/>
            </w:tcBorders>
            <w:tcMar>
              <w:top w:w="0" w:type="dxa"/>
              <w:left w:w="0" w:type="dxa"/>
              <w:bottom w:w="30" w:type="dxa"/>
              <w:right w:w="0" w:type="dxa"/>
            </w:tcMar>
            <w:vAlign w:val="center"/>
          </w:tcPr>
          <w:p>
            <w:pPr>
              <w:pStyle w:val="TableContents"/>
              <w:bidi w:val="0"/>
              <w:spacing w:lineRule="auto" w:line="240" w:before="0" w:after="283"/>
              <w:jc w:val="left"/>
              <w:rPr>
                <w:rFonts w:ascii="Allstate Sans;sans-serif" w:hAnsi="Allstate Sans;sans-serif"/>
                <w:b/>
                <w:color w:val="000000"/>
                <w:sz w:val="22"/>
              </w:rPr>
            </w:pPr>
            <w:r>
              <w:rPr>
                <w:rFonts w:ascii="Allstate Sans;sans-serif" w:hAnsi="Allstate Sans;sans-serif"/>
                <w:b/>
                <w:color w:val="000000"/>
                <w:sz w:val="22"/>
              </w:rPr>
              <w:t>Supplemental Cash Flow Information</w:t>
            </w:r>
          </w:p>
        </w:tc>
      </w:tr>
    </w:tbl>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Non-cash investing activities include $18 million and $27 million related to mergers and exchanges completed with equity securities, fixed income securities, bank loans, commercial mortgages and limited partnerships for the six months ended June 30, 2026 and 2025, respectively. Non-cash investing activities include $3 million related to warrants received as consideration for management services that were exercised, resulting in an increase in equity method investments for the six months ended June 30, 2026. Non-cash investing activities include $1 million related to right-of-use property and equipment obtained in exchange for lease obligations for the six months ended June 30, 2025.</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 xml:space="preserve">Non-cash financing activities include $38 million and $25 million related to the issuance of Allstate common shares for vested equity awards for the six months ended June 30, 2026 and 2025, respectively. </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 xml:space="preserve">Cash flows used in operating activities in the Condensed Consolidated Statements of Cash Flows </w:t>
      </w:r>
    </w:p>
    <w:p>
      <w:pPr>
        <w:pStyle w:val="TextBody"/>
        <w:bidi w:val="0"/>
        <w:spacing w:lineRule="auto" w:line="288" w:before="0" w:after="120"/>
        <w:jc w:val="left"/>
        <w:rPr>
          <w:rFonts w:ascii="Allstate Sans;sans-serif" w:hAnsi="Allstate Sans;sans-serif"/>
          <w:b w:val="false"/>
          <w:color w:val="000000"/>
          <w:sz w:val="18"/>
        </w:rPr>
      </w:pPr>
      <w:r>
        <w:rPr>
          <w:rFonts w:ascii="Allstate Sans;sans-serif" w:hAnsi="Allstate Sans;sans-serif"/>
          <w:b w:val="false"/>
          <w:color w:val="000000"/>
          <w:sz w:val="18"/>
        </w:rPr>
        <w:t>include cash paid for operating leases related to amounts included in the measurement of lease liabilities of $44 million and $54 million for the six months ended June 30, 2026 and 2025, respectively. Non-cash operating activities include $10 million and $30 million related to right-of-use assets obtained in exchange for lease obligations for the six months ended June 30, 2026 and 2025, respectively.</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Liabilities for collateral received in conjunction with the Company’s securities lending program and OTC and cleared derivatives are reported in other liabilities and accrued expenses or other investments. The accompanying cash flows are included in cash flows from operating activities in the Condensed Consolidated Statements of Cash Flows along with the activities resulting from management of the proceeds,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33350"/>
                <wp:effectExtent l="0" t="0" r="0" b="0"/>
                <wp:wrapNone/>
                <wp:docPr id="44" name="Frame43"/>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ind w:left="0" w:right="0" w:firstLine="360"/>
                              <w:jc w:val="right"/>
                              <w:rPr/>
                            </w:pPr>
                            <w:r>
                              <w:rPr>
                                <w:rFonts w:ascii="Allstate Sans;sans-serif" w:hAnsi="Allstate Sans;sans-serif"/>
                                <w:b w:val="false"/>
                                <w:color w:val="000000"/>
                                <w:sz w:val="18"/>
                              </w:rPr>
                              <w:t xml:space="preserve">Second Quarter 2026 Form 10-Q </w:t>
                            </w:r>
                            <w:r>
                              <w:rPr>
                                <w:rFonts w:ascii="Allstate Sans;sans-serif" w:hAnsi="Allstate Sans;sans-serif"/>
                                <w:b w:val="false"/>
                                <w:color w:val="0033A0"/>
                                <w:sz w:val="18"/>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right"/>
                        <w:rPr/>
                      </w:pPr>
                      <w:r>
                        <w:rPr>
                          <w:rFonts w:ascii="Allstate Sans;sans-serif" w:hAnsi="Allstate Sans;sans-serif"/>
                          <w:b w:val="false"/>
                          <w:color w:val="000000"/>
                          <w:sz w:val="18"/>
                        </w:rPr>
                        <w:t xml:space="preserve">Second Quarter 2026 Form 10-Q </w:t>
                      </w:r>
                      <w:r>
                        <w:rPr>
                          <w:rFonts w:ascii="Allstate Sans;sans-serif" w:hAnsi="Allstate Sans;sans-serif"/>
                          <w:b w:val="false"/>
                          <w:color w:val="0033A0"/>
                          <w:sz w:val="18"/>
                        </w:rPr>
                        <w:t>41</w:t>
                      </w:r>
                    </w:p>
                  </w:txbxContent>
                </v:textbox>
                <w10:wrap type="none"/>
              </v:rect>
            </w:pict>
          </mc:Fallback>
        </mc:AlternateContent>
      </w:r>
    </w:p>
    <w:p>
      <w:pPr>
        <w:pStyle w:val="TextBody"/>
        <w:bidi w:val="0"/>
        <w:spacing w:lineRule="auto" w:line="288" w:before="0" w:after="0"/>
        <w:jc w:val="left"/>
        <w:rPr>
          <w:rFonts w:ascii="Allstate Sans;sans-serif" w:hAnsi="Allstate Sans;sans-serif"/>
          <w:b w:val="false"/>
          <w:color w:val="0033A0"/>
          <w:sz w:val="18"/>
        </w:rPr>
      </w:pPr>
      <w:r>
        <w:rPr>
          <w:rFonts w:ascii="Allstate Sans;sans-serif" w:hAnsi="Allstate Sans;sans-serif"/>
          <w:b w:val="false"/>
          <w:color w:val="0033A0"/>
          <w:sz w:val="18"/>
        </w:rPr>
        <w:t>Notes to Condensed Consolidated Financial Statements</w:t>
      </w:r>
    </w:p>
    <w:p>
      <w:pPr>
        <w:pStyle w:val="TextBody"/>
        <w:bidi w:val="0"/>
        <w:spacing w:before="0" w:after="120"/>
        <w:ind w:left="0" w:right="0" w:firstLine="360"/>
        <w:jc w:val="left"/>
        <w:rPr/>
      </w:pPr>
      <w:r>
        <w:rPr/>
      </w:r>
    </w:p>
    <w:tbl>
      <w:tblPr>
        <w:tblW w:w="7223" w:type="dxa"/>
        <w:jc w:val="left"/>
        <w:tblInd w:w="0" w:type="dxa"/>
        <w:tblLayout w:type="fixed"/>
        <w:tblCellMar>
          <w:top w:w="28" w:type="dxa"/>
          <w:left w:w="28" w:type="dxa"/>
          <w:bottom w:w="28" w:type="dxa"/>
          <w:right w:w="28" w:type="dxa"/>
        </w:tblCellMar>
      </w:tblPr>
      <w:tblGrid>
        <w:gridCol w:w="1449"/>
        <w:gridCol w:w="1274"/>
        <w:gridCol w:w="1282"/>
        <w:gridCol w:w="109"/>
        <w:gridCol w:w="109"/>
        <w:gridCol w:w="109"/>
        <w:gridCol w:w="248"/>
        <w:gridCol w:w="875"/>
        <w:gridCol w:w="119"/>
        <w:gridCol w:w="119"/>
        <w:gridCol w:w="119"/>
        <w:gridCol w:w="119"/>
        <w:gridCol w:w="248"/>
        <w:gridCol w:w="875"/>
        <w:gridCol w:w="169"/>
      </w:tblGrid>
      <w:tr>
        <w:trPr/>
        <w:tc>
          <w:tcPr>
            <w:tcW w:w="1449"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4005" w:type="dxa"/>
            <w:gridSpan w:val="3"/>
            <w:vMerge w:val="restart"/>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 in millions)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1"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Six months ended June 30,</w:t>
            </w:r>
          </w:p>
        </w:tc>
      </w:tr>
      <w:tr>
        <w:trPr/>
        <w:tc>
          <w:tcPr>
            <w:tcW w:w="4005" w:type="dxa"/>
            <w:gridSpan w:val="3"/>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2026</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2025</w:t>
            </w:r>
          </w:p>
        </w:tc>
      </w:tr>
      <w:tr>
        <w:trPr/>
        <w:tc>
          <w:tcPr>
            <w:tcW w:w="4005"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Cash flows from operating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Net change in proceeds managed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Net change in fixed income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875"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(566)</w:t>
            </w:r>
          </w:p>
        </w:tc>
        <w:tc>
          <w:tcPr>
            <w:tcW w:w="11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875"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(204)</w:t>
            </w:r>
          </w:p>
        </w:tc>
        <w:tc>
          <w:tcPr>
            <w:tcW w:w="16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Net change in short-term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442 </w:t>
            </w:r>
          </w:p>
        </w:tc>
        <w:tc>
          <w:tcPr>
            <w:tcW w:w="11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327 </w:t>
            </w:r>
          </w:p>
        </w:tc>
        <w:tc>
          <w:tcPr>
            <w:tcW w:w="16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Operating cash flow (used) provided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(124)</w:t>
            </w:r>
          </w:p>
        </w:tc>
        <w:tc>
          <w:tcPr>
            <w:tcW w:w="11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123</w:t>
            </w:r>
            <w:r>
              <w:rPr>
                <w:color w:val="000000"/>
              </w:rPr>
              <w:t> </w:t>
            </w:r>
          </w:p>
        </w:tc>
        <w:tc>
          <w:tcPr>
            <w:tcW w:w="16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Net change in cash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w:t>
            </w:r>
          </w:p>
        </w:tc>
        <w:tc>
          <w:tcPr>
            <w:tcW w:w="11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Net change in proceeds managed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875"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(125)</w:t>
            </w:r>
          </w:p>
        </w:tc>
        <w:tc>
          <w:tcPr>
            <w:tcW w:w="11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875"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123</w:t>
            </w:r>
            <w:r>
              <w:rPr>
                <w:color w:val="000000"/>
              </w:rPr>
              <w:t> </w:t>
            </w:r>
          </w:p>
        </w:tc>
        <w:tc>
          <w:tcPr>
            <w:tcW w:w="16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Net change in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Liabilities for collateral, beginning of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875"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(1,934)</w:t>
            </w:r>
          </w:p>
        </w:tc>
        <w:tc>
          <w:tcPr>
            <w:tcW w:w="11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875"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(2,041)</w:t>
            </w:r>
          </w:p>
        </w:tc>
        <w:tc>
          <w:tcPr>
            <w:tcW w:w="16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Liabilities for collateral, end of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(2,059)</w:t>
            </w:r>
          </w:p>
        </w:tc>
        <w:tc>
          <w:tcPr>
            <w:tcW w:w="11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(1,918)</w:t>
            </w:r>
          </w:p>
        </w:tc>
        <w:tc>
          <w:tcPr>
            <w:tcW w:w="16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Operating cash flow provided (used)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875"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125</w:t>
            </w:r>
            <w:r>
              <w:rPr>
                <w:color w:val="000000"/>
              </w:rPr>
              <w:t> </w:t>
            </w:r>
          </w:p>
        </w:tc>
        <w:tc>
          <w:tcPr>
            <w:tcW w:w="119"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875"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(123)</w:t>
            </w:r>
          </w:p>
        </w:tc>
        <w:tc>
          <w:tcPr>
            <w:tcW w:w="169"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865" w:type="dxa"/>
        <w:jc w:val="left"/>
        <w:tblInd w:w="0" w:type="dxa"/>
        <w:tblLayout w:type="fixed"/>
        <w:tblCellMar>
          <w:top w:w="28" w:type="dxa"/>
          <w:left w:w="28" w:type="dxa"/>
          <w:bottom w:w="28" w:type="dxa"/>
          <w:right w:w="28" w:type="dxa"/>
        </w:tblCellMar>
      </w:tblPr>
      <w:tblGrid>
        <w:gridCol w:w="397"/>
        <w:gridCol w:w="349"/>
        <w:gridCol w:w="350"/>
        <w:gridCol w:w="1397"/>
        <w:gridCol w:w="1397"/>
        <w:gridCol w:w="1975"/>
      </w:tblGrid>
      <w:tr>
        <w:trPr/>
        <w:tc>
          <w:tcPr>
            <w:tcW w:w="397"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1975"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bottom w:val="single" w:sz="8" w:space="0" w:color="0033A0"/>
            </w:tcBorders>
            <w:tcMar>
              <w:top w:w="0" w:type="dxa"/>
              <w:left w:w="0" w:type="dxa"/>
              <w:bottom w:w="30" w:type="dxa"/>
              <w:right w:w="0" w:type="dxa"/>
            </w:tcMar>
            <w:vAlign w:val="center"/>
          </w:tcPr>
          <w:p>
            <w:pPr>
              <w:pStyle w:val="TableContents"/>
              <w:bidi w:val="0"/>
              <w:spacing w:lineRule="auto" w:line="240" w:before="0" w:after="283"/>
              <w:jc w:val="left"/>
              <w:rPr>
                <w:rFonts w:ascii="Allstate Sans;sans-serif" w:hAnsi="Allstate Sans;sans-serif"/>
                <w:b/>
                <w:color w:val="0033A0"/>
                <w:sz w:val="22"/>
              </w:rPr>
            </w:pPr>
            <w:r>
              <w:rPr>
                <w:rFonts w:ascii="Allstate Sans;sans-serif" w:hAnsi="Allstate Sans;sans-serif"/>
                <w:b/>
                <w:color w:val="0033A0"/>
                <w:sz w:val="22"/>
              </w:rPr>
              <w:t>Note 14</w:t>
            </w:r>
          </w:p>
        </w:tc>
        <w:tc>
          <w:tcPr>
            <w:tcW w:w="4769" w:type="dxa"/>
            <w:gridSpan w:val="3"/>
            <w:tcBorders>
              <w:bottom w:val="single" w:sz="8" w:space="0" w:color="0033A0"/>
            </w:tcBorders>
            <w:tcMar>
              <w:top w:w="0" w:type="dxa"/>
              <w:left w:w="0" w:type="dxa"/>
              <w:bottom w:w="30" w:type="dxa"/>
              <w:right w:w="0" w:type="dxa"/>
            </w:tcMar>
            <w:vAlign w:val="center"/>
          </w:tcPr>
          <w:p>
            <w:pPr>
              <w:pStyle w:val="TableContents"/>
              <w:bidi w:val="0"/>
              <w:spacing w:lineRule="auto" w:line="240" w:before="0" w:after="283"/>
              <w:jc w:val="left"/>
              <w:rPr>
                <w:rFonts w:ascii="Allstate Sans;sans-serif" w:hAnsi="Allstate Sans;sans-serif"/>
                <w:b/>
                <w:color w:val="000000"/>
                <w:sz w:val="22"/>
              </w:rPr>
            </w:pPr>
            <w:r>
              <w:rPr>
                <w:rFonts w:ascii="Allstate Sans;sans-serif" w:hAnsi="Allstate Sans;sans-serif"/>
                <w:b/>
                <w:color w:val="000000"/>
                <w:sz w:val="22"/>
              </w:rPr>
              <w:t>Other Comprehensive Income (Loss)</w:t>
            </w:r>
          </w:p>
        </w:tc>
      </w:tr>
    </w:tbl>
    <w:tbl>
      <w:tblPr>
        <w:tblW w:w="10205" w:type="dxa"/>
        <w:jc w:val="left"/>
        <w:tblInd w:w="0" w:type="dxa"/>
        <w:tblLayout w:type="fixed"/>
        <w:tblCellMar>
          <w:top w:w="28" w:type="dxa"/>
          <w:left w:w="28" w:type="dxa"/>
          <w:bottom w:w="28" w:type="dxa"/>
          <w:right w:w="28" w:type="dxa"/>
        </w:tblCellMar>
      </w:tblPr>
      <w:tblGrid>
        <w:gridCol w:w="1052"/>
        <w:gridCol w:w="679"/>
        <w:gridCol w:w="681"/>
        <w:gridCol w:w="110"/>
        <w:gridCol w:w="110"/>
        <w:gridCol w:w="110"/>
        <w:gridCol w:w="228"/>
        <w:gridCol w:w="555"/>
        <w:gridCol w:w="110"/>
        <w:gridCol w:w="110"/>
        <w:gridCol w:w="110"/>
        <w:gridCol w:w="110"/>
        <w:gridCol w:w="228"/>
        <w:gridCol w:w="531"/>
        <w:gridCol w:w="110"/>
        <w:gridCol w:w="110"/>
        <w:gridCol w:w="110"/>
        <w:gridCol w:w="110"/>
        <w:gridCol w:w="244"/>
        <w:gridCol w:w="667"/>
        <w:gridCol w:w="110"/>
        <w:gridCol w:w="110"/>
        <w:gridCol w:w="110"/>
        <w:gridCol w:w="110"/>
        <w:gridCol w:w="228"/>
        <w:gridCol w:w="727"/>
        <w:gridCol w:w="110"/>
        <w:gridCol w:w="110"/>
        <w:gridCol w:w="110"/>
        <w:gridCol w:w="110"/>
        <w:gridCol w:w="228"/>
        <w:gridCol w:w="555"/>
        <w:gridCol w:w="110"/>
        <w:gridCol w:w="110"/>
        <w:gridCol w:w="110"/>
        <w:gridCol w:w="110"/>
        <w:gridCol w:w="265"/>
        <w:gridCol w:w="618"/>
        <w:gridCol w:w="189"/>
      </w:tblGrid>
      <w:tr>
        <w:trPr/>
        <w:tc>
          <w:tcPr>
            <w:tcW w:w="1052"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10205" w:type="dxa"/>
            <w:gridSpan w:val="39"/>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left"/>
              <w:rPr>
                <w:rFonts w:ascii="Allstate Sans;sans-serif" w:hAnsi="Allstate Sans;sans-serif"/>
                <w:b/>
                <w:color w:val="000000"/>
                <w:sz w:val="18"/>
              </w:rPr>
            </w:pPr>
            <w:r>
              <w:rPr>
                <w:rFonts w:ascii="Allstate Sans;sans-serif" w:hAnsi="Allstate Sans;sans-serif"/>
                <w:b/>
                <w:color w:val="000000"/>
                <w:sz w:val="18"/>
              </w:rPr>
              <w:t>Components of other comprehensive income (loss) on a pre-tax and after-tax basis</w:t>
            </w:r>
          </w:p>
        </w:tc>
      </w:tr>
      <w:tr>
        <w:trPr/>
        <w:tc>
          <w:tcPr>
            <w:tcW w:w="2412"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 in millions)</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3"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Three months ended June 30,</w:t>
            </w:r>
          </w:p>
        </w:tc>
      </w:tr>
      <w:tr>
        <w:trPr/>
        <w:tc>
          <w:tcPr>
            <w:tcW w:w="2412"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2026</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2025</w:t>
            </w:r>
          </w:p>
        </w:tc>
      </w:tr>
      <w:tr>
        <w:trPr/>
        <w:tc>
          <w:tcPr>
            <w:tcW w:w="2412"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Pre-tax</w:t>
            </w:r>
          </w:p>
        </w:tc>
        <w:tc>
          <w:tcPr>
            <w:tcW w:w="330"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Tax</w:t>
            </w:r>
          </w:p>
        </w:tc>
        <w:tc>
          <w:tcPr>
            <w:tcW w:w="330"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After-tax</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Pre-tax</w:t>
            </w:r>
          </w:p>
        </w:tc>
        <w:tc>
          <w:tcPr>
            <w:tcW w:w="330"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Tax</w:t>
            </w:r>
          </w:p>
        </w:tc>
        <w:tc>
          <w:tcPr>
            <w:tcW w:w="330"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After-tax</w:t>
            </w:r>
          </w:p>
        </w:tc>
      </w:tr>
      <w:tr>
        <w:trPr/>
        <w:tc>
          <w:tcPr>
            <w:tcW w:w="2412"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Unrealized net holding gains and losses arising during the period, net of related offsets</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555"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77 </w:t>
            </w:r>
          </w:p>
        </w:tc>
        <w:tc>
          <w:tcPr>
            <w:tcW w:w="110"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531"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(20)</w:t>
            </w:r>
          </w:p>
        </w:tc>
        <w:tc>
          <w:tcPr>
            <w:tcW w:w="110"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667"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57 </w:t>
            </w:r>
          </w:p>
        </w:tc>
        <w:tc>
          <w:tcPr>
            <w:tcW w:w="110"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727"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245 </w:t>
            </w:r>
          </w:p>
        </w:tc>
        <w:tc>
          <w:tcPr>
            <w:tcW w:w="110"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555"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(54)</w:t>
            </w:r>
          </w:p>
        </w:tc>
        <w:tc>
          <w:tcPr>
            <w:tcW w:w="110"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618"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191 </w:t>
            </w:r>
          </w:p>
        </w:tc>
        <w:tc>
          <w:tcPr>
            <w:tcW w:w="189"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2"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Less: reclassification adjustment of realized capital gains and losses</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(108)</w:t>
            </w:r>
          </w:p>
        </w:tc>
        <w:tc>
          <w:tcPr>
            <w:tcW w:w="11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23 </w:t>
            </w:r>
          </w:p>
        </w:tc>
        <w:tc>
          <w:tcPr>
            <w:tcW w:w="11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(85)</w:t>
            </w:r>
          </w:p>
        </w:tc>
        <w:tc>
          <w:tcPr>
            <w:tcW w:w="11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(248)</w:t>
            </w:r>
          </w:p>
        </w:tc>
        <w:tc>
          <w:tcPr>
            <w:tcW w:w="11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52 </w:t>
            </w:r>
          </w:p>
        </w:tc>
        <w:tc>
          <w:tcPr>
            <w:tcW w:w="11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(196)</w:t>
            </w:r>
          </w:p>
        </w:tc>
        <w:tc>
          <w:tcPr>
            <w:tcW w:w="18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2"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Unrealized net capital gains and losses</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185</w:t>
            </w:r>
            <w:r>
              <w:rPr>
                <w:color w:val="000000"/>
              </w:rPr>
              <w:t> </w:t>
            </w:r>
          </w:p>
        </w:tc>
        <w:tc>
          <w:tcPr>
            <w:tcW w:w="11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(43)</w:t>
            </w:r>
          </w:p>
        </w:tc>
        <w:tc>
          <w:tcPr>
            <w:tcW w:w="11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142</w:t>
            </w:r>
            <w:r>
              <w:rPr>
                <w:color w:val="000000"/>
              </w:rPr>
              <w:t> </w:t>
            </w:r>
          </w:p>
        </w:tc>
        <w:tc>
          <w:tcPr>
            <w:tcW w:w="11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493</w:t>
            </w:r>
            <w:r>
              <w:rPr>
                <w:color w:val="000000"/>
              </w:rPr>
              <w:t> </w:t>
            </w:r>
          </w:p>
        </w:tc>
        <w:tc>
          <w:tcPr>
            <w:tcW w:w="11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(106)</w:t>
            </w:r>
          </w:p>
        </w:tc>
        <w:tc>
          <w:tcPr>
            <w:tcW w:w="11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387</w:t>
            </w:r>
            <w:r>
              <w:rPr>
                <w:color w:val="000000"/>
              </w:rPr>
              <w:t> </w:t>
            </w:r>
          </w:p>
        </w:tc>
        <w:tc>
          <w:tcPr>
            <w:tcW w:w="18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2"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Unrealized foreign currency translation adjustments</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(55)</w:t>
            </w:r>
          </w:p>
        </w:tc>
        <w:tc>
          <w:tcPr>
            <w:tcW w:w="11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12</w:t>
            </w:r>
            <w:r>
              <w:rPr>
                <w:color w:val="000000"/>
              </w:rPr>
              <w:t> </w:t>
            </w:r>
          </w:p>
        </w:tc>
        <w:tc>
          <w:tcPr>
            <w:tcW w:w="11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(43)</w:t>
            </w:r>
          </w:p>
        </w:tc>
        <w:tc>
          <w:tcPr>
            <w:tcW w:w="11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106</w:t>
            </w:r>
            <w:r>
              <w:rPr>
                <w:color w:val="000000"/>
              </w:rPr>
              <w:t> </w:t>
            </w:r>
          </w:p>
        </w:tc>
        <w:tc>
          <w:tcPr>
            <w:tcW w:w="11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(22)</w:t>
            </w:r>
          </w:p>
        </w:tc>
        <w:tc>
          <w:tcPr>
            <w:tcW w:w="11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84</w:t>
            </w:r>
            <w:r>
              <w:rPr>
                <w:color w:val="000000"/>
              </w:rPr>
              <w:t> </w:t>
            </w:r>
          </w:p>
        </w:tc>
        <w:tc>
          <w:tcPr>
            <w:tcW w:w="18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2"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pPr>
            <w:r>
              <w:rPr>
                <w:rFonts w:ascii="Helvetica_Neue_LT_W1G_55_Roman;sans-serif" w:hAnsi="Helvetica_Neue_LT_W1G_55_Roman;sans-serif"/>
                <w:b/>
                <w:color w:val="000000"/>
                <w:sz w:val="18"/>
              </w:rPr>
              <w:t>Unamortized pension and other postretirement prior service credit </w:t>
            </w:r>
            <w:r>
              <w:rPr>
                <w:rFonts w:ascii="Helvetica_Neue_LT_W1G_55_Roman;sans-serif" w:hAnsi="Helvetica_Neue_LT_W1G_55_Roman;sans-serif"/>
                <w:b/>
                <w:color w:val="000000"/>
                <w:sz w:val="10"/>
              </w:rPr>
              <w:t>(1)</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2"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Discount rate for reserve for future policy benefits</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(24)</w:t>
            </w:r>
          </w:p>
        </w:tc>
        <w:tc>
          <w:tcPr>
            <w:tcW w:w="11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5</w:t>
            </w:r>
            <w:r>
              <w:rPr>
                <w:color w:val="000000"/>
              </w:rPr>
              <w:t> </w:t>
            </w:r>
          </w:p>
        </w:tc>
        <w:tc>
          <w:tcPr>
            <w:tcW w:w="11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(19)</w:t>
            </w:r>
          </w:p>
        </w:tc>
        <w:tc>
          <w:tcPr>
            <w:tcW w:w="18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2"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Other comprehensive income (loss)</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555"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130</w:t>
            </w:r>
            <w:r>
              <w:rPr>
                <w:color w:val="000000"/>
              </w:rPr>
              <w:t> </w:t>
            </w:r>
          </w:p>
        </w:tc>
        <w:tc>
          <w:tcPr>
            <w:tcW w:w="11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53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(31)</w:t>
            </w:r>
          </w:p>
        </w:tc>
        <w:tc>
          <w:tcPr>
            <w:tcW w:w="11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667"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99</w:t>
            </w:r>
            <w:r>
              <w:rPr>
                <w:color w:val="000000"/>
              </w:rPr>
              <w:t> </w:t>
            </w:r>
          </w:p>
        </w:tc>
        <w:tc>
          <w:tcPr>
            <w:tcW w:w="11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727"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575</w:t>
            </w:r>
            <w:r>
              <w:rPr>
                <w:color w:val="000000"/>
              </w:rPr>
              <w:t> </w:t>
            </w:r>
          </w:p>
        </w:tc>
        <w:tc>
          <w:tcPr>
            <w:tcW w:w="11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555"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(123)</w:t>
            </w:r>
          </w:p>
        </w:tc>
        <w:tc>
          <w:tcPr>
            <w:tcW w:w="11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618"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452</w:t>
            </w:r>
            <w:r>
              <w:rPr>
                <w:color w:val="000000"/>
              </w:rPr>
              <w:t> </w:t>
            </w:r>
          </w:p>
        </w:tc>
        <w:tc>
          <w:tcPr>
            <w:tcW w:w="18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2"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3"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Six months ended June 30,</w:t>
            </w:r>
          </w:p>
        </w:tc>
      </w:tr>
      <w:tr>
        <w:trPr/>
        <w:tc>
          <w:tcPr>
            <w:tcW w:w="24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2026</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2025</w:t>
            </w:r>
          </w:p>
        </w:tc>
      </w:tr>
      <w:tr>
        <w:trPr/>
        <w:tc>
          <w:tcPr>
            <w:tcW w:w="24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Pre-tax</w:t>
            </w:r>
          </w:p>
        </w:tc>
        <w:tc>
          <w:tcPr>
            <w:tcW w:w="330"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Tax</w:t>
            </w:r>
          </w:p>
        </w:tc>
        <w:tc>
          <w:tcPr>
            <w:tcW w:w="330"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After-tax</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Pre-tax</w:t>
            </w:r>
          </w:p>
        </w:tc>
        <w:tc>
          <w:tcPr>
            <w:tcW w:w="330"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Tax</w:t>
            </w:r>
          </w:p>
        </w:tc>
        <w:tc>
          <w:tcPr>
            <w:tcW w:w="330"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After-tax</w:t>
            </w:r>
          </w:p>
        </w:tc>
      </w:tr>
      <w:tr>
        <w:trPr/>
        <w:tc>
          <w:tcPr>
            <w:tcW w:w="2412"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Unrealized net holding gains and losses arising during the period, net of related offsets</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555"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(534)</w:t>
            </w:r>
          </w:p>
        </w:tc>
        <w:tc>
          <w:tcPr>
            <w:tcW w:w="110"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531"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115 </w:t>
            </w:r>
          </w:p>
        </w:tc>
        <w:tc>
          <w:tcPr>
            <w:tcW w:w="110"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667"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(419)</w:t>
            </w:r>
          </w:p>
        </w:tc>
        <w:tc>
          <w:tcPr>
            <w:tcW w:w="110"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727"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629 </w:t>
            </w:r>
          </w:p>
        </w:tc>
        <w:tc>
          <w:tcPr>
            <w:tcW w:w="110"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555"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(138)</w:t>
            </w:r>
          </w:p>
        </w:tc>
        <w:tc>
          <w:tcPr>
            <w:tcW w:w="110"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618"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491 </w:t>
            </w:r>
          </w:p>
        </w:tc>
        <w:tc>
          <w:tcPr>
            <w:tcW w:w="189"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2"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Less: reclassification adjustment of realized capital gains and losses</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(55)</w:t>
            </w:r>
          </w:p>
        </w:tc>
        <w:tc>
          <w:tcPr>
            <w:tcW w:w="110"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12 </w:t>
            </w:r>
          </w:p>
        </w:tc>
        <w:tc>
          <w:tcPr>
            <w:tcW w:w="110"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(43)</w:t>
            </w:r>
          </w:p>
        </w:tc>
        <w:tc>
          <w:tcPr>
            <w:tcW w:w="110"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(400)</w:t>
            </w:r>
          </w:p>
        </w:tc>
        <w:tc>
          <w:tcPr>
            <w:tcW w:w="110"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84 </w:t>
            </w:r>
          </w:p>
        </w:tc>
        <w:tc>
          <w:tcPr>
            <w:tcW w:w="110"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(316)</w:t>
            </w:r>
          </w:p>
        </w:tc>
        <w:tc>
          <w:tcPr>
            <w:tcW w:w="189"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2"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Unrealized net capital gains and losses</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(479)</w:t>
            </w:r>
          </w:p>
        </w:tc>
        <w:tc>
          <w:tcPr>
            <w:tcW w:w="11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103</w:t>
            </w:r>
            <w:r>
              <w:rPr>
                <w:color w:val="000000"/>
              </w:rPr>
              <w:t> </w:t>
            </w:r>
          </w:p>
        </w:tc>
        <w:tc>
          <w:tcPr>
            <w:tcW w:w="11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(376)</w:t>
            </w:r>
          </w:p>
        </w:tc>
        <w:tc>
          <w:tcPr>
            <w:tcW w:w="11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1,029</w:t>
            </w:r>
            <w:r>
              <w:rPr>
                <w:color w:val="000000"/>
              </w:rPr>
              <w:t> </w:t>
            </w:r>
          </w:p>
        </w:tc>
        <w:tc>
          <w:tcPr>
            <w:tcW w:w="11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(222)</w:t>
            </w:r>
          </w:p>
        </w:tc>
        <w:tc>
          <w:tcPr>
            <w:tcW w:w="11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807</w:t>
            </w:r>
            <w:r>
              <w:rPr>
                <w:color w:val="000000"/>
              </w:rPr>
              <w:t> </w:t>
            </w:r>
          </w:p>
        </w:tc>
        <w:tc>
          <w:tcPr>
            <w:tcW w:w="18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2"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Unrealized foreign currency translation adjustments</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(90)</w:t>
            </w:r>
          </w:p>
        </w:tc>
        <w:tc>
          <w:tcPr>
            <w:tcW w:w="11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19</w:t>
            </w:r>
            <w:r>
              <w:rPr>
                <w:color w:val="000000"/>
              </w:rPr>
              <w:t> </w:t>
            </w:r>
          </w:p>
        </w:tc>
        <w:tc>
          <w:tcPr>
            <w:tcW w:w="11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(71)</w:t>
            </w:r>
          </w:p>
        </w:tc>
        <w:tc>
          <w:tcPr>
            <w:tcW w:w="11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49</w:t>
            </w:r>
            <w:r>
              <w:rPr>
                <w:color w:val="000000"/>
              </w:rPr>
              <w:t> </w:t>
            </w:r>
          </w:p>
        </w:tc>
        <w:tc>
          <w:tcPr>
            <w:tcW w:w="11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(10)</w:t>
            </w:r>
          </w:p>
        </w:tc>
        <w:tc>
          <w:tcPr>
            <w:tcW w:w="11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39</w:t>
            </w:r>
            <w:r>
              <w:rPr>
                <w:color w:val="000000"/>
              </w:rPr>
              <w:t> </w:t>
            </w:r>
          </w:p>
        </w:tc>
        <w:tc>
          <w:tcPr>
            <w:tcW w:w="18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2"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pPr>
            <w:r>
              <w:rPr>
                <w:rFonts w:ascii="Helvetica_Neue_LT_W1G_55_Roman;sans-serif" w:hAnsi="Helvetica_Neue_LT_W1G_55_Roman;sans-serif"/>
                <w:b/>
                <w:color w:val="000000"/>
                <w:sz w:val="18"/>
              </w:rPr>
              <w:t>Unamortized pension and other postretirement prior service credit</w:t>
            </w:r>
            <w:r>
              <w:rPr>
                <w:color w:val="000000"/>
              </w:rPr>
              <w:t> </w:t>
            </w:r>
            <w:r>
              <w:rPr>
                <w:rFonts w:ascii="Helvetica_Neue_LT_W1G_55_Roman;sans-serif" w:hAnsi="Helvetica_Neue_LT_W1G_55_Roman;sans-serif"/>
                <w:b/>
                <w:color w:val="000000"/>
                <w:sz w:val="10"/>
              </w:rPr>
              <w:t>(1)</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(1)</w:t>
            </w:r>
          </w:p>
        </w:tc>
        <w:tc>
          <w:tcPr>
            <w:tcW w:w="11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(1)</w:t>
            </w:r>
          </w:p>
        </w:tc>
        <w:tc>
          <w:tcPr>
            <w:tcW w:w="11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2"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Discount rate for reserve for future policy benefits</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(18)</w:t>
            </w:r>
          </w:p>
        </w:tc>
        <w:tc>
          <w:tcPr>
            <w:tcW w:w="11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4</w:t>
            </w:r>
            <w:r>
              <w:rPr>
                <w:color w:val="000000"/>
              </w:rPr>
              <w:t> </w:t>
            </w:r>
          </w:p>
        </w:tc>
        <w:tc>
          <w:tcPr>
            <w:tcW w:w="11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(14)</w:t>
            </w:r>
          </w:p>
        </w:tc>
        <w:tc>
          <w:tcPr>
            <w:tcW w:w="18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2" w:type="dxa"/>
            <w:gridSpan w:val="3"/>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Other comprehensive (loss) income</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555"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(570)</w:t>
            </w:r>
          </w:p>
        </w:tc>
        <w:tc>
          <w:tcPr>
            <w:tcW w:w="110"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531"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122</w:t>
            </w:r>
            <w:r>
              <w:rPr>
                <w:color w:val="000000"/>
              </w:rPr>
              <w:t> </w:t>
            </w:r>
          </w:p>
        </w:tc>
        <w:tc>
          <w:tcPr>
            <w:tcW w:w="110"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667"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(448)</w:t>
            </w:r>
          </w:p>
        </w:tc>
        <w:tc>
          <w:tcPr>
            <w:tcW w:w="110"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727"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1,060</w:t>
            </w:r>
            <w:r>
              <w:rPr>
                <w:color w:val="000000"/>
              </w:rPr>
              <w:t> </w:t>
            </w:r>
          </w:p>
        </w:tc>
        <w:tc>
          <w:tcPr>
            <w:tcW w:w="110"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555"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(228)</w:t>
            </w:r>
          </w:p>
        </w:tc>
        <w:tc>
          <w:tcPr>
            <w:tcW w:w="110"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618"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832</w:t>
            </w:r>
            <w:r>
              <w:rPr>
                <w:color w:val="000000"/>
              </w:rPr>
              <w:t> </w:t>
            </w:r>
          </w:p>
        </w:tc>
        <w:tc>
          <w:tcPr>
            <w:tcW w:w="189"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180"/>
        <w:jc w:val="left"/>
        <w:rPr/>
      </w:pPr>
      <w:r>
        <w:rPr>
          <w:rFonts w:ascii="Allstate Sans;sans-serif" w:hAnsi="Allstate Sans;sans-serif"/>
          <w:b w:val="false"/>
          <w:color w:val="000000"/>
          <w:sz w:val="10"/>
        </w:rPr>
        <w:t>(1)    </w:t>
      </w:r>
      <w:r>
        <w:rPr>
          <w:rFonts w:ascii="Allstate Sans;sans-serif" w:hAnsi="Allstate Sans;sans-serif"/>
          <w:b w:val="false"/>
          <w:color w:val="000000"/>
          <w:sz w:val="16"/>
        </w:rPr>
        <w:t>Represents prior service credits reclassified out of other comprehensive income and amortized into operating costs and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45"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120"/>
                              <w:jc w:val="left"/>
                              <w:rPr/>
                            </w:pPr>
                            <w:r>
                              <w:rPr>
                                <w:rFonts w:ascii="Allstate Sans;sans-serif" w:hAnsi="Allstate Sans;sans-serif"/>
                                <w:b w:val="false"/>
                                <w:color w:val="0033A0"/>
                                <w:sz w:val="18"/>
                              </w:rPr>
                              <w:t>42</w:t>
                            </w:r>
                            <w:r>
                              <w:rPr>
                                <w:color w:val="1666AF"/>
                              </w:rPr>
                              <w:t xml:space="preserve"> </w:t>
                            </w:r>
                            <w:r>
                              <w:rPr>
                                <w:rFonts w:ascii="Allstate Sans;sans-serif" w:hAnsi="Allstate Sans;sans-serif"/>
                                <w:b w:val="false"/>
                                <w:color w:val="000000"/>
                                <w:sz w:val="18"/>
                              </w:rPr>
                              <w:t>www.allstate.com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left"/>
                        <w:rPr/>
                      </w:pPr>
                      <w:r>
                        <w:rPr>
                          <w:rFonts w:ascii="Allstate Sans;sans-serif" w:hAnsi="Allstate Sans;sans-serif"/>
                          <w:b w:val="false"/>
                          <w:color w:val="0033A0"/>
                          <w:sz w:val="18"/>
                        </w:rPr>
                        <w:t>42</w:t>
                      </w:r>
                      <w:r>
                        <w:rPr>
                          <w:color w:val="1666AF"/>
                        </w:rPr>
                        <w:t xml:space="preserve"> </w:t>
                      </w:r>
                      <w:r>
                        <w:rPr>
                          <w:rFonts w:ascii="Allstate Sans;sans-serif" w:hAnsi="Allstate Sans;sans-serif"/>
                          <w:b w:val="false"/>
                          <w:color w:val="000000"/>
                          <w:sz w:val="18"/>
                        </w:rPr>
                        <w:t>www.allstate.com</w:t>
                      </w:r>
                    </w:p>
                  </w:txbxContent>
                </v:textbox>
                <w10:wrap type="none"/>
              </v:rect>
            </w:pict>
          </mc:Fallback>
        </mc:AlternateContent>
      </w:r>
    </w:p>
    <w:p>
      <w:pPr>
        <w:pStyle w:val="TextBody"/>
        <w:bidi w:val="0"/>
        <w:spacing w:before="0" w:after="120"/>
        <w:ind w:left="0" w:right="0" w:firstLine="360"/>
        <w:jc w:val="left"/>
        <w:rPr/>
      </w:pPr>
      <w:r>
        <w:rPr/>
      </w:r>
    </w:p>
    <w:p>
      <w:pPr>
        <w:pStyle w:val="TextBody"/>
        <w:bidi w:val="0"/>
        <w:spacing w:lineRule="auto" w:line="288" w:before="0" w:after="120"/>
        <w:jc w:val="left"/>
        <w:rPr>
          <w:rFonts w:ascii="Allstate Sans;sans-serif" w:hAnsi="Allstate Sans;sans-serif"/>
          <w:b/>
          <w:color w:val="0033A0"/>
          <w:sz w:val="22"/>
        </w:rPr>
      </w:pPr>
      <w:r>
        <w:rPr>
          <w:rFonts w:ascii="Allstate Sans;sans-serif" w:hAnsi="Allstate Sans;sans-serif"/>
          <w:b/>
          <w:color w:val="0033A0"/>
          <w:sz w:val="22"/>
        </w:rPr>
        <w:t>Report of Independent Registered Public Accounting Firm</w:t>
      </w:r>
    </w:p>
    <w:p>
      <w:pPr>
        <w:pStyle w:val="TextBody"/>
        <w:bidi w:val="0"/>
        <w:spacing w:lineRule="auto" w:line="288" w:before="60" w:after="283"/>
        <w:ind w:left="0" w:right="0" w:firstLine="360"/>
        <w:jc w:val="both"/>
        <w:rPr>
          <w:rFonts w:ascii="Allstate Sans;sans-serif" w:hAnsi="Allstate Sans;sans-serif"/>
          <w:b w:val="false"/>
          <w:color w:val="000000"/>
          <w:sz w:val="18"/>
        </w:rPr>
      </w:pPr>
      <w:r>
        <w:rPr>
          <w:rFonts w:ascii="Allstate Sans;sans-serif" w:hAnsi="Allstate Sans;sans-serif"/>
          <w:b w:val="false"/>
          <w:color w:val="000000"/>
          <w:sz w:val="18"/>
        </w:rPr>
        <w:t>To the Shareholders and the Board of Directors of The Allstate Corporation</w:t>
      </w:r>
    </w:p>
    <w:p>
      <w:pPr>
        <w:pStyle w:val="TextBody"/>
        <w:bidi w:val="0"/>
        <w:spacing w:lineRule="auto" w:line="288" w:before="60" w:after="120"/>
        <w:jc w:val="both"/>
        <w:rPr>
          <w:rFonts w:ascii="Allstate Sans;sans-serif" w:hAnsi="Allstate Sans;sans-serif"/>
          <w:b/>
          <w:color w:val="0033A0"/>
          <w:sz w:val="18"/>
        </w:rPr>
      </w:pPr>
      <w:r>
        <w:rPr>
          <w:rFonts w:ascii="Allstate Sans;sans-serif" w:hAnsi="Allstate Sans;sans-serif"/>
          <w:b/>
          <w:color w:val="0033A0"/>
          <w:sz w:val="18"/>
        </w:rPr>
        <w:t>Results of Review of Interim Financial Information</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We have reviewed the accompanying condensed consolidated statement of financial position of The Allstate Corporation and subsidiaries (the “Company”) as of June 30, 2026, the related condensed consolidated statements of operations, comprehensive income (loss) and shareholders’ equity for the three-month and six-month periods ended June 30, 2026 and 2025, and of cash flows for the six-month periods ended June 30, 2026 and 2025, and the related notes (collectively referred to as the “interim financial information”). Based on our reviews, we are not aware of any material modifications that should be made to the accompanying interim financial information for it to be in conformity with accounting principles generally accepted in the United States of America.</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 xml:space="preserve">We have previously audited, in accordance with the standards of the Public Company Accounting Oversight Board (United States) (PCAOB), the consolidated statement of financial position of the Company as of December 31, 2025, and the related consolidated statements of operations, comprehensive income (loss), shareholders’ equity, and cash flows for the year then ended (not presented herein); and in our report dated February 19, 2026, we expressed an unqualified opinion on those consolidated financial statements. In our opinion, the information set forth in the accompanying condensed consolidated statement of financial position as of December 31, 2025, is fairly stated, in all material respects, in relation to the consolidated statement of financial position from which it has been derived. </w:t>
      </w:r>
    </w:p>
    <w:p>
      <w:pPr>
        <w:pStyle w:val="TextBody"/>
        <w:bidi w:val="0"/>
        <w:spacing w:lineRule="auto" w:line="288" w:before="0" w:after="120"/>
        <w:jc w:val="left"/>
        <w:rPr>
          <w:rFonts w:ascii="Allstate Sans;sans-serif" w:hAnsi="Allstate Sans;sans-serif"/>
          <w:b/>
          <w:color w:val="0033A0"/>
          <w:sz w:val="18"/>
        </w:rPr>
      </w:pPr>
      <w:r>
        <w:rPr>
          <w:rFonts w:ascii="Allstate Sans;sans-serif" w:hAnsi="Allstate Sans;sans-serif"/>
          <w:b/>
          <w:color w:val="0033A0"/>
          <w:sz w:val="18"/>
        </w:rPr>
        <w:t>Basis for Review Results</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This interim financial information is the responsibility of the Company's management.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We conducted our reviews in accordance with standards of the PCAOB. A review of interim financial information consists principally of applying analytical procedures and making inquiries of persons responsible for financial and accounting matters. It is substantially less in scope than an audit conducted in accordance with the standards of the PCAOB, the objective of which is the expression of an opinion regarding the financial statements taken as a whole. Accordingly, we do not express such an opinion.</w:t>
      </w:r>
    </w:p>
    <w:p>
      <w:pPr>
        <w:pStyle w:val="TextBody"/>
        <w:bidi w:val="0"/>
        <w:spacing w:before="0" w:after="120"/>
        <w:jc w:val="left"/>
        <w:rPr/>
      </w:pPr>
      <w:r>
        <w:rPr/>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/s/ Deloitte &amp; Touche LLP</w:t>
      </w:r>
    </w:p>
    <w:p>
      <w:pPr>
        <w:pStyle w:val="TextBody"/>
        <w:bidi w:val="0"/>
        <w:spacing w:lineRule="auto" w:line="288" w:before="0" w:after="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Chicago, Illinois</w:t>
      </w:r>
    </w:p>
    <w:p>
      <w:pPr>
        <w:pStyle w:val="TextBody"/>
        <w:bidi w:val="0"/>
        <w:spacing w:lineRule="auto" w:line="288" w:before="0" w:after="240"/>
        <w:ind w:left="0" w:right="0" w:firstLine="360"/>
        <w:jc w:val="both"/>
        <w:rPr>
          <w:rFonts w:ascii="Allstate Sans;sans-serif" w:hAnsi="Allstate Sans;sans-serif"/>
          <w:b w:val="false"/>
          <w:color w:val="000000"/>
          <w:sz w:val="18"/>
        </w:rPr>
      </w:pPr>
      <w:r>
        <w:rPr>
          <w:rFonts w:ascii="Allstate Sans;sans-serif" w:hAnsi="Allstate Sans;sans-serif"/>
          <w:b w:val="false"/>
          <w:color w:val="000000"/>
          <w:sz w:val="18"/>
        </w:rPr>
        <w:t xml:space="preserve">August 5,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33350"/>
                <wp:effectExtent l="0" t="0" r="0" b="0"/>
                <wp:wrapNone/>
                <wp:docPr id="46" name="Frame45"/>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ind w:left="0" w:right="0" w:firstLine="360"/>
                              <w:jc w:val="right"/>
                              <w:rPr/>
                            </w:pPr>
                            <w:r>
                              <w:rPr>
                                <w:rFonts w:ascii="Allstate Sans;sans-serif" w:hAnsi="Allstate Sans;sans-serif"/>
                                <w:b w:val="false"/>
                                <w:color w:val="000000"/>
                                <w:sz w:val="18"/>
                              </w:rPr>
                              <w:t xml:space="preserve">Second Quarter 2026 Form 10-Q </w:t>
                            </w:r>
                            <w:r>
                              <w:rPr>
                                <w:rFonts w:ascii="Allstate Sans;sans-serif" w:hAnsi="Allstate Sans;sans-serif"/>
                                <w:b w:val="false"/>
                                <w:color w:val="0033A0"/>
                                <w:sz w:val="18"/>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right"/>
                        <w:rPr/>
                      </w:pPr>
                      <w:r>
                        <w:rPr>
                          <w:rFonts w:ascii="Allstate Sans;sans-serif" w:hAnsi="Allstate Sans;sans-serif"/>
                          <w:b w:val="false"/>
                          <w:color w:val="000000"/>
                          <w:sz w:val="18"/>
                        </w:rPr>
                        <w:t xml:space="preserve">Second Quarter 2026 Form 10-Q </w:t>
                      </w:r>
                      <w:r>
                        <w:rPr>
                          <w:rFonts w:ascii="Allstate Sans;sans-serif" w:hAnsi="Allstate Sans;sans-serif"/>
                          <w:b w:val="false"/>
                          <w:color w:val="0033A0"/>
                          <w:sz w:val="18"/>
                        </w:rPr>
                        <w:t>43</w:t>
                      </w:r>
                    </w:p>
                  </w:txbxContent>
                </v:textbox>
                <w10:wrap type="none"/>
              </v:rect>
            </w:pict>
          </mc:Fallback>
        </mc:AlternateContent>
      </w:r>
    </w:p>
    <w:p>
      <w:pPr>
        <w:pStyle w:val="TextBody"/>
        <w:bidi w:val="0"/>
        <w:spacing w:before="0" w:after="120"/>
        <w:ind w:left="0" w:right="0" w:firstLine="360"/>
        <w:jc w:val="left"/>
        <w:rPr/>
      </w:pPr>
      <w:r>
        <w:rPr/>
      </w:r>
    </w:p>
    <w:p>
      <w:pPr>
        <w:pStyle w:val="TextBody"/>
        <w:bidi w:val="0"/>
        <w:spacing w:lineRule="auto" w:line="288" w:before="0" w:after="120"/>
        <w:jc w:val="center"/>
        <w:rPr>
          <w:rFonts w:ascii="Allstate Sans;sans-serif" w:hAnsi="Allstate Sans;sans-serif"/>
          <w:b/>
          <w:color w:val="0033A0"/>
          <w:sz w:val="21"/>
        </w:rPr>
      </w:pPr>
      <w:r>
        <w:rPr>
          <w:rFonts w:ascii="Allstate Sans;sans-serif" w:hAnsi="Allstate Sans;sans-serif"/>
          <w:b/>
          <w:color w:val="0033A0"/>
          <w:sz w:val="21"/>
        </w:rPr>
        <w:t xml:space="preserve">Item 2. Management’s Discussion and Analysis of Financial Condition and Results of Operations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llstate Sans;sans-serif" w:hAnsi="Allstate Sans;sans-serif"/>
          <w:b/>
          <w:color w:val="0033A0"/>
          <w:sz w:val="18"/>
        </w:rPr>
      </w:pPr>
      <w:r>
        <w:rPr>
          <w:rFonts w:ascii="Allstate Sans;sans-serif" w:hAnsi="Allstate Sans;sans-serif"/>
          <w:b/>
          <w:color w:val="0033A0"/>
          <w:sz w:val="18"/>
        </w:rPr>
        <w:t xml:space="preserve">Overview </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The following discussion highlights significant factors influencing the consolidated financial position and results of operations of The Allstate Corporation (referred to in this document as “we,” “our,” “us,” the “Company” or “Allstate”). It should be read in conjunction with the condensed consolidated financial statements and related notes thereto found under Part I. Item 1. contained herein, and with the discussion, analysis, consolidated financial statements and notes thereto in Part I. Item 1. and Part II. Item 7. and Item 8. of The Allstate Corporation annual report on Form 10-K for 2025.</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Further analysis of our insurance segments Allstate Protection and Run-off Property-Liability, together Property-Liability Operations, and Protection Services, is provided in Management’s Discussion and Analysis (“MD&amp;A”). The segments are consistent with the way in which the chief operating decision maker reviews financial performance and makes decisions about the allocation of resources.</w:t>
      </w:r>
    </w:p>
    <w:p>
      <w:pPr>
        <w:pStyle w:val="TextBody"/>
        <w:bidi w:val="0"/>
        <w:spacing w:lineRule="auto" w:line="288" w:before="0" w:after="120"/>
        <w:jc w:val="left"/>
        <w:rPr>
          <w:rFonts w:ascii="Allstate Sans;sans-serif" w:hAnsi="Allstate Sans;sans-serif"/>
          <w:b/>
          <w:color w:val="0033A0"/>
          <w:sz w:val="18"/>
        </w:rPr>
      </w:pPr>
      <w:r>
        <w:rPr>
          <w:rFonts w:ascii="Allstate Sans;sans-serif" w:hAnsi="Allstate Sans;sans-serif"/>
          <w:b/>
          <w:color w:val="0033A0"/>
          <w:sz w:val="18"/>
        </w:rPr>
        <w:t>Measuring segment profit or loss</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The measure of segment profit or loss used in evaluating performance is underwriting income for the Allstate Protection and Run-off Property-Liability segments and adjusted net income for the Protection Services and Corporate segments. We use these measures in our evaluation of results of operations to analyze profitability.</w:t>
      </w:r>
    </w:p>
    <w:p>
      <w:pPr>
        <w:pStyle w:val="TextBody"/>
        <w:bidi w:val="0"/>
        <w:spacing w:lineRule="auto" w:line="288" w:before="0" w:after="120"/>
        <w:ind w:left="0" w:right="0" w:firstLine="360"/>
        <w:jc w:val="left"/>
        <w:rPr/>
      </w:pPr>
      <w:r>
        <w:rPr>
          <w:rFonts w:ascii="Allstate Sans;sans-serif" w:hAnsi="Allstate Sans;sans-serif"/>
          <w:b w:val="false"/>
          <w:i/>
          <w:color w:val="0033A0"/>
          <w:sz w:val="18"/>
        </w:rPr>
        <w:t>Underwriting income</w:t>
      </w:r>
      <w:r>
        <w:rPr>
          <w:color w:val="000000"/>
        </w:rPr>
        <w:t xml:space="preserve"> </w:t>
      </w:r>
      <w:r>
        <w:rPr>
          <w:rFonts w:ascii="Allstate Sans;sans-serif" w:hAnsi="Allstate Sans;sans-serif"/>
          <w:b w:val="false"/>
          <w:i/>
          <w:color w:val="0033A0"/>
          <w:sz w:val="18"/>
        </w:rPr>
        <w:t xml:space="preserve">(loss) </w:t>
      </w:r>
      <w:r>
        <w:rPr>
          <w:rFonts w:ascii="Allstate Sans;sans-serif" w:hAnsi="Allstate Sans;sans-serif"/>
          <w:b w:val="false"/>
          <w:color w:val="000000"/>
          <w:sz w:val="18"/>
        </w:rPr>
        <w:t>is calculated as premiums earned and other revenue, less claims and claims expense (“losses”), amortization of deferred policy acquisition costs (“DAC”), operating costs and expenses, amortization or impairment of purchased intangibles and restructuring and related charges, as determined using GAAP.</w:t>
      </w:r>
    </w:p>
    <w:p>
      <w:pPr>
        <w:pStyle w:val="TextBody"/>
        <w:bidi w:val="0"/>
        <w:spacing w:lineRule="auto" w:line="288" w:before="0" w:after="60"/>
        <w:ind w:left="0" w:right="0" w:firstLine="360"/>
        <w:jc w:val="left"/>
        <w:rPr/>
      </w:pPr>
      <w:r>
        <w:rPr>
          <w:rFonts w:ascii="Allstate Sans;sans-serif" w:hAnsi="Allstate Sans;sans-serif"/>
          <w:b w:val="false"/>
          <w:i/>
          <w:color w:val="0033A0"/>
          <w:sz w:val="18"/>
        </w:rPr>
        <w:t>Adjusted net income (loss)</w:t>
      </w:r>
      <w:r>
        <w:rPr>
          <w:color w:val="000000"/>
        </w:rPr>
        <w:t xml:space="preserve"> </w:t>
      </w:r>
      <w:r>
        <w:rPr>
          <w:rFonts w:ascii="Allstate Sans;sans-serif" w:hAnsi="Allstate Sans;sans-serif"/>
          <w:b w:val="false"/>
          <w:color w:val="000000"/>
          <w:sz w:val="18"/>
        </w:rPr>
        <w:t>is net income (loss) applicable to common shareholders, excluding:</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3026"/>
        <w:gridCol w:w="2823"/>
        <w:gridCol w:w="401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6" w:type="dxa"/>
            <w:tcBorders/>
            <w:vAlign w:val="center"/>
          </w:tcPr>
          <w:p>
            <w:pPr>
              <w:pStyle w:val="TableContents"/>
              <w:bidi w:val="0"/>
              <w:spacing w:before="0" w:after="283"/>
              <w:jc w:val="left"/>
              <w:rPr>
                <w:sz w:val="4"/>
                <w:szCs w:val="4"/>
              </w:rPr>
            </w:pPr>
            <w:r>
              <w:rPr>
                <w:sz w:val="4"/>
                <w:szCs w:val="4"/>
              </w:rPr>
            </w:r>
          </w:p>
        </w:tc>
        <w:tc>
          <w:tcPr>
            <w:tcW w:w="2823" w:type="dxa"/>
            <w:tcBorders/>
            <w:vAlign w:val="center"/>
          </w:tcPr>
          <w:p>
            <w:pPr>
              <w:pStyle w:val="TableContents"/>
              <w:bidi w:val="0"/>
              <w:spacing w:before="0" w:after="283"/>
              <w:jc w:val="left"/>
              <w:rPr>
                <w:sz w:val="4"/>
                <w:szCs w:val="4"/>
              </w:rPr>
            </w:pPr>
            <w:r>
              <w:rPr>
                <w:sz w:val="4"/>
                <w:szCs w:val="4"/>
              </w:rPr>
            </w:r>
          </w:p>
        </w:tc>
        <w:tc>
          <w:tcPr>
            <w:tcW w:w="401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42"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ind w:left="0" w:right="0" w:hanging="18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Net gains and losses on investments and derivatives</w:t>
            </w:r>
          </w:p>
        </w:tc>
      </w:tr>
      <w:tr>
        <w:trPr/>
        <w:tc>
          <w:tcPr>
            <w:tcW w:w="342"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ind w:left="0" w:right="0" w:hanging="18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Pension and other postretirement remeasurement gains and losses</w:t>
            </w:r>
          </w:p>
        </w:tc>
      </w:tr>
      <w:tr>
        <w:trPr/>
        <w:tc>
          <w:tcPr>
            <w:tcW w:w="342"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ind w:left="0" w:right="0" w:hanging="18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Amortization or impairment of purchased intangibles</w:t>
            </w:r>
          </w:p>
        </w:tc>
      </w:tr>
      <w:tr>
        <w:trPr/>
        <w:tc>
          <w:tcPr>
            <w:tcW w:w="342"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ind w:left="0" w:right="0" w:hanging="18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Gain or loss on disposition</w:t>
            </w:r>
          </w:p>
        </w:tc>
      </w:tr>
      <w:tr>
        <w:trPr/>
        <w:tc>
          <w:tcPr>
            <w:tcW w:w="342"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ind w:left="0" w:right="0" w:hanging="18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Adjustments for other significant non-recurring, infrequent or unusual items, when (a) the nature of the charge or gain is such that it is reasonably unlikely to recur within two years, or (b) there has been no similar charge or gain within the prior two years</w:t>
            </w:r>
          </w:p>
        </w:tc>
      </w:tr>
      <w:tr>
        <w:trPr/>
        <w:tc>
          <w:tcPr>
            <w:tcW w:w="342" w:type="dxa"/>
            <w:gridSpan w:val="3"/>
            <w:tcBorders>
              <w:top w:val="single" w:sz="4" w:space="0" w:color="ACACAC"/>
              <w:bottom w:val="single" w:sz="8" w:space="0" w:color="005BA5"/>
            </w:tcBorders>
            <w:tcMar>
              <w:top w:w="3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Income tax expense or benefit on reconciling items</w:t>
            </w:r>
          </w:p>
        </w:tc>
      </w:tr>
    </w:tbl>
    <w:p>
      <w:pPr>
        <w:pStyle w:val="TextBody"/>
        <w:bidi w:val="0"/>
        <w:spacing w:lineRule="auto" w:line="288" w:before="0" w:after="120"/>
        <w:jc w:val="left"/>
        <w:rPr>
          <w:rFonts w:ascii="Allstate Sans;sans-serif" w:hAnsi="Allstate Sans;sans-serif"/>
          <w:b/>
          <w:color w:val="0033A0"/>
          <w:sz w:val="18"/>
        </w:rPr>
      </w:pPr>
      <w:r>
        <w:rPr>
          <w:rFonts w:ascii="Allstate Sans;sans-serif" w:hAnsi="Allstate Sans;sans-serif"/>
          <w:b/>
          <w:color w:val="0033A0"/>
          <w:sz w:val="18"/>
        </w:rPr>
        <w:t>Macroeconomic impacts</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Macroeconomic factors have and may continue to impact the results of our operations, financial condition and liquidity. These conditions include U.S. government fiscal and monetary policies, tariff measures, major combat operations in Iran, the Russia/Ukraine conflict, supply chain disruptions, volatility in global energy markets and labor availability. Increased oil prices may contribute to higher transportation, manufacturing and repair costs. If sustained, these conditions may change claims frequency in auto coverages and may increase severity in auto and homeowners coverages and place additional pressure on operating costs and consumer affordability. We continue to monitor these conditions and reflect our current expectations in pricing and reserving; however, uncertainty remains regarding the extent and duration of these impacts.</w:t>
      </w:r>
    </w:p>
    <w:p>
      <w:pPr>
        <w:pStyle w:val="TextBody"/>
        <w:bidi w:val="0"/>
        <w:spacing w:lineRule="auto" w:line="288" w:before="0" w:after="120"/>
        <w:jc w:val="left"/>
        <w:rPr>
          <w:rFonts w:ascii="Allstate Sans;sans-serif" w:hAnsi="Allstate Sans;sans-serif"/>
          <w:b/>
          <w:color w:val="0033A0"/>
          <w:sz w:val="18"/>
        </w:rPr>
      </w:pPr>
      <w:r>
        <w:rPr>
          <w:rFonts w:ascii="Allstate Sans;sans-serif" w:hAnsi="Allstate Sans;sans-serif"/>
          <w:b/>
          <w:color w:val="0033A0"/>
          <w:sz w:val="18"/>
        </w:rPr>
        <w:t>Corporate strategy</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Our strategy has two components: increase personal property-liability market share and expand protection offerings by leveraging the Allstate brand, customer base and capabilities.</w:t>
      </w:r>
    </w:p>
    <w:p>
      <w:pPr>
        <w:pStyle w:val="TextBody"/>
        <w:bidi w:val="0"/>
        <w:spacing w:lineRule="auto" w:line="288" w:before="0" w:after="120"/>
        <w:ind w:left="0" w:right="0" w:firstLine="360"/>
        <w:jc w:val="left"/>
        <w:rPr/>
      </w:pPr>
      <w:r>
        <w:rPr>
          <w:rFonts w:ascii="Allstate Sans;sans-serif" w:hAnsi="Allstate Sans;sans-serif"/>
          <w:b w:val="false"/>
          <w:i/>
          <w:color w:val="0033A0"/>
          <w:sz w:val="18"/>
        </w:rPr>
        <w:t>Transformative Growth</w:t>
      </w:r>
      <w:r>
        <w:rPr>
          <w:color w:val="000000"/>
        </w:rPr>
        <w:t xml:space="preserve"> </w:t>
      </w:r>
      <w:r>
        <w:rPr>
          <w:rFonts w:ascii="Allstate Sans;sans-serif" w:hAnsi="Allstate Sans;sans-serif"/>
          <w:b w:val="false"/>
          <w:color w:val="000000"/>
          <w:sz w:val="18"/>
        </w:rPr>
        <w:t xml:space="preserve">is a comprehensive plan to improve Allstate’s competitive position by providing affordable, simple and connected protection through multiple distribution methods. The ultimate objective is to enhance customer value to drive growth in all businesses. </w:t>
      </w:r>
    </w:p>
    <w:p>
      <w:pPr>
        <w:pStyle w:val="TextBody"/>
        <w:bidi w:val="0"/>
        <w:spacing w:lineRule="auto" w:line="288" w:before="0" w:after="6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In the personal property-liability businesses, this has five key components:</w:t>
      </w:r>
    </w:p>
    <w:p>
      <w:pPr>
        <w:pStyle w:val="TextBody"/>
        <w:bidi w:val="0"/>
        <w:spacing w:lineRule="auto" w:line="288" w:before="0" w:after="60"/>
        <w:ind w:left="0" w:right="0" w:hanging="270"/>
        <w:jc w:val="left"/>
        <w:rPr/>
      </w:pPr>
      <w:r>
        <w:rPr>
          <w:color w:val="000000"/>
        </w:rPr>
        <w:t>•</w:t>
      </w:r>
      <w:r>
        <w:rPr>
          <w:rFonts w:ascii="Allstate Sans;sans-serif" w:hAnsi="Allstate Sans;sans-serif"/>
          <w:b w:val="false"/>
          <w:color w:val="000000"/>
          <w:sz w:val="18"/>
        </w:rPr>
        <w:t>Improving customer value</w:t>
      </w:r>
    </w:p>
    <w:p>
      <w:pPr>
        <w:pStyle w:val="TextBody"/>
        <w:bidi w:val="0"/>
        <w:spacing w:lineRule="auto" w:line="288" w:before="0" w:after="60"/>
        <w:ind w:left="0" w:right="0" w:hanging="270"/>
        <w:jc w:val="left"/>
        <w:rPr/>
      </w:pPr>
      <w:r>
        <w:rPr>
          <w:color w:val="000000"/>
        </w:rPr>
        <w:t>•</w:t>
      </w:r>
      <w:r>
        <w:rPr>
          <w:rFonts w:ascii="Allstate Sans;sans-serif" w:hAnsi="Allstate Sans;sans-serif"/>
          <w:b w:val="false"/>
          <w:color w:val="000000"/>
          <w:sz w:val="18"/>
        </w:rPr>
        <w:t>Expanding customer access</w:t>
      </w:r>
    </w:p>
    <w:p>
      <w:pPr>
        <w:pStyle w:val="TextBody"/>
        <w:bidi w:val="0"/>
        <w:spacing w:lineRule="auto" w:line="288" w:before="0" w:after="60"/>
        <w:ind w:left="0" w:right="0" w:hanging="270"/>
        <w:jc w:val="left"/>
        <w:rPr/>
      </w:pPr>
      <w:r>
        <w:rPr>
          <w:color w:val="000000"/>
        </w:rPr>
        <w:t>•</w:t>
      </w:r>
      <w:r>
        <w:rPr>
          <w:rFonts w:ascii="Allstate Sans;sans-serif" w:hAnsi="Allstate Sans;sans-serif"/>
          <w:b w:val="false"/>
          <w:color w:val="000000"/>
          <w:sz w:val="18"/>
        </w:rPr>
        <w:t xml:space="preserve">Increasing sophistication and investment in customer acquisition </w:t>
      </w:r>
    </w:p>
    <w:p>
      <w:pPr>
        <w:pStyle w:val="TextBody"/>
        <w:bidi w:val="0"/>
        <w:spacing w:lineRule="auto" w:line="288" w:before="0" w:after="60"/>
        <w:ind w:left="0" w:right="0" w:hanging="270"/>
        <w:jc w:val="left"/>
        <w:rPr/>
      </w:pPr>
      <w:r>
        <w:rPr>
          <w:color w:val="000000"/>
        </w:rPr>
        <w:t>•</w:t>
      </w:r>
      <w:r>
        <w:rPr>
          <w:rFonts w:ascii="Allstate Sans;sans-serif" w:hAnsi="Allstate Sans;sans-serif"/>
          <w:b w:val="false"/>
          <w:color w:val="000000"/>
          <w:sz w:val="18"/>
        </w:rPr>
        <w:t>Deploying new technology ecosystems</w:t>
      </w:r>
    </w:p>
    <w:p>
      <w:pPr>
        <w:pStyle w:val="TextBody"/>
        <w:bidi w:val="0"/>
        <w:spacing w:lineRule="auto" w:line="288" w:before="0" w:after="120"/>
        <w:ind w:left="0" w:right="0" w:hanging="270"/>
        <w:jc w:val="left"/>
        <w:rPr/>
      </w:pPr>
      <w:r>
        <w:rPr>
          <w:color w:val="000000"/>
        </w:rPr>
        <w:t>•</w:t>
      </w:r>
      <w:r>
        <w:rPr>
          <w:rFonts w:ascii="Allstate Sans;sans-serif" w:hAnsi="Allstate Sans;sans-serif"/>
          <w:b w:val="false"/>
          <w:color w:val="000000"/>
          <w:sz w:val="18"/>
        </w:rPr>
        <w:t>Driving organizational transformation</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We are expanding Protection Services businesses internationally and by leveraging the Allstate brand, customer base and capabilities.</w:t>
      </w:r>
    </w:p>
    <w:p>
      <w:pPr>
        <w:pStyle w:val="TextBody"/>
        <w:bidi w:val="0"/>
        <w:spacing w:before="0" w:after="120"/>
        <w:jc w:val="left"/>
        <w:rPr/>
      </w:pPr>
      <w:r>
        <w:rPr/>
      </w:r>
    </w:p>
    <w:p>
      <w:pPr>
        <w:pStyle w:val="TextBody"/>
        <w:bidi w:val="0"/>
        <w:spacing w:before="12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47"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Allstate Sans;sans-serif" w:hAnsi="Allstate Sans;sans-serif"/>
                                <w:b w:val="false"/>
                                <w:color w:val="0033A0"/>
                                <w:sz w:val="18"/>
                              </w:rPr>
                              <w:t>44</w:t>
                            </w:r>
                            <w:r>
                              <w:rPr>
                                <w:color w:val="1666AF"/>
                              </w:rPr>
                              <w:t xml:space="preserve"> </w:t>
                            </w:r>
                            <w:r>
                              <w:rPr>
                                <w:rFonts w:ascii="Allstate Sans;sans-serif" w:hAnsi="Allstate Sans;sans-serif"/>
                                <w:b w:val="false"/>
                                <w:color w:val="000000"/>
                                <w:sz w:val="18"/>
                              </w:rPr>
                              <w:t>www.allstate.com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Allstate Sans;sans-serif" w:hAnsi="Allstate Sans;sans-serif"/>
                          <w:b w:val="false"/>
                          <w:color w:val="0033A0"/>
                          <w:sz w:val="18"/>
                        </w:rPr>
                        <w:t>44</w:t>
                      </w:r>
                      <w:r>
                        <w:rPr>
                          <w:color w:val="1666AF"/>
                        </w:rPr>
                        <w:t xml:space="preserve"> </w:t>
                      </w:r>
                      <w:r>
                        <w:rPr>
                          <w:rFonts w:ascii="Allstate Sans;sans-serif" w:hAnsi="Allstate Sans;sans-serif"/>
                          <w:b w:val="false"/>
                          <w:color w:val="000000"/>
                          <w:sz w:val="18"/>
                        </w:rPr>
                        <w:t>www.allstate.com</w:t>
                      </w:r>
                    </w:p>
                  </w:txbxContent>
                </v:textbox>
                <w10:wrap type="none"/>
              </v:rect>
            </w:pict>
          </mc:Fallback>
        </mc:AlternateContent>
      </w:r>
    </w:p>
    <w:p>
      <w:pPr>
        <w:pStyle w:val="TextBody"/>
        <w:bidi w:val="0"/>
        <w:spacing w:before="0" w:after="120"/>
        <w:ind w:left="0" w:right="0" w:firstLine="360"/>
        <w:jc w:val="left"/>
        <w:rPr/>
      </w:pPr>
      <w:r>
        <w:rPr/>
      </w:r>
    </w:p>
    <w:p>
      <w:pPr>
        <w:pStyle w:val="TextBody"/>
        <w:bidi w:val="0"/>
        <w:spacing w:lineRule="auto" w:line="288" w:before="120" w:after="120"/>
        <w:jc w:val="left"/>
        <w:rPr>
          <w:rFonts w:ascii="Allstate Sans;sans-serif" w:hAnsi="Allstate Sans;sans-serif"/>
          <w:b/>
          <w:color w:val="0033A0"/>
          <w:sz w:val="18"/>
          <w:shd w:fill="FFFFFF" w:val="clear"/>
        </w:rPr>
      </w:pPr>
      <w:r>
        <w:rPr>
          <w:rFonts w:ascii="Allstate Sans;sans-serif" w:hAnsi="Allstate Sans;sans-serif"/>
          <w:b/>
          <w:color w:val="0033A0"/>
          <w:sz w:val="18"/>
          <w:shd w:fill="FFFFFF" w:val="clear"/>
        </w:rPr>
        <w:t>Financial Highlights</w:t>
      </w:r>
    </w:p>
    <w:p>
      <w:pPr>
        <w:pStyle w:val="TextBody"/>
        <w:bidi w:val="0"/>
        <w:spacing w:lineRule="auto" w:line="288" w:before="0" w:after="0"/>
        <w:jc w:val="left"/>
        <w:rPr>
          <w:rFonts w:ascii="Allstate Sans;sans-serif" w:hAnsi="Allstate Sans;sans-serif"/>
          <w:b w:val="false"/>
          <w:color w:val="0033A0"/>
          <w:sz w:val="16"/>
          <w:shd w:fill="FFFFFF" w:val="clear"/>
        </w:rPr>
      </w:pPr>
      <w:r>
        <w:rPr>
          <w:rFonts w:ascii="Allstate Sans;sans-serif" w:hAnsi="Allstate Sans;sans-serif"/>
          <w:b w:val="false"/>
          <w:color w:val="0033A0"/>
          <w:sz w:val="16"/>
          <w:shd w:fill="FFFFFF" w:val="clear"/>
        </w:rPr>
        <w:t>($ in millions)                                        </w:t>
      </w:r>
    </w:p>
    <w:tbl>
      <w:tblPr>
        <w:tblW w:w="1466" w:type="dxa"/>
        <w:jc w:val="left"/>
        <w:tblInd w:w="0" w:type="dxa"/>
        <w:tblLayout w:type="fixed"/>
        <w:tblCellMar>
          <w:top w:w="28" w:type="dxa"/>
          <w:left w:w="28" w:type="dxa"/>
          <w:bottom w:w="28" w:type="dxa"/>
          <w:right w:w="28" w:type="dxa"/>
        </w:tblCellMar>
      </w:tblPr>
      <w:tblGrid>
        <w:gridCol w:w="124"/>
        <w:gridCol w:w="109"/>
        <w:gridCol w:w="109"/>
        <w:gridCol w:w="125"/>
        <w:gridCol w:w="125"/>
        <w:gridCol w:w="126"/>
        <w:gridCol w:w="109"/>
        <w:gridCol w:w="109"/>
        <w:gridCol w:w="109"/>
        <w:gridCol w:w="123"/>
        <w:gridCol w:w="123"/>
        <w:gridCol w:w="1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000000"/>
              <w:left w:val="single" w:sz="4" w:space="0" w:color="000000"/>
              <w:bottom w:val="single" w:sz="4" w:space="0" w:color="000000"/>
            </w:tcBorders>
            <w:shd w:fill="0033A0" w:val="clear"/>
            <w:tcMar>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left w:val="single" w:sz="4" w:space="0" w:color="000000"/>
            </w:tcBorders>
            <w:tcMar>
              <w:top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Q1</w:t>
            </w:r>
          </w:p>
        </w:tc>
        <w:tc>
          <w:tcPr>
            <w:tcW w:w="327" w:type="dxa"/>
            <w:gridSpan w:val="3"/>
            <w:tcBorders>
              <w:top w:val="single" w:sz="4" w:space="0" w:color="000000"/>
              <w:left w:val="single" w:sz="4" w:space="0" w:color="000000"/>
              <w:bottom w:val="single" w:sz="4" w:space="0" w:color="000000"/>
            </w:tcBorders>
            <w:shd w:fill="45BCE5" w:val="clear"/>
            <w:tcMar>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left w:val="single" w:sz="4" w:space="0" w:color="000000"/>
            </w:tcBorders>
            <w:shd w:fill="FFFFFF" w:val="clear"/>
            <w:tcMar>
              <w:top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Q2</w:t>
            </w:r>
          </w:p>
        </w:tc>
      </w:tr>
    </w:tbl>
    <w:p>
      <w:pPr>
        <w:pStyle w:val="TextBody"/>
        <w:bidi w:val="0"/>
        <w:spacing w:lineRule="auto" w:line="288" w:before="0" w:after="0"/>
        <w:jc w:val="left"/>
        <w:rPr>
          <w:shd w:fill="FFFFFF" w:val="clear"/>
        </w:rPr>
      </w:pPr>
      <w:r>
        <w:rPr>
          <w:shd w:fill="FFFFFF" w:val="clear"/>
        </w:rPr>
        <w:drawing>
          <wp:inline distT="0" distB="0" distL="0" distR="0">
            <wp:extent cx="2095500" cy="1914525"/>
            <wp:effectExtent l="0" t="0" r="0" b="0"/>
            <wp:docPr id="48"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2" descr=""/>
                    <pic:cNvPicPr>
                      <a:picLocks noChangeAspect="1" noChangeArrowheads="1"/>
                    </pic:cNvPicPr>
                  </pic:nvPicPr>
                  <pic:blipFill>
                    <a:blip r:embed="rId3"/>
                    <a:stretch>
                      <a:fillRect/>
                    </a:stretch>
                  </pic:blipFill>
                  <pic:spPr bwMode="auto">
                    <a:xfrm>
                      <a:off x="0" y="0"/>
                      <a:ext cx="2095500" cy="1914525"/>
                    </a:xfrm>
                    <a:prstGeom prst="rect">
                      <a:avLst/>
                    </a:prstGeom>
                  </pic:spPr>
                </pic:pic>
              </a:graphicData>
            </a:graphic>
          </wp:inline>
        </w:drawing>
      </w:r>
      <w:bookmarkStart w:id="1" w:name="i-2"/>
      <w:bookmarkEnd w:id="1"/>
      <w:r>
        <w:rPr>
          <w:color w:val="000000"/>
          <w:shd w:fill="FFFFFF" w:val="clear"/>
        </w:rPr>
        <w:t xml:space="preserve"> </w:t>
      </w:r>
      <w:r>
        <w:rPr>
          <w:shd w:fill="FFFFFF" w:val="clear"/>
        </w:rPr>
        <w:drawing>
          <wp:inline distT="0" distB="0" distL="0" distR="0">
            <wp:extent cx="2095500" cy="1914525"/>
            <wp:effectExtent l="0" t="0" r="0" b="0"/>
            <wp:docPr id="49"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3" descr=""/>
                    <pic:cNvPicPr>
                      <a:picLocks noChangeAspect="1" noChangeArrowheads="1"/>
                    </pic:cNvPicPr>
                  </pic:nvPicPr>
                  <pic:blipFill>
                    <a:blip r:embed="rId4"/>
                    <a:stretch>
                      <a:fillRect/>
                    </a:stretch>
                  </pic:blipFill>
                  <pic:spPr bwMode="auto">
                    <a:xfrm>
                      <a:off x="0" y="0"/>
                      <a:ext cx="2095500" cy="1914525"/>
                    </a:xfrm>
                    <a:prstGeom prst="rect">
                      <a:avLst/>
                    </a:prstGeom>
                  </pic:spPr>
                </pic:pic>
              </a:graphicData>
            </a:graphic>
          </wp:inline>
        </w:drawing>
      </w:r>
      <w:bookmarkStart w:id="2" w:name="i-3"/>
      <w:bookmarkEnd w:id="2"/>
      <w:r>
        <w:rPr>
          <w:color w:val="000000"/>
          <w:shd w:fill="FFFFFF" w:val="clear"/>
        </w:rPr>
        <w:t xml:space="preserve"> </w:t>
      </w:r>
      <w:r>
        <w:rPr>
          <w:shd w:fill="FFFFFF" w:val="clear"/>
        </w:rPr>
        <w:drawing>
          <wp:inline distT="0" distB="0" distL="0" distR="0">
            <wp:extent cx="2095500" cy="1914525"/>
            <wp:effectExtent l="0" t="0" r="0" b="0"/>
            <wp:docPr id="50"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4" descr=""/>
                    <pic:cNvPicPr>
                      <a:picLocks noChangeAspect="1" noChangeArrowheads="1"/>
                    </pic:cNvPicPr>
                  </pic:nvPicPr>
                  <pic:blipFill>
                    <a:blip r:embed="rId5"/>
                    <a:stretch>
                      <a:fillRect/>
                    </a:stretch>
                  </pic:blipFill>
                  <pic:spPr bwMode="auto">
                    <a:xfrm>
                      <a:off x="0" y="0"/>
                      <a:ext cx="2095500" cy="1914525"/>
                    </a:xfrm>
                    <a:prstGeom prst="rect">
                      <a:avLst/>
                    </a:prstGeom>
                  </pic:spPr>
                </pic:pic>
              </a:graphicData>
            </a:graphic>
          </wp:inline>
        </w:drawing>
      </w:r>
      <w:bookmarkStart w:id="3" w:name="i-4"/>
      <w:bookmarkEnd w:id="3"/>
    </w:p>
    <w:p>
      <w:pPr>
        <w:pStyle w:val="TextBody"/>
        <w:bidi w:val="0"/>
        <w:spacing w:before="0" w:after="0"/>
        <w:jc w:val="left"/>
        <w:rPr/>
      </w:pPr>
      <w:r>
        <w:rPr/>
      </w:r>
    </w:p>
    <w:p>
      <w:pPr>
        <w:pStyle w:val="TextBody"/>
        <w:bidi w:val="0"/>
        <w:spacing w:lineRule="auto" w:line="288" w:before="0" w:after="120"/>
        <w:ind w:left="0" w:right="0" w:firstLine="360"/>
        <w:jc w:val="left"/>
        <w:rPr>
          <w:shd w:fill="FFFFFF" w:val="clear"/>
        </w:rPr>
      </w:pPr>
      <w:r>
        <w:rPr>
          <w:rFonts w:ascii="Allstate Sans;sans-serif" w:hAnsi="Allstate Sans;sans-serif"/>
          <w:b w:val="false"/>
          <w:i/>
          <w:color w:val="0033A0"/>
          <w:sz w:val="18"/>
          <w:shd w:fill="FFFFFF" w:val="clear"/>
        </w:rPr>
        <w:t>Consolidated net income applicable to common shareholders</w:t>
      </w:r>
      <w:r>
        <w:rPr>
          <w:color w:val="000000"/>
          <w:shd w:fill="FFFFFF" w:val="clear"/>
        </w:rPr>
        <w:t xml:space="preserve"> </w:t>
      </w:r>
      <w:r>
        <w:rPr>
          <w:rFonts w:ascii="Allstate Sans;sans-serif" w:hAnsi="Allstate Sans;sans-serif"/>
          <w:b w:val="false"/>
          <w:color w:val="000000"/>
          <w:sz w:val="18"/>
          <w:shd w:fill="FFFFFF" w:val="clear"/>
        </w:rPr>
        <w:t>increased $1.16 billion to $3.24 billion in the second quarter of 2026 and increased $3.02 billion to $5.67 billion in the first six months of 2026 compared to the same periods of 2025, primarily due to higher underwriting income and valuation gains on equity investments.</w:t>
      </w:r>
    </w:p>
    <w:p>
      <w:pPr>
        <w:pStyle w:val="TextBody"/>
        <w:bidi w:val="0"/>
        <w:spacing w:lineRule="auto" w:line="288" w:before="0" w:after="120"/>
        <w:ind w:left="0" w:right="0" w:firstLine="360"/>
        <w:jc w:val="left"/>
        <w:rPr>
          <w:shd w:fill="FFFFFF" w:val="clear"/>
        </w:rPr>
      </w:pPr>
      <w:r>
        <w:rPr>
          <w:rFonts w:ascii="Allstate Sans;sans-serif" w:hAnsi="Allstate Sans;sans-serif"/>
          <w:b w:val="false"/>
          <w:i/>
          <w:color w:val="0033A0"/>
          <w:sz w:val="18"/>
          <w:shd w:fill="FFFFFF" w:val="clear"/>
        </w:rPr>
        <w:t xml:space="preserve">Total revenue </w:t>
      </w:r>
      <w:r>
        <w:rPr>
          <w:rFonts w:ascii="Allstate Sans;sans-serif" w:hAnsi="Allstate Sans;sans-serif"/>
          <w:b w:val="false"/>
          <w:color w:val="000000"/>
          <w:sz w:val="18"/>
          <w:shd w:fill="FFFFFF" w:val="clear"/>
        </w:rPr>
        <w:t>increased 11.8% to $18.60 billion in the second quarter of 2026 and increased 7.4% to $35.54 billion in the first six months of 2026 compared to the same periods of 2025, primarily due to higher auto and homeowners insurance policies in force and valuation gains on equity investments.</w:t>
      </w:r>
    </w:p>
    <w:p>
      <w:pPr>
        <w:pStyle w:val="TextBody"/>
        <w:bidi w:val="0"/>
        <w:spacing w:lineRule="auto" w:line="288" w:before="0" w:after="120"/>
        <w:ind w:left="0" w:right="0" w:firstLine="360"/>
        <w:jc w:val="left"/>
        <w:rPr>
          <w:shd w:fill="FFFFFF" w:val="clear"/>
        </w:rPr>
      </w:pPr>
      <w:r>
        <w:rPr>
          <w:rFonts w:ascii="Allstate Sans;sans-serif" w:hAnsi="Allstate Sans;sans-serif"/>
          <w:b w:val="false"/>
          <w:i/>
          <w:color w:val="0033A0"/>
          <w:sz w:val="18"/>
          <w:shd w:fill="FFFFFF" w:val="clear"/>
        </w:rPr>
        <w:t>Net investment income</w:t>
      </w:r>
      <w:r>
        <w:rPr>
          <w:color w:val="000000"/>
          <w:shd w:fill="FFFFFF" w:val="clear"/>
        </w:rPr>
        <w:t xml:space="preserve"> </w:t>
      </w:r>
      <w:r>
        <w:rPr>
          <w:rFonts w:ascii="Allstate Sans;sans-serif" w:hAnsi="Allstate Sans;sans-serif"/>
          <w:b w:val="false"/>
          <w:color w:val="000000"/>
          <w:sz w:val="18"/>
          <w:shd w:fill="FFFFFF" w:val="clear"/>
        </w:rPr>
        <w:t>increased $255 million to $1.01 billion in the second quarter of 2026 and increased $339 million to $1.95 billion in the first six months of 2026 compared to the same periods of 2025, primarily due to higher market-based and performance-based investment results.</w:t>
      </w:r>
    </w:p>
    <w:p>
      <w:pPr>
        <w:pStyle w:val="TextBody"/>
        <w:bidi w:val="0"/>
        <w:spacing w:lineRule="auto" w:line="288" w:before="0" w:after="120"/>
        <w:ind w:left="0" w:right="0" w:firstLine="360"/>
        <w:jc w:val="left"/>
        <w:rPr>
          <w:shd w:fill="FFFFFF" w:val="clear"/>
        </w:rPr>
      </w:pPr>
      <w:r>
        <w:rPr>
          <w:rFonts w:ascii="Allstate Sans;sans-serif" w:hAnsi="Allstate Sans;sans-serif"/>
          <w:b w:val="false"/>
          <w:i/>
          <w:color w:val="0033A0"/>
          <w:sz w:val="18"/>
          <w:shd w:fill="FFFFFF" w:val="clear"/>
        </w:rPr>
        <w:t xml:space="preserve">Investments </w:t>
      </w:r>
      <w:r>
        <w:rPr>
          <w:rFonts w:ascii="Allstate Sans;sans-serif" w:hAnsi="Allstate Sans;sans-serif"/>
          <w:b w:val="false"/>
          <w:color w:val="000000"/>
          <w:sz w:val="18"/>
          <w:shd w:fill="FFFFFF" w:val="clear"/>
        </w:rPr>
        <w:t xml:space="preserve">totaled $87.80 billion as of June 30, 2026, increasing from $83.24 billion as of December 31, 2025. </w:t>
      </w:r>
    </w:p>
    <w:p>
      <w:pPr>
        <w:pStyle w:val="TextBody"/>
        <w:bidi w:val="0"/>
        <w:spacing w:lineRule="auto" w:line="288" w:before="0" w:after="120"/>
        <w:ind w:left="0" w:right="0" w:firstLine="360"/>
        <w:jc w:val="left"/>
        <w:rPr>
          <w:shd w:fill="FFFFFF" w:val="clear"/>
        </w:rPr>
      </w:pPr>
      <w:r>
        <w:rPr>
          <w:rFonts w:ascii="Allstate Sans;sans-serif" w:hAnsi="Allstate Sans;sans-serif"/>
          <w:b w:val="false"/>
          <w:i/>
          <w:color w:val="0033A0"/>
          <w:sz w:val="18"/>
          <w:shd w:fill="FFFFFF" w:val="clear"/>
        </w:rPr>
        <w:t>Allstate shareholders’ equity</w:t>
      </w:r>
      <w:r>
        <w:rPr>
          <w:color w:val="000000"/>
          <w:shd w:fill="FFFFFF" w:val="clear"/>
        </w:rPr>
        <w:t xml:space="preserve"> </w:t>
      </w:r>
      <w:r>
        <w:rPr>
          <w:rFonts w:ascii="Allstate Sans;sans-serif" w:hAnsi="Allstate Sans;sans-serif"/>
          <w:b w:val="false"/>
          <w:color w:val="000000"/>
          <w:sz w:val="18"/>
          <w:shd w:fill="FFFFFF" w:val="clear"/>
        </w:rPr>
        <w:t>was $33.70 billion as of June 30, 2026, increasing from $30.61 billion as of December 31, 2025, primarily due to net income, partially offset by common share repurchases, dividends to shareholders and unrealized net capital losses.</w:t>
      </w:r>
    </w:p>
    <w:p>
      <w:pPr>
        <w:pStyle w:val="TextBody"/>
        <w:bidi w:val="0"/>
        <w:spacing w:lineRule="auto" w:line="288" w:before="0" w:after="120"/>
        <w:ind w:left="0" w:right="0" w:firstLine="360"/>
        <w:jc w:val="left"/>
        <w:rPr>
          <w:shd w:fill="FFFFFF" w:val="clear"/>
        </w:rPr>
      </w:pPr>
      <w:r>
        <w:rPr>
          <w:rFonts w:ascii="Allstate Sans;sans-serif" w:hAnsi="Allstate Sans;sans-serif"/>
          <w:b w:val="false"/>
          <w:i/>
          <w:color w:val="0033A0"/>
          <w:sz w:val="18"/>
          <w:shd w:fill="FFFFFF" w:val="clear"/>
        </w:rPr>
        <w:t>Book value per diluted common share</w:t>
      </w:r>
      <w:r>
        <w:rPr>
          <w:color w:val="000000"/>
          <w:shd w:fill="FFFFFF" w:val="clear"/>
        </w:rPr>
        <w:t xml:space="preserve"> </w:t>
      </w:r>
      <w:r>
        <w:rPr>
          <w:rFonts w:ascii="Allstate Sans;sans-serif" w:hAnsi="Allstate Sans;sans-serif"/>
          <w:b w:val="false"/>
          <w:color w:val="000000"/>
          <w:sz w:val="18"/>
          <w:shd w:fill="FFFFFF" w:val="clear"/>
        </w:rPr>
        <w:t>(ratio of Allstate common shareholders’ equity to total common shares outstanding and dilutive potential common shares outstanding) was $123.38 as of June 30, 2026, an increase of 49.7% from $82.40 as of June 30, 2025, and an increase of 13.8% from $108.45 as of December 31, 2025.</w:t>
      </w:r>
    </w:p>
    <w:p>
      <w:pPr>
        <w:pStyle w:val="TextBody"/>
        <w:bidi w:val="0"/>
        <w:spacing w:lineRule="auto" w:line="288" w:before="0" w:after="120"/>
        <w:ind w:left="0" w:right="0" w:firstLine="360"/>
        <w:jc w:val="left"/>
        <w:rPr>
          <w:shd w:fill="FFFFFF" w:val="clear"/>
        </w:rPr>
      </w:pPr>
      <w:r>
        <w:rPr>
          <w:rFonts w:ascii="Allstate Sans;sans-serif" w:hAnsi="Allstate Sans;sans-serif"/>
          <w:b w:val="false"/>
          <w:i/>
          <w:color w:val="0033A0"/>
          <w:sz w:val="18"/>
          <w:shd w:fill="FFFFFF" w:val="clear"/>
        </w:rPr>
        <w:t xml:space="preserve">Return on average Allstate common shareholders’ equity </w:t>
      </w:r>
      <w:r>
        <w:rPr>
          <w:rFonts w:ascii="Allstate Sans;sans-serif" w:hAnsi="Allstate Sans;sans-serif"/>
          <w:b w:val="false"/>
          <w:color w:val="000000"/>
          <w:sz w:val="18"/>
          <w:shd w:fill="FFFFFF" w:val="clear"/>
        </w:rPr>
        <w:t>for the twelve months ended June 30, 2026, was 49.1%, an increase of 19.5 points from 29.6% for the twelve months ended June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33350"/>
                <wp:effectExtent l="0" t="0" r="0" b="0"/>
                <wp:wrapNone/>
                <wp:docPr id="51" name="Frame47"/>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left"/>
                              <w:rPr/>
                            </w:pPr>
                            <w:r>
                              <w:rPr>
                                <w:rFonts w:ascii="Allstate Sans;sans-serif" w:hAnsi="Allstate Sans;sans-serif"/>
                                <w:b w:val="false"/>
                                <w:color w:val="000000"/>
                                <w:sz w:val="18"/>
                              </w:rPr>
                              <w:t xml:space="preserve">Second Quarter 2026 Form 10-Q </w:t>
                            </w:r>
                            <w:r>
                              <w:rPr>
                                <w:rFonts w:ascii="Allstate Sans;sans-serif" w:hAnsi="Allstate Sans;sans-serif"/>
                                <w:b w:val="false"/>
                                <w:color w:val="0033A0"/>
                                <w:sz w:val="18"/>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Allstate Sans;sans-serif" w:hAnsi="Allstate Sans;sans-serif"/>
                          <w:b w:val="false"/>
                          <w:color w:val="000000"/>
                          <w:sz w:val="18"/>
                        </w:rPr>
                        <w:t xml:space="preserve">Second Quarter 2026 Form 10-Q </w:t>
                      </w:r>
                      <w:r>
                        <w:rPr>
                          <w:rFonts w:ascii="Allstate Sans;sans-serif" w:hAnsi="Allstate Sans;sans-serif"/>
                          <w:b w:val="false"/>
                          <w:color w:val="0033A0"/>
                          <w:sz w:val="18"/>
                        </w:rPr>
                        <w:t>45</w:t>
                      </w:r>
                    </w:p>
                  </w:txbxContent>
                </v:textbox>
                <w10:wrap type="none"/>
              </v:rect>
            </w:pict>
          </mc:Fallback>
        </mc:AlternateContent>
      </w:r>
    </w:p>
    <w:p>
      <w:pPr>
        <w:pStyle w:val="TextBody"/>
        <w:bidi w:val="0"/>
        <w:spacing w:lineRule="auto" w:line="288" w:before="0" w:after="120"/>
        <w:jc w:val="left"/>
        <w:rPr>
          <w:rFonts w:ascii="Allstate Sans;sans-serif" w:hAnsi="Allstate Sans;sans-serif"/>
          <w:b w:val="false"/>
          <w:color w:val="0033A0"/>
          <w:sz w:val="18"/>
        </w:rPr>
      </w:pPr>
      <w:r>
        <w:rPr>
          <w:rFonts w:ascii="Allstate Sans;sans-serif" w:hAnsi="Allstate Sans;sans-serif"/>
          <w:b w:val="false"/>
          <w:color w:val="0033A0"/>
          <w:sz w:val="18"/>
        </w:rPr>
        <w:t>Property-Liability Operations</w:t>
      </w:r>
    </w:p>
    <w:p>
      <w:pPr>
        <w:pStyle w:val="TextBody"/>
        <w:bidi w:val="0"/>
        <w:spacing w:lineRule="auto" w:line="288" w:before="0" w:after="120"/>
        <w:jc w:val="left"/>
        <w:rPr>
          <w:rFonts w:ascii="Allstate Sans;sans-serif" w:hAnsi="Allstate Sans;sans-serif"/>
          <w:b/>
          <w:color w:val="0033A0"/>
          <w:sz w:val="22"/>
        </w:rPr>
      </w:pPr>
      <w:r>
        <w:rPr>
          <w:rFonts w:ascii="Allstate Sans;sans-serif" w:hAnsi="Allstate Sans;sans-serif"/>
          <w:b/>
          <w:color w:val="0033A0"/>
          <w:sz w:val="22"/>
        </w:rPr>
        <w:t>Property-Liability Operations</w:t>
      </w:r>
    </w:p>
    <w:p>
      <w:pPr>
        <w:pStyle w:val="TextBody"/>
        <w:bidi w:val="0"/>
        <w:spacing w:lineRule="auto" w:line="288" w:before="0" w:after="120"/>
        <w:ind w:left="0" w:right="0" w:firstLine="360"/>
        <w:jc w:val="left"/>
        <w:rPr/>
      </w:pPr>
      <w:r>
        <w:rPr>
          <w:rFonts w:ascii="Allstate Sans;sans-serif" w:hAnsi="Allstate Sans;sans-serif"/>
          <w:b/>
          <w:color w:val="0033A0"/>
          <w:sz w:val="18"/>
        </w:rPr>
        <w:t>Overview</w:t>
      </w:r>
      <w:r>
        <w:rPr>
          <w:color w:val="000000"/>
        </w:rPr>
        <w:t xml:space="preserve"> </w:t>
      </w:r>
      <w:r>
        <w:rPr>
          <w:rFonts w:ascii="Allstate Sans;sans-serif" w:hAnsi="Allstate Sans;sans-serif"/>
          <w:b w:val="false"/>
          <w:color w:val="000000"/>
          <w:sz w:val="18"/>
        </w:rPr>
        <w:t xml:space="preserve">Property-Liability operations consist of two reportable segments: Allstate Protection and Run-off Property-Liability. These segments are consistent with the groupings of financial information that management uses to evaluate performance and to determine the allocation of resources. </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 xml:space="preserve">We do not allocate Property-Liability investment income, net gains and losses on investments and derivatives, or assets to the Allstate Protection and Run-off Property-Liability segments. Management reviews assets at the Property-Liability level for decision-making purposes. </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 xml:space="preserve">For segment results, services provided by Protection Services to Allstate Protection are not eliminated as management considers those transactions in assessing the results of the respective segments. The effects of inter-segment transactions are eliminated in the consolidated results. </w:t>
      </w:r>
    </w:p>
    <w:p>
      <w:pPr>
        <w:pStyle w:val="TextBody"/>
        <w:bidi w:val="0"/>
        <w:spacing w:lineRule="auto" w:line="288" w:before="0" w:after="120"/>
        <w:ind w:left="0" w:right="0" w:firstLine="360"/>
        <w:jc w:val="left"/>
        <w:rPr/>
      </w:pPr>
      <w:r>
        <w:rPr>
          <w:rFonts w:ascii="Allstate Sans;sans-serif" w:hAnsi="Allstate Sans;sans-serif"/>
          <w:b/>
          <w:color w:val="0033A0"/>
          <w:sz w:val="18"/>
        </w:rPr>
        <w:t>GAAP operating ratios</w:t>
      </w:r>
      <w:r>
        <w:rPr>
          <w:color w:val="000000"/>
        </w:rPr>
        <w:t xml:space="preserve"> </w:t>
      </w:r>
      <w:r>
        <w:rPr>
          <w:rFonts w:ascii="Allstate Sans;sans-serif" w:hAnsi="Allstate Sans;sans-serif"/>
          <w:b w:val="false"/>
          <w:color w:val="000000"/>
          <w:sz w:val="18"/>
        </w:rPr>
        <w:t>are used to measure our profitability to enhance an investor’s understanding of our financial results and are calculated as follows:</w:t>
      </w:r>
    </w:p>
    <w:p>
      <w:pPr>
        <w:pStyle w:val="TextBody"/>
        <w:bidi w:val="0"/>
        <w:spacing w:lineRule="auto" w:line="288" w:before="0" w:after="100"/>
        <w:ind w:left="0" w:right="0" w:hanging="270"/>
        <w:jc w:val="left"/>
        <w:rPr/>
      </w:pPr>
      <w:r>
        <w:rPr>
          <w:color w:val="0033A0"/>
        </w:rPr>
        <w:t>•</w:t>
      </w:r>
      <w:r>
        <w:rPr>
          <w:rFonts w:ascii="Allstate Sans;sans-serif" w:hAnsi="Allstate Sans;sans-serif"/>
          <w:b w:val="false"/>
          <w:i/>
          <w:color w:val="0033A0"/>
          <w:sz w:val="18"/>
        </w:rPr>
        <w:t xml:space="preserve">Loss ratio: </w:t>
      </w:r>
      <w:r>
        <w:rPr>
          <w:rFonts w:ascii="Allstate Sans;sans-serif" w:hAnsi="Allstate Sans;sans-serif"/>
          <w:b w:val="false"/>
          <w:color w:val="000000"/>
          <w:sz w:val="18"/>
        </w:rPr>
        <w:t>the ratio of claims and claims expense (loss adjustment expenses), to premiums earned. Loss ratios include the impact of catastrophe losses and prior year reserve reestimates.</w:t>
      </w:r>
    </w:p>
    <w:p>
      <w:pPr>
        <w:pStyle w:val="TextBody"/>
        <w:bidi w:val="0"/>
        <w:spacing w:lineRule="auto" w:line="288" w:before="0" w:after="100"/>
        <w:ind w:left="0" w:right="0" w:hanging="270"/>
        <w:jc w:val="left"/>
        <w:rPr/>
      </w:pPr>
      <w:r>
        <w:rPr>
          <w:color w:val="0033A0"/>
        </w:rPr>
        <w:t>•</w:t>
      </w:r>
      <w:r>
        <w:rPr>
          <w:rFonts w:ascii="Allstate Sans;sans-serif" w:hAnsi="Allstate Sans;sans-serif"/>
          <w:b w:val="false"/>
          <w:i/>
          <w:color w:val="0033A0"/>
          <w:sz w:val="18"/>
        </w:rPr>
        <w:t xml:space="preserve">Expense ratio: </w:t>
      </w:r>
      <w:r>
        <w:rPr>
          <w:rFonts w:ascii="Allstate Sans;sans-serif" w:hAnsi="Allstate Sans;sans-serif"/>
          <w:b w:val="false"/>
          <w:color w:val="000000"/>
          <w:sz w:val="18"/>
        </w:rPr>
        <w:t>the ratio of amortization of DAC, operating costs and expenses, amortization or impairment of purchased intangibles and restructuring and related charges, less other revenue to premiums earned.</w:t>
      </w:r>
    </w:p>
    <w:p>
      <w:pPr>
        <w:pStyle w:val="TextBody"/>
        <w:bidi w:val="0"/>
        <w:spacing w:lineRule="auto" w:line="288" w:before="0" w:after="120"/>
        <w:ind w:left="0" w:right="0" w:hanging="270"/>
        <w:jc w:val="left"/>
        <w:rPr/>
      </w:pPr>
      <w:r>
        <w:rPr>
          <w:color w:val="0033A0"/>
        </w:rPr>
        <w:t>•</w:t>
      </w:r>
      <w:r>
        <w:rPr>
          <w:rFonts w:ascii="Allstate Sans;sans-serif" w:hAnsi="Allstate Sans;sans-serif"/>
          <w:b w:val="false"/>
          <w:i/>
          <w:color w:val="0033A0"/>
          <w:sz w:val="18"/>
        </w:rPr>
        <w:t>Combined ratio:</w:t>
      </w:r>
      <w:r>
        <w:rPr>
          <w:color w:val="000000"/>
        </w:rPr>
        <w:t xml:space="preserve"> </w:t>
      </w:r>
      <w:r>
        <w:rPr>
          <w:rFonts w:ascii="Allstate Sans;sans-serif" w:hAnsi="Allstate Sans;sans-serif"/>
          <w:b w:val="false"/>
          <w:color w:val="000000"/>
          <w:sz w:val="18"/>
        </w:rPr>
        <w:t>the sum of the loss ratio and the expense ratio.</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We have also calculated the following impacts of specific items on the GAAP operating ratios because of the volatility of these items between periods. The impacts are calculated by taking the specific items noted below divided by Property-Liability premiums earned:</w:t>
      </w:r>
    </w:p>
    <w:p>
      <w:pPr>
        <w:pStyle w:val="TextBody"/>
        <w:bidi w:val="0"/>
        <w:spacing w:lineRule="auto" w:line="288" w:before="0" w:after="100"/>
        <w:ind w:left="0" w:right="0" w:hanging="270"/>
        <w:jc w:val="left"/>
        <w:rPr/>
      </w:pPr>
      <w:r>
        <w:rPr>
          <w:color w:val="0033A0"/>
        </w:rPr>
        <w:t>•</w:t>
      </w:r>
      <w:r>
        <w:rPr>
          <w:rFonts w:ascii="Allstate Sans;sans-serif" w:hAnsi="Allstate Sans;sans-serif"/>
          <w:b w:val="false"/>
          <w:i/>
          <w:color w:val="0033A0"/>
          <w:sz w:val="18"/>
        </w:rPr>
        <w:t xml:space="preserve">Effect of catastrophe losses on combined ratio: </w:t>
      </w:r>
      <w:r>
        <w:rPr>
          <w:rFonts w:ascii="Allstate Sans;sans-serif" w:hAnsi="Allstate Sans;sans-serif"/>
          <w:b w:val="false"/>
          <w:color w:val="000000"/>
          <w:sz w:val="18"/>
        </w:rPr>
        <w:t>includes catastrophe losses and prior year reserve reestimates of catastrophe losses included in claims and claims expense</w:t>
      </w:r>
    </w:p>
    <w:p>
      <w:pPr>
        <w:pStyle w:val="TextBody"/>
        <w:bidi w:val="0"/>
        <w:spacing w:lineRule="auto" w:line="288" w:before="0" w:after="100"/>
        <w:ind w:left="0" w:right="0" w:hanging="270"/>
        <w:jc w:val="left"/>
        <w:rPr/>
      </w:pPr>
      <w:r>
        <w:rPr>
          <w:color w:val="0033A0"/>
        </w:rPr>
        <w:t>•</w:t>
      </w:r>
      <w:r>
        <w:rPr>
          <w:rFonts w:ascii="Allstate Sans;sans-serif" w:hAnsi="Allstate Sans;sans-serif"/>
          <w:b w:val="false"/>
          <w:i/>
          <w:color w:val="0033A0"/>
          <w:sz w:val="18"/>
        </w:rPr>
        <w:t>Effect of prior year reserve reestimates on combined ratio</w:t>
      </w:r>
    </w:p>
    <w:p>
      <w:pPr>
        <w:pStyle w:val="TextBody"/>
        <w:bidi w:val="0"/>
        <w:spacing w:lineRule="auto" w:line="288" w:before="0" w:after="100"/>
        <w:ind w:left="0" w:right="0" w:hanging="270"/>
        <w:jc w:val="left"/>
        <w:rPr/>
      </w:pPr>
      <w:r>
        <w:rPr>
          <w:color w:val="0033A0"/>
        </w:rPr>
        <w:t>•</w:t>
      </w:r>
      <w:r>
        <w:rPr>
          <w:rFonts w:ascii="Allstate Sans;sans-serif" w:hAnsi="Allstate Sans;sans-serif"/>
          <w:b w:val="false"/>
          <w:i/>
          <w:color w:val="0033A0"/>
          <w:sz w:val="18"/>
        </w:rPr>
        <w:t>Effect of restructuring and related charges on combined ratio</w:t>
      </w:r>
    </w:p>
    <w:p>
      <w:pPr>
        <w:pStyle w:val="TextBody"/>
        <w:bidi w:val="0"/>
        <w:spacing w:lineRule="auto" w:line="288" w:before="0" w:after="120"/>
        <w:ind w:left="0" w:right="0" w:hanging="270"/>
        <w:jc w:val="left"/>
        <w:rPr/>
      </w:pPr>
      <w:r>
        <w:rPr>
          <w:color w:val="0033A0"/>
        </w:rPr>
        <w:t>•</w:t>
      </w:r>
      <w:r>
        <w:rPr>
          <w:rFonts w:ascii="Allstate Sans;sans-serif" w:hAnsi="Allstate Sans;sans-serif"/>
          <w:b w:val="false"/>
          <w:i/>
          <w:color w:val="0033A0"/>
          <w:sz w:val="18"/>
        </w:rPr>
        <w:t>Effect of amortization of purchased intangibles on combined ratio</w:t>
      </w:r>
    </w:p>
    <w:p>
      <w:pPr>
        <w:pStyle w:val="TextBody"/>
        <w:bidi w:val="0"/>
        <w:spacing w:lineRule="auto" w:line="288" w:before="0" w:after="120"/>
        <w:ind w:left="0" w:right="0" w:hanging="270"/>
        <w:jc w:val="left"/>
        <w:rPr/>
      </w:pPr>
      <w:r>
        <w:rPr>
          <w:color w:val="0033A0"/>
        </w:rPr>
        <w:t>•</w:t>
      </w:r>
      <w:r>
        <w:rPr>
          <w:rFonts w:ascii="Allstate Sans;sans-serif" w:hAnsi="Allstate Sans;sans-serif"/>
          <w:b w:val="false"/>
          <w:i/>
          <w:color w:val="0033A0"/>
          <w:sz w:val="18"/>
        </w:rPr>
        <w:t>Effect of Run-off Property-Liability business on combined ratio:</w:t>
      </w:r>
      <w:r>
        <w:rPr>
          <w:color w:val="000000"/>
        </w:rPr>
        <w:t xml:space="preserve"> </w:t>
      </w:r>
      <w:r>
        <w:rPr>
          <w:rFonts w:ascii="Allstate Sans;sans-serif" w:hAnsi="Allstate Sans;sans-serif"/>
          <w:b w:val="false"/>
          <w:color w:val="000000"/>
          <w:sz w:val="18"/>
        </w:rPr>
        <w:t xml:space="preserve">includes claims and claims expense, restructuring and related charges and operating costs and expenses in the Run-off Property-Liability segment </w:t>
      </w:r>
    </w:p>
    <w:p>
      <w:pPr>
        <w:pStyle w:val="TextBody"/>
        <w:bidi w:val="0"/>
        <w:spacing w:lineRule="auto" w:line="288" w:before="0" w:after="120"/>
        <w:ind w:left="0" w:right="0" w:firstLine="360"/>
        <w:jc w:val="left"/>
        <w:rPr/>
      </w:pPr>
      <w:r>
        <w:rPr>
          <w:rFonts w:ascii="Allstate Sans;sans-serif" w:hAnsi="Allstate Sans;sans-serif"/>
          <w:b/>
          <w:color w:val="0033A0"/>
          <w:sz w:val="18"/>
        </w:rPr>
        <w:t>Premium measures and statistics</w:t>
      </w:r>
      <w:r>
        <w:rPr>
          <w:color w:val="000000"/>
        </w:rPr>
        <w:t xml:space="preserve"> </w:t>
      </w:r>
      <w:r>
        <w:rPr>
          <w:rFonts w:ascii="Allstate Sans;sans-serif" w:hAnsi="Allstate Sans;sans-serif"/>
          <w:b w:val="false"/>
          <w:color w:val="000000"/>
          <w:sz w:val="18"/>
        </w:rPr>
        <w:t>are used to analyze our premium trends and are calculated as follows:</w:t>
      </w:r>
    </w:p>
    <w:p>
      <w:pPr>
        <w:pStyle w:val="TextBody"/>
        <w:bidi w:val="0"/>
        <w:spacing w:lineRule="auto" w:line="288" w:before="0" w:after="100"/>
        <w:ind w:left="0" w:right="0" w:hanging="270"/>
        <w:jc w:val="left"/>
        <w:rPr/>
      </w:pPr>
      <w:r>
        <w:rPr>
          <w:color w:val="0033A0"/>
        </w:rPr>
        <w:t>•</w:t>
      </w:r>
      <w:r>
        <w:rPr>
          <w:rFonts w:ascii="Allstate Sans;sans-serif" w:hAnsi="Allstate Sans;sans-serif"/>
          <w:b w:val="false"/>
          <w:i/>
          <w:color w:val="0033A0"/>
          <w:sz w:val="18"/>
        </w:rPr>
        <w:t>PIF</w:t>
      </w:r>
      <w:r>
        <w:rPr>
          <w:rFonts w:ascii="Allstate Sans;sans-serif" w:hAnsi="Allstate Sans;sans-serif"/>
          <w:b w:val="false"/>
          <w:color w:val="000000"/>
          <w:sz w:val="18"/>
        </w:rPr>
        <w:t>: policy counts are based on items rather than customers. A multi-car customer would generate multiple item (policy) counts, even if all cars were insured under one policy. Lender-placed policies are excluded from policy counts.</w:t>
      </w:r>
    </w:p>
    <w:p>
      <w:pPr>
        <w:pStyle w:val="TextBody"/>
        <w:bidi w:val="0"/>
        <w:spacing w:lineRule="auto" w:line="288" w:before="0" w:after="100"/>
        <w:ind w:left="0" w:right="0" w:hanging="270"/>
        <w:jc w:val="left"/>
        <w:rPr/>
      </w:pPr>
      <w:r>
        <w:rPr>
          <w:color w:val="0033A0"/>
        </w:rPr>
        <w:t>•</w:t>
      </w:r>
      <w:r>
        <w:rPr>
          <w:rFonts w:ascii="Allstate Sans;sans-serif" w:hAnsi="Allstate Sans;sans-serif"/>
          <w:b w:val="false"/>
          <w:i/>
          <w:color w:val="0033A0"/>
          <w:sz w:val="18"/>
        </w:rPr>
        <w:t>New issued applications</w:t>
      </w:r>
      <w:r>
        <w:rPr>
          <w:rFonts w:ascii="Allstate Sans;sans-serif" w:hAnsi="Allstate Sans;sans-serif"/>
          <w:b w:val="false"/>
          <w:color w:val="000000"/>
          <w:sz w:val="18"/>
        </w:rPr>
        <w:t xml:space="preserve">: item counts of automobile or homeowner insurance applications for insurance policies that were issued during the period, regardless of whether the customer was previously insured by another Allstate brand. </w:t>
      </w:r>
    </w:p>
    <w:p>
      <w:pPr>
        <w:pStyle w:val="TextBody"/>
        <w:bidi w:val="0"/>
        <w:spacing w:lineRule="auto" w:line="288" w:before="0" w:after="100"/>
        <w:ind w:left="0" w:right="0" w:hanging="270"/>
        <w:jc w:val="left"/>
        <w:rPr/>
      </w:pPr>
      <w:r>
        <w:rPr>
          <w:color w:val="0033A0"/>
        </w:rPr>
        <w:t>•</w:t>
      </w:r>
      <w:r>
        <w:rPr>
          <w:rFonts w:ascii="Allstate Sans;sans-serif" w:hAnsi="Allstate Sans;sans-serif"/>
          <w:b w:val="false"/>
          <w:i/>
          <w:color w:val="0033A0"/>
          <w:sz w:val="18"/>
        </w:rPr>
        <w:t>Average premium-gross written (“average premium”):</w:t>
      </w:r>
      <w:r>
        <w:rPr>
          <w:color w:val="000000"/>
        </w:rPr>
        <w:t xml:space="preserve"> </w:t>
      </w:r>
      <w:r>
        <w:rPr>
          <w:rFonts w:ascii="Allstate Sans;sans-serif" w:hAnsi="Allstate Sans;sans-serif"/>
          <w:b w:val="false"/>
          <w:color w:val="000000"/>
          <w:sz w:val="18"/>
        </w:rPr>
        <w:t xml:space="preserve">gross premiums written divided by issued item count. Gross premiums written include the impacts from discounts, surcharges and ceded reinsurance premiums and exclude the impacts from mid-term premium adjustments and premium refund accruals. Average premiums represent the appropriate policy term for each line, typically six months for an auto policy and twelve months for a homeowners policy. </w:t>
      </w:r>
    </w:p>
    <w:p>
      <w:pPr>
        <w:pStyle w:val="TextBody"/>
        <w:bidi w:val="0"/>
        <w:spacing w:lineRule="auto" w:line="288" w:before="0" w:after="100"/>
        <w:ind w:left="0" w:right="0" w:hanging="270"/>
        <w:jc w:val="left"/>
        <w:rPr/>
      </w:pPr>
      <w:r>
        <w:rPr>
          <w:color w:val="0033A0"/>
        </w:rPr>
        <w:t>•</w:t>
      </w:r>
      <w:r>
        <w:rPr>
          <w:rFonts w:ascii="Allstate Sans;sans-serif" w:hAnsi="Allstate Sans;sans-serif"/>
          <w:b w:val="false"/>
          <w:i/>
          <w:color w:val="0033A0"/>
          <w:sz w:val="18"/>
        </w:rPr>
        <w:t xml:space="preserve">Implemented rate changes: </w:t>
      </w:r>
      <w:r>
        <w:rPr>
          <w:rFonts w:ascii="Allstate Sans;sans-serif" w:hAnsi="Allstate Sans;sans-serif"/>
          <w:b w:val="false"/>
          <w:color w:val="000000"/>
          <w:sz w:val="18"/>
        </w:rPr>
        <w:t>represents the impact in the locations (U.S. states, the District of Columbia or Canadian provinces) where rate changes were implemented during the period as a percentage of total prior year-end premiums written.</w:t>
      </w:r>
    </w:p>
    <w:p>
      <w:pPr>
        <w:pStyle w:val="TextBody"/>
        <w:bidi w:val="0"/>
        <w:spacing w:before="0" w:after="12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2"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120"/>
                              <w:jc w:val="left"/>
                              <w:rPr/>
                            </w:pPr>
                            <w:r>
                              <w:rPr>
                                <w:rFonts w:ascii="Allstate Sans;sans-serif" w:hAnsi="Allstate Sans;sans-serif"/>
                                <w:b w:val="false"/>
                                <w:color w:val="0033A0"/>
                                <w:sz w:val="18"/>
                              </w:rPr>
                              <w:t>46</w:t>
                            </w:r>
                            <w:r>
                              <w:rPr>
                                <w:color w:val="1666AF"/>
                              </w:rPr>
                              <w:t xml:space="preserve"> </w:t>
                            </w:r>
                            <w:r>
                              <w:rPr>
                                <w:rFonts w:ascii="Allstate Sans;sans-serif" w:hAnsi="Allstate Sans;sans-serif"/>
                                <w:b w:val="false"/>
                                <w:color w:val="000000"/>
                                <w:sz w:val="18"/>
                              </w:rPr>
                              <w:t>www.allstate.com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left"/>
                        <w:rPr/>
                      </w:pPr>
                      <w:r>
                        <w:rPr>
                          <w:rFonts w:ascii="Allstate Sans;sans-serif" w:hAnsi="Allstate Sans;sans-serif"/>
                          <w:b w:val="false"/>
                          <w:color w:val="0033A0"/>
                          <w:sz w:val="18"/>
                        </w:rPr>
                        <w:t>46</w:t>
                      </w:r>
                      <w:r>
                        <w:rPr>
                          <w:color w:val="1666AF"/>
                        </w:rPr>
                        <w:t xml:space="preserve"> </w:t>
                      </w:r>
                      <w:r>
                        <w:rPr>
                          <w:rFonts w:ascii="Allstate Sans;sans-serif" w:hAnsi="Allstate Sans;sans-serif"/>
                          <w:b w:val="false"/>
                          <w:color w:val="000000"/>
                          <w:sz w:val="18"/>
                        </w:rPr>
                        <w:t>www.allstate.com</w:t>
                      </w:r>
                    </w:p>
                  </w:txbxContent>
                </v:textbox>
                <w10:wrap type="none"/>
              </v:rect>
            </w:pict>
          </mc:Fallback>
        </mc:AlternateContent>
      </w:r>
    </w:p>
    <w:p>
      <w:pPr>
        <w:pStyle w:val="TextBody"/>
        <w:bidi w:val="0"/>
        <w:spacing w:lineRule="auto" w:line="288" w:before="0" w:after="120"/>
        <w:jc w:val="right"/>
        <w:rPr>
          <w:rFonts w:ascii="Allstate Sans;sans-serif" w:hAnsi="Allstate Sans;sans-serif"/>
          <w:b w:val="false"/>
          <w:color w:val="0033A0"/>
          <w:sz w:val="18"/>
        </w:rPr>
      </w:pPr>
      <w:r>
        <w:rPr>
          <w:rFonts w:ascii="Allstate Sans;sans-serif" w:hAnsi="Allstate Sans;sans-serif"/>
          <w:b w:val="false"/>
          <w:color w:val="0033A0"/>
          <w:sz w:val="18"/>
        </w:rPr>
        <w:t>Property-Liability Operations</w:t>
      </w:r>
    </w:p>
    <w:p>
      <w:pPr>
        <w:pStyle w:val="TextBody"/>
        <w:bidi w:val="0"/>
        <w:spacing w:before="0" w:after="120"/>
        <w:ind w:left="0" w:right="0" w:firstLine="360"/>
        <w:jc w:val="right"/>
        <w:rPr/>
      </w:pPr>
      <w:r>
        <w:rPr/>
      </w:r>
    </w:p>
    <w:p>
      <w:pPr>
        <w:pStyle w:val="TextBody"/>
        <w:bidi w:val="0"/>
        <w:spacing w:before="0" w:after="120"/>
        <w:ind w:left="0" w:right="0" w:firstLine="360"/>
        <w:jc w:val="left"/>
        <w:rPr/>
      </w:pPr>
      <w:r>
        <w:rPr/>
      </w:r>
    </w:p>
    <w:tbl>
      <w:tblPr>
        <w:tblW w:w="10205" w:type="dxa"/>
        <w:jc w:val="left"/>
        <w:tblInd w:w="0" w:type="dxa"/>
        <w:tblLayout w:type="fixed"/>
        <w:tblCellMar>
          <w:top w:w="28" w:type="dxa"/>
          <w:left w:w="28" w:type="dxa"/>
          <w:bottom w:w="28" w:type="dxa"/>
          <w:right w:w="28" w:type="dxa"/>
        </w:tblCellMar>
      </w:tblPr>
      <w:tblGrid>
        <w:gridCol w:w="1466"/>
        <w:gridCol w:w="1286"/>
        <w:gridCol w:w="1290"/>
        <w:gridCol w:w="109"/>
        <w:gridCol w:w="109"/>
        <w:gridCol w:w="109"/>
        <w:gridCol w:w="235"/>
        <w:gridCol w:w="862"/>
        <w:gridCol w:w="113"/>
        <w:gridCol w:w="113"/>
        <w:gridCol w:w="113"/>
        <w:gridCol w:w="113"/>
        <w:gridCol w:w="235"/>
        <w:gridCol w:w="862"/>
        <w:gridCol w:w="113"/>
        <w:gridCol w:w="109"/>
        <w:gridCol w:w="109"/>
        <w:gridCol w:w="109"/>
        <w:gridCol w:w="229"/>
        <w:gridCol w:w="841"/>
        <w:gridCol w:w="110"/>
        <w:gridCol w:w="110"/>
        <w:gridCol w:w="110"/>
        <w:gridCol w:w="110"/>
        <w:gridCol w:w="229"/>
        <w:gridCol w:w="841"/>
        <w:gridCol w:w="170"/>
      </w:tblGrid>
      <w:tr>
        <w:trPr/>
        <w:tc>
          <w:tcPr>
            <w:tcW w:w="1466"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0205" w:type="dxa"/>
            <w:gridSpan w:val="27"/>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left"/>
              <w:rPr>
                <w:rFonts w:ascii="Allstate Sans;sans-serif" w:hAnsi="Allstate Sans;sans-serif"/>
                <w:b/>
                <w:color w:val="000000"/>
                <w:sz w:val="18"/>
              </w:rPr>
            </w:pPr>
            <w:r>
              <w:rPr>
                <w:rFonts w:ascii="Allstate Sans;sans-serif" w:hAnsi="Allstate Sans;sans-serif"/>
                <w:b/>
                <w:color w:val="000000"/>
                <w:sz w:val="18"/>
              </w:rPr>
              <w:t>Underwriting results</w:t>
            </w:r>
          </w:p>
        </w:tc>
      </w:tr>
      <w:tr>
        <w:trPr/>
        <w:tc>
          <w:tcPr>
            <w:tcW w:w="40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Six months ended June 30,</w:t>
            </w:r>
          </w:p>
        </w:tc>
      </w:tr>
      <w:tr>
        <w:trPr/>
        <w:tc>
          <w:tcPr>
            <w:tcW w:w="40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 in millions, except ratios)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2026</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2026</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2025</w:t>
            </w:r>
          </w:p>
        </w:tc>
      </w:tr>
      <w:tr>
        <w:trPr/>
        <w:tc>
          <w:tcPr>
            <w:tcW w:w="4042"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Premiums written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862"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15,431 </w:t>
            </w:r>
          </w:p>
        </w:tc>
        <w:tc>
          <w:tcPr>
            <w:tcW w:w="113"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862"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15,047 </w:t>
            </w:r>
          </w:p>
        </w:tc>
        <w:tc>
          <w:tcPr>
            <w:tcW w:w="113"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841"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30,056 </w:t>
            </w:r>
          </w:p>
        </w:tc>
        <w:tc>
          <w:tcPr>
            <w:tcW w:w="110"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841"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29,344 </w:t>
            </w:r>
          </w:p>
        </w:tc>
        <w:tc>
          <w:tcPr>
            <w:tcW w:w="170"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2"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2"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Premiums earned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862"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14,918 </w:t>
            </w:r>
          </w:p>
        </w:tc>
        <w:tc>
          <w:tcPr>
            <w:tcW w:w="11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862"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14,346 </w:t>
            </w:r>
          </w:p>
        </w:tc>
        <w:tc>
          <w:tcPr>
            <w:tcW w:w="11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84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29,720 </w:t>
            </w:r>
          </w:p>
        </w:tc>
        <w:tc>
          <w:tcPr>
            <w:tcW w:w="11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84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28,373 </w:t>
            </w:r>
          </w:p>
        </w:tc>
        <w:tc>
          <w:tcPr>
            <w:tcW w:w="17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2"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Other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568 </w:t>
            </w:r>
          </w:p>
        </w:tc>
        <w:tc>
          <w:tcPr>
            <w:tcW w:w="11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504 </w:t>
            </w:r>
          </w:p>
        </w:tc>
        <w:tc>
          <w:tcPr>
            <w:tcW w:w="11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1,112 </w:t>
            </w:r>
          </w:p>
        </w:tc>
        <w:tc>
          <w:tcPr>
            <w:tcW w:w="11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992 </w:t>
            </w:r>
          </w:p>
        </w:tc>
        <w:tc>
          <w:tcPr>
            <w:tcW w:w="17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2"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15,486</w:t>
            </w:r>
            <w:r>
              <w:rPr>
                <w:color w:val="000000"/>
              </w:rPr>
              <w:t> </w:t>
            </w:r>
          </w:p>
        </w:tc>
        <w:tc>
          <w:tcPr>
            <w:tcW w:w="11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14,850</w:t>
            </w:r>
            <w:r>
              <w:rPr>
                <w:color w:val="000000"/>
              </w:rPr>
              <w:t> </w:t>
            </w:r>
          </w:p>
        </w:tc>
        <w:tc>
          <w:tcPr>
            <w:tcW w:w="11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30,832</w:t>
            </w:r>
            <w:r>
              <w:rPr>
                <w:color w:val="000000"/>
              </w:rPr>
              <w:t> </w:t>
            </w:r>
          </w:p>
        </w:tc>
        <w:tc>
          <w:tcPr>
            <w:tcW w:w="11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29,365</w:t>
            </w:r>
            <w:r>
              <w:rPr>
                <w:color w:val="000000"/>
              </w:rPr>
              <w:t> </w:t>
            </w:r>
          </w:p>
        </w:tc>
        <w:tc>
          <w:tcPr>
            <w:tcW w:w="17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2"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Claims and claims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(9,668)</w:t>
            </w:r>
          </w:p>
        </w:tc>
        <w:tc>
          <w:tcPr>
            <w:tcW w:w="11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(10,084)</w:t>
            </w:r>
          </w:p>
        </w:tc>
        <w:tc>
          <w:tcPr>
            <w:tcW w:w="11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(18,660)</w:t>
            </w:r>
          </w:p>
        </w:tc>
        <w:tc>
          <w:tcPr>
            <w:tcW w:w="11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(20,744)</w:t>
            </w:r>
          </w:p>
        </w:tc>
        <w:tc>
          <w:tcPr>
            <w:tcW w:w="17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2"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Amortization of DAC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(1,840)</w:t>
            </w:r>
          </w:p>
        </w:tc>
        <w:tc>
          <w:tcPr>
            <w:tcW w:w="11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(1,742)</w:t>
            </w:r>
          </w:p>
        </w:tc>
        <w:tc>
          <w:tcPr>
            <w:tcW w:w="11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(3,661)</w:t>
            </w:r>
          </w:p>
        </w:tc>
        <w:tc>
          <w:tcPr>
            <w:tcW w:w="11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(3,474)</w:t>
            </w:r>
          </w:p>
        </w:tc>
        <w:tc>
          <w:tcPr>
            <w:tcW w:w="17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2"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Other costs and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(1,928)</w:t>
            </w:r>
          </w:p>
        </w:tc>
        <w:tc>
          <w:tcPr>
            <w:tcW w:w="11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(1,685)</w:t>
            </w:r>
          </w:p>
        </w:tc>
        <w:tc>
          <w:tcPr>
            <w:tcW w:w="11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(3,763)</w:t>
            </w:r>
          </w:p>
        </w:tc>
        <w:tc>
          <w:tcPr>
            <w:tcW w:w="11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(3,386)</w:t>
            </w:r>
          </w:p>
        </w:tc>
        <w:tc>
          <w:tcPr>
            <w:tcW w:w="17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2"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Restructuring and related charges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w:t>
            </w:r>
          </w:p>
        </w:tc>
        <w:tc>
          <w:tcPr>
            <w:tcW w:w="11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(13)</w:t>
            </w:r>
          </w:p>
        </w:tc>
        <w:tc>
          <w:tcPr>
            <w:tcW w:w="11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w:t>
            </w:r>
          </w:p>
        </w:tc>
        <w:tc>
          <w:tcPr>
            <w:tcW w:w="11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(29)</w:t>
            </w:r>
          </w:p>
        </w:tc>
        <w:tc>
          <w:tcPr>
            <w:tcW w:w="17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2"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Amortization of purchased intangibles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(38)</w:t>
            </w:r>
          </w:p>
        </w:tc>
        <w:tc>
          <w:tcPr>
            <w:tcW w:w="11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(46)</w:t>
            </w:r>
          </w:p>
        </w:tc>
        <w:tc>
          <w:tcPr>
            <w:tcW w:w="11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(77)</w:t>
            </w:r>
          </w:p>
        </w:tc>
        <w:tc>
          <w:tcPr>
            <w:tcW w:w="11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(92)</w:t>
            </w:r>
          </w:p>
        </w:tc>
        <w:tc>
          <w:tcPr>
            <w:tcW w:w="17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2"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Underwriting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862"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2,006</w:t>
            </w:r>
            <w:r>
              <w:rPr>
                <w:color w:val="000000"/>
              </w:rPr>
              <w:t> </w:t>
            </w:r>
          </w:p>
        </w:tc>
        <w:tc>
          <w:tcPr>
            <w:tcW w:w="11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862"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1,280</w:t>
            </w:r>
            <w:r>
              <w:rPr>
                <w:color w:val="000000"/>
              </w:rPr>
              <w:t> </w:t>
            </w:r>
          </w:p>
        </w:tc>
        <w:tc>
          <w:tcPr>
            <w:tcW w:w="11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84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4,664</w:t>
            </w:r>
            <w:r>
              <w:rPr>
                <w:color w:val="000000"/>
              </w:rPr>
              <w:t> </w:t>
            </w:r>
          </w:p>
        </w:tc>
        <w:tc>
          <w:tcPr>
            <w:tcW w:w="11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84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1,640</w:t>
            </w:r>
            <w:r>
              <w:rPr>
                <w:color w:val="000000"/>
              </w:rPr>
              <w:t> </w:t>
            </w:r>
          </w:p>
        </w:tc>
        <w:tc>
          <w:tcPr>
            <w:tcW w:w="17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2"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2"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Catastrophe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2"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Catastrophe losses, excluding reserve reestimates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862"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1,671 </w:t>
            </w:r>
          </w:p>
        </w:tc>
        <w:tc>
          <w:tcPr>
            <w:tcW w:w="11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862"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1,984 </w:t>
            </w:r>
          </w:p>
        </w:tc>
        <w:tc>
          <w:tcPr>
            <w:tcW w:w="11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84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2,899 </w:t>
            </w:r>
          </w:p>
        </w:tc>
        <w:tc>
          <w:tcPr>
            <w:tcW w:w="11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84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4,202 </w:t>
            </w:r>
          </w:p>
        </w:tc>
        <w:tc>
          <w:tcPr>
            <w:tcW w:w="17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2"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pPr>
            <w:r>
              <w:rPr>
                <w:rFonts w:ascii="Helvetica_Neue_LT_W1G_55_Roman;sans-serif" w:hAnsi="Helvetica_Neue_LT_W1G_55_Roman;sans-serif"/>
                <w:b w:val="false"/>
                <w:color w:val="000000"/>
                <w:sz w:val="18"/>
              </w:rPr>
              <w:t xml:space="preserve">Catastrophe reserve reestimates </w:t>
            </w:r>
            <w:r>
              <w:rPr>
                <w:rFonts w:ascii="Helvetica_Neue_LT_W1G_55_Roman;sans-serif" w:hAnsi="Helvetica_Neue_LT_W1G_55_Roman;sans-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51 </w:t>
            </w:r>
          </w:p>
        </w:tc>
        <w:tc>
          <w:tcPr>
            <w:tcW w:w="11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6 </w:t>
            </w:r>
          </w:p>
        </w:tc>
        <w:tc>
          <w:tcPr>
            <w:tcW w:w="11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63 </w:t>
            </w:r>
          </w:p>
        </w:tc>
        <w:tc>
          <w:tcPr>
            <w:tcW w:w="11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(10)</w:t>
            </w:r>
          </w:p>
        </w:tc>
        <w:tc>
          <w:tcPr>
            <w:tcW w:w="17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2"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 catastrophe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862"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1,722</w:t>
            </w:r>
            <w:r>
              <w:rPr>
                <w:color w:val="000000"/>
              </w:rPr>
              <w:t> </w:t>
            </w:r>
          </w:p>
        </w:tc>
        <w:tc>
          <w:tcPr>
            <w:tcW w:w="11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862"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1,990</w:t>
            </w:r>
            <w:r>
              <w:rPr>
                <w:color w:val="000000"/>
              </w:rPr>
              <w:t> </w:t>
            </w:r>
          </w:p>
        </w:tc>
        <w:tc>
          <w:tcPr>
            <w:tcW w:w="11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84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2,962</w:t>
            </w:r>
            <w:r>
              <w:rPr>
                <w:color w:val="000000"/>
              </w:rPr>
              <w:t> </w:t>
            </w:r>
          </w:p>
        </w:tc>
        <w:tc>
          <w:tcPr>
            <w:tcW w:w="11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84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4,192</w:t>
            </w:r>
            <w:r>
              <w:rPr>
                <w:color w:val="000000"/>
              </w:rPr>
              <w:t> </w:t>
            </w:r>
          </w:p>
        </w:tc>
        <w:tc>
          <w:tcPr>
            <w:tcW w:w="17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2"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2"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pPr>
            <w:r>
              <w:rPr>
                <w:rFonts w:ascii="Helvetica_Neue_LT_W1G_55_Roman;sans-serif" w:hAnsi="Helvetica_Neue_LT_W1G_55_Roman;sans-serif"/>
                <w:b w:val="false"/>
                <w:color w:val="000000"/>
                <w:sz w:val="18"/>
              </w:rPr>
              <w:t xml:space="preserve">Prior year reserve reestimates, excluding catastrophes </w:t>
            </w:r>
            <w:r>
              <w:rPr>
                <w:rFonts w:ascii="Helvetica_Neue_LT_W1G_55_Roman;sans-serif" w:hAnsi="Helvetica_Neue_LT_W1G_55_Roman;sans-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862"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(692)</w:t>
            </w:r>
          </w:p>
        </w:tc>
        <w:tc>
          <w:tcPr>
            <w:tcW w:w="11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862"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(376)</w:t>
            </w:r>
          </w:p>
        </w:tc>
        <w:tc>
          <w:tcPr>
            <w:tcW w:w="11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84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(1,708)</w:t>
            </w:r>
          </w:p>
        </w:tc>
        <w:tc>
          <w:tcPr>
            <w:tcW w:w="11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84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(611)</w:t>
            </w:r>
          </w:p>
        </w:tc>
        <w:tc>
          <w:tcPr>
            <w:tcW w:w="17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2"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pPr>
            <w:r>
              <w:rPr>
                <w:rFonts w:ascii="Helvetica_Neue_LT_W1G_55_Roman;sans-serif" w:hAnsi="Helvetica_Neue_LT_W1G_55_Roman;sans-serif"/>
                <w:b w:val="false"/>
                <w:color w:val="000000"/>
                <w:sz w:val="18"/>
              </w:rPr>
              <w:t xml:space="preserve">Prior year reserve reestimates </w:t>
            </w:r>
            <w:r>
              <w:rPr>
                <w:rFonts w:ascii="Helvetica_Neue_LT_W1G_55_Roman;sans-serif" w:hAnsi="Helvetica_Neue_LT_W1G_55_Roman;sans-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(641)</w:t>
            </w:r>
          </w:p>
        </w:tc>
        <w:tc>
          <w:tcPr>
            <w:tcW w:w="11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(370)</w:t>
            </w:r>
          </w:p>
        </w:tc>
        <w:tc>
          <w:tcPr>
            <w:tcW w:w="11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(1,645)</w:t>
            </w:r>
          </w:p>
        </w:tc>
        <w:tc>
          <w:tcPr>
            <w:tcW w:w="11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(621)</w:t>
            </w:r>
          </w:p>
        </w:tc>
        <w:tc>
          <w:tcPr>
            <w:tcW w:w="17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2"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2"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GAAP operating ratios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2"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Loss ratio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64.8 </w:t>
            </w:r>
          </w:p>
        </w:tc>
        <w:tc>
          <w:tcPr>
            <w:tcW w:w="11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70.3 </w:t>
            </w:r>
          </w:p>
        </w:tc>
        <w:tc>
          <w:tcPr>
            <w:tcW w:w="11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62.8 </w:t>
            </w:r>
          </w:p>
        </w:tc>
        <w:tc>
          <w:tcPr>
            <w:tcW w:w="11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73.1 </w:t>
            </w:r>
          </w:p>
        </w:tc>
        <w:tc>
          <w:tcPr>
            <w:tcW w:w="17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2"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pPr>
            <w:r>
              <w:rPr>
                <w:rFonts w:ascii="Helvetica_Neue_LT_W1G_55_Roman;sans-serif" w:hAnsi="Helvetica_Neue_LT_W1G_55_Roman;sans-serif"/>
                <w:b w:val="false"/>
                <w:color w:val="000000"/>
                <w:sz w:val="18"/>
              </w:rPr>
              <w:t xml:space="preserve">Expense ratio </w:t>
            </w:r>
            <w:r>
              <w:rPr>
                <w:rFonts w:ascii="Helvetica_Neue_LT_W1G_55_Roman;sans-serif" w:hAnsi="Helvetica_Neue_LT_W1G_55_Roman;sans-serif"/>
                <w:b w:val="false"/>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21.8 </w:t>
            </w:r>
          </w:p>
        </w:tc>
        <w:tc>
          <w:tcPr>
            <w:tcW w:w="11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20.8 </w:t>
            </w:r>
          </w:p>
        </w:tc>
        <w:tc>
          <w:tcPr>
            <w:tcW w:w="11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21.5 </w:t>
            </w:r>
          </w:p>
        </w:tc>
        <w:tc>
          <w:tcPr>
            <w:tcW w:w="11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21.1 </w:t>
            </w:r>
          </w:p>
        </w:tc>
        <w:tc>
          <w:tcPr>
            <w:tcW w:w="17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2"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Combined ratio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86.6 </w:t>
            </w:r>
          </w:p>
        </w:tc>
        <w:tc>
          <w:tcPr>
            <w:tcW w:w="11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91.1 </w:t>
            </w:r>
          </w:p>
        </w:tc>
        <w:tc>
          <w:tcPr>
            <w:tcW w:w="11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84.3 </w:t>
            </w:r>
          </w:p>
        </w:tc>
        <w:tc>
          <w:tcPr>
            <w:tcW w:w="11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94.2 </w:t>
            </w:r>
          </w:p>
        </w:tc>
        <w:tc>
          <w:tcPr>
            <w:tcW w:w="17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2"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Effect of catastrophe losses on combined ratio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11.5 </w:t>
            </w:r>
          </w:p>
        </w:tc>
        <w:tc>
          <w:tcPr>
            <w:tcW w:w="11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13.9 </w:t>
            </w:r>
          </w:p>
        </w:tc>
        <w:tc>
          <w:tcPr>
            <w:tcW w:w="11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10.0 </w:t>
            </w:r>
          </w:p>
        </w:tc>
        <w:tc>
          <w:tcPr>
            <w:tcW w:w="11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14.8 </w:t>
            </w:r>
          </w:p>
        </w:tc>
        <w:tc>
          <w:tcPr>
            <w:tcW w:w="17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2"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Effect of prior year reserve reestimates on combined ratio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(4.3)</w:t>
            </w:r>
          </w:p>
        </w:tc>
        <w:tc>
          <w:tcPr>
            <w:tcW w:w="11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(2.6)</w:t>
            </w:r>
          </w:p>
        </w:tc>
        <w:tc>
          <w:tcPr>
            <w:tcW w:w="11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(5.6)</w:t>
            </w:r>
          </w:p>
        </w:tc>
        <w:tc>
          <w:tcPr>
            <w:tcW w:w="11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(2.2)</w:t>
            </w:r>
          </w:p>
        </w:tc>
        <w:tc>
          <w:tcPr>
            <w:tcW w:w="17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2"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Effect of catastrophe losses included in prior year reserve reestimates on combined ratio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0.3 </w:t>
            </w:r>
          </w:p>
        </w:tc>
        <w:tc>
          <w:tcPr>
            <w:tcW w:w="11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0.2 </w:t>
            </w:r>
          </w:p>
        </w:tc>
        <w:tc>
          <w:tcPr>
            <w:tcW w:w="11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2"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Effect of restructuring and related charges on combined ratio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0.1 </w:t>
            </w:r>
          </w:p>
        </w:tc>
        <w:tc>
          <w:tcPr>
            <w:tcW w:w="11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0.1 </w:t>
            </w:r>
          </w:p>
        </w:tc>
        <w:tc>
          <w:tcPr>
            <w:tcW w:w="17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2"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Effect of amortization of purchased intangibles on combined ratio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0.3 </w:t>
            </w:r>
          </w:p>
        </w:tc>
        <w:tc>
          <w:tcPr>
            <w:tcW w:w="11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0.3 </w:t>
            </w:r>
          </w:p>
        </w:tc>
        <w:tc>
          <w:tcPr>
            <w:tcW w:w="11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0.3 </w:t>
            </w:r>
          </w:p>
        </w:tc>
        <w:tc>
          <w:tcPr>
            <w:tcW w:w="11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0.3 </w:t>
            </w:r>
          </w:p>
        </w:tc>
        <w:tc>
          <w:tcPr>
            <w:tcW w:w="17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2" w:type="dxa"/>
            <w:gridSpan w:val="3"/>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Effect of Run-off Property-Liability business on combined ratio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180"/>
        <w:jc w:val="left"/>
        <w:rPr/>
      </w:pPr>
      <w:r>
        <w:rPr>
          <w:rFonts w:ascii="Allstate Sans;sans-serif" w:hAnsi="Allstate Sans;sans-serif"/>
          <w:b w:val="false"/>
          <w:color w:val="000000"/>
          <w:sz w:val="10"/>
        </w:rPr>
        <w:t>(1)</w:t>
      </w:r>
      <w:r>
        <w:rPr>
          <w:rFonts w:ascii="Allstate Sans;sans-serif" w:hAnsi="Allstate Sans;sans-serif"/>
          <w:b w:val="false"/>
          <w:color w:val="000000"/>
          <w:sz w:val="16"/>
        </w:rPr>
        <w:t xml:space="preserve">Reserve releases are shown in parentheses. </w:t>
      </w:r>
    </w:p>
    <w:p>
      <w:pPr>
        <w:pStyle w:val="TextBody"/>
        <w:bidi w:val="0"/>
        <w:spacing w:lineRule="auto" w:line="288" w:before="0" w:after="120"/>
        <w:ind w:left="0" w:right="0" w:hanging="180"/>
        <w:jc w:val="left"/>
        <w:rPr/>
      </w:pPr>
      <w:r>
        <w:rPr>
          <w:rFonts w:ascii="Allstate Sans;sans-serif" w:hAnsi="Allstate Sans;sans-serif"/>
          <w:b w:val="false"/>
          <w:color w:val="000000"/>
          <w:sz w:val="10"/>
        </w:rPr>
        <w:t>(2)</w:t>
      </w:r>
      <w:r>
        <w:rPr>
          <w:rFonts w:ascii="Allstate Sans;sans-serif" w:hAnsi="Allstate Sans;sans-serif"/>
          <w:b w:val="false"/>
          <w:color w:val="000000"/>
          <w:sz w:val="16"/>
        </w:rPr>
        <w:t>Other revenue is deducted from operating costs and expenses in the expense ratio calculation.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33350"/>
                <wp:effectExtent l="0" t="0" r="0" b="0"/>
                <wp:wrapNone/>
                <wp:docPr id="53" name="Frame49"/>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ind w:left="0" w:right="0" w:firstLine="360"/>
                              <w:jc w:val="right"/>
                              <w:rPr/>
                            </w:pPr>
                            <w:r>
                              <w:rPr>
                                <w:rFonts w:ascii="Allstate Sans;sans-serif" w:hAnsi="Allstate Sans;sans-serif"/>
                                <w:b w:val="false"/>
                                <w:color w:val="000000"/>
                                <w:sz w:val="18"/>
                              </w:rPr>
                              <w:t xml:space="preserve">Second Quarter 2026 Form 10-Q </w:t>
                            </w:r>
                            <w:r>
                              <w:rPr>
                                <w:rFonts w:ascii="Allstate Sans;sans-serif" w:hAnsi="Allstate Sans;sans-serif"/>
                                <w:b w:val="false"/>
                                <w:color w:val="0033A0"/>
                                <w:sz w:val="18"/>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right"/>
                        <w:rPr/>
                      </w:pPr>
                      <w:r>
                        <w:rPr>
                          <w:rFonts w:ascii="Allstate Sans;sans-serif" w:hAnsi="Allstate Sans;sans-serif"/>
                          <w:b w:val="false"/>
                          <w:color w:val="000000"/>
                          <w:sz w:val="18"/>
                        </w:rPr>
                        <w:t xml:space="preserve">Second Quarter 2026 Form 10-Q </w:t>
                      </w:r>
                      <w:r>
                        <w:rPr>
                          <w:rFonts w:ascii="Allstate Sans;sans-serif" w:hAnsi="Allstate Sans;sans-serif"/>
                          <w:b w:val="false"/>
                          <w:color w:val="0033A0"/>
                          <w:sz w:val="18"/>
                        </w:rPr>
                        <w:t>47</w:t>
                      </w:r>
                    </w:p>
                  </w:txbxContent>
                </v:textbox>
                <w10:wrap type="none"/>
              </v:rect>
            </w:pict>
          </mc:Fallback>
        </mc:AlternateContent>
      </w:r>
    </w:p>
    <w:p>
      <w:pPr>
        <w:pStyle w:val="TextBody"/>
        <w:bidi w:val="0"/>
        <w:spacing w:lineRule="auto" w:line="288" w:before="0" w:after="0"/>
        <w:jc w:val="left"/>
        <w:rPr>
          <w:shd w:fill="FFFFFF" w:val="clear"/>
        </w:rPr>
      </w:pPr>
      <w:r>
        <w:rPr>
          <w:rFonts w:ascii="Allstate Sans;sans-serif" w:hAnsi="Allstate Sans;sans-serif"/>
          <w:b w:val="false"/>
          <w:color w:val="0033A0"/>
          <w:sz w:val="18"/>
          <w:shd w:fill="FFFFFF" w:val="clear"/>
        </w:rPr>
        <w:t>Segment Results</w:t>
      </w:r>
      <w:r>
        <w:rPr>
          <w:color w:val="000000"/>
          <w:shd w:fill="FFFFFF" w:val="clear"/>
        </w:rPr>
        <w:t xml:space="preserve"> </w:t>
      </w:r>
      <w:r>
        <w:rPr>
          <w:rFonts w:ascii="Allstate Sans;sans-serif" w:hAnsi="Allstate Sans;sans-serif"/>
          <w:b w:val="false"/>
          <w:color w:val="000000"/>
          <w:sz w:val="18"/>
          <w:shd w:fill="FFFFFF" w:val="clear"/>
        </w:rPr>
        <w:t>Allstate Protection</w:t>
      </w:r>
    </w:p>
    <w:p>
      <w:pPr>
        <w:pStyle w:val="TextBody"/>
        <w:bidi w:val="0"/>
        <w:spacing w:lineRule="auto" w:line="288" w:before="0" w:after="60"/>
        <w:jc w:val="left"/>
        <w:rPr>
          <w:rFonts w:ascii="Allstate Sans;sans-serif" w:hAnsi="Allstate Sans;sans-serif"/>
          <w:b/>
          <w:color w:val="0033A0"/>
          <w:sz w:val="22"/>
          <w:shd w:fill="FFFFFF" w:val="clear"/>
        </w:rPr>
      </w:pPr>
      <w:r>
        <w:rPr>
          <w:rFonts w:ascii="Allstate Sans;sans-serif" w:hAnsi="Allstate Sans;sans-serif"/>
          <w:b/>
          <w:color w:val="0033A0"/>
          <w:sz w:val="22"/>
          <w:shd w:fill="FFFFFF" w:val="clear"/>
        </w:rPr>
        <w:t>Allstate Protection Segment</w:t>
      </w:r>
    </w:p>
    <w:p>
      <w:pPr>
        <w:pStyle w:val="TextBody"/>
        <w:bidi w:val="0"/>
        <w:spacing w:before="0" w:after="0"/>
        <w:ind w:left="0" w:right="0" w:firstLine="360"/>
        <w:jc w:val="center"/>
        <w:rPr>
          <w:shd w:fill="FFFFFF" w:val="clear"/>
        </w:rPr>
      </w:pPr>
      <w:r>
        <w:rPr>
          <w:shd w:fill="FFFFFF" w:val="clear"/>
        </w:rPr>
        <w:drawing>
          <wp:inline distT="0" distB="0" distL="0" distR="0">
            <wp:extent cx="6562725" cy="638175"/>
            <wp:effectExtent l="0" t="0" r="0" b="0"/>
            <wp:docPr id="54"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 descr=""/>
                    <pic:cNvPicPr>
                      <a:picLocks noChangeAspect="1" noChangeArrowheads="1"/>
                    </pic:cNvPicPr>
                  </pic:nvPicPr>
                  <pic:blipFill>
                    <a:blip r:embed="rId6"/>
                    <a:stretch>
                      <a:fillRect/>
                    </a:stretch>
                  </pic:blipFill>
                  <pic:spPr bwMode="auto">
                    <a:xfrm>
                      <a:off x="0" y="0"/>
                      <a:ext cx="6562725" cy="638175"/>
                    </a:xfrm>
                    <a:prstGeom prst="rect">
                      <a:avLst/>
                    </a:prstGeom>
                  </pic:spPr>
                </pic:pic>
              </a:graphicData>
            </a:graphic>
          </wp:inline>
        </w:drawing>
      </w:r>
      <w:bookmarkStart w:id="4" w:name="i-5"/>
      <w:bookmarkEnd w:id="4"/>
    </w:p>
    <w:tbl>
      <w:tblPr>
        <w:tblW w:w="10205" w:type="dxa"/>
        <w:jc w:val="left"/>
        <w:tblInd w:w="0" w:type="dxa"/>
        <w:tblLayout w:type="fixed"/>
        <w:tblCellMar>
          <w:top w:w="28" w:type="dxa"/>
          <w:left w:w="28" w:type="dxa"/>
          <w:bottom w:w="28" w:type="dxa"/>
          <w:right w:w="28" w:type="dxa"/>
        </w:tblCellMar>
      </w:tblPr>
      <w:tblGrid>
        <w:gridCol w:w="1285"/>
        <w:gridCol w:w="1127"/>
        <w:gridCol w:w="1131"/>
        <w:gridCol w:w="109"/>
        <w:gridCol w:w="109"/>
        <w:gridCol w:w="109"/>
        <w:gridCol w:w="265"/>
        <w:gridCol w:w="972"/>
        <w:gridCol w:w="127"/>
        <w:gridCol w:w="127"/>
        <w:gridCol w:w="127"/>
        <w:gridCol w:w="127"/>
        <w:gridCol w:w="265"/>
        <w:gridCol w:w="972"/>
        <w:gridCol w:w="127"/>
        <w:gridCol w:w="109"/>
        <w:gridCol w:w="109"/>
        <w:gridCol w:w="109"/>
        <w:gridCol w:w="241"/>
        <w:gridCol w:w="886"/>
        <w:gridCol w:w="116"/>
        <w:gridCol w:w="116"/>
        <w:gridCol w:w="116"/>
        <w:gridCol w:w="116"/>
        <w:gridCol w:w="241"/>
        <w:gridCol w:w="886"/>
        <w:gridCol w:w="181"/>
      </w:tblGrid>
      <w:tr>
        <w:trPr/>
        <w:tc>
          <w:tcPr>
            <w:tcW w:w="1285"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6979" w:type="dxa"/>
            <w:gridSpan w:val="15"/>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left"/>
              <w:rPr>
                <w:rFonts w:ascii="Allstate Sans;sans-serif" w:hAnsi="Allstate Sans;sans-serif"/>
                <w:b/>
                <w:color w:val="000000"/>
                <w:sz w:val="18"/>
              </w:rPr>
            </w:pPr>
            <w:r>
              <w:rPr>
                <w:rFonts w:ascii="Allstate Sans;sans-serif" w:hAnsi="Allstate Sans;sans-serif"/>
                <w:b/>
                <w:color w:val="000000"/>
                <w:sz w:val="18"/>
              </w:rPr>
              <w:t>Underwriting results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5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Six months ended June 30,</w:t>
            </w:r>
          </w:p>
        </w:tc>
      </w:tr>
      <w:tr>
        <w:trPr/>
        <w:tc>
          <w:tcPr>
            <w:tcW w:w="35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 in millions)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2026</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2026</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2025</w:t>
            </w:r>
          </w:p>
        </w:tc>
      </w:tr>
      <w:tr>
        <w:trPr/>
        <w:tc>
          <w:tcPr>
            <w:tcW w:w="3543"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Premiums written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972"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15,431 </w:t>
            </w:r>
          </w:p>
        </w:tc>
        <w:tc>
          <w:tcPr>
            <w:tcW w:w="127"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972"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15,047 </w:t>
            </w:r>
          </w:p>
        </w:tc>
        <w:tc>
          <w:tcPr>
            <w:tcW w:w="127"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886"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30,056 </w:t>
            </w:r>
          </w:p>
        </w:tc>
        <w:tc>
          <w:tcPr>
            <w:tcW w:w="116"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886"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29,344 </w:t>
            </w:r>
          </w:p>
        </w:tc>
        <w:tc>
          <w:tcPr>
            <w:tcW w:w="181"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3"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3"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Premiums earned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972"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14,918 </w:t>
            </w:r>
          </w:p>
        </w:tc>
        <w:tc>
          <w:tcPr>
            <w:tcW w:w="12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972"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14,346 </w:t>
            </w:r>
          </w:p>
        </w:tc>
        <w:tc>
          <w:tcPr>
            <w:tcW w:w="12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88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29,720 </w:t>
            </w:r>
          </w:p>
        </w:tc>
        <w:tc>
          <w:tcPr>
            <w:tcW w:w="11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88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28,373 </w:t>
            </w:r>
          </w:p>
        </w:tc>
        <w:tc>
          <w:tcPr>
            <w:tcW w:w="18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3"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Other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568 </w:t>
            </w:r>
          </w:p>
        </w:tc>
        <w:tc>
          <w:tcPr>
            <w:tcW w:w="12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504 </w:t>
            </w:r>
          </w:p>
        </w:tc>
        <w:tc>
          <w:tcPr>
            <w:tcW w:w="12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1,112 </w:t>
            </w:r>
          </w:p>
        </w:tc>
        <w:tc>
          <w:tcPr>
            <w:tcW w:w="11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992 </w:t>
            </w:r>
          </w:p>
        </w:tc>
        <w:tc>
          <w:tcPr>
            <w:tcW w:w="18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3"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15,486</w:t>
            </w:r>
            <w:r>
              <w:rPr>
                <w:color w:val="000000"/>
              </w:rPr>
              <w:t> </w:t>
            </w:r>
          </w:p>
        </w:tc>
        <w:tc>
          <w:tcPr>
            <w:tcW w:w="12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14,850</w:t>
            </w:r>
            <w:r>
              <w:rPr>
                <w:color w:val="000000"/>
              </w:rPr>
              <w:t> </w:t>
            </w:r>
          </w:p>
        </w:tc>
        <w:tc>
          <w:tcPr>
            <w:tcW w:w="12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30,832</w:t>
            </w:r>
            <w:r>
              <w:rPr>
                <w:color w:val="000000"/>
              </w:rPr>
              <w:t> </w:t>
            </w:r>
          </w:p>
        </w:tc>
        <w:tc>
          <w:tcPr>
            <w:tcW w:w="11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29,365</w:t>
            </w:r>
            <w:r>
              <w:rPr>
                <w:color w:val="000000"/>
              </w:rPr>
              <w:t> </w:t>
            </w:r>
          </w:p>
        </w:tc>
        <w:tc>
          <w:tcPr>
            <w:tcW w:w="18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3"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Claims and claims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(9,668)</w:t>
            </w:r>
          </w:p>
        </w:tc>
        <w:tc>
          <w:tcPr>
            <w:tcW w:w="12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(10,082)</w:t>
            </w:r>
          </w:p>
        </w:tc>
        <w:tc>
          <w:tcPr>
            <w:tcW w:w="12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(18,660)</w:t>
            </w:r>
          </w:p>
        </w:tc>
        <w:tc>
          <w:tcPr>
            <w:tcW w:w="11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(20,739)</w:t>
            </w:r>
          </w:p>
        </w:tc>
        <w:tc>
          <w:tcPr>
            <w:tcW w:w="18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3"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Amortization of DAC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(1,840)</w:t>
            </w:r>
          </w:p>
        </w:tc>
        <w:tc>
          <w:tcPr>
            <w:tcW w:w="12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(1,742)</w:t>
            </w:r>
          </w:p>
        </w:tc>
        <w:tc>
          <w:tcPr>
            <w:tcW w:w="12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(3,661)</w:t>
            </w:r>
          </w:p>
        </w:tc>
        <w:tc>
          <w:tcPr>
            <w:tcW w:w="11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(3,474)</w:t>
            </w:r>
          </w:p>
        </w:tc>
        <w:tc>
          <w:tcPr>
            <w:tcW w:w="18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3"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Other costs and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(1,928)</w:t>
            </w:r>
          </w:p>
        </w:tc>
        <w:tc>
          <w:tcPr>
            <w:tcW w:w="12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(1,684)</w:t>
            </w:r>
          </w:p>
        </w:tc>
        <w:tc>
          <w:tcPr>
            <w:tcW w:w="12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(3,762)</w:t>
            </w:r>
          </w:p>
        </w:tc>
        <w:tc>
          <w:tcPr>
            <w:tcW w:w="11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(3,384)</w:t>
            </w:r>
          </w:p>
        </w:tc>
        <w:tc>
          <w:tcPr>
            <w:tcW w:w="18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3"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Restructuring and related charges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w:t>
            </w:r>
          </w:p>
        </w:tc>
        <w:tc>
          <w:tcPr>
            <w:tcW w:w="12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(13)</w:t>
            </w:r>
          </w:p>
        </w:tc>
        <w:tc>
          <w:tcPr>
            <w:tcW w:w="12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w:t>
            </w:r>
          </w:p>
        </w:tc>
        <w:tc>
          <w:tcPr>
            <w:tcW w:w="11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(29)</w:t>
            </w:r>
          </w:p>
        </w:tc>
        <w:tc>
          <w:tcPr>
            <w:tcW w:w="18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3"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Amortization of purchased intangibles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(38)</w:t>
            </w:r>
          </w:p>
        </w:tc>
        <w:tc>
          <w:tcPr>
            <w:tcW w:w="12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(46)</w:t>
            </w:r>
          </w:p>
        </w:tc>
        <w:tc>
          <w:tcPr>
            <w:tcW w:w="12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(77)</w:t>
            </w:r>
          </w:p>
        </w:tc>
        <w:tc>
          <w:tcPr>
            <w:tcW w:w="11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(92)</w:t>
            </w:r>
          </w:p>
        </w:tc>
        <w:tc>
          <w:tcPr>
            <w:tcW w:w="18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3"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Underwriting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972"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2,006</w:t>
            </w:r>
            <w:r>
              <w:rPr>
                <w:color w:val="000000"/>
              </w:rPr>
              <w:t> </w:t>
            </w:r>
          </w:p>
        </w:tc>
        <w:tc>
          <w:tcPr>
            <w:tcW w:w="12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972"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1,283</w:t>
            </w:r>
            <w:r>
              <w:rPr>
                <w:color w:val="000000"/>
              </w:rPr>
              <w:t> </w:t>
            </w:r>
          </w:p>
        </w:tc>
        <w:tc>
          <w:tcPr>
            <w:tcW w:w="12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88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4,665</w:t>
            </w:r>
            <w:r>
              <w:rPr>
                <w:color w:val="000000"/>
              </w:rPr>
              <w:t> </w:t>
            </w:r>
          </w:p>
        </w:tc>
        <w:tc>
          <w:tcPr>
            <w:tcW w:w="11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88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1,647</w:t>
            </w:r>
            <w:r>
              <w:rPr>
                <w:color w:val="000000"/>
              </w:rPr>
              <w:t> </w:t>
            </w:r>
          </w:p>
        </w:tc>
        <w:tc>
          <w:tcPr>
            <w:tcW w:w="18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3"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3" w:type="dxa"/>
            <w:gridSpan w:val="3"/>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Catastrophe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972"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1,722 </w:t>
            </w:r>
          </w:p>
        </w:tc>
        <w:tc>
          <w:tcPr>
            <w:tcW w:w="127"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972"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1,990 </w:t>
            </w:r>
          </w:p>
        </w:tc>
        <w:tc>
          <w:tcPr>
            <w:tcW w:w="127"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88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2,962 </w:t>
            </w:r>
          </w:p>
        </w:tc>
        <w:tc>
          <w:tcPr>
            <w:tcW w:w="11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88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4,192 </w:t>
            </w:r>
          </w:p>
        </w:tc>
        <w:tc>
          <w:tcPr>
            <w:tcW w:w="181"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360"/>
        <w:jc w:val="left"/>
        <w:rPr>
          <w:shd w:fill="FFFFFF" w:val="clear"/>
        </w:rPr>
      </w:pPr>
      <w:r>
        <w:rPr>
          <w:rFonts w:ascii="Allstate Sans;sans-serif" w:hAnsi="Allstate Sans;sans-serif"/>
          <w:b w:val="false"/>
          <w:i/>
          <w:color w:val="0033A0"/>
          <w:sz w:val="18"/>
          <w:shd w:fill="FFFFFF" w:val="clear"/>
        </w:rPr>
        <w:t>Underwriting income</w:t>
      </w:r>
      <w:r>
        <w:rPr>
          <w:color w:val="000000"/>
          <w:shd w:fill="FFFFFF" w:val="clear"/>
        </w:rPr>
        <w:t xml:space="preserve"> </w:t>
      </w:r>
      <w:r>
        <w:rPr>
          <w:rFonts w:ascii="Allstate Sans;sans-serif" w:hAnsi="Allstate Sans;sans-serif"/>
          <w:b w:val="false"/>
          <w:color w:val="000000"/>
          <w:sz w:val="18"/>
          <w:shd w:fill="FFFFFF" w:val="clear"/>
        </w:rPr>
        <w:t>increased $723 million and increased $3.02 billion in the second quarter and first six months of 2026, respectively, compared to the same periods of 2025, primarily due to an increase in premiums earned, lower catastrophe losses and the benefit of prior year reserve releases, partially offset by higher expenses.</w:t>
      </w:r>
    </w:p>
    <w:tbl>
      <w:tblPr>
        <w:tblW w:w="10205" w:type="dxa"/>
        <w:jc w:val="left"/>
        <w:tblInd w:w="0" w:type="dxa"/>
        <w:tblLayout w:type="fixed"/>
        <w:tblCellMar>
          <w:top w:w="28" w:type="dxa"/>
          <w:left w:w="28" w:type="dxa"/>
          <w:bottom w:w="28" w:type="dxa"/>
          <w:right w:w="28" w:type="dxa"/>
        </w:tblCellMar>
      </w:tblPr>
      <w:tblGrid>
        <w:gridCol w:w="1362"/>
        <w:gridCol w:w="1197"/>
        <w:gridCol w:w="1177"/>
        <w:gridCol w:w="109"/>
        <w:gridCol w:w="109"/>
        <w:gridCol w:w="109"/>
        <w:gridCol w:w="277"/>
        <w:gridCol w:w="885"/>
        <w:gridCol w:w="133"/>
        <w:gridCol w:w="133"/>
        <w:gridCol w:w="133"/>
        <w:gridCol w:w="133"/>
        <w:gridCol w:w="277"/>
        <w:gridCol w:w="885"/>
        <w:gridCol w:w="133"/>
        <w:gridCol w:w="109"/>
        <w:gridCol w:w="109"/>
        <w:gridCol w:w="109"/>
        <w:gridCol w:w="256"/>
        <w:gridCol w:w="818"/>
        <w:gridCol w:w="123"/>
        <w:gridCol w:w="123"/>
        <w:gridCol w:w="123"/>
        <w:gridCol w:w="123"/>
        <w:gridCol w:w="256"/>
        <w:gridCol w:w="818"/>
        <w:gridCol w:w="186"/>
      </w:tblGrid>
      <w:tr>
        <w:trPr/>
        <w:tc>
          <w:tcPr>
            <w:tcW w:w="1362"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7052" w:type="dxa"/>
            <w:gridSpan w:val="15"/>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120"/>
              <w:jc w:val="left"/>
              <w:rPr>
                <w:rFonts w:ascii="Allstate Sans;sans-serif" w:hAnsi="Allstate Sans;sans-serif"/>
                <w:b/>
                <w:color w:val="000000"/>
                <w:sz w:val="18"/>
              </w:rPr>
            </w:pPr>
            <w:r>
              <w:rPr>
                <w:rFonts w:ascii="Allstate Sans;sans-serif" w:hAnsi="Allstate Sans;sans-serif"/>
                <w:b/>
                <w:color w:val="000000"/>
                <w:sz w:val="18"/>
              </w:rPr>
              <w:t xml:space="preserve">Underwriting income (loss) </w:t>
            </w:r>
          </w:p>
        </w:tc>
        <w:tc>
          <w:tcPr>
            <w:tcW w:w="3153" w:type="dxa"/>
            <w:gridSpan w:val="12"/>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7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Six months ended June 30,</w:t>
            </w:r>
          </w:p>
        </w:tc>
      </w:tr>
      <w:tr>
        <w:trPr/>
        <w:tc>
          <w:tcPr>
            <w:tcW w:w="3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2026</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2026</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2025</w:t>
            </w:r>
          </w:p>
        </w:tc>
      </w:tr>
      <w:tr>
        <w:trPr/>
        <w:tc>
          <w:tcPr>
            <w:tcW w:w="3736"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 xml:space="preserve">Auto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885"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1,606 </w:t>
            </w:r>
          </w:p>
        </w:tc>
        <w:tc>
          <w:tcPr>
            <w:tcW w:w="133"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885"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1,331 </w:t>
            </w:r>
          </w:p>
        </w:tc>
        <w:tc>
          <w:tcPr>
            <w:tcW w:w="133"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818"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3,335 </w:t>
            </w:r>
          </w:p>
        </w:tc>
        <w:tc>
          <w:tcPr>
            <w:tcW w:w="123"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818"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2,147 </w:t>
            </w:r>
          </w:p>
        </w:tc>
        <w:tc>
          <w:tcPr>
            <w:tcW w:w="186"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 xml:space="preserve">Homeowners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226 </w:t>
            </w:r>
          </w:p>
        </w:tc>
        <w:tc>
          <w:tcPr>
            <w:tcW w:w="13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(76)</w:t>
            </w:r>
          </w:p>
        </w:tc>
        <w:tc>
          <w:tcPr>
            <w:tcW w:w="13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911 </w:t>
            </w:r>
          </w:p>
        </w:tc>
        <w:tc>
          <w:tcPr>
            <w:tcW w:w="12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(527)</w:t>
            </w:r>
          </w:p>
        </w:tc>
        <w:tc>
          <w:tcPr>
            <w:tcW w:w="18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pPr>
            <w:r>
              <w:rPr>
                <w:rFonts w:ascii="Helvetica_Neue_LT_W1G_55_Roman;sans-serif" w:hAnsi="Helvetica_Neue_LT_W1G_55_Roman;sans-serif"/>
                <w:b w:val="false"/>
                <w:color w:val="000000"/>
                <w:sz w:val="18"/>
              </w:rPr>
              <w:t>Specialty lines</w:t>
            </w:r>
            <w:r>
              <w:rPr>
                <w:color w:val="000000"/>
              </w:rPr>
              <w:t xml:space="preserve"> </w:t>
            </w:r>
            <w:r>
              <w:rPr>
                <w:rFonts w:ascii="Helvetica_Neue_LT_W1G_55_Roman;sans-serif" w:hAnsi="Helvetica_Neue_LT_W1G_55_Roman;sans-serif"/>
                <w:b w:val="false"/>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108 </w:t>
            </w:r>
          </w:p>
        </w:tc>
        <w:tc>
          <w:tcPr>
            <w:tcW w:w="13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(11)</w:t>
            </w:r>
          </w:p>
        </w:tc>
        <w:tc>
          <w:tcPr>
            <w:tcW w:w="13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265 </w:t>
            </w:r>
          </w:p>
        </w:tc>
        <w:tc>
          <w:tcPr>
            <w:tcW w:w="12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(76)</w:t>
            </w:r>
          </w:p>
        </w:tc>
        <w:tc>
          <w:tcPr>
            <w:tcW w:w="18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Commercial lines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13 </w:t>
            </w:r>
          </w:p>
        </w:tc>
        <w:tc>
          <w:tcPr>
            <w:tcW w:w="13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(17)</w:t>
            </w:r>
          </w:p>
        </w:tc>
        <w:tc>
          <w:tcPr>
            <w:tcW w:w="13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34 </w:t>
            </w:r>
          </w:p>
        </w:tc>
        <w:tc>
          <w:tcPr>
            <w:tcW w:w="12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w:t>
            </w:r>
          </w:p>
        </w:tc>
        <w:tc>
          <w:tcPr>
            <w:tcW w:w="18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pPr>
            <w:r>
              <w:rPr>
                <w:rFonts w:ascii="Helvetica_Neue_LT_W1G_55_Roman;sans-serif" w:hAnsi="Helvetica_Neue_LT_W1G_55_Roman;sans-serif"/>
                <w:b w:val="false"/>
                <w:color w:val="000000"/>
                <w:sz w:val="18"/>
              </w:rPr>
              <w:t xml:space="preserve">Brokered solutions and collateral protection </w:t>
            </w:r>
            <w:r>
              <w:rPr>
                <w:rFonts w:ascii="Helvetica_Neue_LT_W1G_55_Roman;sans-serif" w:hAnsi="Helvetica_Neue_LT_W1G_55_Roman;sans-serif"/>
                <w:b w:val="false"/>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52 </w:t>
            </w:r>
          </w:p>
        </w:tc>
        <w:tc>
          <w:tcPr>
            <w:tcW w:w="13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54 </w:t>
            </w:r>
          </w:p>
        </w:tc>
        <w:tc>
          <w:tcPr>
            <w:tcW w:w="13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116 </w:t>
            </w:r>
          </w:p>
        </w:tc>
        <w:tc>
          <w:tcPr>
            <w:tcW w:w="12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95 </w:t>
            </w:r>
          </w:p>
        </w:tc>
        <w:tc>
          <w:tcPr>
            <w:tcW w:w="18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Answer Financial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1 </w:t>
            </w:r>
          </w:p>
        </w:tc>
        <w:tc>
          <w:tcPr>
            <w:tcW w:w="13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2 </w:t>
            </w:r>
          </w:p>
        </w:tc>
        <w:tc>
          <w:tcPr>
            <w:tcW w:w="13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4 </w:t>
            </w:r>
          </w:p>
        </w:tc>
        <w:tc>
          <w:tcPr>
            <w:tcW w:w="12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9 </w:t>
            </w:r>
          </w:p>
        </w:tc>
        <w:tc>
          <w:tcPr>
            <w:tcW w:w="18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6" w:type="dxa"/>
            <w:gridSpan w:val="3"/>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885"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2,006</w:t>
            </w:r>
            <w:r>
              <w:rPr>
                <w:color w:val="000000"/>
              </w:rPr>
              <w:t> </w:t>
            </w:r>
          </w:p>
        </w:tc>
        <w:tc>
          <w:tcPr>
            <w:tcW w:w="133"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885"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1,283</w:t>
            </w:r>
            <w:r>
              <w:rPr>
                <w:color w:val="000000"/>
              </w:rPr>
              <w:t> </w:t>
            </w:r>
          </w:p>
        </w:tc>
        <w:tc>
          <w:tcPr>
            <w:tcW w:w="133"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818"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4,665</w:t>
            </w:r>
            <w:r>
              <w:rPr>
                <w:color w:val="000000"/>
              </w:rPr>
              <w:t> </w:t>
            </w:r>
          </w:p>
        </w:tc>
        <w:tc>
          <w:tcPr>
            <w:tcW w:w="123"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818"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1,647</w:t>
            </w:r>
            <w:r>
              <w:rPr>
                <w:color w:val="000000"/>
              </w:rPr>
              <w:t> </w:t>
            </w:r>
          </w:p>
        </w:tc>
        <w:tc>
          <w:tcPr>
            <w:tcW w:w="18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180"/>
        <w:jc w:val="left"/>
        <w:rPr>
          <w:shd w:fill="FFFFFF" w:val="clear"/>
        </w:rPr>
      </w:pPr>
      <w:r>
        <w:rPr>
          <w:rFonts w:ascii="Allstate Sans;sans-serif" w:hAnsi="Allstate Sans;sans-serif"/>
          <w:b w:val="false"/>
          <w:color w:val="000000"/>
          <w:sz w:val="10"/>
          <w:shd w:fill="FFFFFF" w:val="clear"/>
        </w:rPr>
        <w:t>(1)</w:t>
      </w:r>
      <w:r>
        <w:rPr>
          <w:rFonts w:ascii="Allstate Sans;sans-serif" w:hAnsi="Allstate Sans;sans-serif"/>
          <w:b w:val="false"/>
          <w:color w:val="000000"/>
          <w:sz w:val="16"/>
          <w:shd w:fill="FFFFFF" w:val="clear"/>
        </w:rPr>
        <w:t>Includes renters, condominium, landlord, boat, umbrella, manufactured home, scheduled personal property, auto assigned risk and valuable item protection products.</w:t>
      </w:r>
    </w:p>
    <w:p>
      <w:pPr>
        <w:pStyle w:val="TextBody"/>
        <w:bidi w:val="0"/>
        <w:spacing w:lineRule="auto" w:line="288" w:before="0" w:after="120"/>
        <w:ind w:left="0" w:right="0" w:hanging="180"/>
        <w:jc w:val="left"/>
        <w:rPr>
          <w:shd w:fill="FFFFFF" w:val="clear"/>
        </w:rPr>
      </w:pPr>
      <w:r>
        <w:rPr>
          <w:rFonts w:ascii="Allstate Sans;sans-serif" w:hAnsi="Allstate Sans;sans-serif"/>
          <w:b w:val="false"/>
          <w:color w:val="000000"/>
          <w:sz w:val="10"/>
          <w:shd w:fill="FFFFFF" w:val="clear"/>
        </w:rPr>
        <w:t>(2)</w:t>
      </w:r>
      <w:r>
        <w:rPr>
          <w:rFonts w:ascii="Allstate Sans;sans-serif" w:hAnsi="Allstate Sans;sans-serif"/>
          <w:b w:val="false"/>
          <w:color w:val="000000"/>
          <w:sz w:val="16"/>
          <w:shd w:fill="FFFFFF" w:val="clear"/>
        </w:rPr>
        <w:t>Brokered solutions and collateral protection includes brokered property and casualty and life and annuity products, and lender-placed products.</w:t>
      </w:r>
    </w:p>
    <w:tbl>
      <w:tblPr>
        <w:tblW w:w="7992" w:type="dxa"/>
        <w:jc w:val="left"/>
        <w:tblInd w:w="0" w:type="dxa"/>
        <w:tblLayout w:type="fixed"/>
        <w:tblCellMar>
          <w:top w:w="28" w:type="dxa"/>
          <w:left w:w="28" w:type="dxa"/>
          <w:bottom w:w="28" w:type="dxa"/>
          <w:right w:w="28" w:type="dxa"/>
        </w:tblCellMar>
      </w:tblPr>
      <w:tblGrid>
        <w:gridCol w:w="584"/>
        <w:gridCol w:w="514"/>
        <w:gridCol w:w="514"/>
        <w:gridCol w:w="514"/>
        <w:gridCol w:w="514"/>
        <w:gridCol w:w="514"/>
        <w:gridCol w:w="514"/>
        <w:gridCol w:w="514"/>
        <w:gridCol w:w="514"/>
        <w:gridCol w:w="514"/>
        <w:gridCol w:w="514"/>
        <w:gridCol w:w="514"/>
        <w:gridCol w:w="514"/>
        <w:gridCol w:w="514"/>
        <w:gridCol w:w="726"/>
      </w:tblGrid>
      <w:tr>
        <w:trPr/>
        <w:tc>
          <w:tcPr>
            <w:tcW w:w="58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r>
      <w:tr>
        <w:trPr/>
        <w:tc>
          <w:tcPr>
            <w:tcW w:w="7992" w:type="dxa"/>
            <w:gridSpan w:val="15"/>
            <w:tcBorders>
              <w:top w:val="single" w:sz="8" w:space="0" w:color="0033A0"/>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33A0"/>
                <w:sz w:val="18"/>
              </w:rPr>
            </w:pPr>
            <w:r>
              <w:rPr>
                <w:rFonts w:ascii="Helvetica_Neue_LT_W1G_55_Roman;sans-serif" w:hAnsi="Helvetica_Neue_LT_W1G_55_Roman;sans-serif"/>
                <w:b/>
                <w:color w:val="0033A0"/>
                <w:sz w:val="18"/>
              </w:rPr>
              <w:t>Change in underwriting results from prior year period - three months ended</w:t>
            </w:r>
          </w:p>
        </w:tc>
      </w:tr>
      <w:tr>
        <w:trPr/>
        <w:tc>
          <w:tcPr>
            <w:tcW w:w="7992" w:type="dxa"/>
            <w:gridSpan w:val="15"/>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 in millions)</w:t>
            </w:r>
          </w:p>
        </w:tc>
      </w:tr>
    </w:tbl>
    <w:p>
      <w:pPr>
        <w:pStyle w:val="TextBody"/>
        <w:bidi w:val="0"/>
        <w:spacing w:before="0" w:after="0"/>
        <w:jc w:val="left"/>
        <w:rPr>
          <w:shd w:fill="FFFFFF" w:val="clear"/>
        </w:rPr>
      </w:pPr>
      <w:r>
        <w:rPr>
          <w:shd w:fill="FFFFFF" w:val="clear"/>
        </w:rPr>
        <w:drawing>
          <wp:inline distT="0" distB="0" distL="0" distR="0">
            <wp:extent cx="6496050" cy="1828800"/>
            <wp:effectExtent l="0" t="0" r="0" b="0"/>
            <wp:docPr id="55"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6" descr=""/>
                    <pic:cNvPicPr>
                      <a:picLocks noChangeAspect="1" noChangeArrowheads="1"/>
                    </pic:cNvPicPr>
                  </pic:nvPicPr>
                  <pic:blipFill>
                    <a:blip r:embed="rId7"/>
                    <a:stretch>
                      <a:fillRect/>
                    </a:stretch>
                  </pic:blipFill>
                  <pic:spPr bwMode="auto">
                    <a:xfrm>
                      <a:off x="0" y="0"/>
                      <a:ext cx="6496050" cy="1828800"/>
                    </a:xfrm>
                    <a:prstGeom prst="rect">
                      <a:avLst/>
                    </a:prstGeom>
                  </pic:spPr>
                </pic:pic>
              </a:graphicData>
            </a:graphic>
          </wp:inline>
        </w:drawing>
      </w:r>
      <w:bookmarkStart w:id="5" w:name="i-6"/>
      <w:bookmarkEnd w:id="5"/>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6"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120"/>
                              <w:jc w:val="left"/>
                              <w:rPr/>
                            </w:pPr>
                            <w:r>
                              <w:rPr>
                                <w:rFonts w:ascii="Allstate Sans;sans-serif" w:hAnsi="Allstate Sans;sans-serif"/>
                                <w:b w:val="false"/>
                                <w:color w:val="0033A0"/>
                                <w:sz w:val="18"/>
                              </w:rPr>
                              <w:t>48</w:t>
                            </w:r>
                            <w:r>
                              <w:rPr>
                                <w:color w:val="1666AF"/>
                              </w:rPr>
                              <w:t xml:space="preserve"> </w:t>
                            </w:r>
                            <w:r>
                              <w:rPr>
                                <w:rFonts w:ascii="Allstate Sans;sans-serif" w:hAnsi="Allstate Sans;sans-serif"/>
                                <w:b w:val="false"/>
                                <w:color w:val="000000"/>
                                <w:sz w:val="18"/>
                              </w:rPr>
                              <w:t>www.allstate.com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left"/>
                        <w:rPr/>
                      </w:pPr>
                      <w:r>
                        <w:rPr>
                          <w:rFonts w:ascii="Allstate Sans;sans-serif" w:hAnsi="Allstate Sans;sans-serif"/>
                          <w:b w:val="false"/>
                          <w:color w:val="0033A0"/>
                          <w:sz w:val="18"/>
                        </w:rPr>
                        <w:t>48</w:t>
                      </w:r>
                      <w:r>
                        <w:rPr>
                          <w:color w:val="1666AF"/>
                        </w:rPr>
                        <w:t xml:space="preserve"> </w:t>
                      </w:r>
                      <w:r>
                        <w:rPr>
                          <w:rFonts w:ascii="Allstate Sans;sans-serif" w:hAnsi="Allstate Sans;sans-serif"/>
                          <w:b w:val="false"/>
                          <w:color w:val="000000"/>
                          <w:sz w:val="18"/>
                        </w:rPr>
                        <w:t>www.allstate.com</w:t>
                      </w:r>
                    </w:p>
                  </w:txbxContent>
                </v:textbox>
                <w10:wrap type="none"/>
              </v:rect>
            </w:pict>
          </mc:Fallback>
        </mc:AlternateContent>
      </w:r>
    </w:p>
    <w:p>
      <w:pPr>
        <w:pStyle w:val="TextBody"/>
        <w:bidi w:val="0"/>
        <w:spacing w:lineRule="auto" w:line="288" w:before="0" w:after="120"/>
        <w:ind w:left="0" w:right="0" w:firstLine="360"/>
        <w:jc w:val="right"/>
        <w:rPr>
          <w:shd w:fill="FFFFFF" w:val="clear"/>
        </w:rPr>
      </w:pPr>
      <w:r>
        <w:rPr>
          <w:rFonts w:ascii="Allstate Sans;sans-serif" w:hAnsi="Allstate Sans;sans-serif"/>
          <w:b w:val="false"/>
          <w:color w:val="000000"/>
          <w:sz w:val="18"/>
          <w:shd w:fill="FFFFFF" w:val="clear"/>
        </w:rPr>
        <w:t>Allstate Protection</w:t>
      </w:r>
      <w:r>
        <w:rPr>
          <w:color w:val="1666AF"/>
          <w:shd w:fill="FFFFFF" w:val="clear"/>
        </w:rPr>
        <w:t xml:space="preserve"> </w:t>
      </w:r>
      <w:r>
        <w:rPr>
          <w:rFonts w:ascii="Allstate Sans;sans-serif" w:hAnsi="Allstate Sans;sans-serif"/>
          <w:b w:val="false"/>
          <w:color w:val="0033A0"/>
          <w:sz w:val="18"/>
          <w:shd w:fill="FFFFFF" w:val="clear"/>
        </w:rPr>
        <w:t>Segment Results</w:t>
      </w:r>
      <w:r>
        <w:rPr>
          <w:color w:val="005BA5"/>
          <w:shd w:fill="FFFFFF" w:val="clear"/>
        </w:rPr>
        <w:t xml:space="preserve"> </w:t>
      </w:r>
    </w:p>
    <w:tbl>
      <w:tblPr>
        <w:tblW w:w="7714" w:type="dxa"/>
        <w:jc w:val="left"/>
        <w:tblInd w:w="0" w:type="dxa"/>
        <w:tblLayout w:type="fixed"/>
        <w:tblCellMar>
          <w:top w:w="28" w:type="dxa"/>
          <w:left w:w="28" w:type="dxa"/>
          <w:bottom w:w="28" w:type="dxa"/>
          <w:right w:w="28" w:type="dxa"/>
        </w:tblCellMar>
      </w:tblPr>
      <w:tblGrid>
        <w:gridCol w:w="565"/>
        <w:gridCol w:w="496"/>
        <w:gridCol w:w="496"/>
        <w:gridCol w:w="496"/>
        <w:gridCol w:w="496"/>
        <w:gridCol w:w="496"/>
        <w:gridCol w:w="496"/>
        <w:gridCol w:w="496"/>
        <w:gridCol w:w="496"/>
        <w:gridCol w:w="496"/>
        <w:gridCol w:w="496"/>
        <w:gridCol w:w="496"/>
        <w:gridCol w:w="496"/>
        <w:gridCol w:w="496"/>
        <w:gridCol w:w="701"/>
      </w:tblGrid>
      <w:tr>
        <w:trPr/>
        <w:tc>
          <w:tcPr>
            <w:tcW w:w="56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r>
      <w:tr>
        <w:trPr/>
        <w:tc>
          <w:tcPr>
            <w:tcW w:w="7714" w:type="dxa"/>
            <w:gridSpan w:val="15"/>
            <w:tcBorders>
              <w:top w:val="single" w:sz="8" w:space="0" w:color="0033A0"/>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33A0"/>
                <w:sz w:val="18"/>
              </w:rPr>
            </w:pPr>
            <w:r>
              <w:rPr>
                <w:rFonts w:ascii="Helvetica_Neue_LT_W1G_55_Roman;sans-serif" w:hAnsi="Helvetica_Neue_LT_W1G_55_Roman;sans-serif"/>
                <w:b/>
                <w:color w:val="0033A0"/>
                <w:sz w:val="18"/>
              </w:rPr>
              <w:t>Change in underwriting results from prior year period - six months ended</w:t>
            </w:r>
          </w:p>
        </w:tc>
      </w:tr>
      <w:tr>
        <w:trPr/>
        <w:tc>
          <w:tcPr>
            <w:tcW w:w="7714" w:type="dxa"/>
            <w:gridSpan w:val="15"/>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 in millions)</w:t>
            </w:r>
          </w:p>
        </w:tc>
      </w:tr>
    </w:tbl>
    <w:p>
      <w:pPr>
        <w:pStyle w:val="TextBody"/>
        <w:bidi w:val="0"/>
        <w:spacing w:before="0" w:after="0"/>
        <w:jc w:val="left"/>
        <w:rPr>
          <w:shd w:fill="FFFFFF" w:val="clear"/>
        </w:rPr>
      </w:pPr>
      <w:r>
        <w:rPr>
          <w:shd w:fill="FFFFFF" w:val="clear"/>
        </w:rPr>
        <w:drawing>
          <wp:inline distT="0" distB="0" distL="0" distR="0">
            <wp:extent cx="6496050" cy="1828800"/>
            <wp:effectExtent l="0" t="0" r="0" b="0"/>
            <wp:docPr id="5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7" descr=""/>
                    <pic:cNvPicPr>
                      <a:picLocks noChangeAspect="1" noChangeArrowheads="1"/>
                    </pic:cNvPicPr>
                  </pic:nvPicPr>
                  <pic:blipFill>
                    <a:blip r:embed="rId8"/>
                    <a:stretch>
                      <a:fillRect/>
                    </a:stretch>
                  </pic:blipFill>
                  <pic:spPr bwMode="auto">
                    <a:xfrm>
                      <a:off x="0" y="0"/>
                      <a:ext cx="6496050" cy="1828800"/>
                    </a:xfrm>
                    <a:prstGeom prst="rect">
                      <a:avLst/>
                    </a:prstGeom>
                  </pic:spPr>
                </pic:pic>
              </a:graphicData>
            </a:graphic>
          </wp:inline>
        </w:drawing>
      </w:r>
      <w:bookmarkStart w:id="6" w:name="i-7"/>
      <w:bookmarkEnd w:id="6"/>
    </w:p>
    <w:p>
      <w:pPr>
        <w:pStyle w:val="TextBody"/>
        <w:bidi w:val="0"/>
        <w:spacing w:lineRule="auto" w:line="288" w:before="120" w:after="120"/>
        <w:ind w:left="0" w:right="0" w:firstLine="360"/>
        <w:jc w:val="left"/>
        <w:rPr>
          <w:shd w:fill="FFFFFF" w:val="clear"/>
        </w:rPr>
      </w:pPr>
      <w:r>
        <w:rPr>
          <w:rFonts w:ascii="Allstate Sans;sans-serif" w:hAnsi="Allstate Sans;sans-serif"/>
          <w:b/>
          <w:color w:val="0033A0"/>
          <w:sz w:val="18"/>
          <w:shd w:fill="FFFFFF" w:val="clear"/>
        </w:rPr>
        <w:t>Premium measures and statistics</w:t>
      </w:r>
      <w:r>
        <w:rPr>
          <w:color w:val="000000"/>
          <w:shd w:fill="FFFFFF" w:val="clear"/>
        </w:rPr>
        <w:t xml:space="preserve"> </w:t>
      </w:r>
      <w:r>
        <w:rPr>
          <w:rFonts w:ascii="Allstate Sans;sans-serif" w:hAnsi="Allstate Sans;sans-serif"/>
          <w:b w:val="false"/>
          <w:color w:val="000000"/>
          <w:sz w:val="18"/>
          <w:shd w:fill="FFFFFF" w:val="clear"/>
        </w:rPr>
        <w:t>include PIF, new issued applications and average premiums. Premiums written</w:t>
      </w:r>
      <w:r>
        <w:rPr>
          <w:color w:val="0033A0"/>
          <w:shd w:fill="FFFFFF" w:val="clear"/>
        </w:rPr>
        <w:t xml:space="preserve"> </w:t>
      </w:r>
      <w:r>
        <w:rPr>
          <w:rFonts w:ascii="Allstate Sans;sans-serif" w:hAnsi="Allstate Sans;sans-serif"/>
          <w:b w:val="false"/>
          <w:color w:val="000000"/>
          <w:sz w:val="18"/>
          <w:shd w:fill="FFFFFF" w:val="clear"/>
        </w:rPr>
        <w:t>is the amount of premiums charged for policies issued during a reporting period. Premiums are considered earned and are included in the financial results on a pro-rata basis over the policy period. The portion of premiums written applicable to the unexpired term of the policies is recorded as unearned premiums on our Condensed Consolidated Statements of Financial Position.</w:t>
      </w:r>
    </w:p>
    <w:tbl>
      <w:tblPr>
        <w:tblW w:w="10205" w:type="dxa"/>
        <w:jc w:val="left"/>
        <w:tblInd w:w="0" w:type="dxa"/>
        <w:tblLayout w:type="fixed"/>
        <w:tblCellMar>
          <w:top w:w="28" w:type="dxa"/>
          <w:left w:w="28" w:type="dxa"/>
          <w:bottom w:w="28" w:type="dxa"/>
          <w:right w:w="28" w:type="dxa"/>
        </w:tblCellMar>
      </w:tblPr>
      <w:tblGrid>
        <w:gridCol w:w="766"/>
        <w:gridCol w:w="673"/>
        <w:gridCol w:w="567"/>
        <w:gridCol w:w="126"/>
        <w:gridCol w:w="126"/>
        <w:gridCol w:w="126"/>
        <w:gridCol w:w="126"/>
        <w:gridCol w:w="126"/>
        <w:gridCol w:w="488"/>
        <w:gridCol w:w="488"/>
        <w:gridCol w:w="489"/>
        <w:gridCol w:w="109"/>
        <w:gridCol w:w="109"/>
        <w:gridCol w:w="109"/>
        <w:gridCol w:w="229"/>
        <w:gridCol w:w="854"/>
        <w:gridCol w:w="110"/>
        <w:gridCol w:w="110"/>
        <w:gridCol w:w="110"/>
        <w:gridCol w:w="110"/>
        <w:gridCol w:w="229"/>
        <w:gridCol w:w="854"/>
        <w:gridCol w:w="110"/>
        <w:gridCol w:w="109"/>
        <w:gridCol w:w="109"/>
        <w:gridCol w:w="109"/>
        <w:gridCol w:w="226"/>
        <w:gridCol w:w="841"/>
        <w:gridCol w:w="109"/>
        <w:gridCol w:w="109"/>
        <w:gridCol w:w="109"/>
        <w:gridCol w:w="109"/>
        <w:gridCol w:w="226"/>
        <w:gridCol w:w="841"/>
        <w:gridCol w:w="164"/>
      </w:tblGrid>
      <w:tr>
        <w:trPr/>
        <w:tc>
          <w:tcPr>
            <w:tcW w:w="766"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101" w:type="dxa"/>
            <w:gridSpan w:val="11"/>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left"/>
              <w:rPr>
                <w:rFonts w:ascii="Allstate Sans;sans-serif" w:hAnsi="Allstate Sans;sans-serif"/>
                <w:b/>
                <w:color w:val="000000"/>
                <w:sz w:val="18"/>
              </w:rPr>
            </w:pPr>
            <w:r>
              <w:rPr>
                <w:rFonts w:ascii="Allstate Sans;sans-serif" w:hAnsi="Allstate Sans;sans-serif"/>
                <w:b/>
                <w:color w:val="000000"/>
                <w:sz w:val="18"/>
              </w:rPr>
              <w:t>Premiums written</w:t>
            </w:r>
          </w:p>
        </w:tc>
        <w:tc>
          <w:tcPr>
            <w:tcW w:w="6104" w:type="dxa"/>
            <w:gridSpan w:val="24"/>
            <w:tcBorders/>
          </w:tcPr>
          <w:p>
            <w:pPr>
              <w:pStyle w:val="TableContents"/>
              <w:bidi w:val="0"/>
              <w:spacing w:before="0" w:after="283"/>
              <w:jc w:val="left"/>
              <w:rPr>
                <w:sz w:val="4"/>
                <w:szCs w:val="4"/>
              </w:rPr>
            </w:pPr>
            <w:r>
              <w:rPr>
                <w:sz w:val="4"/>
                <w:szCs w:val="4"/>
              </w:rPr>
            </w:r>
          </w:p>
        </w:tc>
      </w:tr>
      <w:tr>
        <w:trPr/>
        <w:tc>
          <w:tcPr>
            <w:tcW w:w="20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Six months ended June 30,</w:t>
            </w:r>
          </w:p>
        </w:tc>
        <w:tc>
          <w:tcPr>
            <w:tcW w:w="3061" w:type="dxa"/>
            <w:gridSpan w:val="12"/>
            <w:tcBorders/>
          </w:tcPr>
          <w:p>
            <w:pPr>
              <w:pStyle w:val="TableContents"/>
              <w:bidi w:val="0"/>
              <w:spacing w:before="0" w:after="283"/>
              <w:jc w:val="left"/>
              <w:rPr>
                <w:sz w:val="4"/>
                <w:szCs w:val="4"/>
              </w:rPr>
            </w:pPr>
            <w:r>
              <w:rPr>
                <w:sz w:val="4"/>
                <w:szCs w:val="4"/>
              </w:rPr>
            </w:r>
          </w:p>
        </w:tc>
      </w:tr>
      <w:tr>
        <w:trPr/>
        <w:tc>
          <w:tcPr>
            <w:tcW w:w="20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 in millions)</w:t>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2026</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2025</w:t>
            </w:r>
          </w:p>
        </w:tc>
      </w:tr>
      <w:tr>
        <w:trPr/>
        <w:tc>
          <w:tcPr>
            <w:tcW w:w="2006"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Auto</w:t>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854"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9,572 </w:t>
            </w:r>
          </w:p>
        </w:tc>
        <w:tc>
          <w:tcPr>
            <w:tcW w:w="110"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854"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9,533 </w:t>
            </w:r>
          </w:p>
        </w:tc>
        <w:tc>
          <w:tcPr>
            <w:tcW w:w="110"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841"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19,422 </w:t>
            </w:r>
          </w:p>
        </w:tc>
        <w:tc>
          <w:tcPr>
            <w:tcW w:w="109"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841"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19,381 </w:t>
            </w:r>
          </w:p>
        </w:tc>
        <w:tc>
          <w:tcPr>
            <w:tcW w:w="164"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6"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Homeowners</w:t>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4,752 </w:t>
            </w:r>
          </w:p>
        </w:tc>
        <w:tc>
          <w:tcPr>
            <w:tcW w:w="110"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4,395 </w:t>
            </w:r>
          </w:p>
        </w:tc>
        <w:tc>
          <w:tcPr>
            <w:tcW w:w="110"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8,493 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7,848 </w:t>
            </w:r>
          </w:p>
        </w:tc>
        <w:tc>
          <w:tcPr>
            <w:tcW w:w="16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6"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Specialty lines</w:t>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886 </w:t>
            </w:r>
          </w:p>
        </w:tc>
        <w:tc>
          <w:tcPr>
            <w:tcW w:w="110"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865 </w:t>
            </w:r>
          </w:p>
        </w:tc>
        <w:tc>
          <w:tcPr>
            <w:tcW w:w="110"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1,654 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1,594 </w:t>
            </w:r>
          </w:p>
        </w:tc>
        <w:tc>
          <w:tcPr>
            <w:tcW w:w="16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6"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Commercial lines</w:t>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121 </w:t>
            </w:r>
          </w:p>
        </w:tc>
        <w:tc>
          <w:tcPr>
            <w:tcW w:w="110"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100 </w:t>
            </w:r>
          </w:p>
        </w:tc>
        <w:tc>
          <w:tcPr>
            <w:tcW w:w="110"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233 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194 </w:t>
            </w:r>
          </w:p>
        </w:tc>
        <w:tc>
          <w:tcPr>
            <w:tcW w:w="16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Brokered solutions and collateral protection</w:t>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100 </w:t>
            </w:r>
          </w:p>
        </w:tc>
        <w:tc>
          <w:tcPr>
            <w:tcW w:w="11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154 </w:t>
            </w:r>
          </w:p>
        </w:tc>
        <w:tc>
          <w:tcPr>
            <w:tcW w:w="11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254 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327 </w:t>
            </w:r>
          </w:p>
        </w:tc>
        <w:tc>
          <w:tcPr>
            <w:tcW w:w="16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6" w:type="dxa"/>
            <w:gridSpan w:val="3"/>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 premiums written</w:t>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854"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15,431</w:t>
            </w:r>
            <w:r>
              <w:rPr>
                <w:color w:val="000000"/>
              </w:rPr>
              <w:t> </w:t>
            </w:r>
          </w:p>
        </w:tc>
        <w:tc>
          <w:tcPr>
            <w:tcW w:w="110"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854"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15,047</w:t>
            </w:r>
            <w:r>
              <w:rPr>
                <w:color w:val="000000"/>
              </w:rPr>
              <w:t> </w:t>
            </w:r>
          </w:p>
        </w:tc>
        <w:tc>
          <w:tcPr>
            <w:tcW w:w="110"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841"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30,056</w:t>
            </w:r>
            <w:r>
              <w:rPr>
                <w:color w:val="000000"/>
              </w:rPr>
              <w:t> </w:t>
            </w:r>
          </w:p>
        </w:tc>
        <w:tc>
          <w:tcPr>
            <w:tcW w:w="109"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841"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29,344</w:t>
            </w:r>
            <w:r>
              <w:rPr>
                <w:color w:val="000000"/>
              </w:rPr>
              <w:t> </w:t>
            </w:r>
          </w:p>
        </w:tc>
        <w:tc>
          <w:tcPr>
            <w:tcW w:w="164"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766"/>
        <w:gridCol w:w="674"/>
        <w:gridCol w:w="568"/>
        <w:gridCol w:w="125"/>
        <w:gridCol w:w="125"/>
        <w:gridCol w:w="125"/>
        <w:gridCol w:w="125"/>
        <w:gridCol w:w="125"/>
        <w:gridCol w:w="488"/>
        <w:gridCol w:w="488"/>
        <w:gridCol w:w="489"/>
        <w:gridCol w:w="109"/>
        <w:gridCol w:w="109"/>
        <w:gridCol w:w="109"/>
        <w:gridCol w:w="229"/>
        <w:gridCol w:w="854"/>
        <w:gridCol w:w="110"/>
        <w:gridCol w:w="110"/>
        <w:gridCol w:w="110"/>
        <w:gridCol w:w="110"/>
        <w:gridCol w:w="229"/>
        <w:gridCol w:w="854"/>
        <w:gridCol w:w="110"/>
        <w:gridCol w:w="109"/>
        <w:gridCol w:w="109"/>
        <w:gridCol w:w="109"/>
        <w:gridCol w:w="226"/>
        <w:gridCol w:w="841"/>
        <w:gridCol w:w="109"/>
        <w:gridCol w:w="109"/>
        <w:gridCol w:w="109"/>
        <w:gridCol w:w="109"/>
        <w:gridCol w:w="226"/>
        <w:gridCol w:w="841"/>
        <w:gridCol w:w="167"/>
      </w:tblGrid>
      <w:tr>
        <w:trPr/>
        <w:tc>
          <w:tcPr>
            <w:tcW w:w="766"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098" w:type="dxa"/>
            <w:gridSpan w:val="11"/>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left"/>
              <w:rPr>
                <w:rFonts w:ascii="Allstate Sans;sans-serif" w:hAnsi="Allstate Sans;sans-serif"/>
                <w:b/>
                <w:color w:val="000000"/>
                <w:sz w:val="18"/>
              </w:rPr>
            </w:pPr>
            <w:r>
              <w:rPr>
                <w:rFonts w:ascii="Allstate Sans;sans-serif" w:hAnsi="Allstate Sans;sans-serif"/>
                <w:b/>
                <w:color w:val="000000"/>
                <w:sz w:val="18"/>
              </w:rPr>
              <w:t>Premiums earned</w:t>
            </w:r>
          </w:p>
        </w:tc>
        <w:tc>
          <w:tcPr>
            <w:tcW w:w="6107" w:type="dxa"/>
            <w:gridSpan w:val="24"/>
            <w:tcBorders/>
          </w:tcPr>
          <w:p>
            <w:pPr>
              <w:pStyle w:val="TableContents"/>
              <w:bidi w:val="0"/>
              <w:spacing w:before="0" w:after="283"/>
              <w:jc w:val="left"/>
              <w:rPr>
                <w:sz w:val="4"/>
                <w:szCs w:val="4"/>
              </w:rPr>
            </w:pPr>
            <w:r>
              <w:rPr>
                <w:sz w:val="4"/>
                <w:szCs w:val="4"/>
              </w:rPr>
            </w:r>
          </w:p>
        </w:tc>
      </w:tr>
      <w:tr>
        <w:trPr/>
        <w:tc>
          <w:tcPr>
            <w:tcW w:w="20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Six months ended June 30,</w:t>
            </w:r>
          </w:p>
        </w:tc>
        <w:tc>
          <w:tcPr>
            <w:tcW w:w="3064" w:type="dxa"/>
            <w:gridSpan w:val="12"/>
            <w:tcBorders/>
          </w:tcPr>
          <w:p>
            <w:pPr>
              <w:pStyle w:val="TableContents"/>
              <w:bidi w:val="0"/>
              <w:spacing w:before="0" w:after="283"/>
              <w:jc w:val="left"/>
              <w:rPr>
                <w:sz w:val="4"/>
                <w:szCs w:val="4"/>
              </w:rPr>
            </w:pPr>
            <w:r>
              <w:rPr>
                <w:sz w:val="4"/>
                <w:szCs w:val="4"/>
              </w:rPr>
            </w:r>
          </w:p>
        </w:tc>
      </w:tr>
      <w:tr>
        <w:trPr/>
        <w:tc>
          <w:tcPr>
            <w:tcW w:w="20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 in millions)</w:t>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2026</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2025</w:t>
            </w:r>
          </w:p>
        </w:tc>
      </w:tr>
      <w:tr>
        <w:trPr/>
        <w:tc>
          <w:tcPr>
            <w:tcW w:w="2008"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Auto</w:t>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854"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9,644 </w:t>
            </w:r>
          </w:p>
        </w:tc>
        <w:tc>
          <w:tcPr>
            <w:tcW w:w="110"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854"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9,528 </w:t>
            </w:r>
          </w:p>
        </w:tc>
        <w:tc>
          <w:tcPr>
            <w:tcW w:w="110"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841"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19,191 </w:t>
            </w:r>
          </w:p>
        </w:tc>
        <w:tc>
          <w:tcPr>
            <w:tcW w:w="109"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841"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18,875 </w:t>
            </w:r>
          </w:p>
        </w:tc>
        <w:tc>
          <w:tcPr>
            <w:tcW w:w="167"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8"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Homeowners</w:t>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4,201 </w:t>
            </w:r>
          </w:p>
        </w:tc>
        <w:tc>
          <w:tcPr>
            <w:tcW w:w="110"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3,771 </w:t>
            </w:r>
          </w:p>
        </w:tc>
        <w:tc>
          <w:tcPr>
            <w:tcW w:w="110"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8,365 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7,428 </w:t>
            </w:r>
          </w:p>
        </w:tc>
        <w:tc>
          <w:tcPr>
            <w:tcW w:w="16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8"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Specialty lines</w:t>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822 </w:t>
            </w:r>
          </w:p>
        </w:tc>
        <w:tc>
          <w:tcPr>
            <w:tcW w:w="110"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779 </w:t>
            </w:r>
          </w:p>
        </w:tc>
        <w:tc>
          <w:tcPr>
            <w:tcW w:w="110"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1,642 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1,520 </w:t>
            </w:r>
          </w:p>
        </w:tc>
        <w:tc>
          <w:tcPr>
            <w:tcW w:w="16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8"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Commercial lines</w:t>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107 </w:t>
            </w:r>
          </w:p>
        </w:tc>
        <w:tc>
          <w:tcPr>
            <w:tcW w:w="110"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104 </w:t>
            </w:r>
          </w:p>
        </w:tc>
        <w:tc>
          <w:tcPr>
            <w:tcW w:w="110"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208 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217 </w:t>
            </w:r>
          </w:p>
        </w:tc>
        <w:tc>
          <w:tcPr>
            <w:tcW w:w="16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8"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Brokered solutions and collateral protection</w:t>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144 </w:t>
            </w:r>
          </w:p>
        </w:tc>
        <w:tc>
          <w:tcPr>
            <w:tcW w:w="11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164 </w:t>
            </w:r>
          </w:p>
        </w:tc>
        <w:tc>
          <w:tcPr>
            <w:tcW w:w="11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314 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333 </w:t>
            </w:r>
          </w:p>
        </w:tc>
        <w:tc>
          <w:tcPr>
            <w:tcW w:w="16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8" w:type="dxa"/>
            <w:gridSpan w:val="3"/>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 premiums earned</w:t>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854"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14,918</w:t>
            </w:r>
            <w:r>
              <w:rPr>
                <w:color w:val="000000"/>
              </w:rPr>
              <w:t> </w:t>
            </w:r>
          </w:p>
        </w:tc>
        <w:tc>
          <w:tcPr>
            <w:tcW w:w="110"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854"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14,346</w:t>
            </w:r>
            <w:r>
              <w:rPr>
                <w:color w:val="000000"/>
              </w:rPr>
              <w:t> </w:t>
            </w:r>
          </w:p>
        </w:tc>
        <w:tc>
          <w:tcPr>
            <w:tcW w:w="110"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841"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29,720</w:t>
            </w:r>
            <w:r>
              <w:rPr>
                <w:color w:val="000000"/>
              </w:rPr>
              <w:t> </w:t>
            </w:r>
          </w:p>
        </w:tc>
        <w:tc>
          <w:tcPr>
            <w:tcW w:w="109"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841"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28,373</w:t>
            </w:r>
            <w:r>
              <w:rPr>
                <w:color w:val="000000"/>
              </w:rPr>
              <w:t> </w:t>
            </w:r>
          </w:p>
        </w:tc>
        <w:tc>
          <w:tcPr>
            <w:tcW w:w="167"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4613" w:type="dxa"/>
        <w:jc w:val="left"/>
        <w:tblInd w:w="0" w:type="dxa"/>
        <w:tblLayout w:type="fixed"/>
        <w:tblCellMar>
          <w:top w:w="28" w:type="dxa"/>
          <w:left w:w="28" w:type="dxa"/>
          <w:bottom w:w="28" w:type="dxa"/>
          <w:right w:w="28" w:type="dxa"/>
        </w:tblCellMar>
      </w:tblPr>
      <w:tblGrid>
        <w:gridCol w:w="598"/>
        <w:gridCol w:w="524"/>
        <w:gridCol w:w="528"/>
        <w:gridCol w:w="112"/>
        <w:gridCol w:w="112"/>
        <w:gridCol w:w="112"/>
        <w:gridCol w:w="420"/>
        <w:gridCol w:w="421"/>
        <w:gridCol w:w="196"/>
        <w:gridCol w:w="162"/>
        <w:gridCol w:w="162"/>
        <w:gridCol w:w="162"/>
        <w:gridCol w:w="420"/>
        <w:gridCol w:w="421"/>
        <w:gridCol w:w="263"/>
      </w:tblGrid>
      <w:tr>
        <w:trPr/>
        <w:tc>
          <w:tcPr>
            <w:tcW w:w="598"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4613" w:type="dxa"/>
            <w:gridSpan w:val="15"/>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left"/>
              <w:rPr>
                <w:rFonts w:ascii="Allstate Sans;sans-serif" w:hAnsi="Allstate Sans;sans-serif"/>
                <w:b/>
                <w:color w:val="000000"/>
                <w:sz w:val="18"/>
              </w:rPr>
            </w:pPr>
            <w:r>
              <w:rPr>
                <w:rFonts w:ascii="Allstate Sans;sans-serif" w:hAnsi="Allstate Sans;sans-serif"/>
                <w:b/>
                <w:color w:val="000000"/>
                <w:sz w:val="18"/>
              </w:rPr>
              <w:t>Policies in force</w:t>
            </w:r>
          </w:p>
        </w:tc>
      </w:tr>
      <w:tr>
        <w:trPr/>
        <w:tc>
          <w:tcPr>
            <w:tcW w:w="16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As of June 30,</w:t>
            </w:r>
          </w:p>
        </w:tc>
      </w:tr>
      <w:tr>
        <w:trPr/>
        <w:tc>
          <w:tcPr>
            <w:tcW w:w="165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(In thousands)</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2026</w:t>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2025</w:t>
            </w:r>
          </w:p>
        </w:tc>
      </w:tr>
      <w:tr>
        <w:trPr/>
        <w:tc>
          <w:tcPr>
            <w:tcW w:w="1650"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Auto</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25,951 </w:t>
            </w:r>
          </w:p>
        </w:tc>
        <w:tc>
          <w:tcPr>
            <w:tcW w:w="196"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25,243 </w:t>
            </w:r>
          </w:p>
        </w:tc>
        <w:tc>
          <w:tcPr>
            <w:tcW w:w="263"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Homeowners</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7,819 </w:t>
            </w:r>
          </w:p>
        </w:tc>
        <w:tc>
          <w:tcPr>
            <w:tcW w:w="196"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7,596 </w:t>
            </w:r>
          </w:p>
        </w:tc>
        <w:tc>
          <w:tcPr>
            <w:tcW w:w="26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Specialty lines</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4,945 </w:t>
            </w:r>
          </w:p>
        </w:tc>
        <w:tc>
          <w:tcPr>
            <w:tcW w:w="196"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4,885 </w:t>
            </w:r>
          </w:p>
        </w:tc>
        <w:tc>
          <w:tcPr>
            <w:tcW w:w="26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Commercial lines</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182 </w:t>
            </w:r>
          </w:p>
        </w:tc>
        <w:tc>
          <w:tcPr>
            <w:tcW w:w="196"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176 </w:t>
            </w:r>
          </w:p>
        </w:tc>
        <w:tc>
          <w:tcPr>
            <w:tcW w:w="26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 xml:space="preserve">Total </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38,897</w:t>
            </w:r>
            <w:r>
              <w:rPr>
                <w:color w:val="000000"/>
              </w:rPr>
              <w:t> </w:t>
            </w:r>
          </w:p>
        </w:tc>
        <w:tc>
          <w:tcPr>
            <w:tcW w:w="19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37,900</w:t>
            </w:r>
            <w:r>
              <w:rPr>
                <w:color w:val="000000"/>
              </w:rPr>
              <w:t> </w:t>
            </w:r>
          </w:p>
        </w:tc>
        <w:tc>
          <w:tcPr>
            <w:tcW w:w="263"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firstLine="360"/>
        <w:jc w:val="left"/>
        <w:rPr>
          <w:shd w:fill="FFFFFF" w:val="clear"/>
        </w:rPr>
      </w:pPr>
      <w:r>
        <w:rPr>
          <w:rFonts w:ascii="Allstate Sans;sans-serif" w:hAnsi="Allstate Sans;sans-serif"/>
          <w:b w:val="false"/>
          <w:i/>
          <w:color w:val="0033A0"/>
          <w:sz w:val="18"/>
          <w:shd w:fill="FFFFFF" w:val="clear"/>
        </w:rPr>
        <w:t xml:space="preserve">Auto insurance premiums written </w:t>
      </w:r>
      <w:r>
        <w:rPr>
          <w:rFonts w:ascii="Allstate Sans;sans-serif" w:hAnsi="Allstate Sans;sans-serif"/>
          <w:b w:val="false"/>
          <w:color w:val="000000"/>
          <w:sz w:val="18"/>
          <w:shd w:fill="FFFFFF" w:val="clear"/>
        </w:rPr>
        <w:t>increased $39 million in the second quarter of 2026 compared to the second quarter of 2025 and increased $41 million in the first six months of 2026 compared to the first six months of 2025, primarily due to the following factors:</w:t>
      </w:r>
    </w:p>
    <w:p>
      <w:pPr>
        <w:pStyle w:val="TextBody"/>
        <w:bidi w:val="0"/>
        <w:spacing w:lineRule="auto" w:line="288" w:before="0" w:after="60"/>
        <w:ind w:left="0" w:right="0" w:hanging="180"/>
        <w:jc w:val="left"/>
        <w:rPr>
          <w:shd w:fill="FFFFFF" w:val="clear"/>
        </w:rPr>
      </w:pPr>
      <w:r>
        <w:rPr>
          <w:color w:val="000000"/>
          <w:shd w:fill="FFFFFF" w:val="clear"/>
        </w:rPr>
        <w:t>•</w:t>
      </w:r>
      <w:r>
        <w:rPr>
          <w:rFonts w:ascii="Allstate Sans;sans-serif" w:hAnsi="Allstate Sans;sans-serif"/>
          <w:b w:val="false"/>
          <w:color w:val="000000"/>
          <w:sz w:val="18"/>
          <w:shd w:fill="FFFFFF" w:val="clear"/>
        </w:rPr>
        <w:t>Increased new issued applications in all channels</w:t>
      </w:r>
    </w:p>
    <w:p>
      <w:pPr>
        <w:pStyle w:val="TextBody"/>
        <w:bidi w:val="0"/>
        <w:spacing w:lineRule="auto" w:line="288" w:before="0" w:after="120"/>
        <w:ind w:left="0" w:right="0" w:hanging="180"/>
        <w:jc w:val="left"/>
        <w:rPr>
          <w:shd w:fill="FFFFFF" w:val="clear"/>
        </w:rPr>
      </w:pPr>
      <w:r>
        <w:rPr>
          <w:color w:val="000000"/>
          <w:shd w:fill="FFFFFF" w:val="clear"/>
        </w:rPr>
        <w:t>•</w:t>
      </w:r>
      <w:r>
        <w:rPr>
          <w:rFonts w:ascii="Allstate Sans;sans-serif" w:hAnsi="Allstate Sans;sans-serif"/>
          <w:b w:val="false"/>
          <w:color w:val="000000"/>
          <w:sz w:val="18"/>
          <w:shd w:fill="FFFFFF" w:val="clear"/>
        </w:rPr>
        <w:t>PIF increased 2.8% or 708 thousand to 25,951 thousand as of June 30, 2026 compared to June 30, 2025</w:t>
      </w:r>
    </w:p>
    <w:p>
      <w:pPr>
        <w:pStyle w:val="TextBody"/>
        <w:bidi w:val="0"/>
        <w:spacing w:lineRule="auto" w:line="288" w:before="60" w:after="120"/>
        <w:ind w:left="0" w:right="0" w:hanging="180"/>
        <w:jc w:val="left"/>
        <w:rPr>
          <w:shd w:fill="FFFFFF" w:val="clear"/>
        </w:rPr>
      </w:pPr>
      <w:r>
        <w:rPr>
          <w:color w:val="000000"/>
          <w:shd w:fill="FFFFFF" w:val="clear"/>
        </w:rPr>
        <w:t>•</w:t>
      </w:r>
      <w:r>
        <w:rPr>
          <w:rFonts w:ascii="Allstate Sans;sans-serif" w:hAnsi="Allstate Sans;sans-serif"/>
          <w:b w:val="false"/>
          <w:color w:val="000000"/>
          <w:sz w:val="18"/>
          <w:shd w:fill="FFFFFF" w:val="clear"/>
        </w:rPr>
        <w:t>Lower Allstate brand average premiums resulting from a shift in product mix towards affordable, simple and connected protection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33350"/>
                <wp:effectExtent l="0" t="0" r="0" b="0"/>
                <wp:wrapNone/>
                <wp:docPr id="58" name="Frame51"/>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ind w:left="0" w:right="0" w:firstLine="360"/>
                              <w:jc w:val="right"/>
                              <w:rPr/>
                            </w:pPr>
                            <w:r>
                              <w:rPr>
                                <w:rFonts w:ascii="Allstate Sans;sans-serif" w:hAnsi="Allstate Sans;sans-serif"/>
                                <w:b w:val="false"/>
                                <w:color w:val="000000"/>
                                <w:sz w:val="18"/>
                              </w:rPr>
                              <w:t xml:space="preserve">Second Quarter 2026 Form 10-Q </w:t>
                            </w:r>
                            <w:r>
                              <w:rPr>
                                <w:rFonts w:ascii="Allstate Sans;sans-serif" w:hAnsi="Allstate Sans;sans-serif"/>
                                <w:b w:val="false"/>
                                <w:color w:val="0033A0"/>
                                <w:sz w:val="18"/>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right"/>
                        <w:rPr/>
                      </w:pPr>
                      <w:r>
                        <w:rPr>
                          <w:rFonts w:ascii="Allstate Sans;sans-serif" w:hAnsi="Allstate Sans;sans-serif"/>
                          <w:b w:val="false"/>
                          <w:color w:val="000000"/>
                          <w:sz w:val="18"/>
                        </w:rPr>
                        <w:t xml:space="preserve">Second Quarter 2026 Form 10-Q </w:t>
                      </w:r>
                      <w:r>
                        <w:rPr>
                          <w:rFonts w:ascii="Allstate Sans;sans-serif" w:hAnsi="Allstate Sans;sans-serif"/>
                          <w:b w:val="false"/>
                          <w:color w:val="0033A0"/>
                          <w:sz w:val="18"/>
                        </w:rPr>
                        <w:t>49</w:t>
                      </w:r>
                    </w:p>
                  </w:txbxContent>
                </v:textbox>
                <w10:wrap type="none"/>
              </v:rect>
            </w:pict>
          </mc:Fallback>
        </mc:AlternateContent>
      </w:r>
    </w:p>
    <w:p>
      <w:pPr>
        <w:pStyle w:val="TextBody"/>
        <w:bidi w:val="0"/>
        <w:spacing w:lineRule="auto" w:line="288" w:before="0" w:after="0"/>
        <w:jc w:val="left"/>
        <w:rPr>
          <w:shd w:fill="FFFFFF" w:val="clear"/>
        </w:rPr>
      </w:pPr>
      <w:r>
        <w:rPr>
          <w:rFonts w:ascii="Allstate Sans;sans-serif" w:hAnsi="Allstate Sans;sans-serif"/>
          <w:b w:val="false"/>
          <w:color w:val="0033A0"/>
          <w:sz w:val="18"/>
          <w:shd w:fill="FFFFFF" w:val="clear"/>
        </w:rPr>
        <w:t>Segment Results</w:t>
      </w:r>
      <w:r>
        <w:rPr>
          <w:color w:val="000000"/>
          <w:shd w:fill="FFFFFF" w:val="clear"/>
        </w:rPr>
        <w:t xml:space="preserve"> </w:t>
      </w:r>
      <w:r>
        <w:rPr>
          <w:rFonts w:ascii="Allstate Sans;sans-serif" w:hAnsi="Allstate Sans;sans-serif"/>
          <w:b w:val="false"/>
          <w:color w:val="000000"/>
          <w:sz w:val="18"/>
          <w:shd w:fill="FFFFFF" w:val="clear"/>
        </w:rPr>
        <w:t>Allstate Protection</w:t>
      </w:r>
    </w:p>
    <w:p>
      <w:pPr>
        <w:pStyle w:val="TextBody"/>
        <w:bidi w:val="0"/>
        <w:spacing w:lineRule="auto" w:line="288" w:before="0" w:after="120"/>
        <w:ind w:left="0" w:right="0" w:firstLine="360"/>
        <w:jc w:val="left"/>
        <w:rPr>
          <w:rFonts w:ascii="Allstate Sans;sans-serif" w:hAnsi="Allstate Sans;sans-serif"/>
          <w:b w:val="false"/>
          <w:color w:val="000000"/>
          <w:sz w:val="18"/>
          <w:shd w:fill="FFFFFF" w:val="clear"/>
        </w:rPr>
      </w:pPr>
      <w:r>
        <w:rPr>
          <w:rFonts w:ascii="Allstate Sans;sans-serif" w:hAnsi="Allstate Sans;sans-serif"/>
          <w:b w:val="false"/>
          <w:color w:val="000000"/>
          <w:sz w:val="18"/>
          <w:shd w:fill="FFFFFF" w:val="clear"/>
        </w:rPr>
        <w:t>We will pursue rate adjustments in states where we are achieving acceptable returns, while implementing rates where needed to keep pace with increasing costs.</w:t>
      </w:r>
    </w:p>
    <w:tbl>
      <w:tblPr>
        <w:tblW w:w="10205" w:type="dxa"/>
        <w:jc w:val="center"/>
        <w:tblInd w:w="0" w:type="dxa"/>
        <w:tblLayout w:type="fixed"/>
        <w:tblCellMar>
          <w:top w:w="28" w:type="dxa"/>
          <w:left w:w="28" w:type="dxa"/>
          <w:bottom w:w="28" w:type="dxa"/>
          <w:right w:w="28" w:type="dxa"/>
        </w:tblCellMar>
      </w:tblPr>
      <w:tblGrid>
        <w:gridCol w:w="753"/>
        <w:gridCol w:w="661"/>
        <w:gridCol w:w="663"/>
        <w:gridCol w:w="109"/>
        <w:gridCol w:w="109"/>
        <w:gridCol w:w="109"/>
        <w:gridCol w:w="256"/>
        <w:gridCol w:w="596"/>
        <w:gridCol w:w="123"/>
        <w:gridCol w:w="123"/>
        <w:gridCol w:w="123"/>
        <w:gridCol w:w="123"/>
        <w:gridCol w:w="256"/>
        <w:gridCol w:w="596"/>
        <w:gridCol w:w="123"/>
        <w:gridCol w:w="109"/>
        <w:gridCol w:w="109"/>
        <w:gridCol w:w="109"/>
        <w:gridCol w:w="293"/>
        <w:gridCol w:w="293"/>
        <w:gridCol w:w="504"/>
        <w:gridCol w:w="109"/>
        <w:gridCol w:w="109"/>
        <w:gridCol w:w="109"/>
        <w:gridCol w:w="248"/>
        <w:gridCol w:w="578"/>
        <w:gridCol w:w="119"/>
        <w:gridCol w:w="119"/>
        <w:gridCol w:w="119"/>
        <w:gridCol w:w="119"/>
        <w:gridCol w:w="248"/>
        <w:gridCol w:w="578"/>
        <w:gridCol w:w="119"/>
        <w:gridCol w:w="109"/>
        <w:gridCol w:w="109"/>
        <w:gridCol w:w="109"/>
        <w:gridCol w:w="293"/>
        <w:gridCol w:w="293"/>
        <w:gridCol w:w="578"/>
      </w:tblGrid>
      <w:tr>
        <w:trPr/>
        <w:tc>
          <w:tcPr>
            <w:tcW w:w="753"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r>
      <w:tr>
        <w:trPr/>
        <w:tc>
          <w:tcPr>
            <w:tcW w:w="10205" w:type="dxa"/>
            <w:gridSpan w:val="39"/>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left"/>
              <w:rPr>
                <w:rFonts w:ascii="Allstate Sans;sans-serif" w:hAnsi="Allstate Sans;sans-serif"/>
                <w:b/>
                <w:color w:val="000000"/>
                <w:sz w:val="18"/>
              </w:rPr>
            </w:pPr>
            <w:r>
              <w:rPr>
                <w:rFonts w:ascii="Allstate Sans;sans-serif" w:hAnsi="Allstate Sans;sans-serif"/>
                <w:b/>
                <w:color w:val="000000"/>
                <w:sz w:val="18"/>
              </w:rPr>
              <w:t>Auto premium measures and statistics</w:t>
            </w:r>
          </w:p>
        </w:tc>
      </w:tr>
      <w:tr>
        <w:trPr/>
        <w:tc>
          <w:tcPr>
            <w:tcW w:w="2077"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Six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2026</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2026</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Change</w:t>
            </w:r>
          </w:p>
        </w:tc>
      </w:tr>
      <w:tr>
        <w:trPr/>
        <w:tc>
          <w:tcPr>
            <w:tcW w:w="2077" w:type="dxa"/>
            <w:gridSpan w:val="3"/>
            <w:tcBorders>
              <w:top w:val="single" w:sz="8" w:space="0" w:color="0A2299"/>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New issued applications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7"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Allstate Protection by channel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7"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Exclusive agency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805 </w:t>
            </w:r>
          </w:p>
        </w:tc>
        <w:tc>
          <w:tcPr>
            <w:tcW w:w="12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764 </w:t>
            </w:r>
          </w:p>
        </w:tc>
        <w:tc>
          <w:tcPr>
            <w:tcW w:w="12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5.4 </w:t>
            </w:r>
          </w:p>
        </w:tc>
        <w:tc>
          <w:tcPr>
            <w:tcW w:w="504"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1,612 </w:t>
            </w:r>
          </w:p>
        </w:tc>
        <w:tc>
          <w:tcPr>
            <w:tcW w:w="11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1,512 </w:t>
            </w:r>
          </w:p>
        </w:tc>
        <w:tc>
          <w:tcPr>
            <w:tcW w:w="11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6.6 </w:t>
            </w:r>
          </w:p>
        </w:tc>
        <w:tc>
          <w:tcPr>
            <w:tcW w:w="578"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r>
      <w:tr>
        <w:trPr/>
        <w:tc>
          <w:tcPr>
            <w:tcW w:w="2077"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Independent agency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745 </w:t>
            </w:r>
          </w:p>
        </w:tc>
        <w:tc>
          <w:tcPr>
            <w:tcW w:w="12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685 </w:t>
            </w:r>
          </w:p>
        </w:tc>
        <w:tc>
          <w:tcPr>
            <w:tcW w:w="12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8.8 </w:t>
            </w:r>
          </w:p>
        </w:tc>
        <w:tc>
          <w:tcPr>
            <w:tcW w:w="50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1,487 </w:t>
            </w:r>
          </w:p>
        </w:tc>
        <w:tc>
          <w:tcPr>
            <w:tcW w:w="11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1,371 </w:t>
            </w:r>
          </w:p>
        </w:tc>
        <w:tc>
          <w:tcPr>
            <w:tcW w:w="11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8.5 </w:t>
            </w:r>
          </w:p>
        </w:tc>
        <w:tc>
          <w:tcPr>
            <w:tcW w:w="57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7"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Direct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797 </w:t>
            </w:r>
          </w:p>
        </w:tc>
        <w:tc>
          <w:tcPr>
            <w:tcW w:w="12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708 </w:t>
            </w:r>
          </w:p>
        </w:tc>
        <w:tc>
          <w:tcPr>
            <w:tcW w:w="12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12.6 </w:t>
            </w:r>
          </w:p>
        </w:tc>
        <w:tc>
          <w:tcPr>
            <w:tcW w:w="50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1,645 </w:t>
            </w:r>
          </w:p>
        </w:tc>
        <w:tc>
          <w:tcPr>
            <w:tcW w:w="11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1,465 </w:t>
            </w:r>
          </w:p>
        </w:tc>
        <w:tc>
          <w:tcPr>
            <w:tcW w:w="11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12.3 </w:t>
            </w:r>
          </w:p>
        </w:tc>
        <w:tc>
          <w:tcPr>
            <w:tcW w:w="57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7"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 new issued applications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2,347</w:t>
            </w:r>
            <w:r>
              <w:rPr>
                <w:color w:val="000000"/>
              </w:rPr>
              <w:t> </w:t>
            </w:r>
          </w:p>
        </w:tc>
        <w:tc>
          <w:tcPr>
            <w:tcW w:w="12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2,157</w:t>
            </w:r>
            <w:r>
              <w:rPr>
                <w:color w:val="000000"/>
              </w:rPr>
              <w:t> </w:t>
            </w:r>
          </w:p>
        </w:tc>
        <w:tc>
          <w:tcPr>
            <w:tcW w:w="12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8.8</w:t>
            </w:r>
            <w:r>
              <w:rPr>
                <w:color w:val="000000"/>
              </w:rPr>
              <w:t> </w:t>
            </w:r>
          </w:p>
        </w:tc>
        <w:tc>
          <w:tcPr>
            <w:tcW w:w="504"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4,744</w:t>
            </w:r>
            <w:r>
              <w:rPr>
                <w:color w:val="000000"/>
              </w:rPr>
              <w:t> </w:t>
            </w:r>
          </w:p>
        </w:tc>
        <w:tc>
          <w:tcPr>
            <w:tcW w:w="11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4,348</w:t>
            </w:r>
            <w:r>
              <w:rPr>
                <w:color w:val="000000"/>
              </w:rPr>
              <w:t> </w:t>
            </w:r>
          </w:p>
        </w:tc>
        <w:tc>
          <w:tcPr>
            <w:tcW w:w="11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9.1</w:t>
            </w:r>
            <w:r>
              <w:rPr>
                <w:color w:val="000000"/>
              </w:rPr>
              <w:t> </w:t>
            </w:r>
          </w:p>
        </w:tc>
        <w:tc>
          <w:tcPr>
            <w:tcW w:w="578"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r>
      <w:tr>
        <w:trPr/>
        <w:tc>
          <w:tcPr>
            <w:tcW w:w="2077"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7" w:type="dxa"/>
            <w:gridSpan w:val="3"/>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Allstate brand average premium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59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819 </w:t>
            </w:r>
          </w:p>
        </w:tc>
        <w:tc>
          <w:tcPr>
            <w:tcW w:w="123"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59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850 </w:t>
            </w:r>
          </w:p>
        </w:tc>
        <w:tc>
          <w:tcPr>
            <w:tcW w:w="123"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(3.6)</w:t>
            </w:r>
          </w:p>
        </w:tc>
        <w:tc>
          <w:tcPr>
            <w:tcW w:w="504"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578"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826 </w:t>
            </w:r>
          </w:p>
        </w:tc>
        <w:tc>
          <w:tcPr>
            <w:tcW w:w="119"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578"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852 </w:t>
            </w:r>
          </w:p>
        </w:tc>
        <w:tc>
          <w:tcPr>
            <w:tcW w:w="119"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(3.1)</w:t>
            </w:r>
          </w:p>
        </w:tc>
        <w:tc>
          <w:tcPr>
            <w:tcW w:w="578"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r>
      <w:tr>
        <w:trPr/>
        <w:tc>
          <w:tcPr>
            <w:tcW w:w="2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firstLine="360"/>
        <w:jc w:val="left"/>
        <w:rPr>
          <w:shd w:fill="FFFFFF" w:val="clear"/>
        </w:rPr>
      </w:pPr>
      <w:r>
        <w:rPr>
          <w:rFonts w:ascii="Allstate Sans;sans-serif" w:hAnsi="Allstate Sans;sans-serif"/>
          <w:b w:val="false"/>
          <w:i/>
          <w:color w:val="0033A0"/>
          <w:sz w:val="18"/>
          <w:shd w:fill="FFFFFF" w:val="clear"/>
        </w:rPr>
        <w:t>Homeowners insurance premiums written</w:t>
      </w:r>
      <w:r>
        <w:rPr>
          <w:color w:val="000000"/>
          <w:shd w:fill="FFFFFF" w:val="clear"/>
        </w:rPr>
        <w:t xml:space="preserve"> </w:t>
      </w:r>
      <w:r>
        <w:rPr>
          <w:rFonts w:ascii="Allstate Sans;sans-serif" w:hAnsi="Allstate Sans;sans-serif"/>
          <w:b w:val="false"/>
          <w:color w:val="000000"/>
          <w:sz w:val="18"/>
          <w:shd w:fill="FFFFFF" w:val="clear"/>
        </w:rPr>
        <w:t>increased 8.1% or $357 million in the second quarter of 2026 compared to the second quarter of 2025 and increased 8.2% or $645 million in the first six months of 2026 compared to the first six months of 2025, primarily due to the following factors:</w:t>
      </w:r>
    </w:p>
    <w:p>
      <w:pPr>
        <w:pStyle w:val="TextBody"/>
        <w:bidi w:val="0"/>
        <w:spacing w:lineRule="auto" w:line="288" w:before="0" w:after="60"/>
        <w:ind w:left="0" w:right="0" w:hanging="180"/>
        <w:jc w:val="left"/>
        <w:rPr>
          <w:shd w:fill="FFFFFF" w:val="clear"/>
        </w:rPr>
      </w:pPr>
      <w:r>
        <w:rPr>
          <w:color w:val="000000"/>
          <w:shd w:fill="FFFFFF" w:val="clear"/>
        </w:rPr>
        <w:t>•</w:t>
      </w:r>
      <w:r>
        <w:rPr>
          <w:rFonts w:ascii="Allstate Sans;sans-serif" w:hAnsi="Allstate Sans;sans-serif"/>
          <w:b w:val="false"/>
          <w:color w:val="000000"/>
          <w:sz w:val="18"/>
          <w:shd w:fill="FFFFFF" w:val="clear"/>
        </w:rPr>
        <w:t>Higher Allstate brand average premiums resulting from rate increases and inflation in insured home replacement costs, combined with growth in policies in force</w:t>
      </w:r>
    </w:p>
    <w:p>
      <w:pPr>
        <w:pStyle w:val="TextBody"/>
        <w:bidi w:val="0"/>
        <w:spacing w:lineRule="auto" w:line="288" w:before="0" w:after="120"/>
        <w:ind w:left="0" w:right="0" w:hanging="180"/>
        <w:jc w:val="left"/>
        <w:rPr>
          <w:shd w:fill="FFFFFF" w:val="clear"/>
        </w:rPr>
      </w:pPr>
      <w:r>
        <w:rPr>
          <w:color w:val="000000"/>
          <w:shd w:fill="FFFFFF" w:val="clear"/>
        </w:rPr>
        <w:t>•</w:t>
      </w:r>
      <w:r>
        <w:rPr>
          <w:rFonts w:ascii="Allstate Sans;sans-serif" w:hAnsi="Allstate Sans;sans-serif"/>
          <w:b w:val="false"/>
          <w:color w:val="000000"/>
          <w:sz w:val="18"/>
          <w:shd w:fill="FFFFFF" w:val="clear"/>
        </w:rPr>
        <w:t>In the six months ended June 30, 2026, rate increases of 4.9% were implemented resulting in a total estimated insurance premium impact of 1.3%, excluding the impact of changes in insured home replacement costs</w:t>
      </w:r>
    </w:p>
    <w:p>
      <w:pPr>
        <w:pStyle w:val="TextBody"/>
        <w:bidi w:val="0"/>
        <w:spacing w:lineRule="auto" w:line="288" w:before="0" w:after="60"/>
        <w:ind w:left="0" w:right="0" w:hanging="180"/>
        <w:jc w:val="left"/>
        <w:rPr>
          <w:shd w:fill="FFFFFF" w:val="clear"/>
        </w:rPr>
      </w:pPr>
      <w:r>
        <w:rPr>
          <w:color w:val="000000"/>
          <w:shd w:fill="FFFFFF" w:val="clear"/>
        </w:rPr>
        <w:t>•</w:t>
      </w:r>
      <w:r>
        <w:rPr>
          <w:rFonts w:ascii="Allstate Sans;sans-serif" w:hAnsi="Allstate Sans;sans-serif"/>
          <w:b w:val="false"/>
          <w:color w:val="000000"/>
          <w:sz w:val="18"/>
          <w:shd w:fill="FFFFFF" w:val="clear"/>
        </w:rPr>
        <w:t xml:space="preserve">PIF increased 2.9% or 223 thousand to 7,819 thousand as of June 30, 2026 compared to June 30, </w:t>
      </w:r>
    </w:p>
    <w:p>
      <w:pPr>
        <w:pStyle w:val="TextBody"/>
        <w:bidi w:val="0"/>
        <w:spacing w:lineRule="auto" w:line="288" w:before="0" w:after="60"/>
        <w:jc w:val="left"/>
        <w:rPr>
          <w:rFonts w:ascii="Allstate Sans;sans-serif" w:hAnsi="Allstate Sans;sans-serif"/>
          <w:b w:val="false"/>
          <w:color w:val="000000"/>
          <w:sz w:val="18"/>
          <w:shd w:fill="FFFFFF" w:val="clear"/>
        </w:rPr>
      </w:pPr>
      <w:r>
        <w:rPr>
          <w:rFonts w:ascii="Allstate Sans;sans-serif" w:hAnsi="Allstate Sans;sans-serif"/>
          <w:b w:val="false"/>
          <w:color w:val="000000"/>
          <w:sz w:val="18"/>
          <w:shd w:fill="FFFFFF" w:val="clear"/>
        </w:rPr>
        <w:t>2025, primarily in the direct and exclusive agency channels, partially offset in the independent agency channel</w:t>
      </w:r>
    </w:p>
    <w:p>
      <w:pPr>
        <w:pStyle w:val="TextBody"/>
        <w:bidi w:val="0"/>
        <w:spacing w:lineRule="auto" w:line="288" w:before="0" w:after="120"/>
        <w:ind w:left="0" w:right="0" w:hanging="180"/>
        <w:jc w:val="left"/>
        <w:rPr>
          <w:shd w:fill="FFFFFF" w:val="clear"/>
        </w:rPr>
      </w:pPr>
      <w:r>
        <w:rPr>
          <w:color w:val="000000"/>
          <w:shd w:fill="FFFFFF" w:val="clear"/>
        </w:rPr>
        <w:t>•</w:t>
      </w:r>
      <w:r>
        <w:rPr>
          <w:rFonts w:ascii="Allstate Sans;sans-serif" w:hAnsi="Allstate Sans;sans-serif"/>
          <w:b w:val="false"/>
          <w:color w:val="000000"/>
          <w:sz w:val="18"/>
          <w:shd w:fill="FFFFFF" w:val="clear"/>
        </w:rPr>
        <w:t>Increased new issued applications in all channels</w:t>
      </w:r>
    </w:p>
    <w:p>
      <w:pPr>
        <w:pStyle w:val="TextBody"/>
        <w:bidi w:val="0"/>
        <w:spacing w:lineRule="auto" w:line="276" w:before="0" w:after="120"/>
        <w:jc w:val="left"/>
        <w:rPr>
          <w:rFonts w:ascii="Allstate Sans;sans-serif" w:hAnsi="Allstate Sans;sans-serif"/>
          <w:b w:val="false"/>
          <w:color w:val="000000"/>
          <w:sz w:val="18"/>
          <w:shd w:fill="FFFFFF" w:val="clear"/>
        </w:rPr>
      </w:pPr>
      <w:r>
        <w:rPr>
          <w:rFonts w:ascii="Allstate Sans;sans-serif" w:hAnsi="Allstate Sans;sans-serif"/>
          <w:b w:val="false"/>
          <w:color w:val="000000"/>
          <w:sz w:val="18"/>
          <w:shd w:fill="FFFFFF" w:val="clear"/>
        </w:rPr>
        <w:t>In Florida, we are not writing new homeowners business and completed the non-renewal of certain policies during the second quarter of 2026. In California, we write a limited amount of new homeowners business through North Light Specialty Insurance Company, our excess and surplus lines carrier.</w:t>
      </w:r>
    </w:p>
    <w:p>
      <w:pPr>
        <w:pStyle w:val="TextBody"/>
        <w:bidi w:val="0"/>
        <w:spacing w:lineRule="auto" w:line="288" w:before="0" w:after="120"/>
        <w:ind w:left="0" w:right="0" w:firstLine="360"/>
        <w:jc w:val="left"/>
        <w:rPr>
          <w:rFonts w:ascii="Allstate Sans;sans-serif" w:hAnsi="Allstate Sans;sans-serif"/>
          <w:b w:val="false"/>
          <w:color w:val="000000"/>
          <w:sz w:val="18"/>
          <w:shd w:fill="FFFFFF" w:val="clear"/>
        </w:rPr>
      </w:pPr>
      <w:r>
        <w:rPr>
          <w:rFonts w:ascii="Allstate Sans;sans-serif" w:hAnsi="Allstate Sans;sans-serif"/>
          <w:b w:val="false"/>
          <w:color w:val="000000"/>
          <w:sz w:val="18"/>
          <w:shd w:fill="FFFFFF" w:val="clear"/>
        </w:rPr>
        <w:t>We may not be able to grow in certain states without regulatory or legislative reforms that enable customers to be provided coverage at appropriate risk adjusted returns.</w:t>
      </w:r>
    </w:p>
    <w:tbl>
      <w:tblPr>
        <w:tblW w:w="10205" w:type="dxa"/>
        <w:jc w:val="left"/>
        <w:tblInd w:w="0" w:type="dxa"/>
        <w:tblLayout w:type="fixed"/>
        <w:tblCellMar>
          <w:top w:w="28" w:type="dxa"/>
          <w:left w:w="28" w:type="dxa"/>
          <w:bottom w:w="28" w:type="dxa"/>
          <w:right w:w="28" w:type="dxa"/>
        </w:tblCellMar>
      </w:tblPr>
      <w:tblGrid>
        <w:gridCol w:w="609"/>
        <w:gridCol w:w="535"/>
        <w:gridCol w:w="536"/>
        <w:gridCol w:w="109"/>
        <w:gridCol w:w="109"/>
        <w:gridCol w:w="109"/>
        <w:gridCol w:w="233"/>
        <w:gridCol w:w="729"/>
        <w:gridCol w:w="112"/>
        <w:gridCol w:w="112"/>
        <w:gridCol w:w="112"/>
        <w:gridCol w:w="112"/>
        <w:gridCol w:w="233"/>
        <w:gridCol w:w="729"/>
        <w:gridCol w:w="112"/>
        <w:gridCol w:w="109"/>
        <w:gridCol w:w="109"/>
        <w:gridCol w:w="109"/>
        <w:gridCol w:w="300"/>
        <w:gridCol w:w="301"/>
        <w:gridCol w:w="504"/>
        <w:gridCol w:w="109"/>
        <w:gridCol w:w="109"/>
        <w:gridCol w:w="109"/>
        <w:gridCol w:w="230"/>
        <w:gridCol w:w="720"/>
        <w:gridCol w:w="111"/>
        <w:gridCol w:w="111"/>
        <w:gridCol w:w="111"/>
        <w:gridCol w:w="111"/>
        <w:gridCol w:w="230"/>
        <w:gridCol w:w="720"/>
        <w:gridCol w:w="111"/>
        <w:gridCol w:w="109"/>
        <w:gridCol w:w="109"/>
        <w:gridCol w:w="109"/>
        <w:gridCol w:w="300"/>
        <w:gridCol w:w="301"/>
        <w:gridCol w:w="572"/>
      </w:tblGrid>
      <w:tr>
        <w:trPr/>
        <w:tc>
          <w:tcPr>
            <w:tcW w:w="609"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r>
      <w:tr>
        <w:trPr/>
        <w:tc>
          <w:tcPr>
            <w:tcW w:w="10205" w:type="dxa"/>
            <w:gridSpan w:val="39"/>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left"/>
              <w:rPr>
                <w:rFonts w:ascii="Allstate Sans;sans-serif" w:hAnsi="Allstate Sans;sans-serif"/>
                <w:b/>
                <w:color w:val="000000"/>
                <w:sz w:val="18"/>
              </w:rPr>
            </w:pPr>
            <w:r>
              <w:rPr>
                <w:rFonts w:ascii="Allstate Sans;sans-serif" w:hAnsi="Allstate Sans;sans-serif"/>
                <w:b/>
                <w:color w:val="000000"/>
                <w:sz w:val="18"/>
              </w:rPr>
              <w:t>Homeowners premium measures and statistics</w:t>
            </w:r>
          </w:p>
        </w:tc>
      </w:tr>
      <w:tr>
        <w:trPr/>
        <w:tc>
          <w:tcPr>
            <w:tcW w:w="1680"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Six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2026</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2026</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Change</w:t>
            </w:r>
          </w:p>
        </w:tc>
      </w:tr>
      <w:tr>
        <w:trPr/>
        <w:tc>
          <w:tcPr>
            <w:tcW w:w="1680" w:type="dxa"/>
            <w:gridSpan w:val="3"/>
            <w:tcBorders>
              <w:top w:val="single" w:sz="8" w:space="0" w:color="0A2299"/>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 xml:space="preserve">New issued applications (in thousands)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Allstate Protection by channel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Exclusive agency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260 </w:t>
            </w:r>
          </w:p>
        </w:tc>
        <w:tc>
          <w:tcPr>
            <w:tcW w:w="11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251 </w:t>
            </w:r>
          </w:p>
        </w:tc>
        <w:tc>
          <w:tcPr>
            <w:tcW w:w="11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3.6 </w:t>
            </w:r>
          </w:p>
        </w:tc>
        <w:tc>
          <w:tcPr>
            <w:tcW w:w="504"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501 </w:t>
            </w:r>
          </w:p>
        </w:tc>
        <w:tc>
          <w:tcPr>
            <w:tcW w:w="11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483 </w:t>
            </w:r>
          </w:p>
        </w:tc>
        <w:tc>
          <w:tcPr>
            <w:tcW w:w="11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3.7 </w:t>
            </w:r>
          </w:p>
        </w:tc>
        <w:tc>
          <w:tcPr>
            <w:tcW w:w="572"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r>
      <w:tr>
        <w:trPr/>
        <w:tc>
          <w:tcPr>
            <w:tcW w:w="168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Independent agency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65 </w:t>
            </w:r>
          </w:p>
        </w:tc>
        <w:tc>
          <w:tcPr>
            <w:tcW w:w="11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48 </w:t>
            </w:r>
          </w:p>
        </w:tc>
        <w:tc>
          <w:tcPr>
            <w:tcW w:w="11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35.4 </w:t>
            </w:r>
          </w:p>
        </w:tc>
        <w:tc>
          <w:tcPr>
            <w:tcW w:w="50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101 </w:t>
            </w:r>
          </w:p>
        </w:tc>
        <w:tc>
          <w:tcPr>
            <w:tcW w:w="11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95 </w:t>
            </w:r>
          </w:p>
        </w:tc>
        <w:tc>
          <w:tcPr>
            <w:tcW w:w="11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6.3 </w:t>
            </w:r>
          </w:p>
        </w:tc>
        <w:tc>
          <w:tcPr>
            <w:tcW w:w="57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Direct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86 </w:t>
            </w:r>
          </w:p>
        </w:tc>
        <w:tc>
          <w:tcPr>
            <w:tcW w:w="11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54 </w:t>
            </w:r>
          </w:p>
        </w:tc>
        <w:tc>
          <w:tcPr>
            <w:tcW w:w="11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59.3 </w:t>
            </w:r>
          </w:p>
        </w:tc>
        <w:tc>
          <w:tcPr>
            <w:tcW w:w="50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167 </w:t>
            </w:r>
          </w:p>
        </w:tc>
        <w:tc>
          <w:tcPr>
            <w:tcW w:w="11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95 </w:t>
            </w:r>
          </w:p>
        </w:tc>
        <w:tc>
          <w:tcPr>
            <w:tcW w:w="11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75.8 </w:t>
            </w:r>
          </w:p>
        </w:tc>
        <w:tc>
          <w:tcPr>
            <w:tcW w:w="57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 new issued applications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411</w:t>
            </w:r>
            <w:r>
              <w:rPr>
                <w:color w:val="000000"/>
              </w:rPr>
              <w:t> </w:t>
            </w:r>
          </w:p>
        </w:tc>
        <w:tc>
          <w:tcPr>
            <w:tcW w:w="11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353</w:t>
            </w:r>
            <w:r>
              <w:rPr>
                <w:color w:val="000000"/>
              </w:rPr>
              <w:t> </w:t>
            </w:r>
          </w:p>
        </w:tc>
        <w:tc>
          <w:tcPr>
            <w:tcW w:w="11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16.4</w:t>
            </w:r>
            <w:r>
              <w:rPr>
                <w:color w:val="000000"/>
              </w:rPr>
              <w:t> </w:t>
            </w:r>
          </w:p>
        </w:tc>
        <w:tc>
          <w:tcPr>
            <w:tcW w:w="504"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769</w:t>
            </w:r>
            <w:r>
              <w:rPr>
                <w:color w:val="000000"/>
              </w:rPr>
              <w:t> </w:t>
            </w:r>
          </w:p>
        </w:tc>
        <w:tc>
          <w:tcPr>
            <w:tcW w:w="11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673</w:t>
            </w:r>
            <w:r>
              <w:rPr>
                <w:color w:val="000000"/>
              </w:rPr>
              <w:t> </w:t>
            </w:r>
          </w:p>
        </w:tc>
        <w:tc>
          <w:tcPr>
            <w:tcW w:w="11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14.3</w:t>
            </w:r>
            <w:r>
              <w:rPr>
                <w:color w:val="000000"/>
              </w:rPr>
              <w:t> </w:t>
            </w:r>
          </w:p>
        </w:tc>
        <w:tc>
          <w:tcPr>
            <w:tcW w:w="572"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r>
      <w:tr>
        <w:trPr/>
        <w:tc>
          <w:tcPr>
            <w:tcW w:w="1680"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top w:val="single" w:sz="4" w:space="0" w:color="B6B6B6"/>
              <w:bottom w:val="single" w:sz="8" w:space="0" w:color="0A2299"/>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Allstate brand average premium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729"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2,399 </w:t>
            </w:r>
          </w:p>
        </w:tc>
        <w:tc>
          <w:tcPr>
            <w:tcW w:w="112"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729"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2,267 </w:t>
            </w:r>
          </w:p>
        </w:tc>
        <w:tc>
          <w:tcPr>
            <w:tcW w:w="112"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5.8 </w:t>
            </w:r>
          </w:p>
        </w:tc>
        <w:tc>
          <w:tcPr>
            <w:tcW w:w="504"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720"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2,382 </w:t>
            </w:r>
          </w:p>
        </w:tc>
        <w:tc>
          <w:tcPr>
            <w:tcW w:w="111"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720"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2,241 </w:t>
            </w:r>
          </w:p>
        </w:tc>
        <w:tc>
          <w:tcPr>
            <w:tcW w:w="111"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6.3 </w:t>
            </w:r>
          </w:p>
        </w:tc>
        <w:tc>
          <w:tcPr>
            <w:tcW w:w="572"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r>
      <w:tr>
        <w:trPr/>
        <w:tc>
          <w:tcPr>
            <w:tcW w:w="1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r>
      <w:tr>
        <w:trPr/>
        <w:tc>
          <w:tcPr>
            <w:tcW w:w="1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r>
      <w:tr>
        <w:trPr/>
        <w:tc>
          <w:tcPr>
            <w:tcW w:w="1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r>
      <w:tr>
        <w:trPr/>
        <w:tc>
          <w:tcPr>
            <w:tcW w:w="1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r>
      <w:tr>
        <w:trPr/>
        <w:tc>
          <w:tcPr>
            <w:tcW w:w="1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left"/>
        <w:rPr>
          <w:shd w:fill="FFFFFF" w:val="clear"/>
        </w:rPr>
      </w:pPr>
      <w:r>
        <w:rPr>
          <w:rFonts w:ascii="Allstate Sans;sans-serif" w:hAnsi="Allstate Sans;sans-serif"/>
          <w:b w:val="false"/>
          <w:i/>
          <w:color w:val="0033A0"/>
          <w:sz w:val="18"/>
          <w:shd w:fill="FFFFFF" w:val="clear"/>
        </w:rPr>
        <w:t>Specialty lines premiums written</w:t>
      </w:r>
      <w:r>
        <w:rPr>
          <w:color w:val="000000"/>
          <w:shd w:fill="FFFFFF" w:val="clear"/>
        </w:rPr>
        <w:t xml:space="preserve"> </w:t>
      </w:r>
      <w:r>
        <w:rPr>
          <w:rFonts w:ascii="Allstate Sans;sans-serif" w:hAnsi="Allstate Sans;sans-serif"/>
          <w:b w:val="false"/>
          <w:color w:val="000000"/>
          <w:sz w:val="18"/>
          <w:shd w:fill="FFFFFF" w:val="clear"/>
        </w:rPr>
        <w:t>increased 2.4% or $21 million in the second quarter of 2026 compared to the second quarter of 2025 and increased 3.8% or $60 million in the first six months of 2026 compared to the first six months of 2025, primarily due to increases in landlords and personal umbrella policies, partially offset by a decrease in auto assigned risk policies purchased from other carriers. In Florida, we are not writing new condominium business and we completed the non-renewal of certain policies during the second quarter of 2026.</w:t>
      </w:r>
    </w:p>
    <w:p>
      <w:pPr>
        <w:pStyle w:val="TextBody"/>
        <w:bidi w:val="0"/>
        <w:spacing w:lineRule="auto" w:line="288" w:before="0" w:after="120"/>
        <w:ind w:left="0" w:right="0" w:firstLine="360"/>
        <w:jc w:val="left"/>
        <w:rPr>
          <w:shd w:fill="FFFFFF" w:val="clear"/>
        </w:rPr>
      </w:pPr>
      <w:r>
        <w:rPr>
          <w:rFonts w:ascii="Allstate Sans;sans-serif" w:hAnsi="Allstate Sans;sans-serif"/>
          <w:b w:val="false"/>
          <w:i/>
          <w:color w:val="0033A0"/>
          <w:sz w:val="18"/>
          <w:shd w:fill="FFFFFF" w:val="clear"/>
        </w:rPr>
        <w:t>Commercial lines premiums written</w:t>
      </w:r>
      <w:r>
        <w:rPr>
          <w:color w:val="000000"/>
          <w:shd w:fill="FFFFFF" w:val="clear"/>
        </w:rPr>
        <w:t xml:space="preserve"> </w:t>
      </w:r>
      <w:r>
        <w:rPr>
          <w:rFonts w:ascii="Allstate Sans;sans-serif" w:hAnsi="Allstate Sans;sans-serif"/>
          <w:b w:val="false"/>
          <w:color w:val="000000"/>
          <w:sz w:val="18"/>
          <w:shd w:fill="FFFFFF" w:val="clear"/>
        </w:rPr>
        <w:t xml:space="preserve">increased 21.0% or $21 million in the second quarter of 2026 compared to the second quarter of 2025 and increased 20.1% or $39 million in the first six months of 2026 </w:t>
      </w:r>
    </w:p>
    <w:p>
      <w:pPr>
        <w:pStyle w:val="TextBody"/>
        <w:bidi w:val="0"/>
        <w:spacing w:lineRule="auto" w:line="288" w:before="0" w:after="120"/>
        <w:jc w:val="left"/>
        <w:rPr>
          <w:rFonts w:ascii="Allstate Sans;sans-serif" w:hAnsi="Allstate Sans;sans-serif"/>
          <w:b w:val="false"/>
          <w:color w:val="000000"/>
          <w:sz w:val="18"/>
          <w:shd w:fill="FFFFFF" w:val="clear"/>
        </w:rPr>
      </w:pPr>
      <w:r>
        <w:rPr>
          <w:rFonts w:ascii="Allstate Sans;sans-serif" w:hAnsi="Allstate Sans;sans-serif"/>
          <w:b w:val="false"/>
          <w:color w:val="000000"/>
          <w:sz w:val="18"/>
          <w:shd w:fill="FFFFFF" w:val="clear"/>
        </w:rPr>
        <w:t xml:space="preserve">compared to the first six months of 2025, primarily due to an increase in new issued applications and higher average premiums from current offerings. </w:t>
      </w:r>
    </w:p>
    <w:p>
      <w:pPr>
        <w:pStyle w:val="TextBody"/>
        <w:bidi w:val="0"/>
        <w:spacing w:lineRule="auto" w:line="288" w:before="0" w:after="120"/>
        <w:ind w:left="0" w:right="0" w:firstLine="360"/>
        <w:jc w:val="left"/>
        <w:rPr>
          <w:shd w:fill="FFFFFF" w:val="clear"/>
        </w:rPr>
      </w:pPr>
      <w:r>
        <w:rPr>
          <w:rFonts w:ascii="Allstate Sans;sans-serif" w:hAnsi="Allstate Sans;sans-serif"/>
          <w:b w:val="false"/>
          <w:i/>
          <w:color w:val="0033A0"/>
          <w:sz w:val="18"/>
          <w:shd w:fill="FFFFFF" w:val="clear"/>
        </w:rPr>
        <w:t xml:space="preserve">Brokered solutions and collateral protection premiums written </w:t>
      </w:r>
      <w:r>
        <w:rPr>
          <w:rFonts w:ascii="Allstate Sans;sans-serif" w:hAnsi="Allstate Sans;sans-serif"/>
          <w:b w:val="false"/>
          <w:color w:val="000000"/>
          <w:sz w:val="18"/>
          <w:shd w:fill="FFFFFF" w:val="clear"/>
        </w:rPr>
        <w:t>decreased 35.1% or $54 million in the second quarter of 2026 compared to the second quarter of 2025 and decreased 22.3% or $73 million in the first six months of 2026 compared to the first six months of 2025, due to lower premiums from lender-placed agent business.</w:t>
      </w:r>
    </w:p>
    <w:p>
      <w:pPr>
        <w:pStyle w:val="TextBody"/>
        <w:bidi w:val="0"/>
        <w:spacing w:lineRule="auto" w:line="288" w:before="0" w:after="120"/>
        <w:ind w:left="0" w:right="0" w:firstLine="360"/>
        <w:jc w:val="left"/>
        <w:rPr>
          <w:shd w:fill="FFFFFF" w:val="clear"/>
        </w:rPr>
      </w:pPr>
      <w:r>
        <w:rPr>
          <w:rFonts w:ascii="Allstate Sans;sans-serif" w:hAnsi="Allstate Sans;sans-serif"/>
          <w:b/>
          <w:color w:val="0033A0"/>
          <w:sz w:val="18"/>
          <w:shd w:fill="FFFFFF" w:val="clear"/>
        </w:rPr>
        <w:t>GAAP operating ratios</w:t>
      </w:r>
      <w:r>
        <w:rPr>
          <w:color w:val="0033A0"/>
          <w:shd w:fill="FFFFFF" w:val="clear"/>
        </w:rPr>
        <w:t xml:space="preserve"> </w:t>
      </w:r>
      <w:r>
        <w:rPr>
          <w:rFonts w:ascii="Allstate Sans;sans-serif" w:hAnsi="Allstate Sans;sans-serif"/>
          <w:b w:val="false"/>
          <w:color w:val="000000"/>
          <w:sz w:val="18"/>
          <w:shd w:fill="FFFFFF" w:val="clear"/>
        </w:rPr>
        <w:t>include loss ratio, expense ratio and combined ratio to analyze our profitability trends. Frequency and severity changes are used to describe the trends in loss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59"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120"/>
                              <w:jc w:val="left"/>
                              <w:rPr/>
                            </w:pPr>
                            <w:r>
                              <w:rPr>
                                <w:rFonts w:ascii="Allstate Sans;sans-serif" w:hAnsi="Allstate Sans;sans-serif"/>
                                <w:b w:val="false"/>
                                <w:color w:val="0033A0"/>
                                <w:sz w:val="18"/>
                              </w:rPr>
                              <w:t>50</w:t>
                            </w:r>
                            <w:r>
                              <w:rPr>
                                <w:color w:val="1666AF"/>
                              </w:rPr>
                              <w:t xml:space="preserve"> </w:t>
                            </w:r>
                            <w:r>
                              <w:rPr>
                                <w:rFonts w:ascii="Allstate Sans;sans-serif" w:hAnsi="Allstate Sans;sans-serif"/>
                                <w:b w:val="false"/>
                                <w:color w:val="000000"/>
                                <w:sz w:val="18"/>
                              </w:rPr>
                              <w:t>www.allstate.com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left"/>
                        <w:rPr/>
                      </w:pPr>
                      <w:r>
                        <w:rPr>
                          <w:rFonts w:ascii="Allstate Sans;sans-serif" w:hAnsi="Allstate Sans;sans-serif"/>
                          <w:b w:val="false"/>
                          <w:color w:val="0033A0"/>
                          <w:sz w:val="18"/>
                        </w:rPr>
                        <w:t>50</w:t>
                      </w:r>
                      <w:r>
                        <w:rPr>
                          <w:color w:val="1666AF"/>
                        </w:rPr>
                        <w:t xml:space="preserve"> </w:t>
                      </w:r>
                      <w:r>
                        <w:rPr>
                          <w:rFonts w:ascii="Allstate Sans;sans-serif" w:hAnsi="Allstate Sans;sans-serif"/>
                          <w:b w:val="false"/>
                          <w:color w:val="000000"/>
                          <w:sz w:val="18"/>
                        </w:rPr>
                        <w:t>www.allstate.com</w:t>
                      </w:r>
                    </w:p>
                  </w:txbxContent>
                </v:textbox>
                <w10:wrap type="none"/>
              </v:rect>
            </w:pict>
          </mc:Fallback>
        </mc:AlternateContent>
      </w:r>
    </w:p>
    <w:p>
      <w:pPr>
        <w:pStyle w:val="TextBody"/>
        <w:bidi w:val="0"/>
        <w:spacing w:lineRule="auto" w:line="288" w:before="0" w:after="120"/>
        <w:ind w:left="0" w:right="0" w:firstLine="360"/>
        <w:jc w:val="right"/>
        <w:rPr>
          <w:shd w:fill="FFFFFF" w:val="clear"/>
        </w:rPr>
      </w:pPr>
      <w:r>
        <w:rPr>
          <w:rFonts w:ascii="Allstate Sans;sans-serif" w:hAnsi="Allstate Sans;sans-serif"/>
          <w:b w:val="false"/>
          <w:color w:val="000000"/>
          <w:sz w:val="18"/>
          <w:shd w:fill="FFFFFF" w:val="clear"/>
        </w:rPr>
        <w:t>Allstate Protection</w:t>
      </w:r>
      <w:r>
        <w:rPr>
          <w:color w:val="1666AF"/>
          <w:shd w:fill="FFFFFF" w:val="clear"/>
        </w:rPr>
        <w:t xml:space="preserve"> </w:t>
      </w:r>
      <w:r>
        <w:rPr>
          <w:rFonts w:ascii="Allstate Sans;sans-serif" w:hAnsi="Allstate Sans;sans-serif"/>
          <w:b w:val="false"/>
          <w:color w:val="0033A0"/>
          <w:sz w:val="18"/>
          <w:shd w:fill="FFFFFF" w:val="clear"/>
        </w:rPr>
        <w:t>Segment Results</w:t>
      </w:r>
      <w:r>
        <w:rPr>
          <w:color w:val="005BA5"/>
          <w:shd w:fill="FFFFFF" w:val="clear"/>
        </w:rPr>
        <w:t xml:space="preserve"> </w:t>
      </w:r>
    </w:p>
    <w:tbl>
      <w:tblPr>
        <w:tblW w:w="10205" w:type="dxa"/>
        <w:jc w:val="left"/>
        <w:tblInd w:w="0" w:type="dxa"/>
        <w:tblLayout w:type="fixed"/>
        <w:tblCellMar>
          <w:top w:w="28" w:type="dxa"/>
          <w:left w:w="28" w:type="dxa"/>
          <w:bottom w:w="28" w:type="dxa"/>
          <w:right w:w="28" w:type="dxa"/>
        </w:tblCellMar>
      </w:tblPr>
      <w:tblGrid>
        <w:gridCol w:w="1209"/>
        <w:gridCol w:w="891"/>
        <w:gridCol w:w="894"/>
        <w:gridCol w:w="109"/>
        <w:gridCol w:w="109"/>
        <w:gridCol w:w="109"/>
        <w:gridCol w:w="300"/>
        <w:gridCol w:w="301"/>
        <w:gridCol w:w="196"/>
        <w:gridCol w:w="115"/>
        <w:gridCol w:w="115"/>
        <w:gridCol w:w="115"/>
        <w:gridCol w:w="300"/>
        <w:gridCol w:w="301"/>
        <w:gridCol w:w="196"/>
        <w:gridCol w:w="109"/>
        <w:gridCol w:w="109"/>
        <w:gridCol w:w="109"/>
        <w:gridCol w:w="300"/>
        <w:gridCol w:w="301"/>
        <w:gridCol w:w="196"/>
        <w:gridCol w:w="152"/>
        <w:gridCol w:w="152"/>
        <w:gridCol w:w="152"/>
        <w:gridCol w:w="300"/>
        <w:gridCol w:w="301"/>
        <w:gridCol w:w="196"/>
        <w:gridCol w:w="109"/>
        <w:gridCol w:w="109"/>
        <w:gridCol w:w="109"/>
        <w:gridCol w:w="300"/>
        <w:gridCol w:w="301"/>
        <w:gridCol w:w="196"/>
        <w:gridCol w:w="154"/>
        <w:gridCol w:w="154"/>
        <w:gridCol w:w="154"/>
        <w:gridCol w:w="353"/>
        <w:gridCol w:w="353"/>
        <w:gridCol w:w="276"/>
      </w:tblGrid>
      <w:tr>
        <w:trPr/>
        <w:tc>
          <w:tcPr>
            <w:tcW w:w="1209"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r>
      <w:tr>
        <w:trPr/>
        <w:tc>
          <w:tcPr>
            <w:tcW w:w="10205" w:type="dxa"/>
            <w:gridSpan w:val="39"/>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120" w:after="283"/>
              <w:jc w:val="left"/>
              <w:rPr>
                <w:rFonts w:ascii="Allstate Sans;sans-serif" w:hAnsi="Allstate Sans;sans-serif"/>
                <w:b/>
                <w:color w:val="000000"/>
                <w:sz w:val="18"/>
              </w:rPr>
            </w:pPr>
            <w:r>
              <w:rPr>
                <w:rFonts w:ascii="Allstate Sans;sans-serif" w:hAnsi="Allstate Sans;sans-serif"/>
                <w:b/>
                <w:color w:val="000000"/>
                <w:sz w:val="18"/>
              </w:rPr>
              <w:t>Combined ratios</w:t>
            </w:r>
          </w:p>
        </w:tc>
      </w:tr>
      <w:tr>
        <w:trPr/>
        <w:tc>
          <w:tcPr>
            <w:tcW w:w="29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Loss ratio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Helvetica_Neue_LT_W1G_55_Roman;sans-serif" w:hAnsi="Helvetica_Neue_LT_W1G_55_Roman;sans-serif"/>
                <w:b/>
                <w:color w:val="000000"/>
                <w:sz w:val="18"/>
              </w:rPr>
              <w:t>Expense ratio</w:t>
            </w:r>
            <w:r>
              <w:rPr>
                <w:color w:val="000000"/>
              </w:rPr>
              <w:t xml:space="preserve"> </w:t>
            </w:r>
            <w:r>
              <w:rPr>
                <w:rFonts w:ascii="Helvetica_Neue_LT_W1G_55_Roman;sans-serif" w:hAnsi="Helvetica_Neue_LT_W1G_55_Roman;sans-serif"/>
                <w:b w:val="false"/>
                <w:color w:val="000000"/>
                <w:sz w:val="12"/>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Combined ratio</w:t>
            </w:r>
          </w:p>
        </w:tc>
      </w:tr>
      <w:tr>
        <w:trPr/>
        <w:tc>
          <w:tcPr>
            <w:tcW w:w="2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2026</w:t>
            </w:r>
          </w:p>
        </w:tc>
        <w:tc>
          <w:tcPr>
            <w:tcW w:w="34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2026</w:t>
            </w:r>
          </w:p>
        </w:tc>
        <w:tc>
          <w:tcPr>
            <w:tcW w:w="45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2026</w:t>
            </w:r>
          </w:p>
        </w:tc>
        <w:tc>
          <w:tcPr>
            <w:tcW w:w="46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2025</w:t>
            </w:r>
          </w:p>
        </w:tc>
      </w:tr>
      <w:tr>
        <w:trPr/>
        <w:tc>
          <w:tcPr>
            <w:tcW w:w="2994"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4"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Auto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61.4 </w:t>
            </w:r>
          </w:p>
        </w:tc>
        <w:tc>
          <w:tcPr>
            <w:tcW w:w="19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65.0 </w:t>
            </w:r>
          </w:p>
        </w:tc>
        <w:tc>
          <w:tcPr>
            <w:tcW w:w="19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21.9 </w:t>
            </w:r>
          </w:p>
        </w:tc>
        <w:tc>
          <w:tcPr>
            <w:tcW w:w="19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21.0 </w:t>
            </w:r>
          </w:p>
        </w:tc>
        <w:tc>
          <w:tcPr>
            <w:tcW w:w="19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83.3 </w:t>
            </w:r>
          </w:p>
        </w:tc>
        <w:tc>
          <w:tcPr>
            <w:tcW w:w="19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86.0 </w:t>
            </w:r>
          </w:p>
        </w:tc>
        <w:tc>
          <w:tcPr>
            <w:tcW w:w="27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4"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Homeowners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72.4 </w:t>
            </w:r>
          </w:p>
        </w:tc>
        <w:tc>
          <w:tcPr>
            <w:tcW w:w="196"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81.2 </w:t>
            </w:r>
          </w:p>
        </w:tc>
        <w:tc>
          <w:tcPr>
            <w:tcW w:w="196"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22.2 </w:t>
            </w:r>
          </w:p>
        </w:tc>
        <w:tc>
          <w:tcPr>
            <w:tcW w:w="196"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20.8 </w:t>
            </w:r>
          </w:p>
        </w:tc>
        <w:tc>
          <w:tcPr>
            <w:tcW w:w="196"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94.6 </w:t>
            </w:r>
          </w:p>
        </w:tc>
        <w:tc>
          <w:tcPr>
            <w:tcW w:w="196"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102.0 </w:t>
            </w:r>
          </w:p>
        </w:tc>
        <w:tc>
          <w:tcPr>
            <w:tcW w:w="276"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4"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0"/>
              <w:jc w:val="left"/>
              <w:rPr/>
            </w:pPr>
            <w:r>
              <w:rPr>
                <w:rFonts w:ascii="Helvetica_Neue_LT_W1G_55_Roman;sans-serif" w:hAnsi="Helvetica_Neue_LT_W1G_55_Roman;sans-serif"/>
                <w:b w:val="false"/>
                <w:color w:val="000000"/>
                <w:sz w:val="18"/>
              </w:rPr>
              <w:t xml:space="preserve">Specialty lines </w:t>
            </w:r>
            <w:r>
              <w:rPr>
                <w:rFonts w:ascii="Helvetica_Neue_LT_W1G_55_Roman;sans-serif" w:hAnsi="Helvetica_Neue_LT_W1G_55_Roman;sans-serif"/>
                <w:b w:val="false"/>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68.5 </w:t>
            </w:r>
          </w:p>
        </w:tc>
        <w:tc>
          <w:tcPr>
            <w:tcW w:w="196"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86.1 </w:t>
            </w:r>
          </w:p>
        </w:tc>
        <w:tc>
          <w:tcPr>
            <w:tcW w:w="196"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18.4 </w:t>
            </w:r>
          </w:p>
        </w:tc>
        <w:tc>
          <w:tcPr>
            <w:tcW w:w="196"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15.3 </w:t>
            </w:r>
          </w:p>
        </w:tc>
        <w:tc>
          <w:tcPr>
            <w:tcW w:w="196"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86.9 </w:t>
            </w:r>
          </w:p>
        </w:tc>
        <w:tc>
          <w:tcPr>
            <w:tcW w:w="196"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101.4 </w:t>
            </w:r>
          </w:p>
        </w:tc>
        <w:tc>
          <w:tcPr>
            <w:tcW w:w="276"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4"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Commercial lines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71.0 </w:t>
            </w:r>
          </w:p>
        </w:tc>
        <w:tc>
          <w:tcPr>
            <w:tcW w:w="196"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84.6 </w:t>
            </w:r>
          </w:p>
        </w:tc>
        <w:tc>
          <w:tcPr>
            <w:tcW w:w="196"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16.9 </w:t>
            </w:r>
          </w:p>
        </w:tc>
        <w:tc>
          <w:tcPr>
            <w:tcW w:w="196"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31.7 </w:t>
            </w:r>
          </w:p>
        </w:tc>
        <w:tc>
          <w:tcPr>
            <w:tcW w:w="196"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87.9 </w:t>
            </w:r>
          </w:p>
        </w:tc>
        <w:tc>
          <w:tcPr>
            <w:tcW w:w="196"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116.3 </w:t>
            </w:r>
          </w:p>
        </w:tc>
        <w:tc>
          <w:tcPr>
            <w:tcW w:w="276"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4"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Brokered solutions and collateral protection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45.8 </w:t>
            </w:r>
          </w:p>
        </w:tc>
        <w:tc>
          <w:tcPr>
            <w:tcW w:w="196"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38.4 </w:t>
            </w:r>
          </w:p>
        </w:tc>
        <w:tc>
          <w:tcPr>
            <w:tcW w:w="196"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18.1 </w:t>
            </w:r>
          </w:p>
        </w:tc>
        <w:tc>
          <w:tcPr>
            <w:tcW w:w="196"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28.7 </w:t>
            </w:r>
          </w:p>
        </w:tc>
        <w:tc>
          <w:tcPr>
            <w:tcW w:w="196"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63.9 </w:t>
            </w:r>
          </w:p>
        </w:tc>
        <w:tc>
          <w:tcPr>
            <w:tcW w:w="196"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67.1 </w:t>
            </w:r>
          </w:p>
        </w:tc>
        <w:tc>
          <w:tcPr>
            <w:tcW w:w="276"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4" w:type="dxa"/>
            <w:gridSpan w:val="3"/>
            <w:tcBorders>
              <w:top w:val="single" w:sz="4"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4"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4"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4"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4"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4"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4"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4"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64.8</w:t>
            </w:r>
            <w:r>
              <w:rPr>
                <w:color w:val="000000"/>
              </w:rPr>
              <w:t> </w:t>
            </w:r>
          </w:p>
        </w:tc>
        <w:tc>
          <w:tcPr>
            <w:tcW w:w="196"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70.3</w:t>
            </w:r>
            <w:r>
              <w:rPr>
                <w:color w:val="000000"/>
              </w:rPr>
              <w:t> </w:t>
            </w:r>
          </w:p>
        </w:tc>
        <w:tc>
          <w:tcPr>
            <w:tcW w:w="196"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21.8</w:t>
            </w:r>
            <w:r>
              <w:rPr>
                <w:color w:val="000000"/>
              </w:rPr>
              <w:t> </w:t>
            </w:r>
          </w:p>
        </w:tc>
        <w:tc>
          <w:tcPr>
            <w:tcW w:w="196"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20.8</w:t>
            </w:r>
            <w:r>
              <w:rPr>
                <w:color w:val="000000"/>
              </w:rPr>
              <w:t> </w:t>
            </w:r>
          </w:p>
        </w:tc>
        <w:tc>
          <w:tcPr>
            <w:tcW w:w="196"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86.6</w:t>
            </w:r>
            <w:r>
              <w:rPr>
                <w:color w:val="000000"/>
              </w:rPr>
              <w:t> </w:t>
            </w:r>
          </w:p>
        </w:tc>
        <w:tc>
          <w:tcPr>
            <w:tcW w:w="196"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91.1</w:t>
            </w:r>
            <w:r>
              <w:rPr>
                <w:color w:val="000000"/>
              </w:rPr>
              <w:t> </w:t>
            </w:r>
          </w:p>
        </w:tc>
        <w:tc>
          <w:tcPr>
            <w:tcW w:w="276"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4"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Impact of amortization of purchased intangibles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4"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0.3 </w:t>
            </w:r>
          </w:p>
        </w:tc>
        <w:tc>
          <w:tcPr>
            <w:tcW w:w="196"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0.3 </w:t>
            </w:r>
          </w:p>
        </w:tc>
        <w:tc>
          <w:tcPr>
            <w:tcW w:w="19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0.3 </w:t>
            </w:r>
          </w:p>
        </w:tc>
        <w:tc>
          <w:tcPr>
            <w:tcW w:w="19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0.3 </w:t>
            </w:r>
          </w:p>
        </w:tc>
        <w:tc>
          <w:tcPr>
            <w:tcW w:w="27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4"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Impact of restructuring and related charges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0.1 </w:t>
            </w:r>
          </w:p>
        </w:tc>
        <w:tc>
          <w:tcPr>
            <w:tcW w:w="19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0.1 </w:t>
            </w:r>
          </w:p>
        </w:tc>
        <w:tc>
          <w:tcPr>
            <w:tcW w:w="27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4"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4"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4"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Auto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61.0 </w:t>
            </w:r>
          </w:p>
        </w:tc>
        <w:tc>
          <w:tcPr>
            <w:tcW w:w="19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67.1 </w:t>
            </w:r>
          </w:p>
        </w:tc>
        <w:tc>
          <w:tcPr>
            <w:tcW w:w="19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21.6 </w:t>
            </w:r>
          </w:p>
        </w:tc>
        <w:tc>
          <w:tcPr>
            <w:tcW w:w="19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21.5 </w:t>
            </w:r>
          </w:p>
        </w:tc>
        <w:tc>
          <w:tcPr>
            <w:tcW w:w="19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82.6 </w:t>
            </w:r>
          </w:p>
        </w:tc>
        <w:tc>
          <w:tcPr>
            <w:tcW w:w="19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88.6 </w:t>
            </w:r>
          </w:p>
        </w:tc>
        <w:tc>
          <w:tcPr>
            <w:tcW w:w="27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4"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Homeowners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67.0 </w:t>
            </w:r>
          </w:p>
        </w:tc>
        <w:tc>
          <w:tcPr>
            <w:tcW w:w="196"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86.4 </w:t>
            </w:r>
          </w:p>
        </w:tc>
        <w:tc>
          <w:tcPr>
            <w:tcW w:w="196"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22.1 </w:t>
            </w:r>
          </w:p>
        </w:tc>
        <w:tc>
          <w:tcPr>
            <w:tcW w:w="196"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20.7 </w:t>
            </w:r>
          </w:p>
        </w:tc>
        <w:tc>
          <w:tcPr>
            <w:tcW w:w="196"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89.1 </w:t>
            </w:r>
          </w:p>
        </w:tc>
        <w:tc>
          <w:tcPr>
            <w:tcW w:w="196"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107.1 </w:t>
            </w:r>
          </w:p>
        </w:tc>
        <w:tc>
          <w:tcPr>
            <w:tcW w:w="276"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4"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0"/>
              <w:jc w:val="left"/>
              <w:rPr/>
            </w:pPr>
            <w:r>
              <w:rPr>
                <w:rFonts w:ascii="Helvetica_Neue_LT_W1G_55_Roman;sans-serif" w:hAnsi="Helvetica_Neue_LT_W1G_55_Roman;sans-serif"/>
                <w:b w:val="false"/>
                <w:color w:val="000000"/>
                <w:sz w:val="18"/>
              </w:rPr>
              <w:t xml:space="preserve">Specialty lines </w:t>
            </w:r>
            <w:r>
              <w:rPr>
                <w:rFonts w:ascii="Helvetica_Neue_LT_W1G_55_Roman;sans-serif" w:hAnsi="Helvetica_Neue_LT_W1G_55_Roman;sans-serif"/>
                <w:b w:val="false"/>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66.2 </w:t>
            </w:r>
          </w:p>
        </w:tc>
        <w:tc>
          <w:tcPr>
            <w:tcW w:w="196"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88.6 </w:t>
            </w:r>
          </w:p>
        </w:tc>
        <w:tc>
          <w:tcPr>
            <w:tcW w:w="196"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17.7 </w:t>
            </w:r>
          </w:p>
        </w:tc>
        <w:tc>
          <w:tcPr>
            <w:tcW w:w="196"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16.4 </w:t>
            </w:r>
          </w:p>
        </w:tc>
        <w:tc>
          <w:tcPr>
            <w:tcW w:w="196"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83.9 </w:t>
            </w:r>
          </w:p>
        </w:tc>
        <w:tc>
          <w:tcPr>
            <w:tcW w:w="196"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105.0 </w:t>
            </w:r>
          </w:p>
        </w:tc>
        <w:tc>
          <w:tcPr>
            <w:tcW w:w="276"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4"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Commercial lines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64.0 </w:t>
            </w:r>
          </w:p>
        </w:tc>
        <w:tc>
          <w:tcPr>
            <w:tcW w:w="196"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71.0 </w:t>
            </w:r>
          </w:p>
        </w:tc>
        <w:tc>
          <w:tcPr>
            <w:tcW w:w="196"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19.7 </w:t>
            </w:r>
          </w:p>
        </w:tc>
        <w:tc>
          <w:tcPr>
            <w:tcW w:w="196"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29.5 </w:t>
            </w:r>
          </w:p>
        </w:tc>
        <w:tc>
          <w:tcPr>
            <w:tcW w:w="196"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83.7 </w:t>
            </w:r>
          </w:p>
        </w:tc>
        <w:tc>
          <w:tcPr>
            <w:tcW w:w="196"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100.5 </w:t>
            </w:r>
          </w:p>
        </w:tc>
        <w:tc>
          <w:tcPr>
            <w:tcW w:w="276"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4"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Brokered solutions and collateral protection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40.5 </w:t>
            </w:r>
          </w:p>
        </w:tc>
        <w:tc>
          <w:tcPr>
            <w:tcW w:w="196"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44.2 </w:t>
            </w:r>
          </w:p>
        </w:tc>
        <w:tc>
          <w:tcPr>
            <w:tcW w:w="196"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22.6 </w:t>
            </w:r>
          </w:p>
        </w:tc>
        <w:tc>
          <w:tcPr>
            <w:tcW w:w="196"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27.3 </w:t>
            </w:r>
          </w:p>
        </w:tc>
        <w:tc>
          <w:tcPr>
            <w:tcW w:w="196"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63.1 </w:t>
            </w:r>
          </w:p>
        </w:tc>
        <w:tc>
          <w:tcPr>
            <w:tcW w:w="196"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71.5 </w:t>
            </w:r>
          </w:p>
        </w:tc>
        <w:tc>
          <w:tcPr>
            <w:tcW w:w="276"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4" w:type="dxa"/>
            <w:gridSpan w:val="3"/>
            <w:tcBorders>
              <w:top w:val="single" w:sz="4"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4"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4"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4"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4"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4"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4"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4"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62.8</w:t>
            </w:r>
            <w:r>
              <w:rPr>
                <w:color w:val="000000"/>
              </w:rPr>
              <w:t> </w:t>
            </w:r>
          </w:p>
        </w:tc>
        <w:tc>
          <w:tcPr>
            <w:tcW w:w="196"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73.1</w:t>
            </w:r>
            <w:r>
              <w:rPr>
                <w:color w:val="000000"/>
              </w:rPr>
              <w:t> </w:t>
            </w:r>
          </w:p>
        </w:tc>
        <w:tc>
          <w:tcPr>
            <w:tcW w:w="196"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21.5</w:t>
            </w:r>
            <w:r>
              <w:rPr>
                <w:color w:val="000000"/>
              </w:rPr>
              <w:t> </w:t>
            </w:r>
          </w:p>
        </w:tc>
        <w:tc>
          <w:tcPr>
            <w:tcW w:w="196"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21.1</w:t>
            </w:r>
            <w:r>
              <w:rPr>
                <w:color w:val="000000"/>
              </w:rPr>
              <w:t> </w:t>
            </w:r>
          </w:p>
        </w:tc>
        <w:tc>
          <w:tcPr>
            <w:tcW w:w="196"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84.3</w:t>
            </w:r>
            <w:r>
              <w:rPr>
                <w:color w:val="000000"/>
              </w:rPr>
              <w:t> </w:t>
            </w:r>
          </w:p>
        </w:tc>
        <w:tc>
          <w:tcPr>
            <w:tcW w:w="196"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94.2</w:t>
            </w:r>
            <w:r>
              <w:rPr>
                <w:color w:val="000000"/>
              </w:rPr>
              <w:t> </w:t>
            </w:r>
          </w:p>
        </w:tc>
        <w:tc>
          <w:tcPr>
            <w:tcW w:w="276"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4"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Impact of amortization of purchased intangibles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4"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4"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0.3 </w:t>
            </w:r>
          </w:p>
        </w:tc>
        <w:tc>
          <w:tcPr>
            <w:tcW w:w="196"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0.3 </w:t>
            </w:r>
          </w:p>
        </w:tc>
        <w:tc>
          <w:tcPr>
            <w:tcW w:w="196"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0.3 </w:t>
            </w:r>
          </w:p>
        </w:tc>
        <w:tc>
          <w:tcPr>
            <w:tcW w:w="196"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0.3 </w:t>
            </w:r>
          </w:p>
        </w:tc>
        <w:tc>
          <w:tcPr>
            <w:tcW w:w="276"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4" w:type="dxa"/>
            <w:gridSpan w:val="3"/>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Impact of restructuring and related charges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4" w:space="0" w:color="B6B6B6"/>
              <w:bottom w:val="single" w:sz="8" w:space="0" w:color="0033A0"/>
            </w:tcBorders>
            <w:tcMar>
              <w:left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4" w:space="0" w:color="B6B6B6"/>
              <w:bottom w:val="single" w:sz="8" w:space="0" w:color="0033A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0.1 </w:t>
            </w:r>
          </w:p>
        </w:tc>
        <w:tc>
          <w:tcPr>
            <w:tcW w:w="19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0.1 </w:t>
            </w:r>
          </w:p>
        </w:tc>
        <w:tc>
          <w:tcPr>
            <w:tcW w:w="27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180"/>
        <w:jc w:val="left"/>
        <w:rPr>
          <w:shd w:fill="FFFFFF" w:val="clear"/>
        </w:rPr>
      </w:pPr>
      <w:r>
        <w:rPr>
          <w:rFonts w:ascii="Allstate Sans;sans-serif" w:hAnsi="Allstate Sans;sans-serif"/>
          <w:b w:val="false"/>
          <w:color w:val="000000"/>
          <w:sz w:val="10"/>
          <w:shd w:fill="FFFFFF" w:val="clear"/>
        </w:rPr>
        <w:t>(1)</w:t>
      </w:r>
      <w:r>
        <w:rPr>
          <w:rFonts w:ascii="Allstate Sans;sans-serif" w:hAnsi="Allstate Sans;sans-serif"/>
          <w:b w:val="false"/>
          <w:color w:val="000000"/>
          <w:sz w:val="16"/>
          <w:shd w:fill="FFFFFF" w:val="clear"/>
        </w:rPr>
        <w:t>Expense ratio includes other revenue of $42 million and $86 million for the three and six months ended June 30, 2026, respectively, compared to $47 million and $91 million for the three and six months ended June 30, 2025, respectively, for fees on auto assigned risk policies.</w:t>
      </w:r>
    </w:p>
    <w:p>
      <w:pPr>
        <w:pStyle w:val="TextBody"/>
        <w:bidi w:val="0"/>
        <w:spacing w:lineRule="auto" w:line="288" w:before="0" w:after="120"/>
        <w:ind w:left="0" w:right="0" w:hanging="180"/>
        <w:jc w:val="left"/>
        <w:rPr>
          <w:shd w:fill="FFFFFF" w:val="clear"/>
        </w:rPr>
      </w:pPr>
      <w:r>
        <w:rPr>
          <w:rFonts w:ascii="Allstate Sans;sans-serif" w:hAnsi="Allstate Sans;sans-serif"/>
          <w:b w:val="false"/>
          <w:color w:val="000000"/>
          <w:sz w:val="10"/>
          <w:shd w:fill="FFFFFF" w:val="clear"/>
        </w:rPr>
        <w:t>(2)</w:t>
      </w:r>
      <w:r>
        <w:rPr>
          <w:rFonts w:ascii="Allstate Sans;sans-serif" w:hAnsi="Allstate Sans;sans-serif"/>
          <w:b w:val="false"/>
          <w:color w:val="000000"/>
          <w:sz w:val="16"/>
          <w:shd w:fill="FFFFFF" w:val="clear"/>
        </w:rPr>
        <w:t>Other revenue is deducted from operating costs and expenses in the expense ratio calculation.</w:t>
      </w:r>
    </w:p>
    <w:tbl>
      <w:tblPr>
        <w:tblW w:w="10205" w:type="dxa"/>
        <w:jc w:val="left"/>
        <w:tblInd w:w="0" w:type="dxa"/>
        <w:tblLayout w:type="fixed"/>
        <w:tblCellMar>
          <w:top w:w="28" w:type="dxa"/>
          <w:left w:w="28" w:type="dxa"/>
          <w:bottom w:w="28" w:type="dxa"/>
          <w:right w:w="28" w:type="dxa"/>
        </w:tblCellMar>
      </w:tblPr>
      <w:tblGrid>
        <w:gridCol w:w="725"/>
        <w:gridCol w:w="300"/>
        <w:gridCol w:w="301"/>
        <w:gridCol w:w="109"/>
        <w:gridCol w:w="109"/>
        <w:gridCol w:w="109"/>
        <w:gridCol w:w="300"/>
        <w:gridCol w:w="301"/>
        <w:gridCol w:w="196"/>
        <w:gridCol w:w="109"/>
        <w:gridCol w:w="109"/>
        <w:gridCol w:w="109"/>
        <w:gridCol w:w="300"/>
        <w:gridCol w:w="301"/>
        <w:gridCol w:w="196"/>
        <w:gridCol w:w="109"/>
        <w:gridCol w:w="109"/>
        <w:gridCol w:w="109"/>
        <w:gridCol w:w="327"/>
        <w:gridCol w:w="274"/>
        <w:gridCol w:w="149"/>
        <w:gridCol w:w="149"/>
        <w:gridCol w:w="149"/>
        <w:gridCol w:w="149"/>
        <w:gridCol w:w="327"/>
        <w:gridCol w:w="274"/>
        <w:gridCol w:w="153"/>
        <w:gridCol w:w="109"/>
        <w:gridCol w:w="109"/>
        <w:gridCol w:w="109"/>
        <w:gridCol w:w="454"/>
        <w:gridCol w:w="151"/>
        <w:gridCol w:w="150"/>
        <w:gridCol w:w="150"/>
        <w:gridCol w:w="150"/>
        <w:gridCol w:w="150"/>
        <w:gridCol w:w="351"/>
        <w:gridCol w:w="150"/>
        <w:gridCol w:w="157"/>
        <w:gridCol w:w="109"/>
        <w:gridCol w:w="109"/>
        <w:gridCol w:w="109"/>
        <w:gridCol w:w="340"/>
        <w:gridCol w:w="154"/>
        <w:gridCol w:w="154"/>
        <w:gridCol w:w="154"/>
        <w:gridCol w:w="154"/>
        <w:gridCol w:w="154"/>
        <w:gridCol w:w="340"/>
        <w:gridCol w:w="154"/>
        <w:gridCol w:w="232"/>
      </w:tblGrid>
      <w:tr>
        <w:trPr/>
        <w:tc>
          <w:tcPr>
            <w:tcW w:w="725"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10205" w:type="dxa"/>
            <w:gridSpan w:val="51"/>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left"/>
              <w:rPr>
                <w:rFonts w:ascii="Allstate Sans;sans-serif" w:hAnsi="Allstate Sans;sans-serif"/>
                <w:b/>
                <w:color w:val="000000"/>
                <w:sz w:val="18"/>
              </w:rPr>
            </w:pPr>
            <w:r>
              <w:rPr>
                <w:rFonts w:ascii="Allstate Sans;sans-serif" w:hAnsi="Allstate Sans;sans-serif"/>
                <w:b/>
                <w:color w:val="000000"/>
                <w:sz w:val="18"/>
              </w:rPr>
              <w:t>Loss ratios</w:t>
            </w:r>
          </w:p>
        </w:tc>
      </w:tr>
      <w:tr>
        <w:trPr/>
        <w:tc>
          <w:tcPr>
            <w:tcW w:w="13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Loss ratio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 xml:space="preserve">Effect of catastrophe </w:t>
            </w:r>
          </w:p>
          <w:p>
            <w:pPr>
              <w:pStyle w:val="TableContents"/>
              <w:bidi w:val="0"/>
              <w:spacing w:lineRule="auto" w:line="240" w:before="0" w:after="0"/>
              <w:jc w:val="center"/>
              <w:rPr/>
            </w:pPr>
            <w:r>
              <w:rPr>
                <w:rFonts w:ascii="Helvetica_Neue_LT_W1G_55_Roman;sans-serif" w:hAnsi="Helvetica_Neue_LT_W1G_55_Roman;sans-serif"/>
                <w:b/>
                <w:color w:val="000000"/>
                <w:sz w:val="18"/>
              </w:rPr>
              <w:t xml:space="preserve">losses </w:t>
            </w:r>
            <w:r>
              <w:rPr>
                <w:rFonts w:ascii="Helvetica_Neue_LT_W1G_55_Roman;sans-serif" w:hAnsi="Helvetica_Neue_LT_W1G_55_Roman;sans-serif"/>
                <w:b w:val="false"/>
                <w:color w:val="000000"/>
                <w:sz w:val="12"/>
              </w:rPr>
              <w:t>(1)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Effect of prior year reserve reestimates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Effect of catastrophe losses included in prior year reserve reestimates</w:t>
            </w:r>
          </w:p>
        </w:tc>
      </w:tr>
      <w:tr>
        <w:trPr/>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2026</w:t>
            </w:r>
          </w:p>
        </w:tc>
        <w:tc>
          <w:tcPr>
            <w:tcW w:w="44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2026</w:t>
            </w:r>
          </w:p>
        </w:tc>
        <w:tc>
          <w:tcPr>
            <w:tcW w:w="45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2026</w:t>
            </w:r>
          </w:p>
        </w:tc>
        <w:tc>
          <w:tcPr>
            <w:tcW w:w="46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2025</w:t>
            </w:r>
          </w:p>
        </w:tc>
      </w:tr>
      <w:tr>
        <w:trPr/>
        <w:tc>
          <w:tcPr>
            <w:tcW w:w="1326"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6"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Auto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61.4 </w:t>
            </w:r>
          </w:p>
        </w:tc>
        <w:tc>
          <w:tcPr>
            <w:tcW w:w="196"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65.0 </w:t>
            </w:r>
          </w:p>
        </w:tc>
        <w:tc>
          <w:tcPr>
            <w:tcW w:w="196"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2.2 </w:t>
            </w:r>
          </w:p>
        </w:tc>
        <w:tc>
          <w:tcPr>
            <w:tcW w:w="149"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2.2 </w:t>
            </w:r>
          </w:p>
        </w:tc>
        <w:tc>
          <w:tcPr>
            <w:tcW w:w="153"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(6.7)</w:t>
            </w:r>
          </w:p>
        </w:tc>
        <w:tc>
          <w:tcPr>
            <w:tcW w:w="150"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(4.5)</w:t>
            </w:r>
          </w:p>
        </w:tc>
        <w:tc>
          <w:tcPr>
            <w:tcW w:w="157"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(0.1)</w:t>
            </w:r>
          </w:p>
        </w:tc>
        <w:tc>
          <w:tcPr>
            <w:tcW w:w="154"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(0.2)</w:t>
            </w:r>
          </w:p>
        </w:tc>
        <w:tc>
          <w:tcPr>
            <w:tcW w:w="232"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6"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 xml:space="preserve">Homeowners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72.4 </w:t>
            </w:r>
          </w:p>
        </w:tc>
        <w:tc>
          <w:tcPr>
            <w:tcW w:w="196"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81.2 </w:t>
            </w:r>
          </w:p>
        </w:tc>
        <w:tc>
          <w:tcPr>
            <w:tcW w:w="196"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33.5 </w:t>
            </w:r>
          </w:p>
        </w:tc>
        <w:tc>
          <w:tcPr>
            <w:tcW w:w="149"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42.8 </w:t>
            </w:r>
          </w:p>
        </w:tc>
        <w:tc>
          <w:tcPr>
            <w:tcW w:w="153"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0.9 </w:t>
            </w:r>
          </w:p>
        </w:tc>
        <w:tc>
          <w:tcPr>
            <w:tcW w:w="150"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0.8 </w:t>
            </w:r>
          </w:p>
        </w:tc>
        <w:tc>
          <w:tcPr>
            <w:tcW w:w="157"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1.6 </w:t>
            </w:r>
          </w:p>
        </w:tc>
        <w:tc>
          <w:tcPr>
            <w:tcW w:w="154"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0.5 </w:t>
            </w:r>
          </w:p>
        </w:tc>
        <w:tc>
          <w:tcPr>
            <w:tcW w:w="232"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6"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Specialty lines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68.5 </w:t>
            </w:r>
          </w:p>
        </w:tc>
        <w:tc>
          <w:tcPr>
            <w:tcW w:w="196"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86.1 </w:t>
            </w:r>
          </w:p>
        </w:tc>
        <w:tc>
          <w:tcPr>
            <w:tcW w:w="196"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9.7 </w:t>
            </w:r>
          </w:p>
        </w:tc>
        <w:tc>
          <w:tcPr>
            <w:tcW w:w="149"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19.3 </w:t>
            </w:r>
          </w:p>
        </w:tc>
        <w:tc>
          <w:tcPr>
            <w:tcW w:w="153"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(2.3)</w:t>
            </w:r>
          </w:p>
        </w:tc>
        <w:tc>
          <w:tcPr>
            <w:tcW w:w="150"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3.9 </w:t>
            </w:r>
          </w:p>
        </w:tc>
        <w:tc>
          <w:tcPr>
            <w:tcW w:w="157"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(0.4)</w:t>
            </w:r>
          </w:p>
        </w:tc>
        <w:tc>
          <w:tcPr>
            <w:tcW w:w="154"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0.3 </w:t>
            </w:r>
          </w:p>
        </w:tc>
        <w:tc>
          <w:tcPr>
            <w:tcW w:w="232"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6"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Commercial lines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71.0 </w:t>
            </w:r>
          </w:p>
        </w:tc>
        <w:tc>
          <w:tcPr>
            <w:tcW w:w="196"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84.6 </w:t>
            </w:r>
          </w:p>
        </w:tc>
        <w:tc>
          <w:tcPr>
            <w:tcW w:w="196"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0.9 </w:t>
            </w:r>
          </w:p>
        </w:tc>
        <w:tc>
          <w:tcPr>
            <w:tcW w:w="149"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1.9 </w:t>
            </w:r>
          </w:p>
        </w:tc>
        <w:tc>
          <w:tcPr>
            <w:tcW w:w="153"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(10.3)</w:t>
            </w:r>
          </w:p>
        </w:tc>
        <w:tc>
          <w:tcPr>
            <w:tcW w:w="150"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8.6 </w:t>
            </w:r>
          </w:p>
        </w:tc>
        <w:tc>
          <w:tcPr>
            <w:tcW w:w="157"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(2.8)</w:t>
            </w:r>
          </w:p>
        </w:tc>
        <w:tc>
          <w:tcPr>
            <w:tcW w:w="154"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1.9 </w:t>
            </w:r>
          </w:p>
        </w:tc>
        <w:tc>
          <w:tcPr>
            <w:tcW w:w="232"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6"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Brokered solutions and collateral protection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45.8 </w:t>
            </w:r>
          </w:p>
        </w:tc>
        <w:tc>
          <w:tcPr>
            <w:tcW w:w="19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38.4 </w:t>
            </w:r>
          </w:p>
        </w:tc>
        <w:tc>
          <w:tcPr>
            <w:tcW w:w="196"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16.7 </w:t>
            </w:r>
          </w:p>
        </w:tc>
        <w:tc>
          <w:tcPr>
            <w:tcW w:w="149"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7.3 </w:t>
            </w:r>
          </w:p>
        </w:tc>
        <w:tc>
          <w:tcPr>
            <w:tcW w:w="153"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(0.7)</w:t>
            </w:r>
          </w:p>
        </w:tc>
        <w:tc>
          <w:tcPr>
            <w:tcW w:w="150"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(6.1)</w:t>
            </w:r>
          </w:p>
        </w:tc>
        <w:tc>
          <w:tcPr>
            <w:tcW w:w="157"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64.8</w:t>
            </w:r>
            <w:r>
              <w:rPr>
                <w:color w:val="000000"/>
              </w:rPr>
              <w:t> </w:t>
            </w:r>
          </w:p>
        </w:tc>
        <w:tc>
          <w:tcPr>
            <w:tcW w:w="196"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70.3</w:t>
            </w:r>
            <w:r>
              <w:rPr>
                <w:color w:val="000000"/>
              </w:rPr>
              <w:t> </w:t>
            </w:r>
          </w:p>
        </w:tc>
        <w:tc>
          <w:tcPr>
            <w:tcW w:w="19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11.5</w:t>
            </w:r>
            <w:r>
              <w:rPr>
                <w:color w:val="000000"/>
              </w:rPr>
              <w:t> </w:t>
            </w:r>
          </w:p>
        </w:tc>
        <w:tc>
          <w:tcPr>
            <w:tcW w:w="14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13.9</w:t>
            </w:r>
            <w:r>
              <w:rPr>
                <w:color w:val="000000"/>
              </w:rPr>
              <w:t> </w:t>
            </w:r>
          </w:p>
        </w:tc>
        <w:tc>
          <w:tcPr>
            <w:tcW w:w="15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(4.3)</w:t>
            </w:r>
          </w:p>
        </w:tc>
        <w:tc>
          <w:tcPr>
            <w:tcW w:w="15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(2.6)</w:t>
            </w:r>
          </w:p>
        </w:tc>
        <w:tc>
          <w:tcPr>
            <w:tcW w:w="15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0.3</w:t>
            </w:r>
            <w:r>
              <w:rPr>
                <w:color w:val="000000"/>
              </w:rPr>
              <w:t> </w:t>
            </w:r>
          </w:p>
        </w:tc>
        <w:tc>
          <w:tcPr>
            <w:tcW w:w="15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6"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Auto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61.0 </w:t>
            </w:r>
          </w:p>
        </w:tc>
        <w:tc>
          <w:tcPr>
            <w:tcW w:w="19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67.1 </w:t>
            </w:r>
          </w:p>
        </w:tc>
        <w:tc>
          <w:tcPr>
            <w:tcW w:w="19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1.6 </w:t>
            </w:r>
          </w:p>
        </w:tc>
        <w:tc>
          <w:tcPr>
            <w:tcW w:w="14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2.2 </w:t>
            </w:r>
          </w:p>
        </w:tc>
        <w:tc>
          <w:tcPr>
            <w:tcW w:w="15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(7.8)</w:t>
            </w:r>
          </w:p>
        </w:tc>
        <w:tc>
          <w:tcPr>
            <w:tcW w:w="15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(3.6)</w:t>
            </w:r>
          </w:p>
        </w:tc>
        <w:tc>
          <w:tcPr>
            <w:tcW w:w="15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(0.1)</w:t>
            </w:r>
          </w:p>
        </w:tc>
        <w:tc>
          <w:tcPr>
            <w:tcW w:w="15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(0.2)</w:t>
            </w:r>
          </w:p>
        </w:tc>
        <w:tc>
          <w:tcPr>
            <w:tcW w:w="23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6"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Homeowners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67.0 </w:t>
            </w:r>
          </w:p>
        </w:tc>
        <w:tc>
          <w:tcPr>
            <w:tcW w:w="196"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86.4 </w:t>
            </w:r>
          </w:p>
        </w:tc>
        <w:tc>
          <w:tcPr>
            <w:tcW w:w="196"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29.3 </w:t>
            </w:r>
          </w:p>
        </w:tc>
        <w:tc>
          <w:tcPr>
            <w:tcW w:w="149"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46.3 </w:t>
            </w:r>
          </w:p>
        </w:tc>
        <w:tc>
          <w:tcPr>
            <w:tcW w:w="153"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(0.9)</w:t>
            </w:r>
          </w:p>
        </w:tc>
        <w:tc>
          <w:tcPr>
            <w:tcW w:w="150"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0.3 </w:t>
            </w:r>
          </w:p>
        </w:tc>
        <w:tc>
          <w:tcPr>
            <w:tcW w:w="157"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0.6 </w:t>
            </w:r>
          </w:p>
        </w:tc>
        <w:tc>
          <w:tcPr>
            <w:tcW w:w="154"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0.3 </w:t>
            </w:r>
          </w:p>
        </w:tc>
        <w:tc>
          <w:tcPr>
            <w:tcW w:w="232"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6"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Specialty lines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66.2 </w:t>
            </w:r>
          </w:p>
        </w:tc>
        <w:tc>
          <w:tcPr>
            <w:tcW w:w="196"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88.6 </w:t>
            </w:r>
          </w:p>
        </w:tc>
        <w:tc>
          <w:tcPr>
            <w:tcW w:w="196"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10.4 </w:t>
            </w:r>
          </w:p>
        </w:tc>
        <w:tc>
          <w:tcPr>
            <w:tcW w:w="149"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18.0 </w:t>
            </w:r>
          </w:p>
        </w:tc>
        <w:tc>
          <w:tcPr>
            <w:tcW w:w="153"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(2.9)</w:t>
            </w:r>
          </w:p>
        </w:tc>
        <w:tc>
          <w:tcPr>
            <w:tcW w:w="150"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5.0 </w:t>
            </w:r>
          </w:p>
        </w:tc>
        <w:tc>
          <w:tcPr>
            <w:tcW w:w="157"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1.4 </w:t>
            </w:r>
          </w:p>
        </w:tc>
        <w:tc>
          <w:tcPr>
            <w:tcW w:w="154"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(0.3)</w:t>
            </w:r>
          </w:p>
        </w:tc>
        <w:tc>
          <w:tcPr>
            <w:tcW w:w="232"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6"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Commercial lines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64.0 </w:t>
            </w:r>
          </w:p>
        </w:tc>
        <w:tc>
          <w:tcPr>
            <w:tcW w:w="196"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71.0 </w:t>
            </w:r>
          </w:p>
        </w:tc>
        <w:tc>
          <w:tcPr>
            <w:tcW w:w="196"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0.5 </w:t>
            </w:r>
          </w:p>
        </w:tc>
        <w:tc>
          <w:tcPr>
            <w:tcW w:w="149"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2.3 </w:t>
            </w:r>
          </w:p>
        </w:tc>
        <w:tc>
          <w:tcPr>
            <w:tcW w:w="153"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(13.5)</w:t>
            </w:r>
          </w:p>
        </w:tc>
        <w:tc>
          <w:tcPr>
            <w:tcW w:w="150"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(8.7)</w:t>
            </w:r>
          </w:p>
        </w:tc>
        <w:tc>
          <w:tcPr>
            <w:tcW w:w="157"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2.3 </w:t>
            </w:r>
          </w:p>
        </w:tc>
        <w:tc>
          <w:tcPr>
            <w:tcW w:w="232"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6"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Brokered solutions and collateral protection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40.5 </w:t>
            </w:r>
          </w:p>
        </w:tc>
        <w:tc>
          <w:tcPr>
            <w:tcW w:w="196"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44.2 </w:t>
            </w:r>
          </w:p>
        </w:tc>
        <w:tc>
          <w:tcPr>
            <w:tcW w:w="196"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11.8 </w:t>
            </w:r>
          </w:p>
        </w:tc>
        <w:tc>
          <w:tcPr>
            <w:tcW w:w="149"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15.9 </w:t>
            </w:r>
          </w:p>
        </w:tc>
        <w:tc>
          <w:tcPr>
            <w:tcW w:w="153"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(2.2)</w:t>
            </w:r>
          </w:p>
        </w:tc>
        <w:tc>
          <w:tcPr>
            <w:tcW w:w="150"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(7.5)</w:t>
            </w:r>
          </w:p>
        </w:tc>
        <w:tc>
          <w:tcPr>
            <w:tcW w:w="157"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6" w:type="dxa"/>
            <w:gridSpan w:val="3"/>
            <w:tcBorders>
              <w:top w:val="single" w:sz="4" w:space="0" w:color="ACACAC"/>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4" w:space="0" w:color="ACACAC"/>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62.8</w:t>
            </w:r>
            <w:r>
              <w:rPr>
                <w:color w:val="000000"/>
              </w:rPr>
              <w:t> </w:t>
            </w:r>
          </w:p>
        </w:tc>
        <w:tc>
          <w:tcPr>
            <w:tcW w:w="196" w:type="dxa"/>
            <w:tcBorders>
              <w:top w:val="single" w:sz="4" w:space="0" w:color="ACACAC"/>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4" w:space="0" w:color="ACACAC"/>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73.1</w:t>
            </w:r>
            <w:r>
              <w:rPr>
                <w:color w:val="000000"/>
              </w:rPr>
              <w:t> </w:t>
            </w:r>
          </w:p>
        </w:tc>
        <w:tc>
          <w:tcPr>
            <w:tcW w:w="196" w:type="dxa"/>
            <w:tcBorders>
              <w:top w:val="single" w:sz="4" w:space="0" w:color="ACACAC"/>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4" w:space="0" w:color="ACACAC"/>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10.0</w:t>
            </w:r>
            <w:r>
              <w:rPr>
                <w:color w:val="000000"/>
              </w:rPr>
              <w:t> </w:t>
            </w:r>
          </w:p>
        </w:tc>
        <w:tc>
          <w:tcPr>
            <w:tcW w:w="149" w:type="dxa"/>
            <w:tcBorders>
              <w:top w:val="single" w:sz="4" w:space="0" w:color="ACACAC"/>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4" w:space="0" w:color="ACACAC"/>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14.8</w:t>
            </w:r>
            <w:r>
              <w:rPr>
                <w:color w:val="000000"/>
              </w:rPr>
              <w:t> </w:t>
            </w:r>
          </w:p>
        </w:tc>
        <w:tc>
          <w:tcPr>
            <w:tcW w:w="153" w:type="dxa"/>
            <w:tcBorders>
              <w:top w:val="single" w:sz="4" w:space="0" w:color="ACACAC"/>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2"/>
            <w:tcBorders>
              <w:top w:val="single" w:sz="4" w:space="0" w:color="ACACAC"/>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(5.6)</w:t>
            </w:r>
          </w:p>
        </w:tc>
        <w:tc>
          <w:tcPr>
            <w:tcW w:w="150" w:type="dxa"/>
            <w:tcBorders>
              <w:top w:val="single" w:sz="4" w:space="0" w:color="ACACAC"/>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2"/>
            <w:tcBorders>
              <w:top w:val="single" w:sz="4" w:space="0" w:color="ACACAC"/>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(2.2)</w:t>
            </w:r>
          </w:p>
        </w:tc>
        <w:tc>
          <w:tcPr>
            <w:tcW w:w="157" w:type="dxa"/>
            <w:tcBorders>
              <w:top w:val="single" w:sz="4" w:space="0" w:color="ACACAC"/>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top w:val="single" w:sz="4" w:space="0" w:color="ACACAC"/>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0.2</w:t>
            </w:r>
            <w:r>
              <w:rPr>
                <w:color w:val="000000"/>
              </w:rPr>
              <w:t> </w:t>
            </w:r>
          </w:p>
        </w:tc>
        <w:tc>
          <w:tcPr>
            <w:tcW w:w="154" w:type="dxa"/>
            <w:tcBorders>
              <w:top w:val="single" w:sz="4" w:space="0" w:color="ACACAC"/>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top w:val="single" w:sz="4" w:space="0" w:color="ACACAC"/>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top w:val="single" w:sz="4" w:space="0" w:color="ACACAC"/>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180"/>
        <w:jc w:val="left"/>
        <w:rPr>
          <w:shd w:fill="FFFFFF" w:val="clear"/>
        </w:rPr>
      </w:pPr>
      <w:r>
        <w:rPr>
          <w:rFonts w:ascii="Allstate Sans;sans-serif" w:hAnsi="Allstate Sans;sans-serif"/>
          <w:b w:val="false"/>
          <w:color w:val="000000"/>
          <w:sz w:val="10"/>
          <w:shd w:fill="FFFFFF" w:val="clear"/>
        </w:rPr>
        <w:t>(1)</w:t>
      </w:r>
      <w:r>
        <w:rPr>
          <w:rFonts w:ascii="Allstate Sans;sans-serif" w:hAnsi="Allstate Sans;sans-serif"/>
          <w:b w:val="false"/>
          <w:color w:val="000000"/>
          <w:sz w:val="16"/>
          <w:shd w:fill="FFFFFF" w:val="clear"/>
        </w:rPr>
        <w:t>The ten-year average effect of total catastrophe losses on the total combined ratio was 13.5 points and 11.0 points in the second quarter and first six months of 2026, respectively.</w:t>
      </w:r>
    </w:p>
    <w:p>
      <w:pPr>
        <w:pStyle w:val="TextBody"/>
        <w:bidi w:val="0"/>
        <w:spacing w:lineRule="auto" w:line="288" w:before="0" w:after="120"/>
        <w:ind w:left="0" w:right="0" w:hanging="180"/>
        <w:jc w:val="left"/>
        <w:rPr>
          <w:shd w:fill="FFFFFF" w:val="clear"/>
        </w:rPr>
      </w:pPr>
      <w:r>
        <w:rPr>
          <w:rFonts w:ascii="Allstate Sans;sans-serif" w:hAnsi="Allstate Sans;sans-serif"/>
          <w:b w:val="false"/>
          <w:color w:val="000000"/>
          <w:sz w:val="10"/>
          <w:shd w:fill="FFFFFF" w:val="clear"/>
        </w:rPr>
        <w:t>(2)</w:t>
      </w:r>
      <w:r>
        <w:rPr>
          <w:rFonts w:ascii="Allstate Sans;sans-serif" w:hAnsi="Allstate Sans;sans-serif"/>
          <w:b w:val="false"/>
          <w:color w:val="000000"/>
          <w:sz w:val="16"/>
          <w:shd w:fill="FFFFFF" w:val="clear"/>
        </w:rPr>
        <w:t>The ten-year average effect of homeowners catastrophe losses on the total homeowners combined ratio was 43.5 points and 36.0 points in the second quarter and first six months of 2026, respectively.</w:t>
      </w:r>
    </w:p>
    <w:p>
      <w:pPr>
        <w:pStyle w:val="TextBody"/>
        <w:bidi w:val="0"/>
        <w:spacing w:lineRule="auto" w:line="288" w:before="0" w:after="120"/>
        <w:ind w:left="0" w:right="0" w:firstLine="360"/>
        <w:jc w:val="left"/>
        <w:rPr>
          <w:shd w:fill="FFFFFF" w:val="clear"/>
        </w:rPr>
      </w:pPr>
      <w:r>
        <w:rPr>
          <w:rFonts w:ascii="Allstate Sans;sans-serif" w:hAnsi="Allstate Sans;sans-serif"/>
          <w:b w:val="false"/>
          <w:i/>
          <w:color w:val="0033A0"/>
          <w:sz w:val="18"/>
          <w:shd w:fill="FFFFFF" w:val="clear"/>
        </w:rPr>
        <w:t>Auto loss ratio</w:t>
      </w:r>
      <w:r>
        <w:rPr>
          <w:color w:val="000000"/>
          <w:shd w:fill="FFFFFF" w:val="clear"/>
        </w:rPr>
        <w:t xml:space="preserve"> </w:t>
      </w:r>
      <w:r>
        <w:rPr>
          <w:rFonts w:ascii="Allstate Sans;sans-serif" w:hAnsi="Allstate Sans;sans-serif"/>
          <w:b w:val="false"/>
          <w:color w:val="000000"/>
          <w:sz w:val="18"/>
          <w:shd w:fill="FFFFFF" w:val="clear"/>
        </w:rPr>
        <w:t xml:space="preserve">decreased 3.6 points and decreased 6.1 points in the second quarter and first six months of 2026, respectively, compared to the same periods of 2025, driven by the benefit of prior year reserve releases, excluding catastrophes. Estimated report </w:t>
      </w:r>
    </w:p>
    <w:p>
      <w:pPr>
        <w:pStyle w:val="TextBody"/>
        <w:bidi w:val="0"/>
        <w:spacing w:lineRule="auto" w:line="288" w:before="0" w:after="120"/>
        <w:jc w:val="left"/>
        <w:rPr>
          <w:rFonts w:ascii="Allstate Sans;sans-serif" w:hAnsi="Allstate Sans;sans-serif"/>
          <w:b w:val="false"/>
          <w:color w:val="000000"/>
          <w:sz w:val="18"/>
          <w:shd w:fill="FFFFFF" w:val="clear"/>
        </w:rPr>
      </w:pPr>
      <w:r>
        <w:rPr>
          <w:rFonts w:ascii="Allstate Sans;sans-serif" w:hAnsi="Allstate Sans;sans-serif"/>
          <w:b w:val="false"/>
          <w:color w:val="000000"/>
          <w:sz w:val="18"/>
          <w:shd w:fill="FFFFFF" w:val="clear"/>
        </w:rPr>
        <w:t xml:space="preserve">year 2026 incurred claim severity for Allstate brand increased compared to report year 2025 for major coverages, reflecting ongoing inflationary pressures, including rising medical costs and continued increases in attorney representation.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33350"/>
                <wp:effectExtent l="0" t="0" r="0" b="0"/>
                <wp:wrapNone/>
                <wp:docPr id="60" name="Frame53"/>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ind w:left="0" w:right="0" w:firstLine="360"/>
                              <w:jc w:val="right"/>
                              <w:rPr/>
                            </w:pPr>
                            <w:r>
                              <w:rPr>
                                <w:rFonts w:ascii="Allstate Sans;sans-serif" w:hAnsi="Allstate Sans;sans-serif"/>
                                <w:b w:val="false"/>
                                <w:color w:val="000000"/>
                                <w:sz w:val="18"/>
                              </w:rPr>
                              <w:t xml:space="preserve">Second Quarter 2026 Form 10-Q </w:t>
                            </w:r>
                            <w:r>
                              <w:rPr>
                                <w:rFonts w:ascii="Allstate Sans;sans-serif" w:hAnsi="Allstate Sans;sans-serif"/>
                                <w:b w:val="false"/>
                                <w:color w:val="0033A0"/>
                                <w:sz w:val="18"/>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right"/>
                        <w:rPr/>
                      </w:pPr>
                      <w:r>
                        <w:rPr>
                          <w:rFonts w:ascii="Allstate Sans;sans-serif" w:hAnsi="Allstate Sans;sans-serif"/>
                          <w:b w:val="false"/>
                          <w:color w:val="000000"/>
                          <w:sz w:val="18"/>
                        </w:rPr>
                        <w:t xml:space="preserve">Second Quarter 2026 Form 10-Q </w:t>
                      </w:r>
                      <w:r>
                        <w:rPr>
                          <w:rFonts w:ascii="Allstate Sans;sans-serif" w:hAnsi="Allstate Sans;sans-serif"/>
                          <w:b w:val="false"/>
                          <w:color w:val="0033A0"/>
                          <w:sz w:val="18"/>
                        </w:rPr>
                        <w:t>51</w:t>
                      </w:r>
                    </w:p>
                  </w:txbxContent>
                </v:textbox>
                <w10:wrap type="none"/>
              </v:rect>
            </w:pict>
          </mc:Fallback>
        </mc:AlternateContent>
      </w:r>
    </w:p>
    <w:p>
      <w:pPr>
        <w:pStyle w:val="TextBody"/>
        <w:bidi w:val="0"/>
        <w:spacing w:lineRule="auto" w:line="288" w:before="0" w:after="0"/>
        <w:jc w:val="left"/>
        <w:rPr>
          <w:shd w:fill="FFFFFF" w:val="clear"/>
        </w:rPr>
      </w:pPr>
      <w:r>
        <w:rPr>
          <w:rFonts w:ascii="Allstate Sans;sans-serif" w:hAnsi="Allstate Sans;sans-serif"/>
          <w:b w:val="false"/>
          <w:color w:val="0033A0"/>
          <w:sz w:val="18"/>
          <w:shd w:fill="FFFFFF" w:val="clear"/>
        </w:rPr>
        <w:t>Segment Results</w:t>
      </w:r>
      <w:r>
        <w:rPr>
          <w:color w:val="000000"/>
          <w:shd w:fill="FFFFFF" w:val="clear"/>
        </w:rPr>
        <w:t xml:space="preserve"> </w:t>
      </w:r>
      <w:r>
        <w:rPr>
          <w:rFonts w:ascii="Allstate Sans;sans-serif" w:hAnsi="Allstate Sans;sans-serif"/>
          <w:b w:val="false"/>
          <w:color w:val="000000"/>
          <w:sz w:val="18"/>
          <w:shd w:fill="FFFFFF" w:val="clear"/>
        </w:rPr>
        <w:t>Allstate Protection</w:t>
      </w:r>
    </w:p>
    <w:p>
      <w:pPr>
        <w:pStyle w:val="TextBody"/>
        <w:bidi w:val="0"/>
        <w:spacing w:lineRule="auto" w:line="288" w:before="0" w:after="120"/>
        <w:ind w:left="0" w:right="0" w:firstLine="360"/>
        <w:jc w:val="left"/>
        <w:rPr>
          <w:shd w:fill="FFFFFF" w:val="clear"/>
        </w:rPr>
      </w:pPr>
      <w:r>
        <w:rPr>
          <w:rFonts w:ascii="Allstate Sans;sans-serif" w:hAnsi="Allstate Sans;sans-serif"/>
          <w:b w:val="false"/>
          <w:i/>
          <w:color w:val="0033A0"/>
          <w:sz w:val="18"/>
          <w:shd w:fill="FFFFFF" w:val="clear"/>
        </w:rPr>
        <w:t>Homeowners loss ratio</w:t>
      </w:r>
      <w:r>
        <w:rPr>
          <w:color w:val="000000"/>
          <w:shd w:fill="FFFFFF" w:val="clear"/>
        </w:rPr>
        <w:t xml:space="preserve"> </w:t>
      </w:r>
      <w:r>
        <w:rPr>
          <w:rFonts w:ascii="Allstate Sans;sans-serif" w:hAnsi="Allstate Sans;sans-serif"/>
          <w:b w:val="false"/>
          <w:color w:val="000000"/>
          <w:sz w:val="18"/>
          <w:shd w:fill="FFFFFF" w:val="clear"/>
        </w:rPr>
        <w:t>decreased 8.8 points and decreased 19.4 points in the second quarter and first six months of 2026, respectively, compared to the same periods of 2025, primarily due to increased premiums earned and lower catastrophe losses. Gross claim frequency, excluding catastrophes, increased in the second quarter and first six months of 2026 compared to the same periods of 2025. Paid claim severity, excluding catastrophes, increased in the second quarter and first six months of 2026 compared to the same periods of 2025, primarily due to fire perils. Homeowners paid claim severity can be impacted by both the mix of perils and the magnitude of specific losses paid during the quarter.</w:t>
      </w:r>
    </w:p>
    <w:p>
      <w:pPr>
        <w:pStyle w:val="TextBody"/>
        <w:bidi w:val="0"/>
        <w:spacing w:lineRule="auto" w:line="288" w:before="0" w:after="120"/>
        <w:ind w:left="0" w:right="0" w:firstLine="360"/>
        <w:jc w:val="left"/>
        <w:rPr>
          <w:shd w:fill="FFFFFF" w:val="clear"/>
        </w:rPr>
      </w:pPr>
      <w:r>
        <w:rPr>
          <w:rFonts w:ascii="Allstate Sans;sans-serif" w:hAnsi="Allstate Sans;sans-serif"/>
          <w:b w:val="false"/>
          <w:i/>
          <w:color w:val="0033A0"/>
          <w:sz w:val="18"/>
          <w:shd w:fill="FFFFFF" w:val="clear"/>
        </w:rPr>
        <w:t>Specialty lines loss ratio</w:t>
      </w:r>
      <w:r>
        <w:rPr>
          <w:color w:val="000000"/>
          <w:shd w:fill="FFFFFF" w:val="clear"/>
        </w:rPr>
        <w:t xml:space="preserve"> </w:t>
      </w:r>
      <w:r>
        <w:rPr>
          <w:rFonts w:ascii="Allstate Sans;sans-serif" w:hAnsi="Allstate Sans;sans-serif"/>
          <w:b w:val="false"/>
          <w:color w:val="000000"/>
          <w:sz w:val="18"/>
          <w:shd w:fill="FFFFFF" w:val="clear"/>
        </w:rPr>
        <w:t>decreased 17.6 points and decreased 22.4 points in the second quarter and first six months of 2026, respectively, compared to the same periods of 2025, primarily due to the benefit of prior year reserve releases, excluding catastrophes, lower catastrophe losses and increased premiums earned.</w:t>
      </w:r>
    </w:p>
    <w:p>
      <w:pPr>
        <w:pStyle w:val="TextBody"/>
        <w:bidi w:val="0"/>
        <w:spacing w:lineRule="auto" w:line="288" w:before="0" w:after="120"/>
        <w:ind w:left="0" w:right="0" w:firstLine="360"/>
        <w:jc w:val="left"/>
        <w:rPr>
          <w:shd w:fill="FFFFFF" w:val="clear"/>
        </w:rPr>
      </w:pPr>
      <w:r>
        <w:rPr>
          <w:rFonts w:ascii="Allstate Sans;sans-serif" w:hAnsi="Allstate Sans;sans-serif"/>
          <w:b w:val="false"/>
          <w:i/>
          <w:color w:val="0033A0"/>
          <w:sz w:val="18"/>
          <w:shd w:fill="FFFFFF" w:val="clear"/>
        </w:rPr>
        <w:t>Commercial lines loss ratio</w:t>
      </w:r>
      <w:r>
        <w:rPr>
          <w:color w:val="000000"/>
          <w:shd w:fill="FFFFFF" w:val="clear"/>
        </w:rPr>
        <w:t xml:space="preserve"> </w:t>
      </w:r>
      <w:r>
        <w:rPr>
          <w:rFonts w:ascii="Allstate Sans;sans-serif" w:hAnsi="Allstate Sans;sans-serif"/>
          <w:b w:val="false"/>
          <w:color w:val="000000"/>
          <w:sz w:val="18"/>
          <w:shd w:fill="FFFFFF" w:val="clear"/>
        </w:rPr>
        <w:t xml:space="preserve">decreased 13.6 points in the second quarter of 2026 compared to the second quarter of 2025, primarily due to prior year reserve releases in the current year compared to prior year reserve strengthening in the prior year. Commercial lines loss ratio decreased 7.0 points in the first six months of 2026 compared to the first six months of 2025, primarily due to lower losses, including the benefit of prior year reserve releases, partially offset by a decrease in premiums earned. </w:t>
      </w:r>
    </w:p>
    <w:p>
      <w:pPr>
        <w:pStyle w:val="TextBody"/>
        <w:bidi w:val="0"/>
        <w:spacing w:lineRule="auto" w:line="288" w:before="0" w:after="120"/>
        <w:ind w:left="0" w:right="0" w:firstLine="360"/>
        <w:jc w:val="left"/>
        <w:rPr>
          <w:shd w:fill="FFFFFF" w:val="clear"/>
        </w:rPr>
      </w:pPr>
      <w:r>
        <w:rPr>
          <w:rFonts w:ascii="Allstate Sans;sans-serif" w:hAnsi="Allstate Sans;sans-serif"/>
          <w:b w:val="false"/>
          <w:i/>
          <w:color w:val="0033A0"/>
          <w:sz w:val="18"/>
          <w:shd w:fill="FFFFFF" w:val="clear"/>
        </w:rPr>
        <w:t>Brokered solutions and collateral protection loss ratio</w:t>
      </w:r>
      <w:r>
        <w:rPr>
          <w:color w:val="000000"/>
          <w:shd w:fill="FFFFFF" w:val="clear"/>
        </w:rPr>
        <w:t xml:space="preserve"> </w:t>
      </w:r>
      <w:r>
        <w:rPr>
          <w:rFonts w:ascii="Allstate Sans;sans-serif" w:hAnsi="Allstate Sans;sans-serif"/>
          <w:b w:val="false"/>
          <w:color w:val="000000"/>
          <w:sz w:val="18"/>
          <w:shd w:fill="FFFFFF" w:val="clear"/>
        </w:rPr>
        <w:t>increased 7.4 points in the second quarter of 2026, compared to the second quarter of 2025, primarily due to lower premiums earned and higher catastrophe losses. Brokered solutions and collateral protection loss ratio decreased 3.7 points in the first six months of 2026 compared to the first six months of 2025, primarily due to lower losses, partially offset by a decrease in premiums earned and lower prior year reserve releases.</w:t>
      </w:r>
    </w:p>
    <w:p>
      <w:pPr>
        <w:pStyle w:val="TextBody"/>
        <w:bidi w:val="0"/>
        <w:spacing w:lineRule="auto" w:line="288" w:before="0" w:after="120"/>
        <w:ind w:left="0" w:right="0" w:firstLine="360"/>
        <w:jc w:val="left"/>
        <w:rPr>
          <w:shd w:fill="FFFFFF" w:val="clear"/>
        </w:rPr>
      </w:pPr>
      <w:r>
        <w:rPr>
          <w:rFonts w:ascii="Allstate Sans;sans-serif" w:hAnsi="Allstate Sans;sans-serif"/>
          <w:b/>
          <w:color w:val="0033A0"/>
          <w:sz w:val="18"/>
          <w:shd w:fill="FFFFFF" w:val="clear"/>
        </w:rPr>
        <w:t>Catastrophe losses</w:t>
      </w:r>
      <w:r>
        <w:rPr>
          <w:color w:val="000000"/>
          <w:shd w:fill="FFFFFF" w:val="clear"/>
        </w:rPr>
        <w:t xml:space="preserve"> </w:t>
      </w:r>
      <w:r>
        <w:rPr>
          <w:rFonts w:ascii="Allstate Sans;sans-serif" w:hAnsi="Allstate Sans;sans-serif"/>
          <w:b w:val="false"/>
          <w:color w:val="000000"/>
          <w:sz w:val="18"/>
          <w:shd w:fill="FFFFFF" w:val="clear"/>
        </w:rPr>
        <w:t xml:space="preserve">decreased $268 million to $1.72 billion in the second quarter of 2026 compared to the second quarter of 2025. Catastrophe losses decreased $1.23 billion to $2.96 billion in the first six months of 2026 compared to the first six months of 2025. Results in 2025 included $1.11 billion of losses related to the California wildfire events. </w:t>
      </w:r>
    </w:p>
    <w:p>
      <w:pPr>
        <w:pStyle w:val="TextBody"/>
        <w:bidi w:val="0"/>
        <w:spacing w:lineRule="auto" w:line="288" w:before="0" w:after="120"/>
        <w:ind w:left="0" w:right="0" w:firstLine="360"/>
        <w:jc w:val="left"/>
        <w:rPr>
          <w:rFonts w:ascii="Allstate Sans;sans-serif" w:hAnsi="Allstate Sans;sans-serif"/>
          <w:b w:val="false"/>
          <w:color w:val="000000"/>
          <w:sz w:val="18"/>
          <w:shd w:fill="FFFFFF" w:val="clear"/>
        </w:rPr>
      </w:pPr>
      <w:r>
        <w:rPr>
          <w:rFonts w:ascii="Allstate Sans;sans-serif" w:hAnsi="Allstate Sans;sans-serif"/>
          <w:b w:val="false"/>
          <w:color w:val="000000"/>
          <w:sz w:val="18"/>
          <w:shd w:fill="FFFFFF" w:val="clear"/>
        </w:rPr>
        <w:t xml:space="preserve">We define a “catastrophe” as an event that produces pre-tax losses before reinsurance in excess of $1 million and involves multiple first party policyholders, or a winter weather event that produces a number of claims in excess of a preset, per-event threshold of average claims in a specific area, occurring within a certain amount of time following the event. Catastrophes are caused by various natural events including high winds, winter storms and freezes, tornadoes, hailstorms, wildfires, tropical storms, tsunamis, hurricanes, earthquakes and volcanoes. </w:t>
      </w:r>
    </w:p>
    <w:p>
      <w:pPr>
        <w:pStyle w:val="TextBody"/>
        <w:bidi w:val="0"/>
        <w:spacing w:lineRule="auto" w:line="288" w:before="0" w:after="120"/>
        <w:ind w:left="0" w:right="0" w:firstLine="360"/>
        <w:jc w:val="left"/>
        <w:rPr>
          <w:rFonts w:ascii="Allstate Sans;sans-serif" w:hAnsi="Allstate Sans;sans-serif"/>
          <w:b w:val="false"/>
          <w:color w:val="000000"/>
          <w:sz w:val="18"/>
          <w:shd w:fill="FFFFFF" w:val="clear"/>
        </w:rPr>
      </w:pPr>
      <w:r>
        <w:rPr>
          <w:rFonts w:ascii="Allstate Sans;sans-serif" w:hAnsi="Allstate Sans;sans-serif"/>
          <w:b w:val="false"/>
          <w:color w:val="000000"/>
          <w:sz w:val="18"/>
          <w:shd w:fill="FFFFFF" w:val="clear"/>
        </w:rPr>
        <w:t>We are also exposed to man-made catastrophic events, such as wildfires, terrorism, civil unrest, or industrial accidents. The nature and level of catastrophes in any period cannot be reliably predicted.</w:t>
      </w:r>
    </w:p>
    <w:p>
      <w:pPr>
        <w:pStyle w:val="TextBody"/>
        <w:bidi w:val="0"/>
        <w:spacing w:lineRule="auto" w:line="288" w:before="0" w:after="120"/>
        <w:ind w:left="0" w:right="0" w:firstLine="360"/>
        <w:jc w:val="left"/>
        <w:rPr>
          <w:rFonts w:ascii="Allstate Sans;sans-serif" w:hAnsi="Allstate Sans;sans-serif"/>
          <w:b w:val="false"/>
          <w:color w:val="000000"/>
          <w:sz w:val="18"/>
          <w:shd w:fill="FFFFFF" w:val="clear"/>
        </w:rPr>
      </w:pPr>
      <w:r>
        <w:rPr>
          <w:rFonts w:ascii="Allstate Sans;sans-serif" w:hAnsi="Allstate Sans;sans-serif"/>
          <w:b w:val="false"/>
          <w:color w:val="000000"/>
          <w:sz w:val="18"/>
          <w:shd w:fill="FFFFFF" w:val="clear"/>
        </w:rPr>
        <w:t xml:space="preserve">Loss estimates are generally based on claim adjuster inspections and the application of historical loss development factors. Our loss estimates are calculated in accordance with the coverage provided by our policies. The establishment of appropriate reserves, including reserves for catastrophe losses, is an inherently uncertain and complex process. Reserving for hurricane losses is complicated by the inability of insureds to promptly report losses, limitations placed on claims adjusting staff affecting their ability to inspect losses, determining whether losses are covered by our homeowners policy (generally for damage caused by wind or wind driven rain) or specifically excluded coverage caused by flood, exposure to mold damage, and the effects of numerous other considerations, including the timing of a catastrophe in relation to other events, such as at or near the end of a financial reporting period, which can affect the availability of information needed to estimate reserves for that reporting period. In these situations, we may need to adapt our practices to accommodate these circumstances in order to determine a best estimate of our losses from a catastrophe. </w:t>
      </w:r>
    </w:p>
    <w:p>
      <w:pPr>
        <w:pStyle w:val="TextBody"/>
        <w:bidi w:val="0"/>
        <w:spacing w:lineRule="auto" w:line="288" w:before="0" w:after="120"/>
        <w:ind w:left="0" w:right="0" w:firstLine="360"/>
        <w:jc w:val="left"/>
        <w:rPr>
          <w:rFonts w:ascii="Allstate Sans;sans-serif" w:hAnsi="Allstate Sans;sans-serif"/>
          <w:b w:val="false"/>
          <w:color w:val="000000"/>
          <w:sz w:val="18"/>
          <w:shd w:fill="FFFFFF" w:val="clear"/>
        </w:rPr>
      </w:pPr>
      <w:r>
        <w:rPr>
          <w:rFonts w:ascii="Allstate Sans;sans-serif" w:hAnsi="Allstate Sans;sans-serif"/>
          <w:b w:val="false"/>
          <w:color w:val="000000"/>
          <w:sz w:val="18"/>
          <w:shd w:fill="FFFFFF" w:val="clear"/>
        </w:rPr>
        <w:t>Over time, we have limited our aggregate insurance exposure to catastrophe losses in certain regions of the country that are subject to high levels of natural catastrophes by managing coverage, number of policies in force, utilizing reinsurance and participating in various state facilities.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1"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120"/>
                              <w:jc w:val="left"/>
                              <w:rPr/>
                            </w:pPr>
                            <w:r>
                              <w:rPr>
                                <w:rFonts w:ascii="Allstate Sans;sans-serif" w:hAnsi="Allstate Sans;sans-serif"/>
                                <w:b w:val="false"/>
                                <w:color w:val="0033A0"/>
                                <w:sz w:val="18"/>
                              </w:rPr>
                              <w:t>52</w:t>
                            </w:r>
                            <w:r>
                              <w:rPr>
                                <w:color w:val="1666AF"/>
                              </w:rPr>
                              <w:t xml:space="preserve"> </w:t>
                            </w:r>
                            <w:r>
                              <w:rPr>
                                <w:rFonts w:ascii="Allstate Sans;sans-serif" w:hAnsi="Allstate Sans;sans-serif"/>
                                <w:b w:val="false"/>
                                <w:color w:val="000000"/>
                                <w:sz w:val="18"/>
                              </w:rPr>
                              <w:t>www.allstate.com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left"/>
                        <w:rPr/>
                      </w:pPr>
                      <w:r>
                        <w:rPr>
                          <w:rFonts w:ascii="Allstate Sans;sans-serif" w:hAnsi="Allstate Sans;sans-serif"/>
                          <w:b w:val="false"/>
                          <w:color w:val="0033A0"/>
                          <w:sz w:val="18"/>
                        </w:rPr>
                        <w:t>52</w:t>
                      </w:r>
                      <w:r>
                        <w:rPr>
                          <w:color w:val="1666AF"/>
                        </w:rPr>
                        <w:t xml:space="preserve"> </w:t>
                      </w:r>
                      <w:r>
                        <w:rPr>
                          <w:rFonts w:ascii="Allstate Sans;sans-serif" w:hAnsi="Allstate Sans;sans-serif"/>
                          <w:b w:val="false"/>
                          <w:color w:val="000000"/>
                          <w:sz w:val="18"/>
                        </w:rPr>
                        <w:t>www.allstate.com</w:t>
                      </w:r>
                    </w:p>
                  </w:txbxContent>
                </v:textbox>
                <w10:wrap type="none"/>
              </v:rect>
            </w:pict>
          </mc:Fallback>
        </mc:AlternateContent>
      </w:r>
    </w:p>
    <w:p>
      <w:pPr>
        <w:pStyle w:val="TextBody"/>
        <w:bidi w:val="0"/>
        <w:spacing w:lineRule="auto" w:line="288" w:before="0" w:after="120"/>
        <w:ind w:left="0" w:right="0" w:firstLine="360"/>
        <w:jc w:val="right"/>
        <w:rPr>
          <w:shd w:fill="FFFFFF" w:val="clear"/>
        </w:rPr>
      </w:pPr>
      <w:r>
        <w:rPr>
          <w:rFonts w:ascii="Allstate Sans;sans-serif" w:hAnsi="Allstate Sans;sans-serif"/>
          <w:b w:val="false"/>
          <w:color w:val="000000"/>
          <w:sz w:val="18"/>
          <w:shd w:fill="FFFFFF" w:val="clear"/>
        </w:rPr>
        <w:t>Allstate Protection</w:t>
      </w:r>
      <w:r>
        <w:rPr>
          <w:color w:val="1666AF"/>
          <w:shd w:fill="FFFFFF" w:val="clear"/>
        </w:rPr>
        <w:t xml:space="preserve"> </w:t>
      </w:r>
      <w:r>
        <w:rPr>
          <w:rFonts w:ascii="Allstate Sans;sans-serif" w:hAnsi="Allstate Sans;sans-serif"/>
          <w:b w:val="false"/>
          <w:color w:val="0033A0"/>
          <w:sz w:val="18"/>
          <w:shd w:fill="FFFFFF" w:val="clear"/>
        </w:rPr>
        <w:t>Segment Results</w:t>
      </w:r>
      <w:r>
        <w:rPr>
          <w:color w:val="005BA5"/>
          <w:shd w:fill="FFFFFF" w:val="clear"/>
        </w:rPr>
        <w:t xml:space="preserve"> </w:t>
      </w:r>
    </w:p>
    <w:tbl>
      <w:tblPr>
        <w:tblW w:w="12302" w:type="dxa"/>
        <w:jc w:val="left"/>
        <w:tblInd w:w="0" w:type="dxa"/>
        <w:tblLayout w:type="fixed"/>
        <w:tblCellMar>
          <w:top w:w="28" w:type="dxa"/>
          <w:left w:w="28" w:type="dxa"/>
          <w:bottom w:w="28" w:type="dxa"/>
          <w:right w:w="28" w:type="dxa"/>
        </w:tblCellMar>
      </w:tblPr>
      <w:tblGrid>
        <w:gridCol w:w="495"/>
        <w:gridCol w:w="435"/>
        <w:gridCol w:w="436"/>
        <w:gridCol w:w="109"/>
        <w:gridCol w:w="109"/>
        <w:gridCol w:w="109"/>
        <w:gridCol w:w="310"/>
        <w:gridCol w:w="310"/>
        <w:gridCol w:w="311"/>
        <w:gridCol w:w="109"/>
        <w:gridCol w:w="109"/>
        <w:gridCol w:w="109"/>
        <w:gridCol w:w="226"/>
        <w:gridCol w:w="721"/>
        <w:gridCol w:w="109"/>
        <w:gridCol w:w="109"/>
        <w:gridCol w:w="109"/>
        <w:gridCol w:w="109"/>
        <w:gridCol w:w="310"/>
        <w:gridCol w:w="310"/>
        <w:gridCol w:w="311"/>
        <w:gridCol w:w="109"/>
        <w:gridCol w:w="109"/>
        <w:gridCol w:w="109"/>
        <w:gridCol w:w="226"/>
        <w:gridCol w:w="721"/>
        <w:gridCol w:w="109"/>
        <w:gridCol w:w="109"/>
        <w:gridCol w:w="109"/>
        <w:gridCol w:w="109"/>
        <w:gridCol w:w="310"/>
        <w:gridCol w:w="310"/>
        <w:gridCol w:w="311"/>
        <w:gridCol w:w="109"/>
        <w:gridCol w:w="109"/>
        <w:gridCol w:w="109"/>
        <w:gridCol w:w="226"/>
        <w:gridCol w:w="721"/>
        <w:gridCol w:w="109"/>
        <w:gridCol w:w="109"/>
        <w:gridCol w:w="109"/>
        <w:gridCol w:w="109"/>
        <w:gridCol w:w="310"/>
        <w:gridCol w:w="310"/>
        <w:gridCol w:w="311"/>
        <w:gridCol w:w="109"/>
        <w:gridCol w:w="109"/>
        <w:gridCol w:w="109"/>
        <w:gridCol w:w="226"/>
        <w:gridCol w:w="721"/>
        <w:gridCol w:w="109"/>
        <w:gridCol w:w="109"/>
        <w:gridCol w:w="109"/>
        <w:gridCol w:w="154"/>
      </w:tblGrid>
      <w:tr>
        <w:trPr/>
        <w:tc>
          <w:tcPr>
            <w:tcW w:w="49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48" w:type="dxa"/>
            <w:gridSpan w:val="27"/>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left"/>
              <w:rPr>
                <w:rFonts w:ascii="Allstate Sans;sans-serif" w:hAnsi="Allstate Sans;sans-serif"/>
                <w:b/>
                <w:color w:val="000000"/>
                <w:sz w:val="18"/>
              </w:rPr>
            </w:pPr>
            <w:r>
              <w:rPr>
                <w:rFonts w:ascii="Allstate Sans;sans-serif" w:hAnsi="Allstate Sans;sans-serif"/>
                <w:b/>
                <w:color w:val="000000"/>
                <w:sz w:val="18"/>
              </w:rPr>
              <w:t>Catastrophe losses by the type of event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Six months ended June 30,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Number of events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Number of events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Number of events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Number of events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Wind/hail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41 </w:t>
            </w:r>
          </w:p>
        </w:tc>
        <w:tc>
          <w:tcPr>
            <w:tcW w:w="311"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721"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1,658 </w:t>
            </w:r>
          </w:p>
        </w:tc>
        <w:tc>
          <w:tcPr>
            <w:tcW w:w="109"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36 </w:t>
            </w:r>
          </w:p>
        </w:tc>
        <w:tc>
          <w:tcPr>
            <w:tcW w:w="311"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721"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2,026 </w:t>
            </w:r>
          </w:p>
        </w:tc>
        <w:tc>
          <w:tcPr>
            <w:tcW w:w="109"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63 </w:t>
            </w:r>
          </w:p>
        </w:tc>
        <w:tc>
          <w:tcPr>
            <w:tcW w:w="311"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721"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2,612 </w:t>
            </w:r>
          </w:p>
        </w:tc>
        <w:tc>
          <w:tcPr>
            <w:tcW w:w="109"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50 </w:t>
            </w:r>
          </w:p>
        </w:tc>
        <w:tc>
          <w:tcPr>
            <w:tcW w:w="311"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721"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3,162 </w:t>
            </w:r>
          </w:p>
        </w:tc>
        <w:tc>
          <w:tcPr>
            <w:tcW w:w="109"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Wildfires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4 </w:t>
            </w:r>
          </w:p>
        </w:tc>
        <w:tc>
          <w:tcPr>
            <w:tcW w:w="311"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30 </w:t>
            </w:r>
          </w:p>
        </w:tc>
        <w:tc>
          <w:tcPr>
            <w:tcW w:w="109"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1 </w:t>
            </w:r>
          </w:p>
        </w:tc>
        <w:tc>
          <w:tcPr>
            <w:tcW w:w="311"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2 </w:t>
            </w:r>
          </w:p>
        </w:tc>
        <w:tc>
          <w:tcPr>
            <w:tcW w:w="109"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4 </w:t>
            </w:r>
          </w:p>
        </w:tc>
        <w:tc>
          <w:tcPr>
            <w:tcW w:w="311"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30 </w:t>
            </w:r>
          </w:p>
        </w:tc>
        <w:tc>
          <w:tcPr>
            <w:tcW w:w="109"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3 </w:t>
            </w:r>
          </w:p>
        </w:tc>
        <w:tc>
          <w:tcPr>
            <w:tcW w:w="311"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1,088 </w:t>
            </w:r>
          </w:p>
        </w:tc>
        <w:tc>
          <w:tcPr>
            <w:tcW w:w="109"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Freeze/other events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2 </w:t>
            </w:r>
          </w:p>
        </w:tc>
        <w:tc>
          <w:tcPr>
            <w:tcW w:w="311"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257 </w:t>
            </w:r>
          </w:p>
        </w:tc>
        <w:tc>
          <w:tcPr>
            <w:tcW w:w="109"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pPr>
            <w:r>
              <w:rPr>
                <w:rFonts w:ascii="Helvetica_Neue_LT_W1G_55_Roman;sans-serif" w:hAnsi="Helvetica_Neue_LT_W1G_55_Roman;sans-serif"/>
                <w:b w:val="false"/>
                <w:color w:val="000000"/>
                <w:sz w:val="18"/>
              </w:rPr>
              <w:t xml:space="preserve">Prior year reserve reestimates </w:t>
            </w:r>
            <w:r>
              <w:rPr>
                <w:rFonts w:ascii="Helvetica_Neue_LT_W1G_55_Roman;sans-serif" w:hAnsi="Helvetica_Neue_LT_W1G_55_Roman;sans-serif"/>
                <w:b w:val="false"/>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4"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61 </w:t>
            </w:r>
          </w:p>
        </w:tc>
        <w:tc>
          <w:tcPr>
            <w:tcW w:w="109"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4"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w:t>
            </w:r>
          </w:p>
        </w:tc>
        <w:tc>
          <w:tcPr>
            <w:tcW w:w="109"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4"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69 </w:t>
            </w:r>
          </w:p>
        </w:tc>
        <w:tc>
          <w:tcPr>
            <w:tcW w:w="109"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4"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50 </w:t>
            </w:r>
          </w:p>
        </w:tc>
        <w:tc>
          <w:tcPr>
            <w:tcW w:w="109"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Prior year aggregate reinsurance recoveries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4"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(10)</w:t>
            </w:r>
          </w:p>
        </w:tc>
        <w:tc>
          <w:tcPr>
            <w:tcW w:w="109"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4"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7 </w:t>
            </w:r>
          </w:p>
        </w:tc>
        <w:tc>
          <w:tcPr>
            <w:tcW w:w="109"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4"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w:t>
            </w:r>
          </w:p>
        </w:tc>
        <w:tc>
          <w:tcPr>
            <w:tcW w:w="109"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4"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(60)</w:t>
            </w:r>
          </w:p>
        </w:tc>
        <w:tc>
          <w:tcPr>
            <w:tcW w:w="109"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Current year aggregate reinsurance recoveries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(48)</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Prior quarter reserve reestimates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(17)</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(52)</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 catastrophe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45</w:t>
            </w:r>
            <w:r>
              <w:rPr>
                <w:color w:val="000000"/>
              </w:rPr>
              <w:t> </w:t>
            </w:r>
          </w:p>
        </w:tc>
        <w:tc>
          <w:tcPr>
            <w:tcW w:w="311"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721"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1,722</w:t>
            </w:r>
            <w:r>
              <w:rPr>
                <w:color w:val="000000"/>
              </w:rPr>
              <w:t> </w:t>
            </w:r>
          </w:p>
        </w:tc>
        <w:tc>
          <w:tcPr>
            <w:tcW w:w="109"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37</w:t>
            </w:r>
            <w:r>
              <w:rPr>
                <w:color w:val="000000"/>
              </w:rPr>
              <w:t> </w:t>
            </w:r>
          </w:p>
        </w:tc>
        <w:tc>
          <w:tcPr>
            <w:tcW w:w="311"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721"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1,990</w:t>
            </w:r>
            <w:r>
              <w:rPr>
                <w:color w:val="000000"/>
              </w:rPr>
              <w:t> </w:t>
            </w:r>
          </w:p>
        </w:tc>
        <w:tc>
          <w:tcPr>
            <w:tcW w:w="109"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620" w:type="dxa"/>
            <w:gridSpan w:val="2"/>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69</w:t>
            </w:r>
            <w:r>
              <w:rPr>
                <w:color w:val="000000"/>
              </w:rPr>
              <w:t> </w:t>
            </w:r>
          </w:p>
        </w:tc>
        <w:tc>
          <w:tcPr>
            <w:tcW w:w="311"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721"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2,962</w:t>
            </w:r>
            <w:r>
              <w:rPr>
                <w:color w:val="000000"/>
              </w:rPr>
              <w:t> </w:t>
            </w:r>
          </w:p>
        </w:tc>
        <w:tc>
          <w:tcPr>
            <w:tcW w:w="109"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620" w:type="dxa"/>
            <w:gridSpan w:val="2"/>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53</w:t>
            </w:r>
            <w:r>
              <w:rPr>
                <w:color w:val="000000"/>
              </w:rPr>
              <w:t> </w:t>
            </w:r>
          </w:p>
        </w:tc>
        <w:tc>
          <w:tcPr>
            <w:tcW w:w="311"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721"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4,192</w:t>
            </w:r>
            <w:r>
              <w:rPr>
                <w:color w:val="000000"/>
              </w:rPr>
              <w:t> </w:t>
            </w:r>
          </w:p>
        </w:tc>
        <w:tc>
          <w:tcPr>
            <w:tcW w:w="109"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9"/>
              </w:rPr>
            </w:pPr>
            <w:r>
              <w:rPr>
                <w:rFonts w:ascii="Helvetica_Neue_LT_W1G_55_Roman;sans-serif" w:hAnsi="Helvetica_Neue_LT_W1G_55_Roman;sans-serif"/>
                <w:b w:val="false"/>
                <w:color w:val="000000"/>
                <w:sz w:val="9"/>
              </w:rPr>
              <w:t>(2)</w:t>
            </w:r>
          </w:p>
        </w:tc>
      </w:tr>
    </w:tbl>
    <w:p>
      <w:pPr>
        <w:pStyle w:val="TextBody"/>
        <w:bidi w:val="0"/>
        <w:spacing w:lineRule="auto" w:line="288" w:before="60" w:after="60"/>
        <w:ind w:left="0" w:right="0" w:hanging="180"/>
        <w:jc w:val="left"/>
        <w:rPr>
          <w:shd w:fill="FFFFFF" w:val="clear"/>
        </w:rPr>
      </w:pPr>
      <w:r>
        <w:rPr>
          <w:rFonts w:ascii="Allstate Sans;sans-serif" w:hAnsi="Allstate Sans;sans-serif"/>
          <w:b w:val="false"/>
          <w:color w:val="000000"/>
          <w:sz w:val="10"/>
          <w:shd w:fill="FFFFFF" w:val="clear"/>
        </w:rPr>
        <w:t>(1)</w:t>
      </w:r>
      <w:r>
        <w:rPr>
          <w:rFonts w:ascii="Allstate Sans;sans-serif" w:hAnsi="Allstate Sans;sans-serif"/>
          <w:b w:val="false"/>
          <w:color w:val="000000"/>
          <w:sz w:val="16"/>
          <w:shd w:fill="FFFFFF" w:val="clear"/>
        </w:rPr>
        <w:t>Includes reinsurance recoveries.</w:t>
      </w:r>
    </w:p>
    <w:p>
      <w:pPr>
        <w:pStyle w:val="TextBody"/>
        <w:bidi w:val="0"/>
        <w:spacing w:lineRule="auto" w:line="288" w:before="60" w:after="120"/>
        <w:ind w:left="0" w:right="0" w:hanging="180"/>
        <w:jc w:val="left"/>
        <w:rPr>
          <w:shd w:fill="FFFFFF" w:val="clear"/>
        </w:rPr>
      </w:pPr>
      <w:r>
        <w:rPr>
          <w:rFonts w:ascii="Allstate Sans;sans-serif" w:hAnsi="Allstate Sans;sans-serif"/>
          <w:b w:val="false"/>
          <w:color w:val="000000"/>
          <w:sz w:val="10"/>
          <w:shd w:fill="FFFFFF" w:val="clear"/>
        </w:rPr>
        <w:t>(2)</w:t>
      </w:r>
      <w:r>
        <w:rPr>
          <w:rFonts w:ascii="Allstate Sans;sans-serif" w:hAnsi="Allstate Sans;sans-serif"/>
          <w:b w:val="false"/>
          <w:color w:val="000000"/>
          <w:sz w:val="16"/>
          <w:shd w:fill="FFFFFF" w:val="clear"/>
        </w:rPr>
        <w:t>Gross losses before reinsurance recoverables and reinstatement premiums were $5.22 billion.</w:t>
      </w:r>
    </w:p>
    <w:p>
      <w:pPr>
        <w:pStyle w:val="TextBody"/>
        <w:bidi w:val="0"/>
        <w:spacing w:lineRule="auto" w:line="288" w:before="0" w:after="120"/>
        <w:ind w:left="0" w:right="0" w:firstLine="360"/>
        <w:jc w:val="left"/>
        <w:rPr>
          <w:rFonts w:ascii="Allstate Sans;sans-serif" w:hAnsi="Allstate Sans;sans-serif"/>
          <w:b w:val="false"/>
          <w:color w:val="000000"/>
          <w:sz w:val="18"/>
          <w:shd w:fill="FFFFFF" w:val="clear"/>
        </w:rPr>
      </w:pPr>
      <w:r>
        <w:rPr>
          <w:rFonts w:ascii="Allstate Sans;sans-serif" w:hAnsi="Allstate Sans;sans-serif"/>
          <w:b w:val="false"/>
          <w:color w:val="000000"/>
          <w:sz w:val="18"/>
          <w:shd w:fill="FFFFFF" w:val="clear"/>
        </w:rPr>
        <w:t>The Company is pursuing subrogation recoveries related to the January 2025 California wildfires. No amounts have been recognized for these potential recoveries. Any ultimate recovery is expected to primarily benefit the Company's reinsurers, with the Company's direct benefit principally related to reinsurance reinstatement premiums.</w:t>
      </w:r>
    </w:p>
    <w:p>
      <w:pPr>
        <w:pStyle w:val="TextBody"/>
        <w:bidi w:val="0"/>
        <w:spacing w:lineRule="auto" w:line="288" w:before="0" w:after="120"/>
        <w:ind w:left="0" w:right="0" w:firstLine="360"/>
        <w:jc w:val="left"/>
        <w:rPr>
          <w:shd w:fill="FFFFFF" w:val="clear"/>
        </w:rPr>
      </w:pPr>
      <w:r>
        <w:rPr>
          <w:rFonts w:ascii="Allstate Sans;sans-serif" w:hAnsi="Allstate Sans;sans-serif"/>
          <w:b/>
          <w:color w:val="0033A0"/>
          <w:sz w:val="18"/>
          <w:shd w:fill="FFFFFF" w:val="clear"/>
        </w:rPr>
        <w:t>Catastrophe reinsurance</w:t>
      </w:r>
      <w:r>
        <w:rPr>
          <w:color w:val="000000"/>
          <w:shd w:fill="FFFFFF" w:val="clear"/>
        </w:rPr>
        <w:t xml:space="preserve"> </w:t>
      </w:r>
      <w:r>
        <w:rPr>
          <w:rFonts w:ascii="Allstate Sans;sans-serif" w:hAnsi="Allstate Sans;sans-serif"/>
          <w:b w:val="false"/>
          <w:color w:val="000000"/>
          <w:sz w:val="18"/>
          <w:shd w:fill="FFFFFF" w:val="clear"/>
        </w:rPr>
        <w:t xml:space="preserve">The catastrophe reinsurance program is part of our catastrophe management strategy, which is intended to provide shareholders with long-term returns on the risks assumed in our property business, reduce earnings volatility, and provide protection to our customers. The current catastrophe reinsurance program supports our risk and return framework which incorporates robust economic capital modeling and is informed by catastrophe risk models including hurricanes, earthquakes and wildfires. As of June 30, 2026, the modeled 1-in-100 annual aggregate probable maximum loss for hurricane, earthquake and wildfire perils was </w:t>
      </w:r>
    </w:p>
    <w:p>
      <w:pPr>
        <w:pStyle w:val="TextBody"/>
        <w:bidi w:val="0"/>
        <w:spacing w:lineRule="auto" w:line="288" w:before="0" w:after="120"/>
        <w:jc w:val="left"/>
        <w:rPr>
          <w:rFonts w:ascii="Allstate Sans;sans-serif" w:hAnsi="Allstate Sans;sans-serif"/>
          <w:b w:val="false"/>
          <w:color w:val="000000"/>
          <w:sz w:val="18"/>
          <w:shd w:fill="FFFFFF" w:val="clear"/>
        </w:rPr>
      </w:pPr>
      <w:r>
        <w:rPr>
          <w:rFonts w:ascii="Allstate Sans;sans-serif" w:hAnsi="Allstate Sans;sans-serif"/>
          <w:b w:val="false"/>
          <w:color w:val="000000"/>
          <w:sz w:val="18"/>
          <w:shd w:fill="FFFFFF" w:val="clear"/>
        </w:rPr>
        <w:t xml:space="preserve">approximately $3.2 billion, net of reinsurance. We continually review our aggregate risk appetite and the cost and availability of reinsurance to optimize the risk and return profile of this exposure. </w:t>
      </w:r>
    </w:p>
    <w:p>
      <w:pPr>
        <w:pStyle w:val="TextBody"/>
        <w:bidi w:val="0"/>
        <w:spacing w:lineRule="auto" w:line="288" w:before="0" w:after="120"/>
        <w:ind w:left="0" w:right="0" w:firstLine="360"/>
        <w:jc w:val="left"/>
        <w:rPr>
          <w:rFonts w:ascii="Allstate Sans;sans-serif" w:hAnsi="Allstate Sans;sans-serif"/>
          <w:b w:val="false"/>
          <w:color w:val="000000"/>
          <w:sz w:val="18"/>
          <w:shd w:fill="FFFFFF" w:val="clear"/>
        </w:rPr>
      </w:pPr>
      <w:r>
        <w:rPr>
          <w:rFonts w:ascii="Allstate Sans;sans-serif" w:hAnsi="Allstate Sans;sans-serif"/>
          <w:b w:val="false"/>
          <w:color w:val="000000"/>
          <w:sz w:val="18"/>
          <w:shd w:fill="FFFFFF" w:val="clear"/>
        </w:rPr>
        <w:t>Similar to our 2025 program, our 2026 program includes coverage for losses to personal lines property, personal lines automobile, commercial lines property or commercial lines automobile arising out of multiple perils, in addition to hurricanes, earthquakes and wildfires.</w:t>
      </w:r>
    </w:p>
    <w:p>
      <w:pPr>
        <w:pStyle w:val="TextBody"/>
        <w:bidi w:val="0"/>
        <w:spacing w:lineRule="auto" w:line="288" w:before="0" w:after="120"/>
        <w:ind w:left="0" w:right="0" w:firstLine="360"/>
        <w:jc w:val="left"/>
        <w:rPr>
          <w:rFonts w:ascii="Allstate Sans;sans-serif" w:hAnsi="Allstate Sans;sans-serif"/>
          <w:b w:val="false"/>
          <w:color w:val="000000"/>
          <w:sz w:val="18"/>
          <w:shd w:fill="FFFFFF" w:val="clear"/>
        </w:rPr>
      </w:pPr>
      <w:r>
        <w:rPr>
          <w:rFonts w:ascii="Allstate Sans;sans-serif" w:hAnsi="Allstate Sans;sans-serif"/>
          <w:b w:val="false"/>
          <w:color w:val="000000"/>
          <w:sz w:val="18"/>
          <w:shd w:fill="FFFFFF" w:val="clear"/>
        </w:rPr>
        <w:t>The total cost of our property catastrophe reinsurance programs, excluding reinstatement premiums, during the second quarter and first six months of 2026 was $378 million and $686 million, respectively, compared to $305 million and $562 million in the second quarter and first six months of 2025. Catastrophe placement premiums reduce net written and earned premium with approximately 83% of the reduction related to homeowners premium.</w:t>
      </w:r>
    </w:p>
    <w:tbl>
      <w:tblPr>
        <w:tblW w:w="10205" w:type="dxa"/>
        <w:jc w:val="left"/>
        <w:tblInd w:w="0" w:type="dxa"/>
        <w:tblLayout w:type="fixed"/>
        <w:tblCellMar>
          <w:top w:w="28" w:type="dxa"/>
          <w:left w:w="28" w:type="dxa"/>
          <w:bottom w:w="28" w:type="dxa"/>
          <w:right w:w="28" w:type="dxa"/>
        </w:tblCellMar>
      </w:tblPr>
      <w:tblGrid>
        <w:gridCol w:w="1561"/>
        <w:gridCol w:w="919"/>
        <w:gridCol w:w="924"/>
        <w:gridCol w:w="207"/>
        <w:gridCol w:w="207"/>
        <w:gridCol w:w="207"/>
        <w:gridCol w:w="1802"/>
        <w:gridCol w:w="1792"/>
        <w:gridCol w:w="2586"/>
      </w:tblGrid>
      <w:tr>
        <w:trPr/>
        <w:tc>
          <w:tcPr>
            <w:tcW w:w="1561"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802" w:type="dxa"/>
            <w:tcBorders/>
            <w:vAlign w:val="center"/>
          </w:tcPr>
          <w:p>
            <w:pPr>
              <w:pStyle w:val="TableContents"/>
              <w:bidi w:val="0"/>
              <w:spacing w:before="0" w:after="283"/>
              <w:jc w:val="left"/>
              <w:rPr>
                <w:sz w:val="4"/>
                <w:szCs w:val="4"/>
              </w:rPr>
            </w:pPr>
            <w:r>
              <w:rPr>
                <w:sz w:val="4"/>
                <w:szCs w:val="4"/>
              </w:rPr>
            </w:r>
          </w:p>
        </w:tc>
        <w:tc>
          <w:tcPr>
            <w:tcW w:w="1792" w:type="dxa"/>
            <w:tcBorders/>
            <w:vAlign w:val="center"/>
          </w:tcPr>
          <w:p>
            <w:pPr>
              <w:pStyle w:val="TableContents"/>
              <w:bidi w:val="0"/>
              <w:spacing w:before="0" w:after="283"/>
              <w:jc w:val="left"/>
              <w:rPr>
                <w:sz w:val="4"/>
                <w:szCs w:val="4"/>
              </w:rPr>
            </w:pPr>
            <w:r>
              <w:rPr>
                <w:sz w:val="4"/>
                <w:szCs w:val="4"/>
              </w:rPr>
            </w:r>
          </w:p>
        </w:tc>
        <w:tc>
          <w:tcPr>
            <w:tcW w:w="2586"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88" w:before="0" w:after="120"/>
              <w:jc w:val="left"/>
              <w:rPr>
                <w:rFonts w:ascii="Allstate Sans;sans-serif" w:hAnsi="Allstate Sans;sans-serif"/>
                <w:b/>
                <w:color w:val="0033A0"/>
                <w:sz w:val="18"/>
              </w:rPr>
            </w:pPr>
            <w:r>
              <w:rPr>
                <w:rFonts w:ascii="Allstate Sans;sans-serif" w:hAnsi="Allstate Sans;sans-serif"/>
                <w:b/>
                <w:color w:val="0033A0"/>
                <w:sz w:val="18"/>
              </w:rPr>
              <w:t>Current Reinsurance Programs</w:t>
            </w:r>
          </w:p>
        </w:tc>
      </w:tr>
      <w:tr>
        <w:trPr/>
        <w:tc>
          <w:tcPr>
            <w:tcW w:w="34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0"/>
              <w:jc w:val="left"/>
              <w:rPr/>
            </w:pPr>
            <w:r>
              <w:rPr>
                <w:rFonts w:ascii="Helvetica_Neue_LT_W1G_55_Roman;sans-serif" w:hAnsi="Helvetica_Neue_LT_W1G_55_Roman;sans-serif"/>
                <w:b/>
                <w:color w:val="000000"/>
                <w:sz w:val="18"/>
              </w:rPr>
              <w:t xml:space="preserve">Nationwide Excess Catastrophe Reinsurance Program </w:t>
            </w:r>
            <w:r>
              <w:rPr>
                <w:rFonts w:ascii="Helvetica_Neue_LT_W1G_55_Roman;sans-serif" w:hAnsi="Helvetica_Neue_LT_W1G_55_Roman;sans-serif"/>
                <w:b/>
                <w:color w:val="000000"/>
                <w:sz w:val="12"/>
              </w:rPr>
              <w:t>(1)</w:t>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0"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Reinsures multi-line catastrophes in every state except Florida, where coverage is only provided for personal lines automobile unless otherwise stated</w:t>
            </w:r>
          </w:p>
        </w:tc>
      </w:tr>
      <w:tr>
        <w:trPr/>
        <w:tc>
          <w:tcPr>
            <w:tcW w:w="3404"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Canada Catastrophe Excess of</w:t>
            </w:r>
          </w:p>
          <w:p>
            <w:pPr>
              <w:pStyle w:val="TableContents"/>
              <w:bidi w:val="0"/>
              <w:spacing w:lineRule="auto" w:line="240" w:before="0" w:after="0"/>
              <w:jc w:val="left"/>
              <w:rPr/>
            </w:pPr>
            <w:r>
              <w:rPr>
                <w:rFonts w:ascii="Helvetica_Neue_LT_W1G_55_Roman;sans-serif" w:hAnsi="Helvetica_Neue_LT_W1G_55_Roman;sans-serif"/>
                <w:b/>
                <w:color w:val="000000"/>
                <w:sz w:val="18"/>
              </w:rPr>
              <w:t xml:space="preserve">Loss Reinsurance Contract </w:t>
            </w:r>
            <w:r>
              <w:rPr>
                <w:rFonts w:ascii="Helvetica_Neue_LT_W1G_55_Roman;sans-serif" w:hAnsi="Helvetica_Neue_LT_W1G_55_Roman;sans-serif"/>
                <w:b/>
                <w:color w:val="000000"/>
                <w:sz w:val="12"/>
              </w:rPr>
              <w:t>(1)</w:t>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0"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Reinsures personal lines property and automobile physical damage catastrophe losses in the Canadian provinces of Ontario, Quebec, Alberta, New Brunswick, and Nova Scotia</w:t>
            </w:r>
          </w:p>
        </w:tc>
      </w:tr>
      <w:tr>
        <w:trPr/>
        <w:tc>
          <w:tcPr>
            <w:tcW w:w="3404"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0"/>
              <w:jc w:val="left"/>
              <w:rPr/>
            </w:pPr>
            <w:r>
              <w:rPr>
                <w:rFonts w:ascii="Helvetica_Neue_LT_W1G_55_Roman;sans-serif" w:hAnsi="Helvetica_Neue_LT_W1G_55_Roman;sans-serif"/>
                <w:b/>
                <w:color w:val="000000"/>
                <w:sz w:val="18"/>
              </w:rPr>
              <w:t xml:space="preserve">State-specific Earthquake-related Catastrophe Reinsurance </w:t>
            </w:r>
            <w:r>
              <w:rPr>
                <w:rFonts w:ascii="Helvetica_Neue_LT_W1G_55_Roman;sans-serif" w:hAnsi="Helvetica_Neue_LT_W1G_55_Roman;sans-serif"/>
                <w:b/>
                <w:color w:val="000000"/>
                <w:sz w:val="12"/>
              </w:rPr>
              <w:t>(1)</w:t>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0"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pPr>
            <w:r>
              <w:rPr>
                <w:rFonts w:ascii="Helvetica_Neue_LT_W1G_55_Roman;sans-serif" w:hAnsi="Helvetica_Neue_LT_W1G_55_Roman;sans-serif"/>
                <w:b w:val="false"/>
                <w:color w:val="000000"/>
                <w:sz w:val="18"/>
              </w:rPr>
              <w:t>Kentucky contract reinsures personal lines property losses in the state caused by earthquakes and fire-following earthquakes</w:t>
              <w:br/>
            </w:r>
            <w:r>
              <w:rPr>
                <w:rFonts w:ascii="Helvetica_Neue_LT_W1G_55_Roman;sans-serif" w:hAnsi="Helvetica_Neue_LT_W1G_55_Roman;sans-serif"/>
                <w:b w:val="false"/>
                <w:sz w:val="18"/>
              </w:rPr>
              <w:br/>
            </w:r>
            <w:r>
              <w:rPr>
                <w:rFonts w:ascii="Helvetica_Neue_LT_W1G_55_Roman;sans-serif" w:hAnsi="Helvetica_Neue_LT_W1G_55_Roman;sans-serif"/>
                <w:b w:val="false"/>
                <w:color w:val="000000"/>
                <w:sz w:val="18"/>
              </w:rPr>
              <w:t>Excess &amp; Surplus (“E&amp;S”) contract reinsures shake damage resulting from the earthquake peril for personal lines property policies underwritten by North Light, our E&amp;S lines carrier, in California</w:t>
            </w:r>
          </w:p>
        </w:tc>
      </w:tr>
      <w:tr>
        <w:trPr/>
        <w:tc>
          <w:tcPr>
            <w:tcW w:w="3404"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0"/>
              <w:jc w:val="left"/>
              <w:rPr/>
            </w:pPr>
            <w:r>
              <w:rPr>
                <w:rFonts w:ascii="Helvetica_Neue_LT_W1G_55_Roman;sans-serif" w:hAnsi="Helvetica_Neue_LT_W1G_55_Roman;sans-serif"/>
                <w:b/>
                <w:color w:val="000000"/>
                <w:sz w:val="18"/>
              </w:rPr>
              <w:t xml:space="preserve">Florida Excess Catastrophe Reinsurance Program </w:t>
            </w:r>
            <w:r>
              <w:rPr>
                <w:rFonts w:ascii="Helvetica_Neue_LT_W1G_55_Roman;sans-serif" w:hAnsi="Helvetica_Neue_LT_W1G_55_Roman;sans-serif"/>
                <w:b/>
                <w:color w:val="000000"/>
                <w:sz w:val="12"/>
              </w:rPr>
              <w:t>(2)</w:t>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0"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Reinsures Castle Key Insurance Company (“CKIC”), Castle Key Indemnity Company (“CKI”) and affiliated companies personal lines property excess catastrophe losses in Florida</w:t>
            </w:r>
          </w:p>
        </w:tc>
      </w:tr>
      <w:tr>
        <w:trPr/>
        <w:tc>
          <w:tcPr>
            <w:tcW w:w="3404"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0"/>
              <w:jc w:val="left"/>
              <w:rPr/>
            </w:pPr>
            <w:r>
              <w:rPr>
                <w:rFonts w:ascii="Helvetica_Neue_LT_W1G_55_Roman;sans-serif" w:hAnsi="Helvetica_Neue_LT_W1G_55_Roman;sans-serif"/>
                <w:b/>
                <w:color w:val="000000"/>
                <w:sz w:val="18"/>
              </w:rPr>
              <w:t xml:space="preserve">National General Lender Services Standalone Program </w:t>
            </w:r>
            <w:r>
              <w:rPr>
                <w:rFonts w:ascii="Helvetica_Neue_LT_W1G_55_Roman;sans-serif" w:hAnsi="Helvetica_Neue_LT_W1G_55_Roman;sans-serif"/>
                <w:b/>
                <w:color w:val="000000"/>
                <w:sz w:val="12"/>
              </w:rPr>
              <w:t>(2)</w:t>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0"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Reinsures the National General Lender Services portfolio, which includes property and automobile products</w:t>
            </w:r>
          </w:p>
        </w:tc>
      </w:tr>
      <w:tr>
        <w:trPr/>
        <w:tc>
          <w:tcPr>
            <w:tcW w:w="3404" w:type="dxa"/>
            <w:gridSpan w:val="3"/>
            <w:tcBorders>
              <w:top w:val="single" w:sz="4" w:space="0" w:color="ACACAC"/>
              <w:bottom w:val="single" w:sz="4" w:space="0" w:color="ACACAC"/>
            </w:tcBorders>
            <w:tcMar>
              <w:top w:w="30" w:type="dxa"/>
              <w:left w:w="0" w:type="dxa"/>
              <w:bottom w:w="30" w:type="dxa"/>
              <w:right w:w="0" w:type="dxa"/>
            </w:tcMar>
            <w:vAlign w:val="center"/>
          </w:tcPr>
          <w:p>
            <w:pPr>
              <w:pStyle w:val="TableContents"/>
              <w:bidi w:val="0"/>
              <w:spacing w:lineRule="auto" w:line="240" w:before="0" w:after="0"/>
              <w:jc w:val="left"/>
              <w:rPr/>
            </w:pPr>
            <w:r>
              <w:rPr>
                <w:rFonts w:ascii="Helvetica_Neue_LT_W1G_55_Roman;sans-serif" w:hAnsi="Helvetica_Neue_LT_W1G_55_Roman;sans-serif"/>
                <w:b/>
                <w:color w:val="000000"/>
                <w:sz w:val="18"/>
              </w:rPr>
              <w:t xml:space="preserve">National General Flood Excess of Loss Reinsurance Contract </w:t>
            </w:r>
            <w:r>
              <w:rPr>
                <w:rFonts w:ascii="Helvetica_Neue_LT_W1G_55_Roman;sans-serif" w:hAnsi="Helvetica_Neue_LT_W1G_55_Roman;sans-serif"/>
                <w:b/>
                <w:color w:val="000000"/>
                <w:sz w:val="12"/>
              </w:rPr>
              <w:t>(2)</w:t>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0" w:type="dxa"/>
            <w:gridSpan w:val="3"/>
            <w:tcBorders>
              <w:top w:val="single" w:sz="4" w:space="0" w:color="ACACAC"/>
              <w:bottom w:val="single" w:sz="4" w:space="0" w:color="ACACAC"/>
            </w:tcBorders>
            <w:tcMar>
              <w:top w:w="30" w:type="dxa"/>
              <w:left w:w="0" w:type="dxa"/>
              <w:bottom w:w="3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Reinsures the National General Flood portfolio, which includes business classified as Private Flood Insurance policies providing stand-alone flood coverage</w:t>
            </w:r>
          </w:p>
        </w:tc>
      </w:tr>
    </w:tbl>
    <w:p>
      <w:pPr>
        <w:pStyle w:val="TextBody"/>
        <w:bidi w:val="0"/>
        <w:spacing w:lineRule="auto" w:line="288" w:before="60" w:after="60"/>
        <w:ind w:left="0" w:right="0" w:hanging="180"/>
        <w:jc w:val="left"/>
        <w:rPr>
          <w:shd w:fill="FFFFFF" w:val="clear"/>
        </w:rPr>
      </w:pPr>
      <w:r>
        <w:rPr>
          <w:rFonts w:ascii="Allstate Sans;sans-serif" w:hAnsi="Allstate Sans;sans-serif"/>
          <w:b w:val="false"/>
          <w:color w:val="000000"/>
          <w:sz w:val="10"/>
          <w:shd w:fill="FFFFFF" w:val="clear"/>
        </w:rPr>
        <w:t>(1)</w:t>
      </w:r>
      <w:r>
        <w:rPr>
          <w:rFonts w:ascii="Allstate Sans;sans-serif" w:hAnsi="Allstate Sans;sans-serif"/>
          <w:b w:val="false"/>
          <w:color w:val="000000"/>
          <w:sz w:val="16"/>
          <w:shd w:fill="FFFFFF" w:val="clear"/>
        </w:rPr>
        <w:t>Programs or contracts updated in the first quarter of 2026.</w:t>
      </w:r>
    </w:p>
    <w:p>
      <w:pPr>
        <w:pStyle w:val="TextBody"/>
        <w:bidi w:val="0"/>
        <w:spacing w:lineRule="auto" w:line="288" w:before="60" w:after="120"/>
        <w:ind w:left="0" w:right="0" w:hanging="180"/>
        <w:jc w:val="left"/>
        <w:rPr>
          <w:shd w:fill="FFFFFF" w:val="clear"/>
        </w:rPr>
      </w:pPr>
      <w:r>
        <w:rPr>
          <w:rFonts w:ascii="Allstate Sans;sans-serif" w:hAnsi="Allstate Sans;sans-serif"/>
          <w:b w:val="false"/>
          <w:color w:val="000000"/>
          <w:sz w:val="10"/>
          <w:shd w:fill="FFFFFF" w:val="clear"/>
        </w:rPr>
        <w:t>(2)</w:t>
      </w:r>
      <w:r>
        <w:rPr>
          <w:rFonts w:ascii="Allstate Sans;sans-serif" w:hAnsi="Allstate Sans;sans-serif"/>
          <w:b w:val="false"/>
          <w:color w:val="000000"/>
          <w:sz w:val="16"/>
          <w:shd w:fill="FFFFFF" w:val="clear"/>
        </w:rPr>
        <w:t>Programs or contracts updated in the second quarter of 2026.</w:t>
      </w:r>
    </w:p>
    <w:p>
      <w:pPr>
        <w:pStyle w:val="TextBody"/>
        <w:bidi w:val="0"/>
        <w:spacing w:lineRule="auto" w:line="288" w:before="0" w:after="120"/>
        <w:ind w:left="0" w:right="0" w:firstLine="360"/>
        <w:jc w:val="left"/>
        <w:rPr>
          <w:shd w:fill="FFFFFF" w:val="clear"/>
        </w:rPr>
      </w:pPr>
      <w:r>
        <w:rPr>
          <w:rFonts w:ascii="Allstate Sans;sans-serif" w:hAnsi="Allstate Sans;sans-serif"/>
          <w:b w:val="false"/>
          <w:i/>
          <w:color w:val="0033A0"/>
          <w:sz w:val="18"/>
          <w:shd w:fill="FFFFFF" w:val="clear"/>
        </w:rPr>
        <w:t xml:space="preserve">Florida Program </w:t>
      </w:r>
      <w:r>
        <w:rPr>
          <w:rFonts w:ascii="Allstate Sans;sans-serif" w:hAnsi="Allstate Sans;sans-serif"/>
          <w:b w:val="false"/>
          <w:color w:val="000000"/>
          <w:sz w:val="18"/>
          <w:shd w:fill="FFFFFF" w:val="clear"/>
        </w:rPr>
        <w:t xml:space="preserve">Our 2026 Florida Program provides coverage for property policies of CKIC, CKI </w:t>
      </w:r>
    </w:p>
    <w:p>
      <w:pPr>
        <w:pStyle w:val="TextBody"/>
        <w:bidi w:val="0"/>
        <w:spacing w:lineRule="auto" w:line="288" w:before="0" w:after="120"/>
        <w:jc w:val="left"/>
        <w:rPr>
          <w:rFonts w:ascii="Allstate Sans;sans-serif" w:hAnsi="Allstate Sans;sans-serif"/>
          <w:b w:val="false"/>
          <w:color w:val="000000"/>
          <w:sz w:val="18"/>
          <w:shd w:fill="FFFFFF" w:val="clear"/>
        </w:rPr>
      </w:pPr>
      <w:r>
        <w:rPr>
          <w:rFonts w:ascii="Allstate Sans;sans-serif" w:hAnsi="Allstate Sans;sans-serif"/>
          <w:b w:val="false"/>
          <w:color w:val="000000"/>
          <w:sz w:val="18"/>
          <w:shd w:fill="FFFFFF" w:val="clear"/>
        </w:rPr>
        <w:t xml:space="preserve">and affiliated companies for Florida catastrophe events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33350"/>
                <wp:effectExtent l="0" t="0" r="0" b="0"/>
                <wp:wrapNone/>
                <wp:docPr id="62" name="Frame55"/>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ind w:left="0" w:right="0" w:firstLine="360"/>
                              <w:jc w:val="right"/>
                              <w:rPr/>
                            </w:pPr>
                            <w:r>
                              <w:rPr>
                                <w:rFonts w:ascii="Allstate Sans;sans-serif" w:hAnsi="Allstate Sans;sans-serif"/>
                                <w:b w:val="false"/>
                                <w:color w:val="000000"/>
                                <w:sz w:val="18"/>
                              </w:rPr>
                              <w:t xml:space="preserve">Second Quarter 2026 Form 10-Q </w:t>
                            </w:r>
                            <w:r>
                              <w:rPr>
                                <w:rFonts w:ascii="Allstate Sans;sans-serif" w:hAnsi="Allstate Sans;sans-serif"/>
                                <w:b w:val="false"/>
                                <w:color w:val="0033A0"/>
                                <w:sz w:val="18"/>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right"/>
                        <w:rPr/>
                      </w:pPr>
                      <w:r>
                        <w:rPr>
                          <w:rFonts w:ascii="Allstate Sans;sans-serif" w:hAnsi="Allstate Sans;sans-serif"/>
                          <w:b w:val="false"/>
                          <w:color w:val="000000"/>
                          <w:sz w:val="18"/>
                        </w:rPr>
                        <w:t xml:space="preserve">Second Quarter 2026 Form 10-Q </w:t>
                      </w:r>
                      <w:r>
                        <w:rPr>
                          <w:rFonts w:ascii="Allstate Sans;sans-serif" w:hAnsi="Allstate Sans;sans-serif"/>
                          <w:b w:val="false"/>
                          <w:color w:val="0033A0"/>
                          <w:sz w:val="18"/>
                        </w:rPr>
                        <w:t>53</w:t>
                      </w:r>
                    </w:p>
                  </w:txbxContent>
                </v:textbox>
                <w10:wrap type="none"/>
              </v:rect>
            </w:pict>
          </mc:Fallback>
        </mc:AlternateContent>
      </w:r>
    </w:p>
    <w:p>
      <w:pPr>
        <w:pStyle w:val="TextBody"/>
        <w:bidi w:val="0"/>
        <w:spacing w:lineRule="auto" w:line="288" w:before="0" w:after="0"/>
        <w:jc w:val="left"/>
        <w:rPr>
          <w:shd w:fill="FFFFFF" w:val="clear"/>
        </w:rPr>
      </w:pPr>
      <w:r>
        <w:rPr>
          <w:rFonts w:ascii="Allstate Sans;sans-serif" w:hAnsi="Allstate Sans;sans-serif"/>
          <w:b w:val="false"/>
          <w:color w:val="0033A0"/>
          <w:sz w:val="18"/>
          <w:shd w:fill="FFFFFF" w:val="clear"/>
        </w:rPr>
        <w:t>Segment Results</w:t>
      </w:r>
      <w:r>
        <w:rPr>
          <w:color w:val="000000"/>
          <w:shd w:fill="FFFFFF" w:val="clear"/>
        </w:rPr>
        <w:t xml:space="preserve"> </w:t>
      </w:r>
      <w:r>
        <w:rPr>
          <w:rFonts w:ascii="Allstate Sans;sans-serif" w:hAnsi="Allstate Sans;sans-serif"/>
          <w:b w:val="false"/>
          <w:color w:val="000000"/>
          <w:sz w:val="18"/>
          <w:shd w:fill="FFFFFF" w:val="clear"/>
        </w:rPr>
        <w:t>Allstate Protection</w:t>
      </w:r>
    </w:p>
    <w:p>
      <w:pPr>
        <w:pStyle w:val="TextBody"/>
        <w:bidi w:val="0"/>
        <w:spacing w:lineRule="auto" w:line="288" w:before="0" w:after="120"/>
        <w:jc w:val="left"/>
        <w:rPr>
          <w:rFonts w:ascii="Allstate Sans;sans-serif" w:hAnsi="Allstate Sans;sans-serif"/>
          <w:b w:val="false"/>
          <w:color w:val="000000"/>
          <w:sz w:val="18"/>
          <w:shd w:fill="FFFFFF" w:val="clear"/>
        </w:rPr>
      </w:pPr>
      <w:r>
        <w:rPr>
          <w:rFonts w:ascii="Allstate Sans;sans-serif" w:hAnsi="Allstate Sans;sans-serif"/>
          <w:b w:val="false"/>
          <w:color w:val="000000"/>
          <w:sz w:val="18"/>
          <w:shd w:fill="FFFFFF" w:val="clear"/>
        </w:rPr>
        <w:t>up to $934 million of property loss less a $30 million retention.</w:t>
      </w:r>
    </w:p>
    <w:p>
      <w:pPr>
        <w:pStyle w:val="TextBody"/>
        <w:bidi w:val="0"/>
        <w:spacing w:lineRule="auto" w:line="288" w:before="0" w:after="120"/>
        <w:ind w:left="0" w:right="0" w:firstLine="360"/>
        <w:jc w:val="left"/>
        <w:rPr>
          <w:rFonts w:ascii="Allstate Sans;sans-serif" w:hAnsi="Allstate Sans;sans-serif"/>
          <w:b w:val="false"/>
          <w:color w:val="000000"/>
          <w:sz w:val="18"/>
          <w:shd w:fill="FFFFFF" w:val="clear"/>
        </w:rPr>
      </w:pPr>
      <w:r>
        <w:rPr>
          <w:rFonts w:ascii="Allstate Sans;sans-serif" w:hAnsi="Allstate Sans;sans-serif"/>
          <w:b w:val="false"/>
          <w:color w:val="000000"/>
          <w:sz w:val="18"/>
          <w:shd w:fill="FFFFFF" w:val="clear"/>
        </w:rPr>
        <w:t>The Florida Program includes reinsurance agreements placed in the traditional market, Florida Hurricane Catastrophe Fund (“FHCF”) and the insurance-linked securities (“ILS”) market as follows:</w:t>
      </w:r>
    </w:p>
    <w:p>
      <w:pPr>
        <w:pStyle w:val="TextBody"/>
        <w:bidi w:val="0"/>
        <w:spacing w:lineRule="auto" w:line="288" w:before="0" w:after="120"/>
        <w:ind w:left="0" w:right="0" w:hanging="360"/>
        <w:jc w:val="left"/>
        <w:rPr>
          <w:shd w:fill="FFFFFF" w:val="clear"/>
        </w:rPr>
      </w:pPr>
      <w:r>
        <w:rPr>
          <w:color w:val="000000"/>
          <w:shd w:fill="FFFFFF" w:val="clear"/>
        </w:rPr>
        <w:t>•</w:t>
      </w:r>
      <w:r>
        <w:rPr>
          <w:rFonts w:ascii="Allstate Sans;sans-serif" w:hAnsi="Allstate Sans;sans-serif"/>
          <w:b w:val="false"/>
          <w:color w:val="000000"/>
          <w:sz w:val="18"/>
          <w:shd w:fill="FFFFFF" w:val="clear"/>
        </w:rPr>
        <w:t xml:space="preserve">Contracts between $30 million and $85 million: </w:t>
      </w:r>
    </w:p>
    <w:p>
      <w:pPr>
        <w:pStyle w:val="TextBody"/>
        <w:bidi w:val="0"/>
        <w:spacing w:lineRule="auto" w:line="288" w:before="0" w:after="120"/>
        <w:ind w:left="0" w:right="0" w:hanging="360"/>
        <w:jc w:val="left"/>
        <w:rPr>
          <w:shd w:fill="FFFFFF" w:val="clear"/>
        </w:rPr>
      </w:pPr>
      <w:r>
        <w:rPr>
          <w:color w:val="000000"/>
          <w:shd w:fill="FFFFFF" w:val="clear"/>
        </w:rPr>
        <w:t>–</w:t>
      </w:r>
      <w:r>
        <w:rPr>
          <w:rFonts w:ascii="Allstate Sans;sans-serif" w:hAnsi="Allstate Sans;sans-serif"/>
          <w:b w:val="false"/>
          <w:color w:val="000000"/>
          <w:sz w:val="18"/>
          <w:shd w:fill="FFFFFF" w:val="clear"/>
        </w:rPr>
        <w:t>First event coverage provides $55 million of reinsurance limit, with $25 million placed with traditional reinsurers and $30 million placed as a catastrophe bond, and is not eligible for reinstatement of limits</w:t>
      </w:r>
    </w:p>
    <w:p>
      <w:pPr>
        <w:pStyle w:val="TextBody"/>
        <w:bidi w:val="0"/>
        <w:spacing w:lineRule="auto" w:line="288" w:before="0" w:after="120"/>
        <w:ind w:left="0" w:right="0" w:hanging="360"/>
        <w:jc w:val="left"/>
        <w:rPr>
          <w:shd w:fill="FFFFFF" w:val="clear"/>
        </w:rPr>
      </w:pPr>
      <w:r>
        <w:rPr>
          <w:color w:val="000000"/>
          <w:shd w:fill="FFFFFF" w:val="clear"/>
        </w:rPr>
        <w:t>–</w:t>
      </w:r>
      <w:r>
        <w:rPr>
          <w:rFonts w:ascii="Allstate Sans;sans-serif" w:hAnsi="Allstate Sans;sans-serif"/>
          <w:b w:val="false"/>
          <w:color w:val="000000"/>
          <w:sz w:val="18"/>
          <w:shd w:fill="FFFFFF" w:val="clear"/>
        </w:rPr>
        <w:t>Second event coverage is placed with traditional reinsurers, with $55 million of reinsurance limit</w:t>
      </w:r>
    </w:p>
    <w:p>
      <w:pPr>
        <w:pStyle w:val="TextBody"/>
        <w:bidi w:val="0"/>
        <w:spacing w:lineRule="auto" w:line="288" w:before="0" w:after="120"/>
        <w:ind w:left="0" w:right="0" w:hanging="360"/>
        <w:jc w:val="left"/>
        <w:rPr>
          <w:shd w:fill="FFFFFF" w:val="clear"/>
        </w:rPr>
      </w:pPr>
      <w:r>
        <w:rPr>
          <w:color w:val="000000"/>
          <w:shd w:fill="FFFFFF" w:val="clear"/>
        </w:rPr>
        <w:t>•</w:t>
      </w:r>
      <w:r>
        <w:rPr>
          <w:rFonts w:ascii="Allstate Sans;sans-serif" w:hAnsi="Allstate Sans;sans-serif"/>
          <w:b w:val="false"/>
          <w:color w:val="000000"/>
          <w:sz w:val="18"/>
          <w:shd w:fill="FFFFFF" w:val="clear"/>
        </w:rPr>
        <w:t>Contracts between $85 million and $369 million:</w:t>
      </w:r>
    </w:p>
    <w:p>
      <w:pPr>
        <w:pStyle w:val="TextBody"/>
        <w:bidi w:val="0"/>
        <w:spacing w:lineRule="auto" w:line="288" w:before="0" w:after="120"/>
        <w:ind w:left="0" w:right="0" w:hanging="360"/>
        <w:jc w:val="left"/>
        <w:rPr>
          <w:shd w:fill="FFFFFF" w:val="clear"/>
        </w:rPr>
      </w:pPr>
      <w:r>
        <w:rPr>
          <w:color w:val="000000"/>
          <w:shd w:fill="FFFFFF" w:val="clear"/>
        </w:rPr>
        <w:t>–</w:t>
      </w:r>
      <w:r>
        <w:rPr>
          <w:rFonts w:ascii="Allstate Sans;sans-serif" w:hAnsi="Allstate Sans;sans-serif"/>
          <w:b w:val="false"/>
          <w:color w:val="000000"/>
          <w:sz w:val="18"/>
          <w:shd w:fill="FFFFFF" w:val="clear"/>
        </w:rPr>
        <w:t>Provide $149 million of limits, 90% placed (totaling $134 million of placed limit) for qualifying losses to personal lines property in Florida caused by storms the National Hurricane Center declares to be hurricanes. These contracts inure to the benefit of all other reinsurance and do not have reinstatement provisions</w:t>
      </w:r>
    </w:p>
    <w:p>
      <w:pPr>
        <w:pStyle w:val="TextBody"/>
        <w:bidi w:val="0"/>
        <w:spacing w:lineRule="auto" w:line="288" w:before="0" w:after="120"/>
        <w:ind w:left="0" w:right="0" w:hanging="360"/>
        <w:jc w:val="left"/>
        <w:rPr>
          <w:shd w:fill="FFFFFF" w:val="clear"/>
        </w:rPr>
      </w:pPr>
      <w:r>
        <w:rPr>
          <w:color w:val="000000"/>
          <w:shd w:fill="FFFFFF" w:val="clear"/>
        </w:rPr>
        <w:t>–</w:t>
      </w:r>
      <w:r>
        <w:rPr>
          <w:rFonts w:ascii="Allstate Sans;sans-serif" w:hAnsi="Allstate Sans;sans-serif"/>
          <w:b w:val="false"/>
          <w:color w:val="000000"/>
          <w:sz w:val="18"/>
          <w:shd w:fill="FFFFFF" w:val="clear"/>
        </w:rPr>
        <w:t>Provide $150 million of limit placed with traditional reinsurers for a first event, with one automatic reinstatement of limits, with premium due. A separate contract offsets the full amount of this reinstatement premium</w:t>
      </w:r>
    </w:p>
    <w:p>
      <w:pPr>
        <w:pStyle w:val="TextBody"/>
        <w:bidi w:val="0"/>
        <w:spacing w:lineRule="auto" w:line="288" w:before="0" w:after="120"/>
        <w:ind w:left="0" w:right="0" w:hanging="360"/>
        <w:jc w:val="left"/>
        <w:rPr>
          <w:shd w:fill="FFFFFF" w:val="clear"/>
        </w:rPr>
      </w:pPr>
      <w:r>
        <w:rPr>
          <w:color w:val="000000"/>
          <w:shd w:fill="FFFFFF" w:val="clear"/>
        </w:rPr>
        <w:t>•</w:t>
      </w:r>
      <w:r>
        <w:rPr>
          <w:rFonts w:ascii="Allstate Sans;sans-serif" w:hAnsi="Allstate Sans;sans-serif"/>
          <w:b w:val="false"/>
          <w:color w:val="000000"/>
          <w:sz w:val="18"/>
          <w:shd w:fill="FFFFFF" w:val="clear"/>
        </w:rPr>
        <w:t>Contracts between $369 million and $719 million provide $350 million of limit placed as two catastrophe bonds and are not eligible for reinstatement of limits.</w:t>
      </w:r>
    </w:p>
    <w:p>
      <w:pPr>
        <w:pStyle w:val="TextBody"/>
        <w:bidi w:val="0"/>
        <w:spacing w:lineRule="auto" w:line="288" w:before="0" w:after="120"/>
        <w:ind w:left="0" w:right="0" w:hanging="360"/>
        <w:jc w:val="left"/>
        <w:rPr>
          <w:shd w:fill="FFFFFF" w:val="clear"/>
        </w:rPr>
      </w:pPr>
      <w:r>
        <w:rPr>
          <w:color w:val="000000"/>
          <w:shd w:fill="FFFFFF" w:val="clear"/>
        </w:rPr>
        <w:t>•</w:t>
      </w:r>
      <w:r>
        <w:rPr>
          <w:rFonts w:ascii="Allstate Sans;sans-serif" w:hAnsi="Allstate Sans;sans-serif"/>
          <w:b w:val="false"/>
          <w:color w:val="000000"/>
          <w:sz w:val="18"/>
          <w:shd w:fill="FFFFFF" w:val="clear"/>
        </w:rPr>
        <w:t>Contracts between $719 million and $934 million provide $215 million of limit placed with traditional reinsurers for a first event, with one automatic reinstatement of limits, with additional premium due. A separate contract offsets the full amount of this reinstatement premium.</w:t>
      </w:r>
    </w:p>
    <w:p>
      <w:pPr>
        <w:pStyle w:val="TextBody"/>
        <w:bidi w:val="0"/>
        <w:spacing w:lineRule="auto" w:line="288" w:before="0" w:after="120"/>
        <w:ind w:left="0" w:right="0" w:firstLine="360"/>
        <w:jc w:val="left"/>
        <w:rPr>
          <w:shd w:fill="FFFFFF" w:val="clear"/>
        </w:rPr>
      </w:pPr>
      <w:r>
        <w:rPr>
          <w:rFonts w:ascii="Allstate Sans;sans-serif" w:hAnsi="Allstate Sans;sans-serif"/>
          <w:b w:val="false"/>
          <w:i/>
          <w:color w:val="0033A0"/>
          <w:sz w:val="18"/>
          <w:shd w:fill="FFFFFF" w:val="clear"/>
        </w:rPr>
        <w:t>National General Lender Services Standalone Program</w:t>
      </w:r>
      <w:r>
        <w:rPr>
          <w:color w:val="000000"/>
          <w:shd w:fill="FFFFFF" w:val="clear"/>
        </w:rPr>
        <w:t xml:space="preserve"> </w:t>
      </w:r>
      <w:r>
        <w:rPr>
          <w:rFonts w:ascii="Allstate Sans;sans-serif" w:hAnsi="Allstate Sans;sans-serif"/>
          <w:b w:val="false"/>
          <w:color w:val="000000"/>
          <w:sz w:val="18"/>
          <w:shd w:fill="FFFFFF" w:val="clear"/>
        </w:rPr>
        <w:t xml:space="preserve">is placed in the traditional market and provides coverage for catastrophe events up to $350 million of loss less a $70 million retention, with </w:t>
      </w:r>
    </w:p>
    <w:p>
      <w:pPr>
        <w:pStyle w:val="TextBody"/>
        <w:bidi w:val="0"/>
        <w:spacing w:lineRule="auto" w:line="288" w:before="0" w:after="120"/>
        <w:jc w:val="left"/>
        <w:rPr>
          <w:rFonts w:ascii="Allstate Sans;sans-serif" w:hAnsi="Allstate Sans;sans-serif"/>
          <w:b w:val="false"/>
          <w:color w:val="000000"/>
          <w:sz w:val="18"/>
          <w:shd w:fill="FFFFFF" w:val="clear"/>
        </w:rPr>
      </w:pPr>
      <w:r>
        <w:rPr>
          <w:rFonts w:ascii="Allstate Sans;sans-serif" w:hAnsi="Allstate Sans;sans-serif"/>
          <w:b w:val="false"/>
          <w:color w:val="000000"/>
          <w:sz w:val="18"/>
          <w:shd w:fill="FFFFFF" w:val="clear"/>
        </w:rPr>
        <w:t>one automatic reinstatement of limits, with additional premium due. The National General FHCF contract provides additional coverage for Florida hurricane events, for a combined coverage for such catastrophe events of $443 million of loss less a $63 million retention.</w:t>
      </w:r>
    </w:p>
    <w:p>
      <w:pPr>
        <w:pStyle w:val="TextBody"/>
        <w:bidi w:val="0"/>
        <w:spacing w:lineRule="auto" w:line="288" w:before="0" w:after="120"/>
        <w:ind w:left="0" w:right="0" w:firstLine="360"/>
        <w:jc w:val="left"/>
        <w:rPr>
          <w:shd w:fill="FFFFFF" w:val="clear"/>
        </w:rPr>
      </w:pPr>
      <w:r>
        <w:rPr>
          <w:rFonts w:ascii="Allstate Sans;sans-serif" w:hAnsi="Allstate Sans;sans-serif"/>
          <w:b w:val="false"/>
          <w:i/>
          <w:color w:val="0033A0"/>
          <w:sz w:val="18"/>
          <w:shd w:fill="FFFFFF" w:val="clear"/>
        </w:rPr>
        <w:t xml:space="preserve">National General Flood Excess of Loss Reinsurance Contract </w:t>
      </w:r>
      <w:r>
        <w:rPr>
          <w:rFonts w:ascii="Allstate Sans;sans-serif" w:hAnsi="Allstate Sans;sans-serif"/>
          <w:b w:val="false"/>
          <w:color w:val="000000"/>
          <w:sz w:val="18"/>
          <w:shd w:fill="FFFFFF" w:val="clear"/>
        </w:rPr>
        <w:t>provides $60 million of placed limits, subject to a $20 million retention, with one automatic reinstatement of limits, with additional premium due.</w:t>
      </w:r>
    </w:p>
    <w:p>
      <w:pPr>
        <w:pStyle w:val="TextBody"/>
        <w:bidi w:val="0"/>
        <w:spacing w:lineRule="auto" w:line="288" w:before="0" w:after="120"/>
        <w:ind w:left="0" w:right="0" w:firstLine="360"/>
        <w:jc w:val="left"/>
        <w:rPr>
          <w:shd w:fill="FFFFFF" w:val="clear"/>
        </w:rPr>
      </w:pPr>
      <w:r>
        <w:rPr>
          <w:rFonts w:ascii="Allstate Sans;sans-serif" w:hAnsi="Allstate Sans;sans-serif"/>
          <w:b/>
          <w:color w:val="0033A0"/>
          <w:sz w:val="18"/>
          <w:shd w:fill="FFFFFF" w:val="clear"/>
        </w:rPr>
        <w:t>Prior year reserve reestimates,</w:t>
      </w:r>
      <w:r>
        <w:rPr>
          <w:color w:val="000000"/>
          <w:shd w:fill="FFFFFF" w:val="clear"/>
        </w:rPr>
        <w:t xml:space="preserve"> </w:t>
      </w:r>
      <w:r>
        <w:rPr>
          <w:rFonts w:ascii="Allstate Sans;sans-serif" w:hAnsi="Allstate Sans;sans-serif"/>
          <w:b w:val="false"/>
          <w:color w:val="000000"/>
          <w:sz w:val="18"/>
          <w:shd w:fill="FFFFFF" w:val="clear"/>
        </w:rPr>
        <w:t>including catastrophes, decreased reserves by $641 million in the second quarter of 2026 and $1.65 billion in the first six months of 2026.</w:t>
      </w:r>
    </w:p>
    <w:p>
      <w:pPr>
        <w:pStyle w:val="TextBody"/>
        <w:bidi w:val="0"/>
        <w:spacing w:lineRule="auto" w:line="288" w:before="0" w:after="120"/>
        <w:ind w:left="0" w:right="0" w:firstLine="360"/>
        <w:jc w:val="left"/>
        <w:rPr>
          <w:rFonts w:ascii="Allstate Sans;sans-serif" w:hAnsi="Allstate Sans;sans-serif"/>
          <w:b w:val="false"/>
          <w:color w:val="000000"/>
          <w:sz w:val="18"/>
          <w:shd w:fill="FFFFFF" w:val="clear"/>
        </w:rPr>
      </w:pPr>
      <w:r>
        <w:rPr>
          <w:rFonts w:ascii="Allstate Sans;sans-serif" w:hAnsi="Allstate Sans;sans-serif"/>
          <w:b w:val="false"/>
          <w:color w:val="000000"/>
          <w:sz w:val="18"/>
          <w:shd w:fill="FFFFFF" w:val="clear"/>
        </w:rPr>
        <w:t>During the second quarter of 2026, favorable auto severity, excluding catastrophes, reflected improved prior period loss development and better than expected claim outcomes. Auto reserve releases for the second quarter of 2026 included $597 million related to auto injury coverages and $42 million related to other auto coverages. Approximately 51% of auto injury coverage reserve releases related to accident year 2025 and approximately 33% to 2023 and 2024.</w:t>
      </w:r>
    </w:p>
    <w:p>
      <w:pPr>
        <w:pStyle w:val="TextBody"/>
        <w:bidi w:val="0"/>
        <w:spacing w:lineRule="auto" w:line="288" w:before="0" w:after="120"/>
        <w:ind w:left="0" w:right="0" w:firstLine="360"/>
        <w:jc w:val="left"/>
        <w:rPr>
          <w:rFonts w:ascii="Allstate Sans;sans-serif" w:hAnsi="Allstate Sans;sans-serif"/>
          <w:b w:val="false"/>
          <w:color w:val="000000"/>
          <w:sz w:val="18"/>
          <w:shd w:fill="FFFFFF" w:val="clear"/>
        </w:rPr>
      </w:pPr>
      <w:r>
        <w:rPr>
          <w:rFonts w:ascii="Allstate Sans;sans-serif" w:hAnsi="Allstate Sans;sans-serif"/>
          <w:b w:val="false"/>
          <w:color w:val="000000"/>
          <w:sz w:val="18"/>
          <w:shd w:fill="FFFFFF" w:val="clear"/>
        </w:rPr>
        <w:t>During the first six months of 2026, favorable auto severity, excluding catastrophes, reflected improved prior period loss development and better than expected claim outcomes. Auto reserve releases during the first six months of 2026 included $1.27 billion related to auto injury coverages and $205 million related to other auto coverages. Approximately 30% of auto injury coverage reserve releases related to accident year 2025 and approximately 51% to 2023 and 2024.</w:t>
      </w:r>
    </w:p>
    <w:p>
      <w:pPr>
        <w:pStyle w:val="TextBody"/>
        <w:bidi w:val="0"/>
        <w:spacing w:lineRule="auto" w:line="288" w:before="0" w:after="120"/>
        <w:ind w:left="0" w:right="0" w:firstLine="360"/>
        <w:jc w:val="left"/>
        <w:rPr>
          <w:rFonts w:ascii="Allstate Sans;sans-serif" w:hAnsi="Allstate Sans;sans-serif"/>
          <w:b w:val="false"/>
          <w:color w:val="000000"/>
          <w:sz w:val="18"/>
          <w:shd w:fill="FFFFFF" w:val="clear"/>
        </w:rPr>
      </w:pPr>
      <w:r>
        <w:rPr>
          <w:rFonts w:ascii="Allstate Sans;sans-serif" w:hAnsi="Allstate Sans;sans-serif"/>
          <w:b w:val="false"/>
          <w:color w:val="000000"/>
          <w:sz w:val="18"/>
          <w:shd w:fill="FFFFFF" w:val="clear"/>
        </w:rPr>
        <w:t>For the second quarter and first six months of 2026, reserve releases in homeowners were primarily driven by favorable severity assumptions, offset by catastrophe reserve increases. Reserve releases in specialty lines and commercial lines were primarily driven by favorable large loss experience in personal umbrella coverage and improved commercial auto injury severity.</w:t>
      </w:r>
    </w:p>
    <w:p>
      <w:pPr>
        <w:pStyle w:val="TextBody"/>
        <w:bidi w:val="0"/>
        <w:spacing w:lineRule="auto" w:line="288" w:before="0" w:after="120"/>
        <w:ind w:left="0" w:right="0" w:firstLine="360"/>
        <w:jc w:val="left"/>
        <w:rPr>
          <w:rFonts w:ascii="Allstate Sans;sans-serif" w:hAnsi="Allstate Sans;sans-serif"/>
          <w:b w:val="false"/>
          <w:color w:val="000000"/>
          <w:sz w:val="18"/>
          <w:shd w:fill="FFFFFF" w:val="clear"/>
        </w:rPr>
      </w:pPr>
      <w:r>
        <w:rPr>
          <w:rFonts w:ascii="Allstate Sans;sans-serif" w:hAnsi="Allstate Sans;sans-serif"/>
          <w:b w:val="false"/>
          <w:color w:val="000000"/>
          <w:sz w:val="18"/>
          <w:shd w:fill="FFFFFF" w:val="clear"/>
        </w:rPr>
        <w:t>For a more detailed discussion on reinsurance and reserve reestimates, see Note 8 of the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3"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120"/>
                              <w:jc w:val="left"/>
                              <w:rPr/>
                            </w:pPr>
                            <w:r>
                              <w:rPr>
                                <w:rFonts w:ascii="Allstate Sans;sans-serif" w:hAnsi="Allstate Sans;sans-serif"/>
                                <w:b w:val="false"/>
                                <w:color w:val="0033A0"/>
                                <w:sz w:val="18"/>
                              </w:rPr>
                              <w:t>54</w:t>
                            </w:r>
                            <w:r>
                              <w:rPr>
                                <w:color w:val="1666AF"/>
                              </w:rPr>
                              <w:t xml:space="preserve"> </w:t>
                            </w:r>
                            <w:r>
                              <w:rPr>
                                <w:rFonts w:ascii="Allstate Sans;sans-serif" w:hAnsi="Allstate Sans;sans-serif"/>
                                <w:b w:val="false"/>
                                <w:color w:val="000000"/>
                                <w:sz w:val="18"/>
                              </w:rPr>
                              <w:t>www.allstate.com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left"/>
                        <w:rPr/>
                      </w:pPr>
                      <w:r>
                        <w:rPr>
                          <w:rFonts w:ascii="Allstate Sans;sans-serif" w:hAnsi="Allstate Sans;sans-serif"/>
                          <w:b w:val="false"/>
                          <w:color w:val="0033A0"/>
                          <w:sz w:val="18"/>
                        </w:rPr>
                        <w:t>54</w:t>
                      </w:r>
                      <w:r>
                        <w:rPr>
                          <w:color w:val="1666AF"/>
                        </w:rPr>
                        <w:t xml:space="preserve"> </w:t>
                      </w:r>
                      <w:r>
                        <w:rPr>
                          <w:rFonts w:ascii="Allstate Sans;sans-serif" w:hAnsi="Allstate Sans;sans-serif"/>
                          <w:b w:val="false"/>
                          <w:color w:val="000000"/>
                          <w:sz w:val="18"/>
                        </w:rPr>
                        <w:t>www.allstate.com</w:t>
                      </w:r>
                    </w:p>
                  </w:txbxContent>
                </v:textbox>
                <w10:wrap type="none"/>
              </v:rect>
            </w:pict>
          </mc:Fallback>
        </mc:AlternateContent>
      </w:r>
    </w:p>
    <w:p>
      <w:pPr>
        <w:pStyle w:val="TextBody"/>
        <w:bidi w:val="0"/>
        <w:spacing w:lineRule="auto" w:line="288" w:before="0" w:after="120"/>
        <w:ind w:left="0" w:right="0" w:firstLine="360"/>
        <w:jc w:val="right"/>
        <w:rPr>
          <w:shd w:fill="FFFFFF" w:val="clear"/>
        </w:rPr>
      </w:pPr>
      <w:r>
        <w:rPr>
          <w:rFonts w:ascii="Allstate Sans;sans-serif" w:hAnsi="Allstate Sans;sans-serif"/>
          <w:b w:val="false"/>
          <w:color w:val="000000"/>
          <w:sz w:val="18"/>
          <w:shd w:fill="FFFFFF" w:val="clear"/>
        </w:rPr>
        <w:t>Allstate Protection</w:t>
      </w:r>
      <w:r>
        <w:rPr>
          <w:color w:val="1666AF"/>
          <w:shd w:fill="FFFFFF" w:val="clear"/>
        </w:rPr>
        <w:t xml:space="preserve"> </w:t>
      </w:r>
      <w:r>
        <w:rPr>
          <w:rFonts w:ascii="Allstate Sans;sans-serif" w:hAnsi="Allstate Sans;sans-serif"/>
          <w:b w:val="false"/>
          <w:color w:val="0033A0"/>
          <w:sz w:val="18"/>
          <w:shd w:fill="FFFFFF" w:val="clear"/>
        </w:rPr>
        <w:t>Segment Results</w:t>
      </w:r>
      <w:r>
        <w:rPr>
          <w:color w:val="005BA5"/>
          <w:shd w:fill="FFFFFF" w:val="clear"/>
        </w:rPr>
        <w:t xml:space="preserve"> </w:t>
      </w:r>
    </w:p>
    <w:tbl>
      <w:tblPr>
        <w:tblW w:w="12445" w:type="dxa"/>
        <w:jc w:val="left"/>
        <w:tblInd w:w="0" w:type="dxa"/>
        <w:tblLayout w:type="fixed"/>
        <w:tblCellMar>
          <w:top w:w="28" w:type="dxa"/>
          <w:left w:w="28" w:type="dxa"/>
          <w:bottom w:w="28" w:type="dxa"/>
          <w:right w:w="28" w:type="dxa"/>
        </w:tblCellMar>
      </w:tblPr>
      <w:tblGrid>
        <w:gridCol w:w="979"/>
        <w:gridCol w:w="860"/>
        <w:gridCol w:w="862"/>
        <w:gridCol w:w="109"/>
        <w:gridCol w:w="109"/>
        <w:gridCol w:w="109"/>
        <w:gridCol w:w="226"/>
        <w:gridCol w:w="541"/>
        <w:gridCol w:w="109"/>
        <w:gridCol w:w="109"/>
        <w:gridCol w:w="109"/>
        <w:gridCol w:w="109"/>
        <w:gridCol w:w="226"/>
        <w:gridCol w:w="541"/>
        <w:gridCol w:w="109"/>
        <w:gridCol w:w="109"/>
        <w:gridCol w:w="109"/>
        <w:gridCol w:w="109"/>
        <w:gridCol w:w="255"/>
        <w:gridCol w:w="241"/>
        <w:gridCol w:w="203"/>
        <w:gridCol w:w="203"/>
        <w:gridCol w:w="203"/>
        <w:gridCol w:w="203"/>
        <w:gridCol w:w="255"/>
        <w:gridCol w:w="241"/>
        <w:gridCol w:w="207"/>
        <w:gridCol w:w="109"/>
        <w:gridCol w:w="109"/>
        <w:gridCol w:w="109"/>
        <w:gridCol w:w="226"/>
        <w:gridCol w:w="736"/>
        <w:gridCol w:w="109"/>
        <w:gridCol w:w="109"/>
        <w:gridCol w:w="109"/>
        <w:gridCol w:w="109"/>
        <w:gridCol w:w="226"/>
        <w:gridCol w:w="541"/>
        <w:gridCol w:w="109"/>
        <w:gridCol w:w="109"/>
        <w:gridCol w:w="109"/>
        <w:gridCol w:w="109"/>
        <w:gridCol w:w="255"/>
        <w:gridCol w:w="241"/>
        <w:gridCol w:w="199"/>
        <w:gridCol w:w="199"/>
        <w:gridCol w:w="199"/>
        <w:gridCol w:w="199"/>
        <w:gridCol w:w="255"/>
        <w:gridCol w:w="241"/>
        <w:gridCol w:w="284"/>
      </w:tblGrid>
      <w:tr>
        <w:trPr/>
        <w:tc>
          <w:tcPr>
            <w:tcW w:w="979"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r>
      <w:tr>
        <w:trPr/>
        <w:tc>
          <w:tcPr>
            <w:tcW w:w="12445" w:type="dxa"/>
            <w:gridSpan w:val="51"/>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left"/>
              <w:rPr>
                <w:rFonts w:ascii="Allstate Sans;sans-serif" w:hAnsi="Allstate Sans;sans-serif"/>
                <w:b/>
                <w:color w:val="000000"/>
                <w:sz w:val="18"/>
              </w:rPr>
            </w:pPr>
            <w:r>
              <w:rPr>
                <w:rFonts w:ascii="Allstate Sans;sans-serif" w:hAnsi="Allstate Sans;sans-serif"/>
                <w:b/>
                <w:color w:val="000000"/>
                <w:sz w:val="18"/>
              </w:rPr>
              <w:t>Prior year reserve reestimates</w:t>
            </w:r>
          </w:p>
        </w:tc>
      </w:tr>
      <w:tr>
        <w:trPr/>
        <w:tc>
          <w:tcPr>
            <w:tcW w:w="27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7"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3"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Six months ended June 30,</w:t>
            </w:r>
          </w:p>
        </w:tc>
      </w:tr>
      <w:tr>
        <w:trPr/>
        <w:tc>
          <w:tcPr>
            <w:tcW w:w="27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Prior year reserve</w:t>
            </w:r>
          </w:p>
          <w:p>
            <w:pPr>
              <w:pStyle w:val="TableContents"/>
              <w:bidi w:val="0"/>
              <w:spacing w:lineRule="auto" w:line="240" w:before="0" w:after="0"/>
              <w:jc w:val="center"/>
              <w:rPr/>
            </w:pPr>
            <w:r>
              <w:rPr>
                <w:rFonts w:ascii="Helvetica_Neue_LT_W1G_55_Roman;sans-serif" w:hAnsi="Helvetica_Neue_LT_W1G_55_Roman;sans-serif"/>
                <w:b/>
                <w:color w:val="000000"/>
                <w:sz w:val="18"/>
              </w:rPr>
              <w:t>reestimates </w:t>
            </w:r>
            <w:r>
              <w:rPr>
                <w:rFonts w:ascii="Helvetica_Neue_LT_W1G_55_Roman;sans-serif" w:hAnsi="Helvetica_Neue_LT_W1G_55_Roman;sans-serif"/>
                <w:b w:val="false"/>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Effect on</w:t>
            </w:r>
          </w:p>
          <w:p>
            <w:pPr>
              <w:pStyle w:val="TableContents"/>
              <w:bidi w:val="0"/>
              <w:spacing w:lineRule="auto" w:line="240" w:before="0" w:after="0"/>
              <w:jc w:val="center"/>
              <w:rPr/>
            </w:pPr>
            <w:r>
              <w:rPr>
                <w:rFonts w:ascii="Helvetica_Neue_LT_W1G_55_Roman;sans-serif" w:hAnsi="Helvetica_Neue_LT_W1G_55_Roman;sans-serif"/>
                <w:b/>
                <w:color w:val="000000"/>
                <w:sz w:val="18"/>
              </w:rPr>
              <w:t>combined ratio</w:t>
            </w:r>
            <w:r>
              <w:rPr>
                <w:color w:val="000000"/>
              </w:rPr>
              <w:t> </w:t>
            </w:r>
            <w:r>
              <w:rPr>
                <w:rFonts w:ascii="Helvetica_Neue_LT_W1G_55_Roman;sans-serif" w:hAnsi="Helvetica_Neue_LT_W1G_55_Roman;sans-serif"/>
                <w:b w:val="false"/>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Prior year reserve</w:t>
            </w:r>
          </w:p>
          <w:p>
            <w:pPr>
              <w:pStyle w:val="TableContents"/>
              <w:bidi w:val="0"/>
              <w:spacing w:lineRule="auto" w:line="240" w:before="0" w:after="0"/>
              <w:jc w:val="center"/>
              <w:rPr/>
            </w:pPr>
            <w:r>
              <w:rPr>
                <w:rFonts w:ascii="Helvetica_Neue_LT_W1G_55_Roman;sans-serif" w:hAnsi="Helvetica_Neue_LT_W1G_55_Roman;sans-serif"/>
                <w:b/>
                <w:color w:val="000000"/>
                <w:sz w:val="18"/>
              </w:rPr>
              <w:t>reestimates </w:t>
            </w:r>
            <w:r>
              <w:rPr>
                <w:rFonts w:ascii="Helvetica_Neue_LT_W1G_55_Roman;sans-serif" w:hAnsi="Helvetica_Neue_LT_W1G_55_Roman;sans-serif"/>
                <w:b w:val="false"/>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2"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Effect on</w:t>
            </w:r>
          </w:p>
          <w:p>
            <w:pPr>
              <w:pStyle w:val="TableContents"/>
              <w:bidi w:val="0"/>
              <w:spacing w:lineRule="auto" w:line="240" w:before="0" w:after="0"/>
              <w:jc w:val="center"/>
              <w:rPr/>
            </w:pPr>
            <w:r>
              <w:rPr>
                <w:rFonts w:ascii="Helvetica_Neue_LT_W1G_55_Roman;sans-serif" w:hAnsi="Helvetica_Neue_LT_W1G_55_Roman;sans-serif"/>
                <w:b/>
                <w:color w:val="000000"/>
                <w:sz w:val="18"/>
              </w:rPr>
              <w:t>combined ratio </w:t>
            </w:r>
            <w:r>
              <w:rPr>
                <w:rFonts w:ascii="Helvetica_Neue_LT_W1G_55_Roman;sans-serif" w:hAnsi="Helvetica_Neue_LT_W1G_55_Roman;sans-serif"/>
                <w:b w:val="false"/>
                <w:color w:val="000000"/>
                <w:sz w:val="12"/>
              </w:rPr>
              <w:t>(2)</w:t>
            </w:r>
          </w:p>
        </w:tc>
      </w:tr>
      <w:tr>
        <w:trPr/>
        <w:tc>
          <w:tcPr>
            <w:tcW w:w="27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 in millions, except ratios)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2026</w:t>
            </w:r>
          </w:p>
        </w:tc>
        <w:tc>
          <w:tcPr>
            <w:tcW w:w="60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2026</w:t>
            </w:r>
          </w:p>
        </w:tc>
        <w:tc>
          <w:tcPr>
            <w:tcW w:w="59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2025</w:t>
            </w:r>
          </w:p>
        </w:tc>
      </w:tr>
      <w:tr>
        <w:trPr/>
        <w:tc>
          <w:tcPr>
            <w:tcW w:w="2701"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Auto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541"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(648)</w:t>
            </w:r>
          </w:p>
        </w:tc>
        <w:tc>
          <w:tcPr>
            <w:tcW w:w="109"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541"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(431)</w:t>
            </w:r>
          </w:p>
        </w:tc>
        <w:tc>
          <w:tcPr>
            <w:tcW w:w="109"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(4.3)</w:t>
            </w:r>
          </w:p>
        </w:tc>
        <w:tc>
          <w:tcPr>
            <w:tcW w:w="203"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(3.0)</w:t>
            </w:r>
          </w:p>
        </w:tc>
        <w:tc>
          <w:tcPr>
            <w:tcW w:w="207"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5BA5"/>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736" w:type="dxa"/>
            <w:tcBorders>
              <w:top w:val="single" w:sz="8" w:space="0" w:color="005BA5"/>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(1,488)</w:t>
            </w:r>
          </w:p>
        </w:tc>
        <w:tc>
          <w:tcPr>
            <w:tcW w:w="109" w:type="dxa"/>
            <w:tcBorders>
              <w:top w:val="single" w:sz="8" w:space="0" w:color="005BA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5BA5"/>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541" w:type="dxa"/>
            <w:tcBorders>
              <w:top w:val="single" w:sz="8" w:space="0" w:color="005BA5"/>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(680)</w:t>
            </w:r>
          </w:p>
        </w:tc>
        <w:tc>
          <w:tcPr>
            <w:tcW w:w="109" w:type="dxa"/>
            <w:tcBorders>
              <w:top w:val="single" w:sz="8" w:space="0" w:color="005BA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5BA5"/>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(5.0)</w:t>
            </w:r>
          </w:p>
        </w:tc>
        <w:tc>
          <w:tcPr>
            <w:tcW w:w="199" w:type="dxa"/>
            <w:tcBorders>
              <w:top w:val="single" w:sz="8" w:space="0" w:color="005BA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5BA5"/>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(2.4)</w:t>
            </w:r>
          </w:p>
        </w:tc>
        <w:tc>
          <w:tcPr>
            <w:tcW w:w="284" w:type="dxa"/>
            <w:tcBorders>
              <w:top w:val="single" w:sz="8" w:space="0" w:color="005BA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1"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Homeowners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38 </w:t>
            </w:r>
          </w:p>
        </w:tc>
        <w:tc>
          <w:tcPr>
            <w:tcW w:w="109"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30 </w:t>
            </w:r>
          </w:p>
        </w:tc>
        <w:tc>
          <w:tcPr>
            <w:tcW w:w="109"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0.2 </w:t>
            </w:r>
          </w:p>
        </w:tc>
        <w:tc>
          <w:tcPr>
            <w:tcW w:w="203"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0.2 </w:t>
            </w:r>
          </w:p>
        </w:tc>
        <w:tc>
          <w:tcPr>
            <w:tcW w:w="207"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(74)</w:t>
            </w:r>
          </w:p>
        </w:tc>
        <w:tc>
          <w:tcPr>
            <w:tcW w:w="109"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22 </w:t>
            </w:r>
          </w:p>
        </w:tc>
        <w:tc>
          <w:tcPr>
            <w:tcW w:w="109"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(0.3)</w:t>
            </w:r>
          </w:p>
        </w:tc>
        <w:tc>
          <w:tcPr>
            <w:tcW w:w="19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0.1 </w:t>
            </w:r>
          </w:p>
        </w:tc>
        <w:tc>
          <w:tcPr>
            <w:tcW w:w="284"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Specialty lines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(19)</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30 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(0.1)</w:t>
            </w:r>
          </w:p>
        </w:tc>
        <w:tc>
          <w:tcPr>
            <w:tcW w:w="20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0.2 </w:t>
            </w:r>
          </w:p>
        </w:tc>
        <w:tc>
          <w:tcPr>
            <w:tcW w:w="20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(48)</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76 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(0.2)</w:t>
            </w:r>
          </w:p>
        </w:tc>
        <w:tc>
          <w:tcPr>
            <w:tcW w:w="19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0.3 </w:t>
            </w:r>
          </w:p>
        </w:tc>
        <w:tc>
          <w:tcPr>
            <w:tcW w:w="284"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Commercial lines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(11)</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9 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(0.1)</w:t>
            </w:r>
          </w:p>
        </w:tc>
        <w:tc>
          <w:tcPr>
            <w:tcW w:w="20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0.1 </w:t>
            </w:r>
          </w:p>
        </w:tc>
        <w:tc>
          <w:tcPr>
            <w:tcW w:w="20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(28)</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(19)</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(0.1)</w:t>
            </w:r>
          </w:p>
        </w:tc>
        <w:tc>
          <w:tcPr>
            <w:tcW w:w="19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(0.1)</w:t>
            </w:r>
          </w:p>
        </w:tc>
        <w:tc>
          <w:tcPr>
            <w:tcW w:w="28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Brokered solutions and collateral protection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(10)</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(0.1)</w:t>
            </w:r>
          </w:p>
        </w:tc>
        <w:tc>
          <w:tcPr>
            <w:tcW w:w="20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(25)</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(0.1)</w:t>
            </w:r>
          </w:p>
        </w:tc>
        <w:tc>
          <w:tcPr>
            <w:tcW w:w="28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1" w:type="dxa"/>
            <w:gridSpan w:val="3"/>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 Allstate Protection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541"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(641)</w:t>
            </w:r>
          </w:p>
        </w:tc>
        <w:tc>
          <w:tcPr>
            <w:tcW w:w="109"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541"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(372)</w:t>
            </w:r>
          </w:p>
        </w:tc>
        <w:tc>
          <w:tcPr>
            <w:tcW w:w="109"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(4.3)</w:t>
            </w:r>
          </w:p>
        </w:tc>
        <w:tc>
          <w:tcPr>
            <w:tcW w:w="203"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(2.6)</w:t>
            </w:r>
          </w:p>
        </w:tc>
        <w:tc>
          <w:tcPr>
            <w:tcW w:w="207"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73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(1,645)</w:t>
            </w:r>
          </w:p>
        </w:tc>
        <w:tc>
          <w:tcPr>
            <w:tcW w:w="109"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541"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(626)</w:t>
            </w:r>
          </w:p>
        </w:tc>
        <w:tc>
          <w:tcPr>
            <w:tcW w:w="109"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(5.6)</w:t>
            </w:r>
          </w:p>
        </w:tc>
        <w:tc>
          <w:tcPr>
            <w:tcW w:w="199"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(2.2)</w:t>
            </w:r>
          </w:p>
        </w:tc>
        <w:tc>
          <w:tcPr>
            <w:tcW w:w="284"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180"/>
        <w:jc w:val="left"/>
        <w:rPr>
          <w:shd w:fill="FFFFFF" w:val="clear"/>
        </w:rPr>
      </w:pPr>
      <w:r>
        <w:rPr>
          <w:rFonts w:ascii="Allstate Sans;sans-serif" w:hAnsi="Allstate Sans;sans-serif"/>
          <w:b w:val="false"/>
          <w:color w:val="000000"/>
          <w:sz w:val="10"/>
          <w:shd w:fill="FFFFFF" w:val="clear"/>
        </w:rPr>
        <w:t>(1)</w:t>
      </w:r>
      <w:r>
        <w:rPr>
          <w:rFonts w:ascii="Allstate Sans;sans-serif" w:hAnsi="Allstate Sans;sans-serif"/>
          <w:b w:val="false"/>
          <w:color w:val="000000"/>
          <w:sz w:val="16"/>
          <w:shd w:fill="FFFFFF" w:val="clear"/>
        </w:rPr>
        <w:t>Reserve releases are shown in parentheses.</w:t>
      </w:r>
    </w:p>
    <w:p>
      <w:pPr>
        <w:pStyle w:val="TextBody"/>
        <w:bidi w:val="0"/>
        <w:spacing w:lineRule="auto" w:line="288" w:before="0" w:after="120"/>
        <w:ind w:left="0" w:right="0" w:hanging="180"/>
        <w:jc w:val="left"/>
        <w:rPr>
          <w:shd w:fill="FFFFFF" w:val="clear"/>
        </w:rPr>
      </w:pPr>
      <w:r>
        <w:rPr>
          <w:rFonts w:ascii="Allstate Sans;sans-serif" w:hAnsi="Allstate Sans;sans-serif"/>
          <w:b w:val="false"/>
          <w:color w:val="000000"/>
          <w:sz w:val="10"/>
          <w:shd w:fill="FFFFFF" w:val="clear"/>
        </w:rPr>
        <w:t>(2)</w:t>
      </w:r>
      <w:r>
        <w:rPr>
          <w:rFonts w:ascii="Allstate Sans;sans-serif" w:hAnsi="Allstate Sans;sans-serif"/>
          <w:b w:val="false"/>
          <w:color w:val="000000"/>
          <w:sz w:val="16"/>
          <w:shd w:fill="FFFFFF" w:val="clear"/>
        </w:rPr>
        <w:t>Ratios are calculated using Allstate Protection premiums earned.</w:t>
      </w:r>
    </w:p>
    <w:p>
      <w:pPr>
        <w:pStyle w:val="TextBody"/>
        <w:bidi w:val="0"/>
        <w:spacing w:lineRule="auto" w:line="288" w:before="120" w:after="120"/>
        <w:ind w:left="0" w:right="0" w:firstLine="360"/>
        <w:jc w:val="left"/>
        <w:rPr>
          <w:shd w:fill="FFFFFF" w:val="clear"/>
        </w:rPr>
      </w:pPr>
      <w:r>
        <w:rPr>
          <w:rFonts w:ascii="Allstate Sans;sans-serif" w:hAnsi="Allstate Sans;sans-serif"/>
          <w:b/>
          <w:color w:val="0033A0"/>
          <w:sz w:val="18"/>
          <w:shd w:fill="FFFFFF" w:val="clear"/>
        </w:rPr>
        <w:t>Expense ratio</w:t>
      </w:r>
      <w:r>
        <w:rPr>
          <w:color w:val="000000"/>
          <w:shd w:fill="FFFFFF" w:val="clear"/>
        </w:rPr>
        <w:t xml:space="preserve"> </w:t>
      </w:r>
      <w:r>
        <w:rPr>
          <w:rFonts w:ascii="Allstate Sans;sans-serif" w:hAnsi="Allstate Sans;sans-serif"/>
          <w:b w:val="false"/>
          <w:color w:val="000000"/>
          <w:sz w:val="18"/>
          <w:shd w:fill="FFFFFF" w:val="clear"/>
        </w:rPr>
        <w:t>increased 1.0 point and increased 0.4 points in the second quarter and first six months of 2026, respectively, compared to the same periods of 2025 primarily due to higher advertising and legal expenses, partially offset by higher earned premium growth relative to costs.</w:t>
      </w:r>
    </w:p>
    <w:tbl>
      <w:tblPr>
        <w:tblW w:w="11354" w:type="dxa"/>
        <w:jc w:val="left"/>
        <w:tblInd w:w="0" w:type="dxa"/>
        <w:tblLayout w:type="fixed"/>
        <w:tblCellMar>
          <w:top w:w="28" w:type="dxa"/>
          <w:left w:w="28" w:type="dxa"/>
          <w:bottom w:w="28" w:type="dxa"/>
          <w:right w:w="28" w:type="dxa"/>
        </w:tblCellMar>
      </w:tblPr>
      <w:tblGrid>
        <w:gridCol w:w="979"/>
        <w:gridCol w:w="860"/>
        <w:gridCol w:w="862"/>
        <w:gridCol w:w="109"/>
        <w:gridCol w:w="109"/>
        <w:gridCol w:w="109"/>
        <w:gridCol w:w="226"/>
        <w:gridCol w:w="841"/>
        <w:gridCol w:w="109"/>
        <w:gridCol w:w="109"/>
        <w:gridCol w:w="109"/>
        <w:gridCol w:w="109"/>
        <w:gridCol w:w="226"/>
        <w:gridCol w:w="841"/>
        <w:gridCol w:w="109"/>
        <w:gridCol w:w="109"/>
        <w:gridCol w:w="109"/>
        <w:gridCol w:w="109"/>
        <w:gridCol w:w="251"/>
        <w:gridCol w:w="526"/>
        <w:gridCol w:w="109"/>
        <w:gridCol w:w="109"/>
        <w:gridCol w:w="109"/>
        <w:gridCol w:w="109"/>
        <w:gridCol w:w="226"/>
        <w:gridCol w:w="841"/>
        <w:gridCol w:w="109"/>
        <w:gridCol w:w="109"/>
        <w:gridCol w:w="109"/>
        <w:gridCol w:w="109"/>
        <w:gridCol w:w="226"/>
        <w:gridCol w:w="841"/>
        <w:gridCol w:w="109"/>
        <w:gridCol w:w="109"/>
        <w:gridCol w:w="109"/>
        <w:gridCol w:w="109"/>
        <w:gridCol w:w="226"/>
        <w:gridCol w:w="721"/>
        <w:gridCol w:w="154"/>
      </w:tblGrid>
      <w:tr>
        <w:trPr/>
        <w:tc>
          <w:tcPr>
            <w:tcW w:w="979"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20" w:type="dxa"/>
            <w:gridSpan w:val="21"/>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left"/>
              <w:rPr>
                <w:rFonts w:ascii="Allstate Sans;sans-serif" w:hAnsi="Allstate Sans;sans-serif"/>
                <w:b/>
                <w:color w:val="000000"/>
                <w:sz w:val="18"/>
              </w:rPr>
            </w:pPr>
            <w:r>
              <w:rPr>
                <w:rFonts w:ascii="Allstate Sans;sans-serif" w:hAnsi="Allstate Sans;sans-serif"/>
                <w:b/>
                <w:color w:val="000000"/>
                <w:sz w:val="18"/>
              </w:rPr>
              <w:t>Impact of specific costs and expenses on the expense ratio</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Six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 in millions, except ratios)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Change</w:t>
            </w:r>
          </w:p>
        </w:tc>
      </w:tr>
      <w:tr>
        <w:trPr/>
        <w:tc>
          <w:tcPr>
            <w:tcW w:w="2701"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Amortization of DAC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841"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1,840 </w:t>
            </w:r>
          </w:p>
        </w:tc>
        <w:tc>
          <w:tcPr>
            <w:tcW w:w="109"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841"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1,742 </w:t>
            </w:r>
          </w:p>
        </w:tc>
        <w:tc>
          <w:tcPr>
            <w:tcW w:w="109"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526"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98 </w:t>
            </w:r>
          </w:p>
        </w:tc>
        <w:tc>
          <w:tcPr>
            <w:tcW w:w="109"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841"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3,661 </w:t>
            </w:r>
          </w:p>
        </w:tc>
        <w:tc>
          <w:tcPr>
            <w:tcW w:w="109"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841"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3,474 </w:t>
            </w:r>
          </w:p>
        </w:tc>
        <w:tc>
          <w:tcPr>
            <w:tcW w:w="109"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721"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187 </w:t>
            </w:r>
          </w:p>
        </w:tc>
        <w:tc>
          <w:tcPr>
            <w:tcW w:w="154"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Advertising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524 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442 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82 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1,068 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965 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103 </w:t>
            </w:r>
          </w:p>
        </w:tc>
        <w:tc>
          <w:tcPr>
            <w:tcW w:w="15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1"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Other costs and expenses, net of other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836 </w:t>
            </w:r>
          </w:p>
        </w:tc>
        <w:tc>
          <w:tcPr>
            <w:tcW w:w="109"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738 </w:t>
            </w:r>
          </w:p>
        </w:tc>
        <w:tc>
          <w:tcPr>
            <w:tcW w:w="109"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98 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1,582 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1,427 </w:t>
            </w:r>
          </w:p>
        </w:tc>
        <w:tc>
          <w:tcPr>
            <w:tcW w:w="109"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155 </w:t>
            </w:r>
          </w:p>
        </w:tc>
        <w:tc>
          <w:tcPr>
            <w:tcW w:w="15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1"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Amortization of purchased intangibles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38 </w:t>
            </w:r>
          </w:p>
        </w:tc>
        <w:tc>
          <w:tcPr>
            <w:tcW w:w="109"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46 </w:t>
            </w:r>
          </w:p>
        </w:tc>
        <w:tc>
          <w:tcPr>
            <w:tcW w:w="109"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77 </w:t>
            </w:r>
          </w:p>
        </w:tc>
        <w:tc>
          <w:tcPr>
            <w:tcW w:w="109"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92 </w:t>
            </w:r>
          </w:p>
        </w:tc>
        <w:tc>
          <w:tcPr>
            <w:tcW w:w="109"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(15)</w:t>
            </w:r>
          </w:p>
        </w:tc>
        <w:tc>
          <w:tcPr>
            <w:tcW w:w="15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1"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both"/>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Restructuring and related charges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6 </w:t>
            </w:r>
          </w:p>
        </w:tc>
        <w:tc>
          <w:tcPr>
            <w:tcW w:w="109"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13 </w:t>
            </w:r>
          </w:p>
        </w:tc>
        <w:tc>
          <w:tcPr>
            <w:tcW w:w="109"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29 </w:t>
            </w:r>
          </w:p>
        </w:tc>
        <w:tc>
          <w:tcPr>
            <w:tcW w:w="109"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(22)</w:t>
            </w:r>
          </w:p>
        </w:tc>
        <w:tc>
          <w:tcPr>
            <w:tcW w:w="15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 underwriting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84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3,244</w:t>
            </w: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84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2,981</w:t>
            </w: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5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263</w:t>
            </w: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84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6,395</w:t>
            </w: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84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5,987</w:t>
            </w: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72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408</w:t>
            </w:r>
            <w:r>
              <w:rPr>
                <w:color w:val="000000"/>
              </w:rPr>
              <w:t> </w:t>
            </w:r>
          </w:p>
        </w:tc>
        <w:tc>
          <w:tcPr>
            <w:tcW w:w="15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1"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Premiums earned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84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14,918</w:t>
            </w: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84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14,346</w:t>
            </w: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5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572</w:t>
            </w: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84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29,720</w:t>
            </w: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84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28,373</w:t>
            </w: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72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1,347</w:t>
            </w:r>
            <w:r>
              <w:rPr>
                <w:color w:val="000000"/>
              </w:rPr>
              <w:t> </w:t>
            </w:r>
          </w:p>
        </w:tc>
        <w:tc>
          <w:tcPr>
            <w:tcW w:w="15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1"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Expense ratio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Amortization of DAC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12.3 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12.1 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0.2 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12.3 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12.2 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0.1 </w:t>
            </w:r>
          </w:p>
        </w:tc>
        <w:tc>
          <w:tcPr>
            <w:tcW w:w="15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Advertising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3.5 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3.1 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0.4 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3.6 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3.4 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0.2 </w:t>
            </w:r>
          </w:p>
        </w:tc>
        <w:tc>
          <w:tcPr>
            <w:tcW w:w="15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Other costs and expenses, net of other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5.7 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5.2 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0.5 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5.3 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5.1 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0.2 </w:t>
            </w:r>
          </w:p>
        </w:tc>
        <w:tc>
          <w:tcPr>
            <w:tcW w:w="15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Subtotal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21.5 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20.4 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1.1 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21.2 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20.7 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0.5 </w:t>
            </w:r>
          </w:p>
        </w:tc>
        <w:tc>
          <w:tcPr>
            <w:tcW w:w="15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Amortization of purchased intangibles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0.3 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0.3 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0.3 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0.3 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both"/>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Restructuring and related charges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0.1 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(0.1)</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0.1 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(0.1)</w:t>
            </w:r>
          </w:p>
        </w:tc>
        <w:tc>
          <w:tcPr>
            <w:tcW w:w="15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1" w:type="dxa"/>
            <w:gridSpan w:val="3"/>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 expense ratio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21.8</w:t>
            </w:r>
            <w:r>
              <w:rPr>
                <w:color w:val="000000"/>
              </w:rPr>
              <w:t> </w:t>
            </w:r>
          </w:p>
        </w:tc>
        <w:tc>
          <w:tcPr>
            <w:tcW w:w="109"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20.8</w:t>
            </w:r>
            <w:r>
              <w:rPr>
                <w:color w:val="000000"/>
              </w:rPr>
              <w:t> </w:t>
            </w:r>
          </w:p>
        </w:tc>
        <w:tc>
          <w:tcPr>
            <w:tcW w:w="109"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1.0</w:t>
            </w:r>
            <w:r>
              <w:rPr>
                <w:color w:val="000000"/>
              </w:rPr>
              <w:t> </w:t>
            </w:r>
          </w:p>
        </w:tc>
        <w:tc>
          <w:tcPr>
            <w:tcW w:w="109"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21.5</w:t>
            </w:r>
            <w:r>
              <w:rPr>
                <w:color w:val="000000"/>
              </w:rPr>
              <w:t> </w:t>
            </w:r>
          </w:p>
        </w:tc>
        <w:tc>
          <w:tcPr>
            <w:tcW w:w="109"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21.1</w:t>
            </w:r>
            <w:r>
              <w:rPr>
                <w:color w:val="000000"/>
              </w:rPr>
              <w:t> </w:t>
            </w:r>
          </w:p>
        </w:tc>
        <w:tc>
          <w:tcPr>
            <w:tcW w:w="109"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0.4</w:t>
            </w:r>
            <w:r>
              <w:rPr>
                <w:color w:val="000000"/>
              </w:rPr>
              <w:t> </w:t>
            </w:r>
          </w:p>
        </w:tc>
        <w:tc>
          <w:tcPr>
            <w:tcW w:w="154"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33350"/>
                <wp:effectExtent l="0" t="0" r="0" b="0"/>
                <wp:wrapNone/>
                <wp:docPr id="64" name="Frame57"/>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ind w:left="0" w:right="0" w:firstLine="360"/>
                              <w:jc w:val="right"/>
                              <w:rPr/>
                            </w:pPr>
                            <w:r>
                              <w:rPr>
                                <w:rFonts w:ascii="Allstate Sans;sans-serif" w:hAnsi="Allstate Sans;sans-serif"/>
                                <w:b w:val="false"/>
                                <w:color w:val="000000"/>
                                <w:sz w:val="18"/>
                              </w:rPr>
                              <w:t xml:space="preserve">Second Quarter 2026 Form 10-Q </w:t>
                            </w:r>
                            <w:r>
                              <w:rPr>
                                <w:rFonts w:ascii="Allstate Sans;sans-serif" w:hAnsi="Allstate Sans;sans-serif"/>
                                <w:b w:val="false"/>
                                <w:color w:val="0033A0"/>
                                <w:sz w:val="18"/>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right"/>
                        <w:rPr/>
                      </w:pPr>
                      <w:r>
                        <w:rPr>
                          <w:rFonts w:ascii="Allstate Sans;sans-serif" w:hAnsi="Allstate Sans;sans-serif"/>
                          <w:b w:val="false"/>
                          <w:color w:val="000000"/>
                          <w:sz w:val="18"/>
                        </w:rPr>
                        <w:t xml:space="preserve">Second Quarter 2026 Form 10-Q </w:t>
                      </w:r>
                      <w:r>
                        <w:rPr>
                          <w:rFonts w:ascii="Allstate Sans;sans-serif" w:hAnsi="Allstate Sans;sans-serif"/>
                          <w:b w:val="false"/>
                          <w:color w:val="0033A0"/>
                          <w:sz w:val="18"/>
                        </w:rPr>
                        <w:t>55</w:t>
                      </w:r>
                    </w:p>
                  </w:txbxContent>
                </v:textbox>
                <w10:wrap type="none"/>
              </v:rect>
            </w:pict>
          </mc:Fallback>
        </mc:AlternateContent>
      </w:r>
    </w:p>
    <w:p>
      <w:pPr>
        <w:pStyle w:val="TextBody"/>
        <w:bidi w:val="0"/>
        <w:spacing w:lineRule="auto" w:line="288" w:before="0" w:after="120"/>
        <w:jc w:val="left"/>
        <w:rPr/>
      </w:pPr>
      <w:r>
        <w:rPr>
          <w:rFonts w:ascii="Allstate Sans;sans-serif" w:hAnsi="Allstate Sans;sans-serif"/>
          <w:b w:val="false"/>
          <w:color w:val="0033A0"/>
          <w:sz w:val="18"/>
        </w:rPr>
        <w:t>Segment Results</w:t>
      </w:r>
      <w:r>
        <w:rPr>
          <w:color w:val="1666AF"/>
        </w:rPr>
        <w:t xml:space="preserve"> </w:t>
      </w:r>
      <w:r>
        <w:rPr>
          <w:rFonts w:ascii="Allstate Sans;sans-serif" w:hAnsi="Allstate Sans;sans-serif"/>
          <w:b w:val="false"/>
          <w:color w:val="000000"/>
          <w:sz w:val="18"/>
        </w:rPr>
        <w:t>Run-off Property-Liability</w:t>
      </w:r>
    </w:p>
    <w:p>
      <w:pPr>
        <w:pStyle w:val="TextBody"/>
        <w:bidi w:val="0"/>
        <w:spacing w:lineRule="auto" w:line="288" w:before="0" w:after="120"/>
        <w:jc w:val="left"/>
        <w:rPr>
          <w:rFonts w:ascii="Allstate Sans;sans-serif" w:hAnsi="Allstate Sans;sans-serif"/>
          <w:b/>
          <w:color w:val="0033A0"/>
          <w:sz w:val="22"/>
        </w:rPr>
      </w:pPr>
      <w:r>
        <w:rPr>
          <w:rFonts w:ascii="Allstate Sans;sans-serif" w:hAnsi="Allstate Sans;sans-serif"/>
          <w:b/>
          <w:color w:val="0033A0"/>
          <w:sz w:val="22"/>
        </w:rPr>
        <w:t>Run-off Property-Liability Segment</w:t>
      </w:r>
    </w:p>
    <w:tbl>
      <w:tblPr>
        <w:tblW w:w="9574" w:type="dxa"/>
        <w:jc w:val="left"/>
        <w:tblInd w:w="0" w:type="dxa"/>
        <w:tblLayout w:type="fixed"/>
        <w:tblCellMar>
          <w:top w:w="28" w:type="dxa"/>
          <w:left w:w="28" w:type="dxa"/>
          <w:bottom w:w="28" w:type="dxa"/>
          <w:right w:w="28" w:type="dxa"/>
        </w:tblCellMar>
      </w:tblPr>
      <w:tblGrid>
        <w:gridCol w:w="1056"/>
        <w:gridCol w:w="926"/>
        <w:gridCol w:w="928"/>
        <w:gridCol w:w="109"/>
        <w:gridCol w:w="109"/>
        <w:gridCol w:w="109"/>
        <w:gridCol w:w="396"/>
        <w:gridCol w:w="712"/>
        <w:gridCol w:w="191"/>
        <w:gridCol w:w="191"/>
        <w:gridCol w:w="191"/>
        <w:gridCol w:w="191"/>
        <w:gridCol w:w="396"/>
        <w:gridCol w:w="659"/>
        <w:gridCol w:w="191"/>
        <w:gridCol w:w="109"/>
        <w:gridCol w:w="109"/>
        <w:gridCol w:w="109"/>
        <w:gridCol w:w="358"/>
        <w:gridCol w:w="644"/>
        <w:gridCol w:w="173"/>
        <w:gridCol w:w="173"/>
        <w:gridCol w:w="173"/>
        <w:gridCol w:w="173"/>
        <w:gridCol w:w="358"/>
        <w:gridCol w:w="596"/>
        <w:gridCol w:w="244"/>
      </w:tblGrid>
      <w:tr>
        <w:trPr/>
        <w:tc>
          <w:tcPr>
            <w:tcW w:w="1056"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6355" w:type="dxa"/>
            <w:gridSpan w:val="15"/>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120"/>
              <w:jc w:val="left"/>
              <w:rPr>
                <w:rFonts w:ascii="Allstate Sans;sans-serif" w:hAnsi="Allstate Sans;sans-serif"/>
                <w:b/>
                <w:color w:val="000000"/>
                <w:sz w:val="18"/>
              </w:rPr>
            </w:pPr>
            <w:r>
              <w:rPr>
                <w:rFonts w:ascii="Allstate Sans;sans-serif" w:hAnsi="Allstate Sans;sans-serif"/>
                <w:b/>
                <w:color w:val="000000"/>
                <w:sz w:val="18"/>
              </w:rPr>
              <w:t>Underwriting results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 in 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Six months ended June 30,</w:t>
            </w:r>
          </w:p>
        </w:tc>
      </w:tr>
      <w:tr>
        <w:trPr/>
        <w:tc>
          <w:tcPr>
            <w:tcW w:w="2910"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2026</w:t>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2026</w:t>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2025</w:t>
            </w:r>
          </w:p>
        </w:tc>
      </w:tr>
      <w:tr>
        <w:trPr/>
        <w:tc>
          <w:tcPr>
            <w:tcW w:w="2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2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2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2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2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2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2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Claims and claims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712"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659"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w:t>
            </w:r>
          </w:p>
        </w:tc>
        <w:tc>
          <w:tcPr>
            <w:tcW w:w="191"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644"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596"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(5)</w:t>
            </w:r>
          </w:p>
        </w:tc>
        <w:tc>
          <w:tcPr>
            <w:tcW w:w="244"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 xml:space="preserve">Operating costs and expenses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w:t>
            </w:r>
          </w:p>
        </w:tc>
        <w:tc>
          <w:tcPr>
            <w:tcW w:w="19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w:t>
            </w:r>
          </w:p>
        </w:tc>
        <w:tc>
          <w:tcPr>
            <w:tcW w:w="17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w:t>
            </w:r>
          </w:p>
        </w:tc>
        <w:tc>
          <w:tcPr>
            <w:tcW w:w="24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Underwriting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712"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659"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(3)</w:t>
            </w:r>
          </w:p>
        </w:tc>
        <w:tc>
          <w:tcPr>
            <w:tcW w:w="191"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644"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(1)</w:t>
            </w:r>
          </w:p>
        </w:tc>
        <w:tc>
          <w:tcPr>
            <w:tcW w:w="173"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59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(7)</w:t>
            </w:r>
          </w:p>
        </w:tc>
        <w:tc>
          <w:tcPr>
            <w:tcW w:w="244"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789"/>
        <w:gridCol w:w="693"/>
        <w:gridCol w:w="666"/>
        <w:gridCol w:w="311"/>
        <w:gridCol w:w="311"/>
        <w:gridCol w:w="311"/>
        <w:gridCol w:w="646"/>
        <w:gridCol w:w="2060"/>
        <w:gridCol w:w="311"/>
        <w:gridCol w:w="311"/>
        <w:gridCol w:w="311"/>
        <w:gridCol w:w="311"/>
        <w:gridCol w:w="667"/>
        <w:gridCol w:w="2060"/>
        <w:gridCol w:w="447"/>
      </w:tblGrid>
      <w:tr>
        <w:trPr/>
        <w:tc>
          <w:tcPr>
            <w:tcW w:w="789"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06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2060"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op w:val="single" w:sz="4" w:space="0" w:color="000000"/>
            </w:tcBorders>
            <w:tcMar>
              <w:top w:w="30" w:type="dxa"/>
              <w:left w:w="0" w:type="dxa"/>
              <w:bottom w:w="0" w:type="dxa"/>
              <w:right w:w="0" w:type="dxa"/>
            </w:tcMar>
            <w:vAlign w:val="center"/>
          </w:tcPr>
          <w:p>
            <w:pPr>
              <w:pStyle w:val="TableContents"/>
              <w:bidi w:val="0"/>
              <w:spacing w:lineRule="auto" w:line="288" w:before="0" w:after="120"/>
              <w:jc w:val="left"/>
              <w:rPr>
                <w:rFonts w:ascii="Allstate Sans;sans-serif" w:hAnsi="Allstate Sans;sans-serif"/>
                <w:b/>
                <w:color w:val="000000"/>
                <w:sz w:val="18"/>
              </w:rPr>
            </w:pPr>
            <w:r>
              <w:rPr>
                <w:rFonts w:ascii="Allstate Sans;sans-serif" w:hAnsi="Allstate Sans;sans-serif"/>
                <w:b/>
                <w:color w:val="000000"/>
                <w:sz w:val="18"/>
              </w:rPr>
              <w:t>Reserves for asbestos, environmental and other run-off claims before and after the effects of reinsurance</w:t>
            </w:r>
          </w:p>
        </w:tc>
      </w:tr>
      <w:tr>
        <w:trPr/>
        <w:tc>
          <w:tcPr>
            <w:tcW w:w="2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 in millions) </w:t>
            </w:r>
          </w:p>
        </w:tc>
        <w:tc>
          <w:tcPr>
            <w:tcW w:w="9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June 30, 2026</w:t>
            </w:r>
          </w:p>
        </w:tc>
        <w:tc>
          <w:tcPr>
            <w:tcW w:w="9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December 31, 2025</w:t>
            </w:r>
          </w:p>
        </w:tc>
      </w:tr>
      <w:tr>
        <w:trPr/>
        <w:tc>
          <w:tcPr>
            <w:tcW w:w="2148"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Asbestos claims</w:t>
            </w:r>
          </w:p>
        </w:tc>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7"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4"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8"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Gross reserves</w:t>
            </w:r>
          </w:p>
        </w:tc>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2060"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1,031 </w:t>
            </w:r>
          </w:p>
        </w:tc>
        <w:tc>
          <w:tcPr>
            <w:tcW w:w="31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2060"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1,098 </w:t>
            </w:r>
          </w:p>
        </w:tc>
        <w:tc>
          <w:tcPr>
            <w:tcW w:w="44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8"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 xml:space="preserve">Reinsurance </w:t>
            </w:r>
          </w:p>
        </w:tc>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(297)</w:t>
            </w:r>
          </w:p>
        </w:tc>
        <w:tc>
          <w:tcPr>
            <w:tcW w:w="31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(329)</w:t>
            </w:r>
          </w:p>
        </w:tc>
        <w:tc>
          <w:tcPr>
            <w:tcW w:w="44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8"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 xml:space="preserve">Net reserves </w:t>
            </w:r>
          </w:p>
        </w:tc>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734 </w:t>
            </w:r>
          </w:p>
        </w:tc>
        <w:tc>
          <w:tcPr>
            <w:tcW w:w="31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769 </w:t>
            </w:r>
          </w:p>
        </w:tc>
        <w:tc>
          <w:tcPr>
            <w:tcW w:w="44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8"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Environmental claims</w:t>
            </w:r>
          </w:p>
        </w:tc>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7"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4"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8"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Gross reserves</w:t>
            </w:r>
          </w:p>
        </w:tc>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297 </w:t>
            </w:r>
          </w:p>
        </w:tc>
        <w:tc>
          <w:tcPr>
            <w:tcW w:w="31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302 </w:t>
            </w:r>
          </w:p>
        </w:tc>
        <w:tc>
          <w:tcPr>
            <w:tcW w:w="44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8"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 xml:space="preserve">Reinsurance </w:t>
            </w:r>
          </w:p>
        </w:tc>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(54)</w:t>
            </w:r>
          </w:p>
        </w:tc>
        <w:tc>
          <w:tcPr>
            <w:tcW w:w="31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(55)</w:t>
            </w:r>
          </w:p>
        </w:tc>
        <w:tc>
          <w:tcPr>
            <w:tcW w:w="44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8"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 xml:space="preserve">Net reserves </w:t>
            </w:r>
          </w:p>
        </w:tc>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243 </w:t>
            </w:r>
          </w:p>
        </w:tc>
        <w:tc>
          <w:tcPr>
            <w:tcW w:w="31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247 </w:t>
            </w:r>
          </w:p>
        </w:tc>
        <w:tc>
          <w:tcPr>
            <w:tcW w:w="44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8"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Other run-off claims</w:t>
            </w:r>
          </w:p>
        </w:tc>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7"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4"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8"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Gross reserves</w:t>
            </w:r>
          </w:p>
        </w:tc>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457 </w:t>
            </w:r>
          </w:p>
        </w:tc>
        <w:tc>
          <w:tcPr>
            <w:tcW w:w="31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452 </w:t>
            </w:r>
          </w:p>
        </w:tc>
        <w:tc>
          <w:tcPr>
            <w:tcW w:w="44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8"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 xml:space="preserve">Reinsurance </w:t>
            </w:r>
          </w:p>
        </w:tc>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(52)</w:t>
            </w:r>
          </w:p>
        </w:tc>
        <w:tc>
          <w:tcPr>
            <w:tcW w:w="31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(36)</w:t>
            </w:r>
          </w:p>
        </w:tc>
        <w:tc>
          <w:tcPr>
            <w:tcW w:w="44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8"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Net reserves</w:t>
            </w:r>
          </w:p>
        </w:tc>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405 </w:t>
            </w:r>
          </w:p>
        </w:tc>
        <w:tc>
          <w:tcPr>
            <w:tcW w:w="31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416 </w:t>
            </w:r>
          </w:p>
        </w:tc>
        <w:tc>
          <w:tcPr>
            <w:tcW w:w="44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8"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 xml:space="preserve">Total </w:t>
            </w:r>
          </w:p>
        </w:tc>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7"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4"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8"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pPr>
            <w:r>
              <w:rPr>
                <w:rFonts w:ascii="Helvetica_Neue_LT_W1G_55_Roman;sans-serif" w:hAnsi="Helvetica_Neue_LT_W1G_55_Roman;sans-serif"/>
                <w:b w:val="false"/>
                <w:color w:val="000000"/>
                <w:sz w:val="18"/>
              </w:rPr>
              <w:t>Gross reserves</w:t>
            </w:r>
            <w:r>
              <w:rPr>
                <w:color w:val="000000"/>
              </w:rPr>
              <w:t xml:space="preserve"> </w:t>
            </w:r>
          </w:p>
        </w:tc>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1,785 </w:t>
            </w:r>
          </w:p>
        </w:tc>
        <w:tc>
          <w:tcPr>
            <w:tcW w:w="31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1,852 </w:t>
            </w:r>
          </w:p>
        </w:tc>
        <w:tc>
          <w:tcPr>
            <w:tcW w:w="44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8"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Reinsurance</w:t>
            </w:r>
          </w:p>
        </w:tc>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(403)</w:t>
            </w:r>
          </w:p>
        </w:tc>
        <w:tc>
          <w:tcPr>
            <w:tcW w:w="31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(420)</w:t>
            </w:r>
          </w:p>
        </w:tc>
        <w:tc>
          <w:tcPr>
            <w:tcW w:w="44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8" w:type="dxa"/>
            <w:gridSpan w:val="3"/>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Net reserves</w:t>
            </w:r>
          </w:p>
        </w:tc>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2060"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1,382</w:t>
            </w:r>
            <w:r>
              <w:rPr>
                <w:color w:val="000000"/>
              </w:rPr>
              <w:t> </w:t>
            </w:r>
          </w:p>
        </w:tc>
        <w:tc>
          <w:tcPr>
            <w:tcW w:w="311"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2060"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1,432</w:t>
            </w:r>
            <w:r>
              <w:rPr>
                <w:color w:val="000000"/>
              </w:rPr>
              <w:t> </w:t>
            </w:r>
          </w:p>
        </w:tc>
        <w:tc>
          <w:tcPr>
            <w:tcW w:w="447"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382"/>
        <w:gridCol w:w="1211"/>
        <w:gridCol w:w="1205"/>
        <w:gridCol w:w="247"/>
        <w:gridCol w:w="247"/>
        <w:gridCol w:w="247"/>
        <w:gridCol w:w="514"/>
        <w:gridCol w:w="1641"/>
        <w:gridCol w:w="247"/>
        <w:gridCol w:w="247"/>
        <w:gridCol w:w="247"/>
        <w:gridCol w:w="247"/>
        <w:gridCol w:w="522"/>
        <w:gridCol w:w="1641"/>
        <w:gridCol w:w="360"/>
      </w:tblGrid>
      <w:tr>
        <w:trPr/>
        <w:tc>
          <w:tcPr>
            <w:tcW w:w="1382"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641"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64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op w:val="single" w:sz="4" w:space="0" w:color="000000"/>
            </w:tcBorders>
            <w:tcMar>
              <w:top w:w="30" w:type="dxa"/>
              <w:left w:w="0" w:type="dxa"/>
              <w:bottom w:w="0" w:type="dxa"/>
              <w:right w:w="0" w:type="dxa"/>
            </w:tcMar>
            <w:vAlign w:val="center"/>
          </w:tcPr>
          <w:p>
            <w:pPr>
              <w:pStyle w:val="TableContents"/>
              <w:bidi w:val="0"/>
              <w:spacing w:lineRule="auto" w:line="288" w:before="0" w:after="120"/>
              <w:jc w:val="left"/>
              <w:rPr>
                <w:rFonts w:ascii="Allstate Sans;sans-serif" w:hAnsi="Allstate Sans;sans-serif"/>
                <w:b/>
                <w:color w:val="000000"/>
                <w:sz w:val="18"/>
              </w:rPr>
            </w:pPr>
            <w:r>
              <w:rPr>
                <w:rFonts w:ascii="Allstate Sans;sans-serif" w:hAnsi="Allstate Sans;sans-serif"/>
                <w:b/>
                <w:color w:val="000000"/>
                <w:sz w:val="18"/>
              </w:rPr>
              <w:t>Reserves by type of exposure before and after the effects of reinsurance</w:t>
            </w:r>
          </w:p>
        </w:tc>
      </w:tr>
      <w:tr>
        <w:trPr/>
        <w:tc>
          <w:tcPr>
            <w:tcW w:w="37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 in millions)</w:t>
            </w:r>
          </w:p>
        </w:tc>
        <w:tc>
          <w:tcPr>
            <w:tcW w:w="7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June 30, 2026</w:t>
            </w:r>
          </w:p>
        </w:tc>
        <w:tc>
          <w:tcPr>
            <w:tcW w:w="7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December 31, 2025</w:t>
            </w:r>
          </w:p>
        </w:tc>
      </w:tr>
      <w:tr>
        <w:trPr/>
        <w:tc>
          <w:tcPr>
            <w:tcW w:w="3798"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 xml:space="preserve">Direct excess commercial insurance </w:t>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2"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8"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pPr>
            <w:r>
              <w:rPr>
                <w:rFonts w:ascii="Helvetica_Neue_LT_W1G_55_Roman;sans-serif" w:hAnsi="Helvetica_Neue_LT_W1G_55_Roman;sans-serif"/>
                <w:b w:val="false"/>
                <w:color w:val="000000"/>
                <w:sz w:val="18"/>
              </w:rPr>
              <w:t>Gross reserves</w:t>
            </w:r>
            <w:r>
              <w:rPr>
                <w:color w:val="000000"/>
              </w:rPr>
              <w:t xml:space="preserve"> </w:t>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164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1,018 </w:t>
            </w:r>
          </w:p>
        </w:tc>
        <w:tc>
          <w:tcPr>
            <w:tcW w:w="24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164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1,063 </w:t>
            </w:r>
          </w:p>
        </w:tc>
        <w:tc>
          <w:tcPr>
            <w:tcW w:w="36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8"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Reinsurance</w:t>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5"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(326)</w:t>
            </w:r>
          </w:p>
        </w:tc>
        <w:tc>
          <w:tcPr>
            <w:tcW w:w="24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(341)</w:t>
            </w:r>
          </w:p>
        </w:tc>
        <w:tc>
          <w:tcPr>
            <w:tcW w:w="36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8"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Net reserves</w:t>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5"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692 </w:t>
            </w:r>
          </w:p>
        </w:tc>
        <w:tc>
          <w:tcPr>
            <w:tcW w:w="24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722 </w:t>
            </w:r>
          </w:p>
        </w:tc>
        <w:tc>
          <w:tcPr>
            <w:tcW w:w="36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8"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Assumed reinsurance coverage</w:t>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2"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8"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pPr>
            <w:r>
              <w:rPr>
                <w:rFonts w:ascii="Helvetica_Neue_LT_W1G_55_Roman;sans-serif" w:hAnsi="Helvetica_Neue_LT_W1G_55_Roman;sans-serif"/>
                <w:b w:val="false"/>
                <w:color w:val="000000"/>
                <w:sz w:val="18"/>
              </w:rPr>
              <w:t>Gross reserves</w:t>
            </w:r>
            <w:r>
              <w:rPr>
                <w:color w:val="005BA5"/>
              </w:rPr>
              <w:t xml:space="preserve"> </w:t>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5"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572 </w:t>
            </w:r>
          </w:p>
        </w:tc>
        <w:tc>
          <w:tcPr>
            <w:tcW w:w="24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584 </w:t>
            </w:r>
          </w:p>
        </w:tc>
        <w:tc>
          <w:tcPr>
            <w:tcW w:w="36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8"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 xml:space="preserve">Reinsurance </w:t>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5"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(54)</w:t>
            </w:r>
          </w:p>
        </w:tc>
        <w:tc>
          <w:tcPr>
            <w:tcW w:w="24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(54)</w:t>
            </w:r>
          </w:p>
        </w:tc>
        <w:tc>
          <w:tcPr>
            <w:tcW w:w="36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8"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Net reserves</w:t>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5"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518 </w:t>
            </w:r>
          </w:p>
        </w:tc>
        <w:tc>
          <w:tcPr>
            <w:tcW w:w="24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530 </w:t>
            </w:r>
          </w:p>
        </w:tc>
        <w:tc>
          <w:tcPr>
            <w:tcW w:w="36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8"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Direct primary commercial insurance</w:t>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2"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8"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 xml:space="preserve">Gross reserves </w:t>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5"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92 </w:t>
            </w:r>
          </w:p>
        </w:tc>
        <w:tc>
          <w:tcPr>
            <w:tcW w:w="24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98 </w:t>
            </w:r>
          </w:p>
        </w:tc>
        <w:tc>
          <w:tcPr>
            <w:tcW w:w="36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8"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 xml:space="preserve">Reinsurance </w:t>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5"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(22)</w:t>
            </w:r>
          </w:p>
        </w:tc>
        <w:tc>
          <w:tcPr>
            <w:tcW w:w="24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(24)</w:t>
            </w:r>
          </w:p>
        </w:tc>
        <w:tc>
          <w:tcPr>
            <w:tcW w:w="36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8"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Net reserves</w:t>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5"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70 </w:t>
            </w:r>
          </w:p>
        </w:tc>
        <w:tc>
          <w:tcPr>
            <w:tcW w:w="24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74 </w:t>
            </w:r>
          </w:p>
        </w:tc>
        <w:tc>
          <w:tcPr>
            <w:tcW w:w="36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8"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2402"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2523" w:type="dxa"/>
            <w:gridSpan w:val="3"/>
            <w:tcBorders/>
            <w:vAlign w:val="center"/>
          </w:tcPr>
          <w:p>
            <w:pPr>
              <w:pStyle w:val="TableContents"/>
              <w:bidi w:val="0"/>
              <w:spacing w:before="0" w:after="283"/>
              <w:jc w:val="left"/>
              <w:rPr>
                <w:sz w:val="4"/>
                <w:szCs w:val="4"/>
              </w:rPr>
            </w:pPr>
            <w:r>
              <w:rPr>
                <w:sz w:val="4"/>
                <w:szCs w:val="4"/>
              </w:rPr>
            </w:r>
          </w:p>
        </w:tc>
      </w:tr>
      <w:tr>
        <w:trPr/>
        <w:tc>
          <w:tcPr>
            <w:tcW w:w="3798"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2402"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2523" w:type="dxa"/>
            <w:gridSpan w:val="3"/>
            <w:tcBorders/>
            <w:vAlign w:val="center"/>
          </w:tcPr>
          <w:p>
            <w:pPr>
              <w:pStyle w:val="TableContents"/>
              <w:bidi w:val="0"/>
              <w:spacing w:before="0" w:after="283"/>
              <w:jc w:val="left"/>
              <w:rPr>
                <w:sz w:val="4"/>
                <w:szCs w:val="4"/>
              </w:rPr>
            </w:pPr>
            <w:r>
              <w:rPr>
                <w:sz w:val="4"/>
                <w:szCs w:val="4"/>
              </w:rPr>
            </w:r>
          </w:p>
        </w:tc>
      </w:tr>
      <w:tr>
        <w:trPr/>
        <w:tc>
          <w:tcPr>
            <w:tcW w:w="3798"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2402"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2523" w:type="dxa"/>
            <w:gridSpan w:val="3"/>
            <w:tcBorders/>
            <w:vAlign w:val="center"/>
          </w:tcPr>
          <w:p>
            <w:pPr>
              <w:pStyle w:val="TableContents"/>
              <w:bidi w:val="0"/>
              <w:spacing w:before="0" w:after="283"/>
              <w:jc w:val="left"/>
              <w:rPr>
                <w:sz w:val="4"/>
                <w:szCs w:val="4"/>
              </w:rPr>
            </w:pPr>
            <w:r>
              <w:rPr>
                <w:sz w:val="4"/>
                <w:szCs w:val="4"/>
              </w:rPr>
            </w:r>
          </w:p>
        </w:tc>
      </w:tr>
      <w:tr>
        <w:trPr/>
        <w:tc>
          <w:tcPr>
            <w:tcW w:w="3798"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2402"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2523" w:type="dxa"/>
            <w:gridSpan w:val="3"/>
            <w:tcBorders/>
            <w:vAlign w:val="center"/>
          </w:tcPr>
          <w:p>
            <w:pPr>
              <w:pStyle w:val="TableContents"/>
              <w:bidi w:val="0"/>
              <w:spacing w:before="0" w:after="283"/>
              <w:jc w:val="left"/>
              <w:rPr>
                <w:sz w:val="4"/>
                <w:szCs w:val="4"/>
              </w:rPr>
            </w:pPr>
            <w:r>
              <w:rPr>
                <w:sz w:val="4"/>
                <w:szCs w:val="4"/>
              </w:rPr>
            </w:r>
          </w:p>
        </w:tc>
      </w:tr>
      <w:tr>
        <w:trPr/>
        <w:tc>
          <w:tcPr>
            <w:tcW w:w="3798"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Unallocated loss adjustment expenses</w:t>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2"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8"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Gross reserves</w:t>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5"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103 </w:t>
            </w:r>
          </w:p>
        </w:tc>
        <w:tc>
          <w:tcPr>
            <w:tcW w:w="24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107 </w:t>
            </w:r>
          </w:p>
        </w:tc>
        <w:tc>
          <w:tcPr>
            <w:tcW w:w="36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8"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Reinsurance</w:t>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5"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w:t>
            </w:r>
          </w:p>
        </w:tc>
        <w:tc>
          <w:tcPr>
            <w:tcW w:w="24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w:t>
            </w:r>
          </w:p>
        </w:tc>
        <w:tc>
          <w:tcPr>
            <w:tcW w:w="36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8"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Net reserves</w:t>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5"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102 </w:t>
            </w:r>
          </w:p>
        </w:tc>
        <w:tc>
          <w:tcPr>
            <w:tcW w:w="24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106 </w:t>
            </w:r>
          </w:p>
        </w:tc>
        <w:tc>
          <w:tcPr>
            <w:tcW w:w="36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8"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w:t>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2"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8"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Gross reserves</w:t>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5"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1,785 </w:t>
            </w:r>
          </w:p>
        </w:tc>
        <w:tc>
          <w:tcPr>
            <w:tcW w:w="24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1,852 </w:t>
            </w:r>
          </w:p>
        </w:tc>
        <w:tc>
          <w:tcPr>
            <w:tcW w:w="36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8"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Reinsurance</w:t>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5"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(403)</w:t>
            </w:r>
          </w:p>
        </w:tc>
        <w:tc>
          <w:tcPr>
            <w:tcW w:w="24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(420)</w:t>
            </w:r>
          </w:p>
        </w:tc>
        <w:tc>
          <w:tcPr>
            <w:tcW w:w="36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8" w:type="dxa"/>
            <w:gridSpan w:val="3"/>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Net reserves</w:t>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1641"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1,382</w:t>
            </w:r>
            <w:r>
              <w:rPr>
                <w:color w:val="000000"/>
              </w:rPr>
              <w:t> </w:t>
            </w:r>
          </w:p>
        </w:tc>
        <w:tc>
          <w:tcPr>
            <w:tcW w:w="247"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1641"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1,432</w:t>
            </w:r>
            <w:r>
              <w:rPr>
                <w:color w:val="000000"/>
              </w:rPr>
              <w:t> </w:t>
            </w:r>
          </w:p>
        </w:tc>
        <w:tc>
          <w:tcPr>
            <w:tcW w:w="360"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798"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2402"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2523"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5"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120"/>
                              <w:jc w:val="left"/>
                              <w:rPr/>
                            </w:pPr>
                            <w:r>
                              <w:rPr>
                                <w:rFonts w:ascii="Allstate Sans;sans-serif" w:hAnsi="Allstate Sans;sans-serif"/>
                                <w:b w:val="false"/>
                                <w:color w:val="0033A0"/>
                                <w:sz w:val="18"/>
                              </w:rPr>
                              <w:t>56</w:t>
                            </w:r>
                            <w:r>
                              <w:rPr>
                                <w:color w:val="1666AF"/>
                              </w:rPr>
                              <w:t xml:space="preserve"> </w:t>
                            </w:r>
                            <w:r>
                              <w:rPr>
                                <w:rFonts w:ascii="Allstate Sans;sans-serif" w:hAnsi="Allstate Sans;sans-serif"/>
                                <w:b w:val="false"/>
                                <w:color w:val="000000"/>
                                <w:sz w:val="18"/>
                              </w:rPr>
                              <w:t>www.allstate.com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left"/>
                        <w:rPr/>
                      </w:pPr>
                      <w:r>
                        <w:rPr>
                          <w:rFonts w:ascii="Allstate Sans;sans-serif" w:hAnsi="Allstate Sans;sans-serif"/>
                          <w:b w:val="false"/>
                          <w:color w:val="0033A0"/>
                          <w:sz w:val="18"/>
                        </w:rPr>
                        <w:t>56</w:t>
                      </w:r>
                      <w:r>
                        <w:rPr>
                          <w:color w:val="1666AF"/>
                        </w:rPr>
                        <w:t xml:space="preserve"> </w:t>
                      </w:r>
                      <w:r>
                        <w:rPr>
                          <w:rFonts w:ascii="Allstate Sans;sans-serif" w:hAnsi="Allstate Sans;sans-serif"/>
                          <w:b w:val="false"/>
                          <w:color w:val="000000"/>
                          <w:sz w:val="18"/>
                        </w:rPr>
                        <w:t>www.allstate.com</w:t>
                      </w:r>
                    </w:p>
                  </w:txbxContent>
                </v:textbox>
                <w10:wrap type="none"/>
              </v:rect>
            </w:pict>
          </mc:Fallback>
        </mc:AlternateContent>
      </w:r>
    </w:p>
    <w:p>
      <w:pPr>
        <w:pStyle w:val="TextBody"/>
        <w:bidi w:val="0"/>
        <w:spacing w:lineRule="auto" w:line="288" w:before="0" w:after="120"/>
        <w:jc w:val="right"/>
        <w:rPr/>
      </w:pPr>
      <w:r>
        <w:rPr>
          <w:rFonts w:ascii="Allstate Sans;sans-serif" w:hAnsi="Allstate Sans;sans-serif"/>
          <w:b w:val="false"/>
          <w:color w:val="000000"/>
          <w:sz w:val="18"/>
        </w:rPr>
        <w:t>Run-off Property-Liability</w:t>
      </w:r>
      <w:r>
        <w:rPr>
          <w:color w:val="1666AF"/>
        </w:rPr>
        <w:t xml:space="preserve"> </w:t>
      </w:r>
      <w:r>
        <w:rPr>
          <w:rFonts w:ascii="Allstate Sans;sans-serif" w:hAnsi="Allstate Sans;sans-serif"/>
          <w:b w:val="false"/>
          <w:color w:val="0033A0"/>
          <w:sz w:val="18"/>
        </w:rPr>
        <w:t>Segment Results</w:t>
      </w:r>
      <w:r>
        <w:rPr>
          <w:color w:val="000000"/>
        </w:rPr>
        <w:t xml:space="preserve"> </w:t>
      </w:r>
    </w:p>
    <w:tbl>
      <w:tblPr>
        <w:tblW w:w="10205" w:type="dxa"/>
        <w:jc w:val="center"/>
        <w:tblInd w:w="0" w:type="dxa"/>
        <w:tblLayout w:type="fixed"/>
        <w:tblCellMar>
          <w:top w:w="28" w:type="dxa"/>
          <w:left w:w="28" w:type="dxa"/>
          <w:bottom w:w="28" w:type="dxa"/>
          <w:right w:w="28" w:type="dxa"/>
        </w:tblCellMar>
      </w:tblPr>
      <w:tblGrid>
        <w:gridCol w:w="1147"/>
        <w:gridCol w:w="996"/>
        <w:gridCol w:w="999"/>
        <w:gridCol w:w="225"/>
        <w:gridCol w:w="225"/>
        <w:gridCol w:w="225"/>
        <w:gridCol w:w="274"/>
        <w:gridCol w:w="232"/>
        <w:gridCol w:w="560"/>
        <w:gridCol w:w="225"/>
        <w:gridCol w:w="225"/>
        <w:gridCol w:w="225"/>
        <w:gridCol w:w="274"/>
        <w:gridCol w:w="232"/>
        <w:gridCol w:w="560"/>
        <w:gridCol w:w="225"/>
        <w:gridCol w:w="225"/>
        <w:gridCol w:w="225"/>
        <w:gridCol w:w="274"/>
        <w:gridCol w:w="232"/>
        <w:gridCol w:w="560"/>
        <w:gridCol w:w="225"/>
        <w:gridCol w:w="225"/>
        <w:gridCol w:w="225"/>
        <w:gridCol w:w="274"/>
        <w:gridCol w:w="232"/>
        <w:gridCol w:w="659"/>
      </w:tblGrid>
      <w:tr>
        <w:trPr/>
        <w:tc>
          <w:tcPr>
            <w:tcW w:w="1147"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r>
      <w:tr>
        <w:trPr/>
        <w:tc>
          <w:tcPr>
            <w:tcW w:w="10205" w:type="dxa"/>
            <w:gridSpan w:val="27"/>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120"/>
              <w:jc w:val="left"/>
              <w:rPr>
                <w:rFonts w:ascii="Allstate Sans;sans-serif" w:hAnsi="Allstate Sans;sans-serif"/>
                <w:b/>
                <w:color w:val="000000"/>
                <w:sz w:val="18"/>
              </w:rPr>
            </w:pPr>
            <w:r>
              <w:rPr>
                <w:rFonts w:ascii="Allstate Sans;sans-serif" w:hAnsi="Allstate Sans;sans-serif"/>
                <w:b/>
                <w:color w:val="000000"/>
                <w:sz w:val="18"/>
              </w:rPr>
              <w:t>Percentage of gross and ceded reserves by case and incurred but not reported (“IBNR”)</w:t>
            </w:r>
          </w:p>
        </w:tc>
      </w:tr>
      <w:tr>
        <w:trPr/>
        <w:tc>
          <w:tcPr>
            <w:tcW w:w="31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June 30, 2026</w:t>
            </w:r>
          </w:p>
        </w:tc>
        <w:tc>
          <w:tcPr>
            <w:tcW w:w="6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December 31, 2025</w:t>
            </w:r>
          </w:p>
        </w:tc>
      </w:tr>
      <w:tr>
        <w:trPr/>
        <w:tc>
          <w:tcPr>
            <w:tcW w:w="3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Case</w:t>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IBNR</w:t>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Case</w:t>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IBNR</w:t>
            </w:r>
          </w:p>
        </w:tc>
      </w:tr>
      <w:tr>
        <w:trPr/>
        <w:tc>
          <w:tcPr>
            <w:tcW w:w="3142"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 xml:space="preserve">Direct excess commercial insurance </w:t>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2"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pPr>
            <w:r>
              <w:rPr>
                <w:rFonts w:ascii="Helvetica_Neue_LT_W1G_55_Roman;sans-serif" w:hAnsi="Helvetica_Neue_LT_W1G_55_Roman;sans-serif"/>
                <w:b w:val="false"/>
                <w:color w:val="000000"/>
                <w:sz w:val="18"/>
              </w:rPr>
              <w:t>Gross reserves</w:t>
            </w:r>
            <w:r>
              <w:rPr>
                <w:color w:val="000000"/>
              </w:rPr>
              <w:t xml:space="preserve"> </w:t>
            </w:r>
            <w:r>
              <w:rPr>
                <w:rFonts w:ascii="Helvetica_Neue_LT_W1G_55_Roman;sans-serif" w:hAnsi="Helvetica_Neue_LT_W1G_55_Roman;sans-serif"/>
                <w:b w:val="false"/>
                <w:color w:val="000000"/>
                <w:sz w:val="10"/>
              </w:rPr>
              <w:t>(1)</w:t>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69 </w:t>
            </w:r>
          </w:p>
        </w:tc>
        <w:tc>
          <w:tcPr>
            <w:tcW w:w="560"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31 </w:t>
            </w:r>
          </w:p>
        </w:tc>
        <w:tc>
          <w:tcPr>
            <w:tcW w:w="560"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57 </w:t>
            </w:r>
          </w:p>
        </w:tc>
        <w:tc>
          <w:tcPr>
            <w:tcW w:w="560"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43 </w:t>
            </w:r>
          </w:p>
        </w:tc>
        <w:tc>
          <w:tcPr>
            <w:tcW w:w="659"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r>
      <w:tr>
        <w:trPr/>
        <w:tc>
          <w:tcPr>
            <w:tcW w:w="3142"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pPr>
            <w:r>
              <w:rPr>
                <w:rFonts w:ascii="Helvetica_Neue_LT_W1G_55_Roman;sans-serif" w:hAnsi="Helvetica_Neue_LT_W1G_55_Roman;sans-serif"/>
                <w:b w:val="false"/>
                <w:color w:val="000000"/>
                <w:sz w:val="18"/>
              </w:rPr>
              <w:t xml:space="preserve">Ceded </w:t>
            </w:r>
            <w:r>
              <w:rPr>
                <w:rFonts w:ascii="Helvetica_Neue_LT_W1G_55_Roman;sans-serif" w:hAnsi="Helvetica_Neue_LT_W1G_55_Roman;sans-serif"/>
                <w:b w:val="false"/>
                <w:color w:val="000000"/>
                <w:sz w:val="10"/>
              </w:rPr>
              <w:t>(2)</w:t>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82 </w:t>
            </w:r>
          </w:p>
        </w:tc>
        <w:tc>
          <w:tcPr>
            <w:tcW w:w="56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18 </w:t>
            </w:r>
          </w:p>
        </w:tc>
        <w:tc>
          <w:tcPr>
            <w:tcW w:w="56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66 </w:t>
            </w:r>
          </w:p>
        </w:tc>
        <w:tc>
          <w:tcPr>
            <w:tcW w:w="56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34 </w:t>
            </w:r>
          </w:p>
        </w:tc>
        <w:tc>
          <w:tcPr>
            <w:tcW w:w="65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2"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Assumed reinsurance coverage</w:t>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2"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pPr>
            <w:r>
              <w:rPr>
                <w:rFonts w:ascii="Helvetica_Neue_LT_W1G_55_Roman;sans-serif" w:hAnsi="Helvetica_Neue_LT_W1G_55_Roman;sans-serif"/>
                <w:b w:val="false"/>
                <w:color w:val="000000"/>
                <w:sz w:val="18"/>
              </w:rPr>
              <w:t>Gross reserves</w:t>
            </w:r>
            <w:r>
              <w:rPr>
                <w:color w:val="005BA5"/>
              </w:rPr>
              <w:t xml:space="preserve"> </w:t>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33 </w:t>
            </w:r>
          </w:p>
        </w:tc>
        <w:tc>
          <w:tcPr>
            <w:tcW w:w="56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67 </w:t>
            </w:r>
          </w:p>
        </w:tc>
        <w:tc>
          <w:tcPr>
            <w:tcW w:w="56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32 </w:t>
            </w:r>
          </w:p>
        </w:tc>
        <w:tc>
          <w:tcPr>
            <w:tcW w:w="56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68 </w:t>
            </w:r>
          </w:p>
        </w:tc>
        <w:tc>
          <w:tcPr>
            <w:tcW w:w="65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2"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 xml:space="preserve">Ceded </w:t>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40 </w:t>
            </w:r>
          </w:p>
        </w:tc>
        <w:tc>
          <w:tcPr>
            <w:tcW w:w="56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60 </w:t>
            </w:r>
          </w:p>
        </w:tc>
        <w:tc>
          <w:tcPr>
            <w:tcW w:w="56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44 </w:t>
            </w:r>
          </w:p>
        </w:tc>
        <w:tc>
          <w:tcPr>
            <w:tcW w:w="56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56 </w:t>
            </w:r>
          </w:p>
        </w:tc>
        <w:tc>
          <w:tcPr>
            <w:tcW w:w="65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2"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Direct primary commercial insurance</w:t>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2"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 xml:space="preserve">Gross reserves </w:t>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40 </w:t>
            </w:r>
          </w:p>
        </w:tc>
        <w:tc>
          <w:tcPr>
            <w:tcW w:w="56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60 </w:t>
            </w:r>
          </w:p>
        </w:tc>
        <w:tc>
          <w:tcPr>
            <w:tcW w:w="56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38 </w:t>
            </w:r>
          </w:p>
        </w:tc>
        <w:tc>
          <w:tcPr>
            <w:tcW w:w="56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62 </w:t>
            </w:r>
          </w:p>
        </w:tc>
        <w:tc>
          <w:tcPr>
            <w:tcW w:w="65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2" w:type="dxa"/>
            <w:gridSpan w:val="3"/>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Ceded</w:t>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76 </w:t>
            </w:r>
          </w:p>
        </w:tc>
        <w:tc>
          <w:tcPr>
            <w:tcW w:w="560"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24 </w:t>
            </w:r>
          </w:p>
        </w:tc>
        <w:tc>
          <w:tcPr>
            <w:tcW w:w="560"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72 </w:t>
            </w:r>
          </w:p>
        </w:tc>
        <w:tc>
          <w:tcPr>
            <w:tcW w:w="560"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28 </w:t>
            </w:r>
          </w:p>
        </w:tc>
        <w:tc>
          <w:tcPr>
            <w:tcW w:w="659"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180"/>
        <w:jc w:val="left"/>
        <w:rPr/>
      </w:pPr>
      <w:r>
        <w:rPr>
          <w:rFonts w:ascii="Allstate Sans;sans-serif" w:hAnsi="Allstate Sans;sans-serif"/>
          <w:b w:val="false"/>
          <w:color w:val="000000"/>
          <w:sz w:val="10"/>
        </w:rPr>
        <w:t>(1)</w:t>
      </w:r>
      <w:r>
        <w:rPr>
          <w:rFonts w:ascii="Allstate Sans;sans-serif" w:hAnsi="Allstate Sans;sans-serif"/>
          <w:b w:val="false"/>
          <w:color w:val="000000"/>
          <w:sz w:val="16"/>
        </w:rPr>
        <w:t>Approximately 57% and 66%</w:t>
      </w:r>
      <w:r>
        <w:rPr>
          <w:color w:val="000000"/>
        </w:rPr>
        <w:t xml:space="preserve"> </w:t>
      </w:r>
      <w:r>
        <w:rPr>
          <w:rFonts w:ascii="Allstate Sans;sans-serif" w:hAnsi="Allstate Sans;sans-serif"/>
          <w:b w:val="false"/>
          <w:color w:val="000000"/>
          <w:sz w:val="16"/>
        </w:rPr>
        <w:t>of gross case reserves as of June 30, 2026 and December 31, 2025, respectively, are subject to settlement agreements that define and limit our obligations.</w:t>
      </w:r>
    </w:p>
    <w:p>
      <w:pPr>
        <w:pStyle w:val="TextBody"/>
        <w:bidi w:val="0"/>
        <w:spacing w:lineRule="auto" w:line="288" w:before="0" w:after="120"/>
        <w:ind w:left="0" w:right="0" w:hanging="180"/>
        <w:jc w:val="left"/>
        <w:rPr/>
      </w:pPr>
      <w:r>
        <w:rPr>
          <w:rFonts w:ascii="Allstate Sans;sans-serif" w:hAnsi="Allstate Sans;sans-serif"/>
          <w:b w:val="false"/>
          <w:color w:val="000000"/>
          <w:sz w:val="10"/>
        </w:rPr>
        <w:t>(2)</w:t>
      </w:r>
      <w:r>
        <w:rPr>
          <w:rFonts w:ascii="Allstate Sans;sans-serif" w:hAnsi="Allstate Sans;sans-serif"/>
          <w:b w:val="false"/>
          <w:color w:val="000000"/>
          <w:sz w:val="16"/>
        </w:rPr>
        <w:t>Approximately 62% and 73%</w:t>
      </w:r>
      <w:r>
        <w:rPr>
          <w:color w:val="000000"/>
        </w:rPr>
        <w:t xml:space="preserve"> </w:t>
      </w:r>
      <w:r>
        <w:rPr>
          <w:rFonts w:ascii="Allstate Sans;sans-serif" w:hAnsi="Allstate Sans;sans-serif"/>
          <w:b w:val="false"/>
          <w:color w:val="000000"/>
          <w:sz w:val="16"/>
        </w:rPr>
        <w:t>of ceded case reserves as of June 30, 2026 and December 31, 2025, respectively, are subject to settlement agreements that define and limit our obligations.</w:t>
      </w:r>
    </w:p>
    <w:tbl>
      <w:tblPr>
        <w:tblW w:w="10205" w:type="dxa"/>
        <w:jc w:val="left"/>
        <w:tblInd w:w="0" w:type="dxa"/>
        <w:tblLayout w:type="fixed"/>
        <w:tblCellMar>
          <w:top w:w="28" w:type="dxa"/>
          <w:left w:w="28" w:type="dxa"/>
          <w:bottom w:w="28" w:type="dxa"/>
          <w:right w:w="28" w:type="dxa"/>
        </w:tblCellMar>
      </w:tblPr>
      <w:tblGrid>
        <w:gridCol w:w="1152"/>
        <w:gridCol w:w="1000"/>
        <w:gridCol w:w="961"/>
        <w:gridCol w:w="213"/>
        <w:gridCol w:w="213"/>
        <w:gridCol w:w="213"/>
        <w:gridCol w:w="443"/>
        <w:gridCol w:w="795"/>
        <w:gridCol w:w="213"/>
        <w:gridCol w:w="213"/>
        <w:gridCol w:w="213"/>
        <w:gridCol w:w="213"/>
        <w:gridCol w:w="443"/>
        <w:gridCol w:w="795"/>
        <w:gridCol w:w="213"/>
        <w:gridCol w:w="109"/>
        <w:gridCol w:w="109"/>
        <w:gridCol w:w="109"/>
        <w:gridCol w:w="314"/>
        <w:gridCol w:w="564"/>
        <w:gridCol w:w="151"/>
        <w:gridCol w:w="151"/>
        <w:gridCol w:w="151"/>
        <w:gridCol w:w="151"/>
        <w:gridCol w:w="314"/>
        <w:gridCol w:w="564"/>
        <w:gridCol w:w="225"/>
      </w:tblGrid>
      <w:tr>
        <w:trPr/>
        <w:tc>
          <w:tcPr>
            <w:tcW w:w="1152"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7293" w:type="dxa"/>
            <w:gridSpan w:val="15"/>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120"/>
              <w:jc w:val="left"/>
              <w:rPr>
                <w:rFonts w:ascii="Allstate Sans;sans-serif" w:hAnsi="Allstate Sans;sans-serif"/>
                <w:b/>
                <w:color w:val="000000"/>
                <w:sz w:val="18"/>
              </w:rPr>
            </w:pPr>
            <w:r>
              <w:rPr>
                <w:rFonts w:ascii="Allstate Sans;sans-serif" w:hAnsi="Allstate Sans;sans-serif"/>
                <w:b/>
                <w:color w:val="000000"/>
                <w:sz w:val="18"/>
              </w:rPr>
              <w:t xml:space="preserve">Gross payments from case reserves by type of exposure </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113"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 in millions)</w:t>
            </w:r>
          </w:p>
        </w:tc>
        <w:tc>
          <w:tcPr>
            <w:tcW w:w="6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Six months ended June 30,</w:t>
            </w:r>
          </w:p>
        </w:tc>
      </w:tr>
      <w:tr>
        <w:trPr/>
        <w:tc>
          <w:tcPr>
            <w:tcW w:w="3113"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2026</w:t>
            </w:r>
          </w:p>
        </w:tc>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2026</w:t>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2025</w:t>
            </w:r>
          </w:p>
        </w:tc>
      </w:tr>
      <w:tr>
        <w:trPr/>
        <w:tc>
          <w:tcPr>
            <w:tcW w:w="3113"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 xml:space="preserve">Direct excess commercial insurance </w:t>
            </w:r>
          </w:p>
        </w:tc>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3"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pPr>
            <w:r>
              <w:rPr>
                <w:rFonts w:ascii="Helvetica_Neue_LT_W1G_55_Roman;sans-serif" w:hAnsi="Helvetica_Neue_LT_W1G_55_Roman;sans-serif"/>
                <w:b w:val="false"/>
                <w:color w:val="000000"/>
                <w:sz w:val="18"/>
              </w:rPr>
              <w:t xml:space="preserve">Gross </w:t>
            </w:r>
            <w:r>
              <w:rPr>
                <w:rFonts w:ascii="Helvetica_Neue_LT_W1G_55_Roman;sans-serif" w:hAnsi="Helvetica_Neue_LT_W1G_55_Roman;sans-serif"/>
                <w:b w:val="false"/>
                <w:color w:val="000000"/>
                <w:sz w:val="10"/>
              </w:rPr>
              <w:t>(1)</w:t>
            </w:r>
          </w:p>
        </w:tc>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795"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24 </w:t>
            </w:r>
          </w:p>
        </w:tc>
        <w:tc>
          <w:tcPr>
            <w:tcW w:w="21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795"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34 </w:t>
            </w:r>
          </w:p>
        </w:tc>
        <w:tc>
          <w:tcPr>
            <w:tcW w:w="21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564"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46 </w:t>
            </w:r>
          </w:p>
        </w:tc>
        <w:tc>
          <w:tcPr>
            <w:tcW w:w="15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564"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60 </w:t>
            </w:r>
          </w:p>
        </w:tc>
        <w:tc>
          <w:tcPr>
            <w:tcW w:w="22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3"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pPr>
            <w:r>
              <w:rPr>
                <w:rFonts w:ascii="Helvetica_Neue_LT_W1G_55_Roman;sans-serif" w:hAnsi="Helvetica_Neue_LT_W1G_55_Roman;sans-serif"/>
                <w:b w:val="false"/>
                <w:color w:val="000000"/>
                <w:sz w:val="18"/>
              </w:rPr>
              <w:t xml:space="preserve">Ceded </w:t>
            </w:r>
            <w:r>
              <w:rPr>
                <w:rFonts w:ascii="Helvetica_Neue_LT_W1G_55_Roman;sans-serif" w:hAnsi="Helvetica_Neue_LT_W1G_55_Roman;sans-serif"/>
                <w:b w:val="false"/>
                <w:color w:val="000000"/>
                <w:sz w:val="10"/>
              </w:rPr>
              <w:t>(2)</w:t>
            </w:r>
          </w:p>
        </w:tc>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(9)</w:t>
            </w:r>
          </w:p>
        </w:tc>
        <w:tc>
          <w:tcPr>
            <w:tcW w:w="21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(10)</w:t>
            </w:r>
          </w:p>
        </w:tc>
        <w:tc>
          <w:tcPr>
            <w:tcW w:w="21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(18)</w:t>
            </w:r>
          </w:p>
        </w:tc>
        <w:tc>
          <w:tcPr>
            <w:tcW w:w="15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(21)</w:t>
            </w:r>
          </w:p>
        </w:tc>
        <w:tc>
          <w:tcPr>
            <w:tcW w:w="22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3"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Assumed reinsurance coverage</w:t>
            </w:r>
          </w:p>
        </w:tc>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3"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pPr>
            <w:r>
              <w:rPr>
                <w:rFonts w:ascii="Helvetica_Neue_LT_W1G_55_Roman;sans-serif" w:hAnsi="Helvetica_Neue_LT_W1G_55_Roman;sans-serif"/>
                <w:b w:val="false"/>
                <w:color w:val="000000"/>
                <w:sz w:val="18"/>
              </w:rPr>
              <w:t>Gross</w:t>
            </w:r>
            <w:r>
              <w:rPr>
                <w:color w:val="005BA5"/>
              </w:rPr>
              <w:t xml:space="preserve"> </w:t>
            </w:r>
          </w:p>
        </w:tc>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top w:val="single" w:sz="4" w:space="0" w:color="B6B6B6"/>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8 </w:t>
            </w:r>
          </w:p>
        </w:tc>
        <w:tc>
          <w:tcPr>
            <w:tcW w:w="213" w:type="dxa"/>
            <w:tcBorders>
              <w:top w:val="single" w:sz="4" w:space="0" w:color="B6B6B6"/>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10 </w:t>
            </w:r>
          </w:p>
        </w:tc>
        <w:tc>
          <w:tcPr>
            <w:tcW w:w="21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12 </w:t>
            </w:r>
          </w:p>
        </w:tc>
        <w:tc>
          <w:tcPr>
            <w:tcW w:w="15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16 </w:t>
            </w:r>
          </w:p>
        </w:tc>
        <w:tc>
          <w:tcPr>
            <w:tcW w:w="22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3"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Ceded</w:t>
            </w:r>
          </w:p>
        </w:tc>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top w:val="single" w:sz="4" w:space="0" w:color="B6B6B6"/>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top w:val="single" w:sz="4" w:space="0" w:color="B6B6B6"/>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w:t>
            </w:r>
          </w:p>
        </w:tc>
        <w:tc>
          <w:tcPr>
            <w:tcW w:w="21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w:t>
            </w:r>
          </w:p>
        </w:tc>
        <w:tc>
          <w:tcPr>
            <w:tcW w:w="22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3"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Direct primary commercial insurance</w:t>
            </w:r>
          </w:p>
        </w:tc>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3"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pPr>
            <w:r>
              <w:rPr>
                <w:rFonts w:ascii="Helvetica_Neue_LT_W1G_55_Roman;sans-serif" w:hAnsi="Helvetica_Neue_LT_W1G_55_Roman;sans-serif"/>
                <w:b w:val="false"/>
                <w:color w:val="000000"/>
                <w:sz w:val="18"/>
              </w:rPr>
              <w:t>Gross</w:t>
            </w:r>
            <w:r>
              <w:rPr>
                <w:color w:val="005BA5"/>
              </w:rPr>
              <w:t xml:space="preserve"> </w:t>
            </w:r>
          </w:p>
        </w:tc>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4 </w:t>
            </w:r>
          </w:p>
        </w:tc>
        <w:tc>
          <w:tcPr>
            <w:tcW w:w="21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1 </w:t>
            </w:r>
          </w:p>
        </w:tc>
        <w:tc>
          <w:tcPr>
            <w:tcW w:w="21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5 </w:t>
            </w:r>
          </w:p>
        </w:tc>
        <w:tc>
          <w:tcPr>
            <w:tcW w:w="15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w:t>
            </w:r>
          </w:p>
        </w:tc>
      </w:tr>
      <w:tr>
        <w:trPr/>
        <w:tc>
          <w:tcPr>
            <w:tcW w:w="3113" w:type="dxa"/>
            <w:gridSpan w:val="3"/>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Ceded</w:t>
            </w:r>
          </w:p>
        </w:tc>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w:t>
            </w:r>
          </w:p>
        </w:tc>
        <w:tc>
          <w:tcPr>
            <w:tcW w:w="213"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w:t>
            </w:r>
          </w:p>
        </w:tc>
        <w:tc>
          <w:tcPr>
            <w:tcW w:w="213"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w:t>
            </w:r>
          </w:p>
        </w:tc>
        <w:tc>
          <w:tcPr>
            <w:tcW w:w="151"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w:t>
            </w:r>
          </w:p>
        </w:tc>
        <w:tc>
          <w:tcPr>
            <w:tcW w:w="225"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113" w:type="dxa"/>
            <w:gridSpan w:val="3"/>
            <w:tcBorders/>
            <w:vAlign w:val="center"/>
          </w:tcPr>
          <w:p>
            <w:pPr>
              <w:pStyle w:val="TableContents"/>
              <w:bidi w:val="0"/>
              <w:spacing w:before="0" w:after="283"/>
              <w:jc w:val="left"/>
              <w:rPr>
                <w:sz w:val="4"/>
                <w:szCs w:val="4"/>
              </w:rPr>
            </w:pPr>
            <w:r>
              <w:rPr>
                <w:sz w:val="4"/>
                <w:szCs w:val="4"/>
              </w:rPr>
            </w:r>
          </w:p>
        </w:tc>
        <w:tc>
          <w:tcPr>
            <w:tcW w:w="639" w:type="dxa"/>
            <w:gridSpan w:val="3"/>
            <w:tcBorders/>
            <w:vAlign w:val="center"/>
          </w:tcPr>
          <w:p>
            <w:pPr>
              <w:pStyle w:val="TableContents"/>
              <w:bidi w:val="0"/>
              <w:spacing w:before="0" w:after="283"/>
              <w:jc w:val="left"/>
              <w:rPr>
                <w:sz w:val="4"/>
                <w:szCs w:val="4"/>
              </w:rPr>
            </w:pPr>
            <w:r>
              <w:rPr>
                <w:sz w:val="4"/>
                <w:szCs w:val="4"/>
              </w:rPr>
            </w:r>
          </w:p>
        </w:tc>
        <w:tc>
          <w:tcPr>
            <w:tcW w:w="1451" w:type="dxa"/>
            <w:gridSpan w:val="3"/>
            <w:tcBorders/>
            <w:vAlign w:val="center"/>
          </w:tcPr>
          <w:p>
            <w:pPr>
              <w:pStyle w:val="TableContents"/>
              <w:bidi w:val="0"/>
              <w:spacing w:before="0" w:after="283"/>
              <w:jc w:val="left"/>
              <w:rPr>
                <w:sz w:val="4"/>
                <w:szCs w:val="4"/>
              </w:rPr>
            </w:pPr>
            <w:r>
              <w:rPr>
                <w:sz w:val="4"/>
                <w:szCs w:val="4"/>
              </w:rPr>
            </w:r>
          </w:p>
        </w:tc>
        <w:tc>
          <w:tcPr>
            <w:tcW w:w="639" w:type="dxa"/>
            <w:gridSpan w:val="3"/>
            <w:tcBorders/>
            <w:vAlign w:val="center"/>
          </w:tcPr>
          <w:p>
            <w:pPr>
              <w:pStyle w:val="TableContents"/>
              <w:bidi w:val="0"/>
              <w:spacing w:before="0" w:after="283"/>
              <w:jc w:val="left"/>
              <w:rPr>
                <w:sz w:val="4"/>
                <w:szCs w:val="4"/>
              </w:rPr>
            </w:pPr>
            <w:r>
              <w:rPr>
                <w:sz w:val="4"/>
                <w:szCs w:val="4"/>
              </w:rPr>
            </w:r>
          </w:p>
        </w:tc>
        <w:tc>
          <w:tcPr>
            <w:tcW w:w="14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3113" w:type="dxa"/>
            <w:gridSpan w:val="3"/>
            <w:tcBorders/>
            <w:vAlign w:val="center"/>
          </w:tcPr>
          <w:p>
            <w:pPr>
              <w:pStyle w:val="TableContents"/>
              <w:bidi w:val="0"/>
              <w:spacing w:before="0" w:after="283"/>
              <w:jc w:val="left"/>
              <w:rPr>
                <w:sz w:val="4"/>
                <w:szCs w:val="4"/>
              </w:rPr>
            </w:pPr>
            <w:r>
              <w:rPr>
                <w:sz w:val="4"/>
                <w:szCs w:val="4"/>
              </w:rPr>
            </w:r>
          </w:p>
        </w:tc>
        <w:tc>
          <w:tcPr>
            <w:tcW w:w="639" w:type="dxa"/>
            <w:gridSpan w:val="3"/>
            <w:tcBorders/>
            <w:vAlign w:val="center"/>
          </w:tcPr>
          <w:p>
            <w:pPr>
              <w:pStyle w:val="TableContents"/>
              <w:bidi w:val="0"/>
              <w:spacing w:before="0" w:after="283"/>
              <w:jc w:val="left"/>
              <w:rPr>
                <w:sz w:val="4"/>
                <w:szCs w:val="4"/>
              </w:rPr>
            </w:pPr>
            <w:r>
              <w:rPr>
                <w:sz w:val="4"/>
                <w:szCs w:val="4"/>
              </w:rPr>
            </w:r>
          </w:p>
        </w:tc>
        <w:tc>
          <w:tcPr>
            <w:tcW w:w="1451" w:type="dxa"/>
            <w:gridSpan w:val="3"/>
            <w:tcBorders/>
            <w:vAlign w:val="center"/>
          </w:tcPr>
          <w:p>
            <w:pPr>
              <w:pStyle w:val="TableContents"/>
              <w:bidi w:val="0"/>
              <w:spacing w:before="0" w:after="283"/>
              <w:jc w:val="left"/>
              <w:rPr>
                <w:sz w:val="4"/>
                <w:szCs w:val="4"/>
              </w:rPr>
            </w:pPr>
            <w:r>
              <w:rPr>
                <w:sz w:val="4"/>
                <w:szCs w:val="4"/>
              </w:rPr>
            </w:r>
          </w:p>
        </w:tc>
        <w:tc>
          <w:tcPr>
            <w:tcW w:w="639" w:type="dxa"/>
            <w:gridSpan w:val="3"/>
            <w:tcBorders/>
            <w:vAlign w:val="center"/>
          </w:tcPr>
          <w:p>
            <w:pPr>
              <w:pStyle w:val="TableContents"/>
              <w:bidi w:val="0"/>
              <w:spacing w:before="0" w:after="283"/>
              <w:jc w:val="left"/>
              <w:rPr>
                <w:sz w:val="4"/>
                <w:szCs w:val="4"/>
              </w:rPr>
            </w:pPr>
            <w:r>
              <w:rPr>
                <w:sz w:val="4"/>
                <w:szCs w:val="4"/>
              </w:rPr>
            </w:r>
          </w:p>
        </w:tc>
        <w:tc>
          <w:tcPr>
            <w:tcW w:w="14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3113" w:type="dxa"/>
            <w:gridSpan w:val="3"/>
            <w:tcBorders/>
            <w:vAlign w:val="center"/>
          </w:tcPr>
          <w:p>
            <w:pPr>
              <w:pStyle w:val="TableContents"/>
              <w:bidi w:val="0"/>
              <w:spacing w:before="0" w:after="283"/>
              <w:jc w:val="left"/>
              <w:rPr>
                <w:sz w:val="4"/>
                <w:szCs w:val="4"/>
              </w:rPr>
            </w:pPr>
            <w:r>
              <w:rPr>
                <w:sz w:val="4"/>
                <w:szCs w:val="4"/>
              </w:rPr>
            </w:r>
          </w:p>
        </w:tc>
        <w:tc>
          <w:tcPr>
            <w:tcW w:w="639" w:type="dxa"/>
            <w:gridSpan w:val="3"/>
            <w:tcBorders/>
            <w:vAlign w:val="center"/>
          </w:tcPr>
          <w:p>
            <w:pPr>
              <w:pStyle w:val="TableContents"/>
              <w:bidi w:val="0"/>
              <w:spacing w:before="0" w:after="283"/>
              <w:jc w:val="left"/>
              <w:rPr>
                <w:sz w:val="4"/>
                <w:szCs w:val="4"/>
              </w:rPr>
            </w:pPr>
            <w:r>
              <w:rPr>
                <w:sz w:val="4"/>
                <w:szCs w:val="4"/>
              </w:rPr>
            </w:r>
          </w:p>
        </w:tc>
        <w:tc>
          <w:tcPr>
            <w:tcW w:w="1451" w:type="dxa"/>
            <w:gridSpan w:val="3"/>
            <w:tcBorders/>
            <w:vAlign w:val="center"/>
          </w:tcPr>
          <w:p>
            <w:pPr>
              <w:pStyle w:val="TableContents"/>
              <w:bidi w:val="0"/>
              <w:spacing w:before="0" w:after="283"/>
              <w:jc w:val="left"/>
              <w:rPr>
                <w:sz w:val="4"/>
                <w:szCs w:val="4"/>
              </w:rPr>
            </w:pPr>
            <w:r>
              <w:rPr>
                <w:sz w:val="4"/>
                <w:szCs w:val="4"/>
              </w:rPr>
            </w:r>
          </w:p>
        </w:tc>
        <w:tc>
          <w:tcPr>
            <w:tcW w:w="639" w:type="dxa"/>
            <w:gridSpan w:val="3"/>
            <w:tcBorders/>
            <w:vAlign w:val="center"/>
          </w:tcPr>
          <w:p>
            <w:pPr>
              <w:pStyle w:val="TableContents"/>
              <w:bidi w:val="0"/>
              <w:spacing w:before="0" w:after="283"/>
              <w:jc w:val="left"/>
              <w:rPr>
                <w:sz w:val="4"/>
                <w:szCs w:val="4"/>
              </w:rPr>
            </w:pPr>
            <w:r>
              <w:rPr>
                <w:sz w:val="4"/>
                <w:szCs w:val="4"/>
              </w:rPr>
            </w:r>
          </w:p>
        </w:tc>
        <w:tc>
          <w:tcPr>
            <w:tcW w:w="14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180"/>
        <w:jc w:val="left"/>
        <w:rPr/>
      </w:pPr>
      <w:r>
        <w:rPr>
          <w:rFonts w:ascii="Allstate Sans;sans-serif" w:hAnsi="Allstate Sans;sans-serif"/>
          <w:b w:val="false"/>
          <w:color w:val="000000"/>
          <w:sz w:val="10"/>
        </w:rPr>
        <w:t>(1)</w:t>
      </w:r>
      <w:r>
        <w:rPr>
          <w:rFonts w:ascii="Allstate Sans;sans-serif" w:hAnsi="Allstate Sans;sans-serif"/>
          <w:b w:val="false"/>
          <w:color w:val="000000"/>
          <w:sz w:val="16"/>
        </w:rPr>
        <w:t>In the second quarter and first six</w:t>
      </w:r>
      <w:r>
        <w:rPr>
          <w:color w:val="000000"/>
        </w:rPr>
        <w:t xml:space="preserve"> </w:t>
      </w:r>
      <w:r>
        <w:rPr>
          <w:rFonts w:ascii="Allstate Sans;sans-serif" w:hAnsi="Allstate Sans;sans-serif"/>
          <w:b w:val="false"/>
          <w:color w:val="000000"/>
          <w:sz w:val="16"/>
        </w:rPr>
        <w:t>months</w:t>
      </w:r>
      <w:r>
        <w:rPr>
          <w:color w:val="000000"/>
        </w:rPr>
        <w:t xml:space="preserve"> </w:t>
      </w:r>
      <w:r>
        <w:rPr>
          <w:rFonts w:ascii="Allstate Sans;sans-serif" w:hAnsi="Allstate Sans;sans-serif"/>
          <w:b w:val="false"/>
          <w:color w:val="000000"/>
          <w:sz w:val="16"/>
        </w:rPr>
        <w:t>of 2026, 86% and 87%</w:t>
      </w:r>
      <w:r>
        <w:rPr>
          <w:color w:val="000000"/>
        </w:rPr>
        <w:t xml:space="preserve"> </w:t>
      </w:r>
      <w:r>
        <w:rPr>
          <w:rFonts w:ascii="Allstate Sans;sans-serif" w:hAnsi="Allstate Sans;sans-serif"/>
          <w:b w:val="false"/>
          <w:color w:val="000000"/>
          <w:sz w:val="16"/>
        </w:rPr>
        <w:t>of payments related to settlement agreements, respectively, compared to 93% and 91% in the second quarter and first six</w:t>
      </w:r>
      <w:r>
        <w:rPr>
          <w:color w:val="000000"/>
        </w:rPr>
        <w:t xml:space="preserve"> </w:t>
      </w:r>
      <w:r>
        <w:rPr>
          <w:rFonts w:ascii="Allstate Sans;sans-serif" w:hAnsi="Allstate Sans;sans-serif"/>
          <w:b w:val="false"/>
          <w:color w:val="000000"/>
          <w:sz w:val="16"/>
        </w:rPr>
        <w:t>months</w:t>
      </w:r>
      <w:r>
        <w:rPr>
          <w:color w:val="000000"/>
        </w:rPr>
        <w:t xml:space="preserve"> </w:t>
      </w:r>
      <w:r>
        <w:rPr>
          <w:rFonts w:ascii="Allstate Sans;sans-serif" w:hAnsi="Allstate Sans;sans-serif"/>
          <w:b w:val="false"/>
          <w:color w:val="000000"/>
          <w:sz w:val="16"/>
        </w:rPr>
        <w:t>of 2025, respectively.</w:t>
      </w:r>
    </w:p>
    <w:p>
      <w:pPr>
        <w:pStyle w:val="TextBody"/>
        <w:bidi w:val="0"/>
        <w:spacing w:lineRule="auto" w:line="288" w:before="0" w:after="120"/>
        <w:ind w:left="0" w:right="0" w:hanging="180"/>
        <w:jc w:val="left"/>
        <w:rPr/>
      </w:pPr>
      <w:r>
        <w:rPr>
          <w:rFonts w:ascii="Allstate Sans;sans-serif" w:hAnsi="Allstate Sans;sans-serif"/>
          <w:b w:val="false"/>
          <w:color w:val="000000"/>
          <w:sz w:val="10"/>
        </w:rPr>
        <w:t>(2)</w:t>
      </w:r>
      <w:r>
        <w:rPr>
          <w:rFonts w:ascii="Allstate Sans;sans-serif" w:hAnsi="Allstate Sans;sans-serif"/>
          <w:b w:val="false"/>
          <w:color w:val="000000"/>
          <w:sz w:val="16"/>
        </w:rPr>
        <w:t>In the second quarter and first six</w:t>
      </w:r>
      <w:r>
        <w:rPr>
          <w:color w:val="000000"/>
        </w:rPr>
        <w:t xml:space="preserve"> </w:t>
      </w:r>
      <w:r>
        <w:rPr>
          <w:rFonts w:ascii="Allstate Sans;sans-serif" w:hAnsi="Allstate Sans;sans-serif"/>
          <w:b w:val="false"/>
          <w:color w:val="000000"/>
          <w:sz w:val="16"/>
        </w:rPr>
        <w:t>months</w:t>
      </w:r>
      <w:r>
        <w:rPr>
          <w:color w:val="000000"/>
        </w:rPr>
        <w:t xml:space="preserve"> </w:t>
      </w:r>
      <w:r>
        <w:rPr>
          <w:rFonts w:ascii="Allstate Sans;sans-serif" w:hAnsi="Allstate Sans;sans-serif"/>
          <w:b w:val="false"/>
          <w:color w:val="000000"/>
          <w:sz w:val="16"/>
        </w:rPr>
        <w:t>of 2026, 94% of payments related to settlement agreements compared to 94% and 93% in the second quarter and first six</w:t>
      </w:r>
      <w:r>
        <w:rPr>
          <w:color w:val="000000"/>
        </w:rPr>
        <w:t xml:space="preserve"> </w:t>
      </w:r>
      <w:r>
        <w:rPr>
          <w:rFonts w:ascii="Allstate Sans;sans-serif" w:hAnsi="Allstate Sans;sans-serif"/>
          <w:b w:val="false"/>
          <w:color w:val="000000"/>
          <w:sz w:val="16"/>
        </w:rPr>
        <w:t>months</w:t>
      </w:r>
      <w:r>
        <w:rPr>
          <w:color w:val="000000"/>
        </w:rPr>
        <w:t xml:space="preserve"> </w:t>
      </w:r>
      <w:r>
        <w:rPr>
          <w:rFonts w:ascii="Allstate Sans;sans-serif" w:hAnsi="Allstate Sans;sans-serif"/>
          <w:b w:val="false"/>
          <w:color w:val="000000"/>
          <w:sz w:val="16"/>
        </w:rPr>
        <w:t>of 2025, respectively.</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 xml:space="preserve">Total net reserves as of June 30, 2026, included $653 million or 47% of estimated IBNR reserves compared to $761 million or 53% of estimated IBNR reserves as of December 31, 2025. </w:t>
      </w:r>
    </w:p>
    <w:p>
      <w:pPr>
        <w:pStyle w:val="TextBody"/>
        <w:bidi w:val="0"/>
        <w:spacing w:lineRule="auto" w:line="288" w:before="0" w:after="120"/>
        <w:ind w:left="0" w:right="0" w:firstLine="360"/>
        <w:jc w:val="left"/>
        <w:rPr/>
      </w:pPr>
      <w:r>
        <w:rPr>
          <w:rFonts w:ascii="Allstate Sans;sans-serif" w:hAnsi="Allstate Sans;sans-serif"/>
          <w:b w:val="false"/>
          <w:color w:val="000000"/>
          <w:sz w:val="18"/>
        </w:rPr>
        <w:t>Total gross payments were $36 million and $63 million for the second quarter and first six months</w:t>
      </w:r>
      <w:r>
        <w:rPr>
          <w:color w:val="000000"/>
        </w:rPr>
        <w:t xml:space="preserve"> </w:t>
      </w:r>
      <w:r>
        <w:rPr>
          <w:rFonts w:ascii="Allstate Sans;sans-serif" w:hAnsi="Allstate Sans;sans-serif"/>
          <w:b w:val="false"/>
          <w:color w:val="000000"/>
          <w:sz w:val="18"/>
        </w:rPr>
        <w:t>of 2026, respectively, compared to $45 million and $78 million for the second quarter and first six months of 2025, respectively. Payments primarily related to settlement agreements reached with several insureds on large claims, mainly asbestos-related losses, where the scope of coverages has been agreed upon. The claims associated with these settlement agreements are expected to be substantially paid out over the next several years as qualified claims are submitted by these insureds.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33350"/>
                <wp:effectExtent l="0" t="0" r="0" b="0"/>
                <wp:wrapNone/>
                <wp:docPr id="66" name="Frame59"/>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ind w:left="0" w:right="0" w:firstLine="360"/>
                              <w:jc w:val="right"/>
                              <w:rPr/>
                            </w:pPr>
                            <w:r>
                              <w:rPr>
                                <w:rFonts w:ascii="Allstate Sans;sans-serif" w:hAnsi="Allstate Sans;sans-serif"/>
                                <w:b w:val="false"/>
                                <w:color w:val="000000"/>
                                <w:sz w:val="18"/>
                              </w:rPr>
                              <w:t xml:space="preserve">Second Quarter 2026 Form 10-Q </w:t>
                            </w:r>
                            <w:r>
                              <w:rPr>
                                <w:rFonts w:ascii="Allstate Sans;sans-serif" w:hAnsi="Allstate Sans;sans-serif"/>
                                <w:b w:val="false"/>
                                <w:color w:val="0033A0"/>
                                <w:sz w:val="18"/>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right"/>
                        <w:rPr/>
                      </w:pPr>
                      <w:r>
                        <w:rPr>
                          <w:rFonts w:ascii="Allstate Sans;sans-serif" w:hAnsi="Allstate Sans;sans-serif"/>
                          <w:b w:val="false"/>
                          <w:color w:val="000000"/>
                          <w:sz w:val="18"/>
                        </w:rPr>
                        <w:t xml:space="preserve">Second Quarter 2026 Form 10-Q </w:t>
                      </w:r>
                      <w:r>
                        <w:rPr>
                          <w:rFonts w:ascii="Allstate Sans;sans-serif" w:hAnsi="Allstate Sans;sans-serif"/>
                          <w:b w:val="false"/>
                          <w:color w:val="0033A0"/>
                          <w:sz w:val="18"/>
                        </w:rPr>
                        <w:t>57</w:t>
                      </w:r>
                    </w:p>
                  </w:txbxContent>
                </v:textbox>
                <w10:wrap type="none"/>
              </v:rect>
            </w:pict>
          </mc:Fallback>
        </mc:AlternateContent>
      </w:r>
    </w:p>
    <w:p>
      <w:pPr>
        <w:pStyle w:val="TextBody"/>
        <w:bidi w:val="0"/>
        <w:spacing w:lineRule="auto" w:line="288" w:before="0" w:after="120"/>
        <w:jc w:val="left"/>
        <w:rPr/>
      </w:pPr>
      <w:r>
        <w:rPr>
          <w:rFonts w:ascii="Allstate Sans;sans-serif" w:hAnsi="Allstate Sans;sans-serif"/>
          <w:b w:val="false"/>
          <w:color w:val="0033A0"/>
          <w:sz w:val="18"/>
        </w:rPr>
        <w:t>Segment Results</w:t>
      </w:r>
      <w:r>
        <w:rPr>
          <w:color w:val="005BA5"/>
        </w:rPr>
        <w:t xml:space="preserve"> </w:t>
      </w:r>
      <w:r>
        <w:rPr>
          <w:rFonts w:ascii="Allstate Sans;sans-serif" w:hAnsi="Allstate Sans;sans-serif"/>
          <w:b w:val="false"/>
          <w:color w:val="000000"/>
          <w:sz w:val="18"/>
        </w:rPr>
        <w:t>Protection Services</w:t>
      </w:r>
    </w:p>
    <w:p>
      <w:pPr>
        <w:pStyle w:val="TextBody"/>
        <w:bidi w:val="0"/>
        <w:spacing w:lineRule="auto" w:line="288" w:before="0" w:after="60"/>
        <w:jc w:val="left"/>
        <w:rPr>
          <w:rFonts w:ascii="Allstate Sans;sans-serif" w:hAnsi="Allstate Sans;sans-serif"/>
          <w:b/>
          <w:color w:val="0033A0"/>
          <w:sz w:val="22"/>
        </w:rPr>
      </w:pPr>
      <w:r>
        <w:rPr>
          <w:rFonts w:ascii="Allstate Sans;sans-serif" w:hAnsi="Allstate Sans;sans-serif"/>
          <w:b/>
          <w:color w:val="0033A0"/>
          <w:sz w:val="22"/>
        </w:rPr>
        <w:t>Protection Services Segment</w:t>
      </w:r>
    </w:p>
    <w:p>
      <w:pPr>
        <w:pStyle w:val="TextBody"/>
        <w:bidi w:val="0"/>
        <w:spacing w:before="0" w:after="0"/>
        <w:ind w:left="0" w:right="0" w:firstLine="360"/>
        <w:jc w:val="center"/>
        <w:rPr/>
      </w:pPr>
      <w:r>
        <w:rPr/>
        <w:drawing>
          <wp:inline distT="0" distB="0" distL="0" distR="0">
            <wp:extent cx="6286500" cy="409575"/>
            <wp:effectExtent l="0" t="0" r="0" b="0"/>
            <wp:docPr id="67"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8" descr=""/>
                    <pic:cNvPicPr>
                      <a:picLocks noChangeAspect="1" noChangeArrowheads="1"/>
                    </pic:cNvPicPr>
                  </pic:nvPicPr>
                  <pic:blipFill>
                    <a:blip r:embed="rId9"/>
                    <a:stretch>
                      <a:fillRect/>
                    </a:stretch>
                  </pic:blipFill>
                  <pic:spPr bwMode="auto">
                    <a:xfrm>
                      <a:off x="0" y="0"/>
                      <a:ext cx="6286500" cy="409575"/>
                    </a:xfrm>
                    <a:prstGeom prst="rect">
                      <a:avLst/>
                    </a:prstGeom>
                  </pic:spPr>
                </pic:pic>
              </a:graphicData>
            </a:graphic>
          </wp:inline>
        </w:drawing>
      </w:r>
      <w:bookmarkStart w:id="7" w:name="i-8"/>
      <w:bookmarkEnd w:id="7"/>
    </w:p>
    <w:tbl>
      <w:tblPr>
        <w:tblW w:w="10205" w:type="dxa"/>
        <w:jc w:val="left"/>
        <w:tblInd w:w="0" w:type="dxa"/>
        <w:tblLayout w:type="fixed"/>
        <w:tblCellMar>
          <w:top w:w="28" w:type="dxa"/>
          <w:left w:w="28" w:type="dxa"/>
          <w:bottom w:w="28" w:type="dxa"/>
          <w:right w:w="28" w:type="dxa"/>
        </w:tblCellMar>
      </w:tblPr>
      <w:tblGrid>
        <w:gridCol w:w="1497"/>
        <w:gridCol w:w="1236"/>
        <w:gridCol w:w="1220"/>
        <w:gridCol w:w="109"/>
        <w:gridCol w:w="109"/>
        <w:gridCol w:w="109"/>
        <w:gridCol w:w="310"/>
        <w:gridCol w:w="722"/>
        <w:gridCol w:w="149"/>
        <w:gridCol w:w="149"/>
        <w:gridCol w:w="149"/>
        <w:gridCol w:w="149"/>
        <w:gridCol w:w="310"/>
        <w:gridCol w:w="722"/>
        <w:gridCol w:w="149"/>
        <w:gridCol w:w="109"/>
        <w:gridCol w:w="109"/>
        <w:gridCol w:w="109"/>
        <w:gridCol w:w="256"/>
        <w:gridCol w:w="805"/>
        <w:gridCol w:w="121"/>
        <w:gridCol w:w="121"/>
        <w:gridCol w:w="121"/>
        <w:gridCol w:w="121"/>
        <w:gridCol w:w="256"/>
        <w:gridCol w:w="805"/>
        <w:gridCol w:w="183"/>
      </w:tblGrid>
      <w:tr>
        <w:trPr/>
        <w:tc>
          <w:tcPr>
            <w:tcW w:w="1497"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10205" w:type="dxa"/>
            <w:gridSpan w:val="27"/>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left"/>
              <w:rPr>
                <w:rFonts w:ascii="Allstate Sans;sans-serif" w:hAnsi="Allstate Sans;sans-serif"/>
                <w:b/>
                <w:color w:val="000000"/>
                <w:sz w:val="18"/>
              </w:rPr>
            </w:pPr>
            <w:r>
              <w:rPr>
                <w:rFonts w:ascii="Allstate Sans;sans-serif" w:hAnsi="Allstate Sans;sans-serif"/>
                <w:b/>
                <w:color w:val="000000"/>
                <w:sz w:val="18"/>
              </w:rPr>
              <w:t>Summarized financial information</w:t>
            </w:r>
          </w:p>
        </w:tc>
      </w:tr>
      <w:tr>
        <w:trPr/>
        <w:tc>
          <w:tcPr>
            <w:tcW w:w="3953"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 in 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Six months ended June 30,</w:t>
            </w:r>
          </w:p>
        </w:tc>
      </w:tr>
      <w:tr>
        <w:trPr/>
        <w:tc>
          <w:tcPr>
            <w:tcW w:w="3953"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2026</w:t>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2026</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2025</w:t>
            </w:r>
          </w:p>
        </w:tc>
      </w:tr>
      <w:tr>
        <w:trPr/>
        <w:tc>
          <w:tcPr>
            <w:tcW w:w="3953"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Premiums written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722"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769</w:t>
            </w:r>
            <w:r>
              <w:rPr>
                <w:color w:val="000000"/>
              </w:rPr>
              <w:t> </w:t>
            </w:r>
          </w:p>
        </w:tc>
        <w:tc>
          <w:tcPr>
            <w:tcW w:w="149"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722"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733</w:t>
            </w:r>
            <w:r>
              <w:rPr>
                <w:color w:val="000000"/>
              </w:rPr>
              <w:t> </w:t>
            </w:r>
          </w:p>
        </w:tc>
        <w:tc>
          <w:tcPr>
            <w:tcW w:w="149"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805"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1,496</w:t>
            </w:r>
            <w:r>
              <w:rPr>
                <w:color w:val="000000"/>
              </w:rPr>
              <w:t> </w:t>
            </w:r>
          </w:p>
        </w:tc>
        <w:tc>
          <w:tcPr>
            <w:tcW w:w="121"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805"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1,390</w:t>
            </w:r>
            <w:r>
              <w:rPr>
                <w:color w:val="000000"/>
              </w:rPr>
              <w:t> </w:t>
            </w:r>
          </w:p>
        </w:tc>
        <w:tc>
          <w:tcPr>
            <w:tcW w:w="183"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3" w:type="dxa"/>
            <w:gridSpan w:val="3"/>
            <w:tcBorders>
              <w:top w:val="single" w:sz="4"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4"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4"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4"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4"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3"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3"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 xml:space="preserve">Premiums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722"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752 </w:t>
            </w:r>
          </w:p>
        </w:tc>
        <w:tc>
          <w:tcPr>
            <w:tcW w:w="14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722"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695 </w:t>
            </w:r>
          </w:p>
        </w:tc>
        <w:tc>
          <w:tcPr>
            <w:tcW w:w="14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805"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1,503 </w:t>
            </w:r>
          </w:p>
        </w:tc>
        <w:tc>
          <w:tcPr>
            <w:tcW w:w="12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805"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1,366 </w:t>
            </w:r>
          </w:p>
        </w:tc>
        <w:tc>
          <w:tcPr>
            <w:tcW w:w="18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3"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Other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123 </w:t>
            </w:r>
          </w:p>
        </w:tc>
        <w:tc>
          <w:tcPr>
            <w:tcW w:w="14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111 </w:t>
            </w:r>
          </w:p>
        </w:tc>
        <w:tc>
          <w:tcPr>
            <w:tcW w:w="14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240 </w:t>
            </w:r>
          </w:p>
        </w:tc>
        <w:tc>
          <w:tcPr>
            <w:tcW w:w="12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239 </w:t>
            </w:r>
          </w:p>
        </w:tc>
        <w:tc>
          <w:tcPr>
            <w:tcW w:w="18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3"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pPr>
            <w:r>
              <w:rPr>
                <w:rFonts w:ascii="Helvetica_Neue_LT_W1G_55_Roman;sans-serif" w:hAnsi="Helvetica_Neue_LT_W1G_55_Roman;sans-serif"/>
                <w:b w:val="false"/>
                <w:color w:val="000000"/>
                <w:sz w:val="18"/>
              </w:rPr>
              <w:t xml:space="preserve">Intersegment insurance premiums and service fees </w:t>
            </w:r>
            <w:r>
              <w:rPr>
                <w:rFonts w:ascii="Helvetica_Neue_LT_W1G_55_Roman;sans-serif" w:hAnsi="Helvetica_Neue_LT_W1G_55_Roman;sans-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35 </w:t>
            </w:r>
          </w:p>
        </w:tc>
        <w:tc>
          <w:tcPr>
            <w:tcW w:w="14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36 </w:t>
            </w:r>
          </w:p>
        </w:tc>
        <w:tc>
          <w:tcPr>
            <w:tcW w:w="14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66 </w:t>
            </w:r>
          </w:p>
        </w:tc>
        <w:tc>
          <w:tcPr>
            <w:tcW w:w="12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73 </w:t>
            </w:r>
          </w:p>
        </w:tc>
        <w:tc>
          <w:tcPr>
            <w:tcW w:w="18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3"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Net investment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25 </w:t>
            </w:r>
          </w:p>
        </w:tc>
        <w:tc>
          <w:tcPr>
            <w:tcW w:w="14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25 </w:t>
            </w:r>
          </w:p>
        </w:tc>
        <w:tc>
          <w:tcPr>
            <w:tcW w:w="14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48 </w:t>
            </w:r>
          </w:p>
        </w:tc>
        <w:tc>
          <w:tcPr>
            <w:tcW w:w="12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49 </w:t>
            </w:r>
          </w:p>
        </w:tc>
        <w:tc>
          <w:tcPr>
            <w:tcW w:w="18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3"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935</w:t>
            </w:r>
            <w:r>
              <w:rPr>
                <w:color w:val="000000"/>
              </w:rPr>
              <w:t> </w:t>
            </w:r>
          </w:p>
        </w:tc>
        <w:tc>
          <w:tcPr>
            <w:tcW w:w="14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867</w:t>
            </w:r>
            <w:r>
              <w:rPr>
                <w:color w:val="000000"/>
              </w:rPr>
              <w:t> </w:t>
            </w:r>
          </w:p>
        </w:tc>
        <w:tc>
          <w:tcPr>
            <w:tcW w:w="14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1,857</w:t>
            </w:r>
            <w:r>
              <w:rPr>
                <w:color w:val="000000"/>
              </w:rPr>
              <w:t> </w:t>
            </w:r>
          </w:p>
        </w:tc>
        <w:tc>
          <w:tcPr>
            <w:tcW w:w="12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1,727</w:t>
            </w:r>
            <w:r>
              <w:rPr>
                <w:color w:val="000000"/>
              </w:rPr>
              <w:t> </w:t>
            </w:r>
          </w:p>
        </w:tc>
        <w:tc>
          <w:tcPr>
            <w:tcW w:w="18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3"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3"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Costs and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3"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Claims and claims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(198)</w:t>
            </w:r>
          </w:p>
        </w:tc>
        <w:tc>
          <w:tcPr>
            <w:tcW w:w="14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(170)</w:t>
            </w:r>
          </w:p>
        </w:tc>
        <w:tc>
          <w:tcPr>
            <w:tcW w:w="14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(397)</w:t>
            </w:r>
          </w:p>
        </w:tc>
        <w:tc>
          <w:tcPr>
            <w:tcW w:w="12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(331)</w:t>
            </w:r>
          </w:p>
        </w:tc>
        <w:tc>
          <w:tcPr>
            <w:tcW w:w="18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3"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Amortization of DAC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(356)</w:t>
            </w:r>
          </w:p>
        </w:tc>
        <w:tc>
          <w:tcPr>
            <w:tcW w:w="14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(328)</w:t>
            </w:r>
          </w:p>
        </w:tc>
        <w:tc>
          <w:tcPr>
            <w:tcW w:w="14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(704)</w:t>
            </w:r>
          </w:p>
        </w:tc>
        <w:tc>
          <w:tcPr>
            <w:tcW w:w="12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(646)</w:t>
            </w:r>
          </w:p>
        </w:tc>
        <w:tc>
          <w:tcPr>
            <w:tcW w:w="18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3"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Operating costs and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(310)</w:t>
            </w:r>
          </w:p>
        </w:tc>
        <w:tc>
          <w:tcPr>
            <w:tcW w:w="14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(290)</w:t>
            </w:r>
          </w:p>
        </w:tc>
        <w:tc>
          <w:tcPr>
            <w:tcW w:w="14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(619)</w:t>
            </w:r>
          </w:p>
        </w:tc>
        <w:tc>
          <w:tcPr>
            <w:tcW w:w="12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(599)</w:t>
            </w:r>
          </w:p>
        </w:tc>
        <w:tc>
          <w:tcPr>
            <w:tcW w:w="18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3"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 xml:space="preserve">Restructuring and related charges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w:t>
            </w:r>
          </w:p>
        </w:tc>
        <w:tc>
          <w:tcPr>
            <w:tcW w:w="14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w:t>
            </w:r>
          </w:p>
        </w:tc>
        <w:tc>
          <w:tcPr>
            <w:tcW w:w="12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w:t>
            </w:r>
          </w:p>
        </w:tc>
        <w:tc>
          <w:tcPr>
            <w:tcW w:w="18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3"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3"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Income tax expense on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(19)</w:t>
            </w:r>
          </w:p>
        </w:tc>
        <w:tc>
          <w:tcPr>
            <w:tcW w:w="14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(18)</w:t>
            </w:r>
          </w:p>
        </w:tc>
        <w:tc>
          <w:tcPr>
            <w:tcW w:w="14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(34)</w:t>
            </w:r>
          </w:p>
        </w:tc>
        <w:tc>
          <w:tcPr>
            <w:tcW w:w="12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(35)</w:t>
            </w:r>
          </w:p>
        </w:tc>
        <w:tc>
          <w:tcPr>
            <w:tcW w:w="18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3"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3"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Less: 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(1)</w:t>
            </w:r>
          </w:p>
        </w:tc>
        <w:tc>
          <w:tcPr>
            <w:tcW w:w="14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(1)</w:t>
            </w:r>
          </w:p>
        </w:tc>
        <w:tc>
          <w:tcPr>
            <w:tcW w:w="12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3"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3"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Adjusted net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722"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53</w:t>
            </w:r>
            <w:r>
              <w:rPr>
                <w:color w:val="000000"/>
              </w:rPr>
              <w:t> </w:t>
            </w:r>
          </w:p>
        </w:tc>
        <w:tc>
          <w:tcPr>
            <w:tcW w:w="14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722"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60</w:t>
            </w:r>
            <w:r>
              <w:rPr>
                <w:color w:val="000000"/>
              </w:rPr>
              <w:t> </w:t>
            </w:r>
          </w:p>
        </w:tc>
        <w:tc>
          <w:tcPr>
            <w:tcW w:w="14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805"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100</w:t>
            </w:r>
            <w:r>
              <w:rPr>
                <w:color w:val="000000"/>
              </w:rPr>
              <w:t> </w:t>
            </w:r>
          </w:p>
        </w:tc>
        <w:tc>
          <w:tcPr>
            <w:tcW w:w="12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805"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115</w:t>
            </w:r>
            <w:r>
              <w:rPr>
                <w:color w:val="000000"/>
              </w:rPr>
              <w:t> </w:t>
            </w:r>
          </w:p>
        </w:tc>
        <w:tc>
          <w:tcPr>
            <w:tcW w:w="18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3"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3"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Protection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722"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42 </w:t>
            </w:r>
          </w:p>
        </w:tc>
        <w:tc>
          <w:tcPr>
            <w:tcW w:w="14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722"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51 </w:t>
            </w:r>
          </w:p>
        </w:tc>
        <w:tc>
          <w:tcPr>
            <w:tcW w:w="14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805"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83 </w:t>
            </w:r>
          </w:p>
        </w:tc>
        <w:tc>
          <w:tcPr>
            <w:tcW w:w="12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805"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96 </w:t>
            </w:r>
          </w:p>
        </w:tc>
        <w:tc>
          <w:tcPr>
            <w:tcW w:w="18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3"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Roadside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13 </w:t>
            </w:r>
          </w:p>
        </w:tc>
        <w:tc>
          <w:tcPr>
            <w:tcW w:w="14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11 </w:t>
            </w:r>
          </w:p>
        </w:tc>
        <w:tc>
          <w:tcPr>
            <w:tcW w:w="14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25 </w:t>
            </w:r>
          </w:p>
        </w:tc>
        <w:tc>
          <w:tcPr>
            <w:tcW w:w="12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22 </w:t>
            </w:r>
          </w:p>
        </w:tc>
        <w:tc>
          <w:tcPr>
            <w:tcW w:w="18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3"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Dealer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3 </w:t>
            </w:r>
          </w:p>
        </w:tc>
        <w:tc>
          <w:tcPr>
            <w:tcW w:w="14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4 </w:t>
            </w:r>
          </w:p>
        </w:tc>
        <w:tc>
          <w:tcPr>
            <w:tcW w:w="14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8 </w:t>
            </w:r>
          </w:p>
        </w:tc>
        <w:tc>
          <w:tcPr>
            <w:tcW w:w="12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8 </w:t>
            </w:r>
          </w:p>
        </w:tc>
        <w:tc>
          <w:tcPr>
            <w:tcW w:w="18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3"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Identity Protection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2 </w:t>
            </w:r>
          </w:p>
        </w:tc>
        <w:tc>
          <w:tcPr>
            <w:tcW w:w="14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2 </w:t>
            </w:r>
          </w:p>
        </w:tc>
        <w:tc>
          <w:tcPr>
            <w:tcW w:w="14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3 </w:t>
            </w:r>
          </w:p>
        </w:tc>
        <w:tc>
          <w:tcPr>
            <w:tcW w:w="12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3 </w:t>
            </w:r>
          </w:p>
        </w:tc>
        <w:tc>
          <w:tcPr>
            <w:tcW w:w="18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3"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Arity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w:t>
            </w:r>
          </w:p>
        </w:tc>
        <w:tc>
          <w:tcPr>
            <w:tcW w:w="14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w:t>
            </w:r>
          </w:p>
        </w:tc>
        <w:tc>
          <w:tcPr>
            <w:tcW w:w="14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(19)</w:t>
            </w:r>
          </w:p>
        </w:tc>
        <w:tc>
          <w:tcPr>
            <w:tcW w:w="12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(14)</w:t>
            </w:r>
          </w:p>
        </w:tc>
        <w:tc>
          <w:tcPr>
            <w:tcW w:w="18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3"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Adjusted net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722"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53</w:t>
            </w:r>
            <w:r>
              <w:rPr>
                <w:color w:val="000000"/>
              </w:rPr>
              <w:t> </w:t>
            </w:r>
          </w:p>
        </w:tc>
        <w:tc>
          <w:tcPr>
            <w:tcW w:w="14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722"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60</w:t>
            </w:r>
            <w:r>
              <w:rPr>
                <w:color w:val="000000"/>
              </w:rPr>
              <w:t> </w:t>
            </w:r>
          </w:p>
        </w:tc>
        <w:tc>
          <w:tcPr>
            <w:tcW w:w="14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805"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100</w:t>
            </w:r>
            <w:r>
              <w:rPr>
                <w:color w:val="000000"/>
              </w:rPr>
              <w:t> </w:t>
            </w:r>
          </w:p>
        </w:tc>
        <w:tc>
          <w:tcPr>
            <w:tcW w:w="12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805"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115</w:t>
            </w:r>
            <w:r>
              <w:rPr>
                <w:color w:val="000000"/>
              </w:rPr>
              <w:t> </w:t>
            </w:r>
          </w:p>
        </w:tc>
        <w:tc>
          <w:tcPr>
            <w:tcW w:w="18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3"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3"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Policies in force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3"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Protection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168,703 </w:t>
            </w:r>
          </w:p>
        </w:tc>
        <w:tc>
          <w:tcPr>
            <w:tcW w:w="12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162,315 </w:t>
            </w:r>
          </w:p>
        </w:tc>
        <w:tc>
          <w:tcPr>
            <w:tcW w:w="18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3"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Roadside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1,520 </w:t>
            </w:r>
          </w:p>
        </w:tc>
        <w:tc>
          <w:tcPr>
            <w:tcW w:w="12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988 </w:t>
            </w:r>
          </w:p>
        </w:tc>
        <w:tc>
          <w:tcPr>
            <w:tcW w:w="18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3"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Dealer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3,601 </w:t>
            </w:r>
          </w:p>
        </w:tc>
        <w:tc>
          <w:tcPr>
            <w:tcW w:w="12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3,697 </w:t>
            </w:r>
          </w:p>
        </w:tc>
        <w:tc>
          <w:tcPr>
            <w:tcW w:w="18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3"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Identity Protection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2,719 </w:t>
            </w:r>
          </w:p>
        </w:tc>
        <w:tc>
          <w:tcPr>
            <w:tcW w:w="12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2,669 </w:t>
            </w:r>
          </w:p>
        </w:tc>
        <w:tc>
          <w:tcPr>
            <w:tcW w:w="18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3" w:type="dxa"/>
            <w:gridSpan w:val="3"/>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Policies in force as of June 30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4" w:space="0" w:color="B6B6B6"/>
              <w:bottom w:val="single" w:sz="8" w:space="0" w:color="0033A0"/>
            </w:tcBorders>
            <w:tcMar>
              <w:left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4" w:space="0" w:color="B6B6B6"/>
              <w:bottom w:val="single" w:sz="8" w:space="0" w:color="0033A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176,543</w:t>
            </w:r>
            <w:r>
              <w:rPr>
                <w:color w:val="000000"/>
              </w:rPr>
              <w:t> </w:t>
            </w:r>
          </w:p>
        </w:tc>
        <w:tc>
          <w:tcPr>
            <w:tcW w:w="121"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169,669</w:t>
            </w:r>
            <w:r>
              <w:rPr>
                <w:color w:val="000000"/>
              </w:rPr>
              <w:t> </w:t>
            </w:r>
          </w:p>
        </w:tc>
        <w:tc>
          <w:tcPr>
            <w:tcW w:w="183"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180"/>
        <w:jc w:val="left"/>
        <w:rPr/>
      </w:pPr>
      <w:r>
        <w:rPr>
          <w:rFonts w:ascii="Allstate Sans;sans-serif" w:hAnsi="Allstate Sans;sans-serif"/>
          <w:b w:val="false"/>
          <w:color w:val="000000"/>
          <w:sz w:val="10"/>
        </w:rPr>
        <w:t>(1)</w:t>
      </w:r>
      <w:r>
        <w:rPr>
          <w:rFonts w:ascii="Allstate Sans;sans-serif" w:hAnsi="Allstate Sans;sans-serif"/>
          <w:b w:val="false"/>
          <w:color w:val="000000"/>
          <w:sz w:val="16"/>
        </w:rPr>
        <w:t>Primarily related to Arity and Roadside and are eliminated in our condensed consolidated financial statements.</w:t>
      </w:r>
    </w:p>
    <w:p>
      <w:pPr>
        <w:pStyle w:val="TextBody"/>
        <w:bidi w:val="0"/>
        <w:spacing w:lineRule="auto" w:line="288" w:before="0" w:after="120"/>
        <w:ind w:left="0" w:right="0" w:firstLine="360"/>
        <w:jc w:val="left"/>
        <w:rPr/>
      </w:pPr>
      <w:r>
        <w:rPr>
          <w:rFonts w:ascii="Allstate Sans;sans-serif" w:hAnsi="Allstate Sans;sans-serif"/>
          <w:b w:val="false"/>
          <w:i/>
          <w:color w:val="0033A0"/>
          <w:sz w:val="18"/>
        </w:rPr>
        <w:t>Premiums written</w:t>
      </w:r>
      <w:r>
        <w:rPr>
          <w:color w:val="000000"/>
        </w:rPr>
        <w:t xml:space="preserve"> </w:t>
      </w:r>
      <w:r>
        <w:rPr>
          <w:rFonts w:ascii="Allstate Sans;sans-serif" w:hAnsi="Allstate Sans;sans-serif"/>
          <w:b w:val="false"/>
          <w:color w:val="000000"/>
          <w:sz w:val="18"/>
        </w:rPr>
        <w:t>increased 4.9% or $36 million in the second quarter of 2026 and increased 7.6% or $106 million in the first six months of 2026 compared to the same periods of 2025, primarily due to continued growth at Protection Plans.</w:t>
      </w:r>
    </w:p>
    <w:p>
      <w:pPr>
        <w:pStyle w:val="TextBody"/>
        <w:bidi w:val="0"/>
        <w:spacing w:lineRule="auto" w:line="288" w:before="0" w:after="120"/>
        <w:ind w:left="0" w:right="0" w:firstLine="360"/>
        <w:jc w:val="left"/>
        <w:rPr/>
      </w:pPr>
      <w:r>
        <w:rPr>
          <w:rFonts w:ascii="Allstate Sans;sans-serif" w:hAnsi="Allstate Sans;sans-serif"/>
          <w:b w:val="false"/>
          <w:i/>
          <w:color w:val="0033A0"/>
          <w:sz w:val="18"/>
        </w:rPr>
        <w:t xml:space="preserve">Adjusted net income </w:t>
      </w:r>
      <w:r>
        <w:rPr>
          <w:rFonts w:ascii="Allstate Sans;sans-serif" w:hAnsi="Allstate Sans;sans-serif"/>
          <w:b w:val="false"/>
          <w:color w:val="000000"/>
          <w:sz w:val="18"/>
        </w:rPr>
        <w:t>decreased 11.7% or $7 million in the second quarter of 2026 and decreased 13.0% or $15 million in the first six months of 2026 compared to the same periods of 2025, primarily reflecting lower margins on major appliances at Protection Plans.</w:t>
      </w:r>
    </w:p>
    <w:p>
      <w:pPr>
        <w:pStyle w:val="TextBody"/>
        <w:bidi w:val="0"/>
        <w:spacing w:lineRule="auto" w:line="288" w:before="0" w:after="120"/>
        <w:ind w:left="0" w:right="0" w:firstLine="360"/>
        <w:jc w:val="left"/>
        <w:rPr/>
      </w:pPr>
      <w:r>
        <w:rPr>
          <w:rFonts w:ascii="Allstate Sans;sans-serif" w:hAnsi="Allstate Sans;sans-serif"/>
          <w:b w:val="false"/>
          <w:i/>
          <w:color w:val="0033A0"/>
          <w:sz w:val="18"/>
        </w:rPr>
        <w:t>PIF</w:t>
      </w:r>
      <w:r>
        <w:rPr>
          <w:color w:val="000000"/>
        </w:rPr>
        <w:t xml:space="preserve"> </w:t>
      </w:r>
      <w:r>
        <w:rPr>
          <w:rFonts w:ascii="Allstate Sans;sans-serif" w:hAnsi="Allstate Sans;sans-serif"/>
          <w:b w:val="false"/>
          <w:color w:val="000000"/>
          <w:sz w:val="18"/>
        </w:rPr>
        <w:t>increased 4.1% or 7 million as of June 30, 2026 compared to June 30, 2025 due to growth at Protection Plans.</w:t>
      </w:r>
    </w:p>
    <w:p>
      <w:pPr>
        <w:pStyle w:val="TextBody"/>
        <w:bidi w:val="0"/>
        <w:spacing w:lineRule="auto" w:line="288" w:before="0" w:after="120"/>
        <w:ind w:left="0" w:right="0" w:firstLine="360"/>
        <w:jc w:val="left"/>
        <w:rPr/>
      </w:pPr>
      <w:r>
        <w:rPr>
          <w:rFonts w:ascii="Allstate Sans;sans-serif" w:hAnsi="Allstate Sans;sans-serif"/>
          <w:b w:val="false"/>
          <w:i/>
          <w:color w:val="0033A0"/>
          <w:sz w:val="18"/>
        </w:rPr>
        <w:t>Other revenue</w:t>
      </w:r>
      <w:r>
        <w:rPr>
          <w:color w:val="000000"/>
        </w:rPr>
        <w:t xml:space="preserve"> </w:t>
      </w:r>
      <w:r>
        <w:rPr>
          <w:rFonts w:ascii="Allstate Sans;sans-serif" w:hAnsi="Allstate Sans;sans-serif"/>
          <w:b w:val="false"/>
          <w:color w:val="000000"/>
          <w:sz w:val="18"/>
        </w:rPr>
        <w:t>increased 10.8% or $12 million in the second quarter of 2026 compared to the second quarter of 2025, primarily due to higher lead generation revenue at Arity.</w:t>
      </w:r>
    </w:p>
    <w:p>
      <w:pPr>
        <w:pStyle w:val="TextBody"/>
        <w:bidi w:val="0"/>
        <w:spacing w:lineRule="auto" w:line="288" w:before="0" w:after="120"/>
        <w:ind w:left="0" w:right="0" w:firstLine="360"/>
        <w:jc w:val="left"/>
        <w:rPr/>
      </w:pPr>
      <w:r>
        <w:rPr>
          <w:rFonts w:ascii="Allstate Sans;sans-serif" w:hAnsi="Allstate Sans;sans-serif"/>
          <w:b w:val="false"/>
          <w:i/>
          <w:color w:val="0033A0"/>
          <w:sz w:val="18"/>
        </w:rPr>
        <w:t xml:space="preserve">Intersegment premiums and service fees </w:t>
      </w:r>
      <w:r>
        <w:rPr>
          <w:rFonts w:ascii="Allstate Sans;sans-serif" w:hAnsi="Allstate Sans;sans-serif"/>
          <w:b w:val="false"/>
          <w:color w:val="000000"/>
          <w:sz w:val="18"/>
        </w:rPr>
        <w:t xml:space="preserve">decreased 9.6% or $7 million in the first six months of </w:t>
      </w:r>
    </w:p>
    <w:p>
      <w:pPr>
        <w:pStyle w:val="TextBody"/>
        <w:bidi w:val="0"/>
        <w:spacing w:lineRule="auto" w:line="288" w:before="0" w:after="120"/>
        <w:jc w:val="left"/>
        <w:rPr>
          <w:rFonts w:ascii="Allstate Sans;sans-serif" w:hAnsi="Allstate Sans;sans-serif"/>
          <w:b w:val="false"/>
          <w:color w:val="000000"/>
          <w:sz w:val="18"/>
        </w:rPr>
      </w:pPr>
      <w:r>
        <w:rPr>
          <w:rFonts w:ascii="Allstate Sans;sans-serif" w:hAnsi="Allstate Sans;sans-serif"/>
          <w:b w:val="false"/>
          <w:color w:val="000000"/>
          <w:sz w:val="18"/>
        </w:rPr>
        <w:t>2026 compared to the first six months of 2025, primarily driven by Arity and Roadside.</w:t>
      </w:r>
    </w:p>
    <w:p>
      <w:pPr>
        <w:pStyle w:val="TextBody"/>
        <w:bidi w:val="0"/>
        <w:spacing w:lineRule="auto" w:line="288" w:before="0" w:after="120"/>
        <w:ind w:left="0" w:right="0" w:firstLine="360"/>
        <w:jc w:val="left"/>
        <w:rPr/>
      </w:pPr>
      <w:r>
        <w:rPr>
          <w:rFonts w:ascii="Allstate Sans;sans-serif" w:hAnsi="Allstate Sans;sans-serif"/>
          <w:b w:val="false"/>
          <w:i/>
          <w:color w:val="0033A0"/>
          <w:sz w:val="18"/>
        </w:rPr>
        <w:t xml:space="preserve">Claims and claims expense </w:t>
      </w:r>
      <w:r>
        <w:rPr>
          <w:rFonts w:ascii="Allstate Sans;sans-serif" w:hAnsi="Allstate Sans;sans-serif"/>
          <w:b w:val="false"/>
          <w:color w:val="000000"/>
          <w:sz w:val="18"/>
        </w:rPr>
        <w:t>increased 16.5% or $28 million in the second quarter of 2026 and increased 19.9% or $66 million in the first six months of 2026 compared to the same periods of 2025, primarily driven by increased loss costs at Protection Plans.</w:t>
      </w:r>
    </w:p>
    <w:p>
      <w:pPr>
        <w:pStyle w:val="TextBody"/>
        <w:bidi w:val="0"/>
        <w:spacing w:lineRule="auto" w:line="288" w:before="0" w:after="120"/>
        <w:ind w:left="0" w:right="0" w:firstLine="360"/>
        <w:jc w:val="left"/>
        <w:rPr/>
      </w:pPr>
      <w:r>
        <w:rPr>
          <w:rFonts w:ascii="Allstate Sans;sans-serif" w:hAnsi="Allstate Sans;sans-serif"/>
          <w:b w:val="false"/>
          <w:i/>
          <w:color w:val="0033A0"/>
          <w:sz w:val="18"/>
        </w:rPr>
        <w:t>Amortization of DAC</w:t>
      </w:r>
      <w:r>
        <w:rPr>
          <w:color w:val="000000"/>
        </w:rPr>
        <w:t xml:space="preserve"> </w:t>
      </w:r>
      <w:r>
        <w:rPr>
          <w:rFonts w:ascii="Allstate Sans;sans-serif" w:hAnsi="Allstate Sans;sans-serif"/>
          <w:b w:val="false"/>
          <w:color w:val="000000"/>
          <w:sz w:val="18"/>
        </w:rPr>
        <w:t>increased 8.5% or $28 million in the second quarter of 2026 and increased 9.0% or $58 million in the first six months of 2026 compared to the same periods of 2025, driven by growth at Protection Plans.</w:t>
      </w:r>
    </w:p>
    <w:p>
      <w:pPr>
        <w:pStyle w:val="TextBody"/>
        <w:bidi w:val="0"/>
        <w:spacing w:lineRule="auto" w:line="288" w:before="0" w:after="120"/>
        <w:ind w:left="0" w:right="0" w:firstLine="360"/>
        <w:jc w:val="left"/>
        <w:rPr/>
      </w:pPr>
      <w:r>
        <w:rPr>
          <w:rFonts w:ascii="Allstate Sans;sans-serif" w:hAnsi="Allstate Sans;sans-serif"/>
          <w:b w:val="false"/>
          <w:i/>
          <w:color w:val="0033A0"/>
          <w:sz w:val="18"/>
        </w:rPr>
        <w:t xml:space="preserve">Operating costs and expenses </w:t>
      </w:r>
      <w:r>
        <w:rPr>
          <w:rFonts w:ascii="Allstate Sans;sans-serif" w:hAnsi="Allstate Sans;sans-serif"/>
          <w:b w:val="false"/>
          <w:color w:val="000000"/>
          <w:sz w:val="18"/>
        </w:rPr>
        <w:t>increased 6.9% or $20 million in the second quarter of 2026 and increased 3.3% or $20 million in the first six months of 2026 compared to the same periods of 2025, primarily due to expenses related to growth at Protection Plans.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8"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120"/>
                              <w:jc w:val="left"/>
                              <w:rPr/>
                            </w:pPr>
                            <w:r>
                              <w:rPr>
                                <w:rFonts w:ascii="Allstate Sans;sans-serif" w:hAnsi="Allstate Sans;sans-serif"/>
                                <w:b w:val="false"/>
                                <w:color w:val="0033A0"/>
                                <w:sz w:val="18"/>
                              </w:rPr>
                              <w:t>58</w:t>
                            </w:r>
                            <w:r>
                              <w:rPr>
                                <w:color w:val="1666AF"/>
                              </w:rPr>
                              <w:t xml:space="preserve"> </w:t>
                            </w:r>
                            <w:r>
                              <w:rPr>
                                <w:rFonts w:ascii="Allstate Sans;sans-serif" w:hAnsi="Allstate Sans;sans-serif"/>
                                <w:b w:val="false"/>
                                <w:color w:val="000000"/>
                                <w:sz w:val="18"/>
                              </w:rPr>
                              <w:t>www.allstate.com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left"/>
                        <w:rPr/>
                      </w:pPr>
                      <w:r>
                        <w:rPr>
                          <w:rFonts w:ascii="Allstate Sans;sans-serif" w:hAnsi="Allstate Sans;sans-serif"/>
                          <w:b w:val="false"/>
                          <w:color w:val="0033A0"/>
                          <w:sz w:val="18"/>
                        </w:rPr>
                        <w:t>58</w:t>
                      </w:r>
                      <w:r>
                        <w:rPr>
                          <w:color w:val="1666AF"/>
                        </w:rPr>
                        <w:t xml:space="preserve"> </w:t>
                      </w:r>
                      <w:r>
                        <w:rPr>
                          <w:rFonts w:ascii="Allstate Sans;sans-serif" w:hAnsi="Allstate Sans;sans-serif"/>
                          <w:b w:val="false"/>
                          <w:color w:val="000000"/>
                          <w:sz w:val="18"/>
                        </w:rPr>
                        <w:t>www.allstate.com</w:t>
                      </w:r>
                    </w:p>
                  </w:txbxContent>
                </v:textbox>
                <w10:wrap type="none"/>
              </v:rect>
            </w:pict>
          </mc:Fallback>
        </mc:AlternateContent>
      </w:r>
    </w:p>
    <w:p>
      <w:pPr>
        <w:pStyle w:val="TextBody"/>
        <w:bidi w:val="0"/>
        <w:spacing w:lineRule="auto" w:line="288" w:before="0" w:after="120"/>
        <w:ind w:left="0" w:right="0" w:firstLine="360"/>
        <w:jc w:val="right"/>
        <w:rPr>
          <w:rFonts w:ascii="Allstate Sans;sans-serif" w:hAnsi="Allstate Sans;sans-serif"/>
          <w:b w:val="false"/>
          <w:color w:val="0033A0"/>
          <w:sz w:val="18"/>
        </w:rPr>
      </w:pPr>
      <w:r>
        <w:rPr>
          <w:rFonts w:ascii="Allstate Sans;sans-serif" w:hAnsi="Allstate Sans;sans-serif"/>
          <w:b w:val="false"/>
          <w:color w:val="0033A0"/>
          <w:sz w:val="18"/>
        </w:rPr>
        <w:t>Investments</w:t>
      </w:r>
    </w:p>
    <w:p>
      <w:pPr>
        <w:pStyle w:val="TextBody"/>
        <w:bidi w:val="0"/>
        <w:spacing w:lineRule="auto" w:line="288" w:before="0" w:after="120"/>
        <w:jc w:val="left"/>
        <w:rPr>
          <w:rFonts w:ascii="Allstate Sans;sans-serif" w:hAnsi="Allstate Sans;sans-serif"/>
          <w:b/>
          <w:color w:val="0033A0"/>
          <w:sz w:val="22"/>
        </w:rPr>
      </w:pPr>
      <w:r>
        <w:rPr>
          <w:rFonts w:ascii="Allstate Sans;sans-serif" w:hAnsi="Allstate Sans;sans-serif"/>
          <w:b/>
          <w:color w:val="0033A0"/>
          <w:sz w:val="22"/>
        </w:rPr>
        <w:t xml:space="preserve">Investments </w:t>
      </w:r>
    </w:p>
    <w:tbl>
      <w:tblPr>
        <w:tblW w:w="10205" w:type="dxa"/>
        <w:jc w:val="left"/>
        <w:tblInd w:w="0" w:type="dxa"/>
        <w:tblLayout w:type="fixed"/>
        <w:tblCellMar>
          <w:top w:w="28" w:type="dxa"/>
          <w:left w:w="28" w:type="dxa"/>
          <w:bottom w:w="28" w:type="dxa"/>
          <w:right w:w="28" w:type="dxa"/>
        </w:tblCellMar>
      </w:tblPr>
      <w:tblGrid>
        <w:gridCol w:w="1003"/>
        <w:gridCol w:w="671"/>
        <w:gridCol w:w="672"/>
        <w:gridCol w:w="109"/>
        <w:gridCol w:w="109"/>
        <w:gridCol w:w="109"/>
        <w:gridCol w:w="318"/>
        <w:gridCol w:w="1184"/>
        <w:gridCol w:w="404"/>
        <w:gridCol w:w="109"/>
        <w:gridCol w:w="109"/>
        <w:gridCol w:w="109"/>
        <w:gridCol w:w="312"/>
        <w:gridCol w:w="996"/>
        <w:gridCol w:w="394"/>
        <w:gridCol w:w="109"/>
        <w:gridCol w:w="109"/>
        <w:gridCol w:w="109"/>
        <w:gridCol w:w="242"/>
        <w:gridCol w:w="774"/>
        <w:gridCol w:w="307"/>
        <w:gridCol w:w="109"/>
        <w:gridCol w:w="109"/>
        <w:gridCol w:w="109"/>
        <w:gridCol w:w="109"/>
        <w:gridCol w:w="109"/>
        <w:gridCol w:w="226"/>
        <w:gridCol w:w="841"/>
        <w:gridCol w:w="335"/>
      </w:tblGrid>
      <w:tr>
        <w:trPr/>
        <w:tc>
          <w:tcPr>
            <w:tcW w:w="1003"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r>
      <w:tr>
        <w:trPr/>
        <w:tc>
          <w:tcPr>
            <w:tcW w:w="8476" w:type="dxa"/>
            <w:gridSpan w:val="23"/>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left"/>
              <w:rPr/>
            </w:pPr>
            <w:r>
              <w:rPr>
                <w:rFonts w:ascii="Allstate Sans;sans-serif" w:hAnsi="Allstate Sans;sans-serif"/>
                <w:b/>
                <w:color w:val="000000"/>
                <w:sz w:val="18"/>
              </w:rPr>
              <w:t xml:space="preserve">Portfolio composition and strategy </w:t>
            </w:r>
            <w:r>
              <w:rPr>
                <w:rFonts w:ascii="Allstate Sans;sans-serif" w:hAnsi="Allstate Sans;sans-serif"/>
                <w:b/>
                <w:color w:val="000000"/>
                <w:sz w:val="10"/>
              </w:rPr>
              <w:t>(1)</w:t>
            </w:r>
          </w:p>
        </w:tc>
        <w:tc>
          <w:tcPr>
            <w:tcW w:w="1729" w:type="dxa"/>
            <w:gridSpan w:val="6"/>
            <w:tcBorders/>
          </w:tcPr>
          <w:p>
            <w:pPr>
              <w:pStyle w:val="TableContents"/>
              <w:bidi w:val="0"/>
              <w:spacing w:before="0" w:after="283"/>
              <w:jc w:val="left"/>
              <w:rPr>
                <w:sz w:val="4"/>
                <w:szCs w:val="4"/>
              </w:rPr>
            </w:pPr>
            <w:r>
              <w:rPr>
                <w:sz w:val="4"/>
                <w:szCs w:val="4"/>
              </w:rPr>
            </w:r>
          </w:p>
        </w:tc>
      </w:tr>
      <w:tr>
        <w:trPr/>
        <w:tc>
          <w:tcPr>
            <w:tcW w:w="23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3" w:type="dxa"/>
            <w:gridSpan w:val="1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June 30, 2026</w:t>
            </w:r>
          </w:p>
        </w:tc>
        <w:tc>
          <w:tcPr>
            <w:tcW w:w="1729" w:type="dxa"/>
            <w:gridSpan w:val="6"/>
            <w:tcBorders/>
          </w:tcPr>
          <w:p>
            <w:pPr>
              <w:pStyle w:val="TableContents"/>
              <w:bidi w:val="0"/>
              <w:spacing w:before="0" w:after="283"/>
              <w:jc w:val="left"/>
              <w:rPr>
                <w:sz w:val="4"/>
                <w:szCs w:val="4"/>
              </w:rPr>
            </w:pPr>
            <w:r>
              <w:rPr>
                <w:sz w:val="4"/>
                <w:szCs w:val="4"/>
              </w:rPr>
            </w:r>
          </w:p>
        </w:tc>
      </w:tr>
      <w:tr>
        <w:trPr/>
        <w:tc>
          <w:tcPr>
            <w:tcW w:w="23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Property-Liability</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 xml:space="preserve">Protection Services </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 xml:space="preserve">Corporate </w:t>
            </w:r>
          </w:p>
          <w:p>
            <w:pPr>
              <w:pStyle w:val="TableContents"/>
              <w:bidi w:val="0"/>
              <w:spacing w:lineRule="auto" w:line="240" w:before="0" w:after="0"/>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and all 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w:t>
            </w:r>
          </w:p>
        </w:tc>
      </w:tr>
      <w:tr>
        <w:trPr/>
        <w:tc>
          <w:tcPr>
            <w:tcW w:w="2346"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0"/>
              <w:jc w:val="left"/>
              <w:rPr/>
            </w:pPr>
            <w:r>
              <w:rPr>
                <w:rFonts w:ascii="Helvetica_Neue_LT_W1G_55_Roman;sans-serif" w:hAnsi="Helvetica_Neue_LT_W1G_55_Roman;sans-serif"/>
                <w:b w:val="false"/>
                <w:color w:val="000000"/>
                <w:sz w:val="18"/>
              </w:rPr>
              <w:t xml:space="preserve">Fixed income securities </w:t>
            </w:r>
            <w:r>
              <w:rPr>
                <w:rFonts w:ascii="Helvetica_Neue_LT_W1G_55_Roman;sans-serif" w:hAnsi="Helvetica_Neue_LT_W1G_55_Roman;sans-serif"/>
                <w:b w:val="false"/>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1184"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51,476 </w:t>
            </w:r>
          </w:p>
        </w:tc>
        <w:tc>
          <w:tcPr>
            <w:tcW w:w="404"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996"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1,707 </w:t>
            </w:r>
          </w:p>
        </w:tc>
        <w:tc>
          <w:tcPr>
            <w:tcW w:w="394"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774"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7,626 </w:t>
            </w:r>
          </w:p>
        </w:tc>
        <w:tc>
          <w:tcPr>
            <w:tcW w:w="307"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841"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60,809 </w:t>
            </w:r>
          </w:p>
        </w:tc>
        <w:tc>
          <w:tcPr>
            <w:tcW w:w="335"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6"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0"/>
              <w:jc w:val="left"/>
              <w:rPr/>
            </w:pPr>
            <w:r>
              <w:rPr>
                <w:rFonts w:ascii="Helvetica_Neue_LT_W1G_55_Roman;sans-serif" w:hAnsi="Helvetica_Neue_LT_W1G_55_Roman;sans-serif"/>
                <w:b w:val="false"/>
                <w:color w:val="000000"/>
                <w:sz w:val="18"/>
              </w:rPr>
              <w:t xml:space="preserve">Equity securities </w:t>
            </w:r>
            <w:r>
              <w:rPr>
                <w:rFonts w:ascii="Helvetica_Neue_LT_W1G_55_Roman;sans-serif" w:hAnsi="Helvetica_Neue_LT_W1G_55_Roman;sans-serif"/>
                <w:b w:val="false"/>
                <w:color w:val="000000"/>
                <w:sz w:val="12"/>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9,324 </w:t>
            </w:r>
          </w:p>
        </w:tc>
        <w:tc>
          <w:tcPr>
            <w:tcW w:w="404"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500 </w:t>
            </w:r>
          </w:p>
        </w:tc>
        <w:tc>
          <w:tcPr>
            <w:tcW w:w="394"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1,335 </w:t>
            </w:r>
          </w:p>
        </w:tc>
        <w:tc>
          <w:tcPr>
            <w:tcW w:w="307"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11,159 </w:t>
            </w:r>
          </w:p>
        </w:tc>
        <w:tc>
          <w:tcPr>
            <w:tcW w:w="335"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Mortgage loans,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842 </w:t>
            </w:r>
          </w:p>
        </w:tc>
        <w:tc>
          <w:tcPr>
            <w:tcW w:w="40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842 </w:t>
            </w:r>
          </w:p>
        </w:tc>
        <w:tc>
          <w:tcPr>
            <w:tcW w:w="33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 xml:space="preserve">Limited partnership interests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8,961 </w:t>
            </w:r>
          </w:p>
        </w:tc>
        <w:tc>
          <w:tcPr>
            <w:tcW w:w="40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6 </w:t>
            </w:r>
          </w:p>
        </w:tc>
        <w:tc>
          <w:tcPr>
            <w:tcW w:w="30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8,967 </w:t>
            </w:r>
          </w:p>
        </w:tc>
        <w:tc>
          <w:tcPr>
            <w:tcW w:w="33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pPr>
            <w:r>
              <w:rPr>
                <w:rFonts w:ascii="Helvetica_Neue_LT_W1G_55_Roman;sans-serif" w:hAnsi="Helvetica_Neue_LT_W1G_55_Roman;sans-serif"/>
                <w:b w:val="false"/>
                <w:color w:val="000000"/>
                <w:sz w:val="18"/>
              </w:rPr>
              <w:t xml:space="preserve">Short-term investments </w:t>
            </w:r>
            <w:r>
              <w:rPr>
                <w:rFonts w:ascii="Helvetica_Neue_LT_W1G_55_Roman;sans-serif" w:hAnsi="Helvetica_Neue_LT_W1G_55_Roman;sans-serif"/>
                <w:b w:val="false"/>
                <w:color w:val="000000"/>
                <w:sz w:val="12"/>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3,551 </w:t>
            </w:r>
          </w:p>
        </w:tc>
        <w:tc>
          <w:tcPr>
            <w:tcW w:w="40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321 </w:t>
            </w:r>
          </w:p>
        </w:tc>
        <w:tc>
          <w:tcPr>
            <w:tcW w:w="39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1,000 </w:t>
            </w:r>
          </w:p>
        </w:tc>
        <w:tc>
          <w:tcPr>
            <w:tcW w:w="30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4,872 </w:t>
            </w:r>
          </w:p>
        </w:tc>
        <w:tc>
          <w:tcPr>
            <w:tcW w:w="33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Other investments,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1,153 </w:t>
            </w:r>
          </w:p>
        </w:tc>
        <w:tc>
          <w:tcPr>
            <w:tcW w:w="40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1,153 </w:t>
            </w:r>
          </w:p>
        </w:tc>
        <w:tc>
          <w:tcPr>
            <w:tcW w:w="33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1184"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75,307</w:t>
            </w:r>
            <w:r>
              <w:rPr>
                <w:color w:val="000000"/>
              </w:rPr>
              <w:t> </w:t>
            </w:r>
          </w:p>
        </w:tc>
        <w:tc>
          <w:tcPr>
            <w:tcW w:w="40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99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2,528</w:t>
            </w:r>
            <w:r>
              <w:rPr>
                <w:color w:val="000000"/>
              </w:rPr>
              <w:t> </w:t>
            </w:r>
          </w:p>
        </w:tc>
        <w:tc>
          <w:tcPr>
            <w:tcW w:w="39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774"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9,967</w:t>
            </w:r>
            <w:r>
              <w:rPr>
                <w:color w:val="000000"/>
              </w:rPr>
              <w:t> </w:t>
            </w:r>
          </w:p>
        </w:tc>
        <w:tc>
          <w:tcPr>
            <w:tcW w:w="30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84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87,802</w:t>
            </w:r>
            <w:r>
              <w:rPr>
                <w:color w:val="000000"/>
              </w:rPr>
              <w:t> </w:t>
            </w:r>
          </w:p>
        </w:tc>
        <w:tc>
          <w:tcPr>
            <w:tcW w:w="33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6" w:type="dxa"/>
            <w:gridSpan w:val="3"/>
            <w:tcBorders>
              <w:top w:val="single" w:sz="4"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Percent to 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top w:val="single" w:sz="4" w:space="0" w:color="929292"/>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85.8</w:t>
            </w:r>
            <w:r>
              <w:rPr>
                <w:color w:val="000000"/>
              </w:rPr>
              <w:t> </w:t>
            </w:r>
          </w:p>
        </w:tc>
        <w:tc>
          <w:tcPr>
            <w:tcW w:w="404" w:type="dxa"/>
            <w:tcBorders>
              <w:top w:val="single" w:sz="4"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top w:val="single" w:sz="4" w:space="0" w:color="929292"/>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2.9</w:t>
            </w:r>
            <w:r>
              <w:rPr>
                <w:color w:val="000000"/>
              </w:rPr>
              <w:t> </w:t>
            </w:r>
          </w:p>
        </w:tc>
        <w:tc>
          <w:tcPr>
            <w:tcW w:w="394" w:type="dxa"/>
            <w:tcBorders>
              <w:top w:val="single" w:sz="4"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top w:val="single" w:sz="4" w:space="0" w:color="929292"/>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11.3</w:t>
            </w:r>
            <w:r>
              <w:rPr>
                <w:color w:val="000000"/>
              </w:rPr>
              <w:t> </w:t>
            </w:r>
          </w:p>
        </w:tc>
        <w:tc>
          <w:tcPr>
            <w:tcW w:w="307" w:type="dxa"/>
            <w:tcBorders>
              <w:top w:val="single" w:sz="4"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929292"/>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100.0</w:t>
            </w:r>
            <w:r>
              <w:rPr>
                <w:color w:val="000000"/>
              </w:rPr>
              <w:t> </w:t>
            </w:r>
          </w:p>
        </w:tc>
        <w:tc>
          <w:tcPr>
            <w:tcW w:w="335" w:type="dxa"/>
            <w:tcBorders>
              <w:top w:val="single" w:sz="4"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r>
      <w:tr>
        <w:trPr/>
        <w:tc>
          <w:tcPr>
            <w:tcW w:w="2346"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Market-based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1184"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65,617 </w:t>
            </w:r>
          </w:p>
        </w:tc>
        <w:tc>
          <w:tcPr>
            <w:tcW w:w="40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99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2,488 </w:t>
            </w:r>
          </w:p>
        </w:tc>
        <w:tc>
          <w:tcPr>
            <w:tcW w:w="39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774"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9,925 </w:t>
            </w:r>
          </w:p>
        </w:tc>
        <w:tc>
          <w:tcPr>
            <w:tcW w:w="30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84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78,030 </w:t>
            </w:r>
          </w:p>
        </w:tc>
        <w:tc>
          <w:tcPr>
            <w:tcW w:w="33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Performance-based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9,690 </w:t>
            </w:r>
          </w:p>
        </w:tc>
        <w:tc>
          <w:tcPr>
            <w:tcW w:w="40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40 </w:t>
            </w:r>
          </w:p>
        </w:tc>
        <w:tc>
          <w:tcPr>
            <w:tcW w:w="39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42 </w:t>
            </w:r>
          </w:p>
        </w:tc>
        <w:tc>
          <w:tcPr>
            <w:tcW w:w="30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9,772 </w:t>
            </w:r>
          </w:p>
        </w:tc>
        <w:tc>
          <w:tcPr>
            <w:tcW w:w="33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6" w:type="dxa"/>
            <w:gridSpan w:val="3"/>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1184"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75,307</w:t>
            </w:r>
            <w:r>
              <w:rPr>
                <w:color w:val="000000"/>
              </w:rPr>
              <w:t> </w:t>
            </w:r>
          </w:p>
        </w:tc>
        <w:tc>
          <w:tcPr>
            <w:tcW w:w="404"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99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2,528</w:t>
            </w:r>
            <w:r>
              <w:rPr>
                <w:color w:val="000000"/>
              </w:rPr>
              <w:t> </w:t>
            </w:r>
          </w:p>
        </w:tc>
        <w:tc>
          <w:tcPr>
            <w:tcW w:w="394"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774"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9,967</w:t>
            </w:r>
            <w:r>
              <w:rPr>
                <w:color w:val="000000"/>
              </w:rPr>
              <w:t> </w:t>
            </w:r>
          </w:p>
        </w:tc>
        <w:tc>
          <w:tcPr>
            <w:tcW w:w="307"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841"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87,802</w:t>
            </w:r>
            <w:r>
              <w:rPr>
                <w:color w:val="000000"/>
              </w:rPr>
              <w:t> </w:t>
            </w:r>
          </w:p>
        </w:tc>
        <w:tc>
          <w:tcPr>
            <w:tcW w:w="335"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180"/>
        <w:jc w:val="left"/>
        <w:rPr/>
      </w:pPr>
      <w:r>
        <w:rPr>
          <w:rFonts w:ascii="Allstate Sans;sans-serif" w:hAnsi="Allstate Sans;sans-serif"/>
          <w:b w:val="false"/>
          <w:color w:val="000000"/>
          <w:sz w:val="10"/>
        </w:rPr>
        <w:t>(1)</w:t>
      </w:r>
      <w:r>
        <w:rPr>
          <w:color w:val="000000"/>
        </w:rPr>
        <w:t>    </w:t>
      </w:r>
      <w:r>
        <w:rPr>
          <w:rFonts w:ascii="Allstate Sans;sans-serif" w:hAnsi="Allstate Sans;sans-serif"/>
          <w:b w:val="false"/>
          <w:color w:val="000000"/>
          <w:sz w:val="16"/>
        </w:rPr>
        <w:t>Balances reflect the elimination of related-party investments between segments.</w:t>
      </w:r>
    </w:p>
    <w:p>
      <w:pPr>
        <w:pStyle w:val="TextBody"/>
        <w:bidi w:val="0"/>
        <w:spacing w:lineRule="auto" w:line="288" w:before="0" w:after="60"/>
        <w:ind w:left="0" w:right="0" w:hanging="180"/>
        <w:jc w:val="left"/>
        <w:rPr/>
      </w:pPr>
      <w:r>
        <w:rPr>
          <w:rFonts w:ascii="Allstate Sans;sans-serif" w:hAnsi="Allstate Sans;sans-serif"/>
          <w:b w:val="false"/>
          <w:color w:val="000000"/>
          <w:sz w:val="10"/>
        </w:rPr>
        <w:t>(2)</w:t>
      </w:r>
      <w:r>
        <w:rPr>
          <w:color w:val="000000"/>
        </w:rPr>
        <w:t>    </w:t>
      </w:r>
      <w:r>
        <w:rPr>
          <w:rFonts w:ascii="Allstate Sans;sans-serif" w:hAnsi="Allstate Sans;sans-serif"/>
          <w:b w:val="false"/>
          <w:color w:val="000000"/>
          <w:sz w:val="16"/>
        </w:rPr>
        <w:t>Fixed income securities are carried at fair value. Amortized cost, net for these securities was $51.54 billion, $1.71 billion, $7.66 billion and $60.90 billion for Allstate Protection and Run-off Property-Liability, Protection Services, Corporate and all other, and in total, respectively.</w:t>
      </w:r>
    </w:p>
    <w:p>
      <w:pPr>
        <w:pStyle w:val="TextBody"/>
        <w:bidi w:val="0"/>
        <w:spacing w:lineRule="auto" w:line="288" w:before="0" w:after="60"/>
        <w:ind w:left="0" w:right="0" w:hanging="180"/>
        <w:jc w:val="left"/>
        <w:rPr/>
      </w:pPr>
      <w:r>
        <w:rPr>
          <w:rFonts w:ascii="Allstate Sans;sans-serif" w:hAnsi="Allstate Sans;sans-serif"/>
          <w:b w:val="false"/>
          <w:color w:val="000000"/>
          <w:sz w:val="10"/>
        </w:rPr>
        <w:t>(3)</w:t>
      </w:r>
      <w:r>
        <w:rPr>
          <w:color w:val="000000"/>
        </w:rPr>
        <w:t>    </w:t>
      </w:r>
      <w:r>
        <w:rPr>
          <w:rFonts w:ascii="Allstate Sans;sans-serif" w:hAnsi="Allstate Sans;sans-serif"/>
          <w:b w:val="false"/>
          <w:color w:val="000000"/>
          <w:sz w:val="16"/>
        </w:rPr>
        <w:t>Equity securities are carried at fair value. The fair value of equity securities held as of June 30, 2026, was $1.09 billion in excess of cost. Equity securities include $2.88 billion of funds with underlying investments in fixed income and short-term securities as of June 30, 2026.</w:t>
      </w:r>
    </w:p>
    <w:p>
      <w:pPr>
        <w:pStyle w:val="TextBody"/>
        <w:bidi w:val="0"/>
        <w:spacing w:lineRule="auto" w:line="288" w:before="0" w:after="120"/>
        <w:ind w:left="0" w:right="0" w:hanging="180"/>
        <w:jc w:val="left"/>
        <w:rPr/>
      </w:pPr>
      <w:r>
        <w:rPr>
          <w:rFonts w:ascii="Allstate Sans;sans-serif" w:hAnsi="Allstate Sans;sans-serif"/>
          <w:b w:val="false"/>
          <w:color w:val="000000"/>
          <w:sz w:val="10"/>
        </w:rPr>
        <w:t>(4)</w:t>
      </w:r>
      <w:r>
        <w:rPr>
          <w:color w:val="000000"/>
        </w:rPr>
        <w:t>    </w:t>
      </w:r>
      <w:r>
        <w:rPr>
          <w:rFonts w:ascii="Allstate Sans;sans-serif" w:hAnsi="Allstate Sans;sans-serif"/>
          <w:b w:val="false"/>
          <w:color w:val="000000"/>
          <w:sz w:val="16"/>
        </w:rPr>
        <w:t>Short-term investments are carried at fair value.</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Investments totaled $87.80 billion as of June 30, 2026, increasing from $83.24 billion as of December 31, 2025, primarily due to operating cash flows.</w:t>
      </w:r>
    </w:p>
    <w:p>
      <w:pPr>
        <w:pStyle w:val="TextBody"/>
        <w:bidi w:val="0"/>
        <w:spacing w:lineRule="auto" w:line="288" w:before="0" w:after="120"/>
        <w:ind w:left="0" w:right="0" w:firstLine="360"/>
        <w:jc w:val="left"/>
        <w:rPr/>
      </w:pPr>
      <w:r>
        <w:rPr>
          <w:rFonts w:ascii="Allstate Sans;sans-serif" w:hAnsi="Allstate Sans;sans-serif"/>
          <w:b/>
          <w:color w:val="0033A0"/>
          <w:sz w:val="18"/>
        </w:rPr>
        <w:t>Portfolio composition by investment strategy</w:t>
      </w:r>
      <w:r>
        <w:rPr>
          <w:color w:val="000000"/>
        </w:rPr>
        <w:t xml:space="preserve"> </w:t>
      </w:r>
      <w:r>
        <w:rPr>
          <w:rFonts w:ascii="Allstate Sans;sans-serif" w:hAnsi="Allstate Sans;sans-serif"/>
          <w:b w:val="false"/>
          <w:color w:val="000000"/>
          <w:sz w:val="18"/>
        </w:rPr>
        <w:t>We utilize two primary strategies to manage risks and returns and to position our portfolio to take advantage of market opportunities while attempting to mitigate adverse effects. As strategies and market conditions evolve, the asset allocation may change.</w:t>
      </w:r>
    </w:p>
    <w:p>
      <w:pPr>
        <w:pStyle w:val="TextBody"/>
        <w:bidi w:val="0"/>
        <w:spacing w:lineRule="auto" w:line="288" w:before="0" w:after="120"/>
        <w:ind w:left="0" w:right="0" w:firstLine="360"/>
        <w:jc w:val="left"/>
        <w:rPr/>
      </w:pPr>
      <w:r>
        <w:rPr>
          <w:rFonts w:ascii="Allstate Sans;sans-serif" w:hAnsi="Allstate Sans;sans-serif"/>
          <w:b w:val="false"/>
          <w:i/>
          <w:color w:val="0033A0"/>
          <w:sz w:val="18"/>
        </w:rPr>
        <w:t>Market-based</w:t>
      </w:r>
      <w:r>
        <w:rPr>
          <w:color w:val="000000"/>
        </w:rPr>
        <w:t xml:space="preserve"> </w:t>
      </w:r>
      <w:r>
        <w:rPr>
          <w:rFonts w:ascii="Allstate Sans;sans-serif" w:hAnsi="Allstate Sans;sans-serif"/>
          <w:b w:val="false"/>
          <w:color w:val="000000"/>
          <w:sz w:val="18"/>
        </w:rPr>
        <w:t>strategy seeks to deliver predictable earnings aligned to business needs and provide flexibility to adjust investment risk profile based on enterprise objectives and market opportunities primarily through public and private fixed income investments and public equity securities.</w:t>
      </w:r>
    </w:p>
    <w:p>
      <w:pPr>
        <w:pStyle w:val="TextBody"/>
        <w:bidi w:val="0"/>
        <w:spacing w:lineRule="auto" w:line="288" w:before="0" w:after="120"/>
        <w:ind w:left="0" w:right="0" w:firstLine="360"/>
        <w:jc w:val="left"/>
        <w:rPr/>
      </w:pPr>
      <w:r>
        <w:rPr>
          <w:rFonts w:ascii="Allstate Sans;sans-serif" w:hAnsi="Allstate Sans;sans-serif"/>
          <w:b w:val="false"/>
          <w:i/>
          <w:color w:val="0033A0"/>
          <w:sz w:val="18"/>
        </w:rPr>
        <w:t>Performance-based</w:t>
      </w:r>
      <w:r>
        <w:rPr>
          <w:color w:val="000000"/>
        </w:rPr>
        <w:t xml:space="preserve"> </w:t>
      </w:r>
      <w:r>
        <w:rPr>
          <w:rFonts w:ascii="Allstate Sans;sans-serif" w:hAnsi="Allstate Sans;sans-serif"/>
          <w:b w:val="false"/>
          <w:color w:val="000000"/>
          <w:sz w:val="18"/>
        </w:rPr>
        <w:t xml:space="preserve">strategy seeks to deliver attractive risk-adjusted returns and supplement market risk with idiosyncratic risk primarily through investments in private equity, including infrastructure investments, and real estate with a majority being </w:t>
      </w:r>
    </w:p>
    <w:p>
      <w:pPr>
        <w:pStyle w:val="TextBody"/>
        <w:bidi w:val="0"/>
        <w:spacing w:lineRule="auto" w:line="288" w:before="0" w:after="120"/>
        <w:jc w:val="left"/>
        <w:rPr>
          <w:rFonts w:ascii="Allstate Sans;sans-serif" w:hAnsi="Allstate Sans;sans-serif"/>
          <w:b w:val="false"/>
          <w:color w:val="000000"/>
          <w:sz w:val="18"/>
        </w:rPr>
      </w:pPr>
      <w:r>
        <w:rPr>
          <w:rFonts w:ascii="Allstate Sans;sans-serif" w:hAnsi="Allstate Sans;sans-serif"/>
          <w:b w:val="false"/>
          <w:color w:val="000000"/>
          <w:sz w:val="18"/>
        </w:rPr>
        <w:t>limited partnerships. These investments include investee level expenses, reflecting asset level operating expenses on directly held real estate and other consolidated investments.</w:t>
      </w:r>
    </w:p>
    <w:p>
      <w:pPr>
        <w:pStyle w:val="TextBody"/>
        <w:bidi w:val="0"/>
        <w:spacing w:lineRule="auto" w:line="288" w:before="0" w:after="120"/>
        <w:ind w:left="0" w:right="0" w:firstLine="360"/>
        <w:jc w:val="left"/>
        <w:rPr/>
      </w:pPr>
      <w:r>
        <w:rPr>
          <w:rFonts w:ascii="Allstate Sans;sans-serif" w:hAnsi="Allstate Sans;sans-serif"/>
          <w:b/>
          <w:color w:val="0033A0"/>
          <w:sz w:val="18"/>
        </w:rPr>
        <w:t>Macroeconomic impacts</w:t>
      </w:r>
      <w:r>
        <w:rPr>
          <w:color w:val="000000"/>
        </w:rPr>
        <w:t xml:space="preserve"> </w:t>
      </w:r>
      <w:r>
        <w:rPr>
          <w:rFonts w:ascii="Allstate Sans;sans-serif" w:hAnsi="Allstate Sans;sans-serif"/>
          <w:b w:val="false"/>
          <w:color w:val="000000"/>
          <w:sz w:val="18"/>
        </w:rPr>
        <w:t>Strategic actions continued to focus on optimizing portfolio yield, risk and return amid evolving market and macroeconomic conditions.</w:t>
      </w:r>
    </w:p>
    <w:p>
      <w:pPr>
        <w:pStyle w:val="TextBody"/>
        <w:bidi w:val="0"/>
        <w:spacing w:lineRule="auto" w:line="288" w:before="0" w:after="120"/>
        <w:ind w:left="0" w:right="0" w:firstLine="360"/>
        <w:jc w:val="left"/>
        <w:rPr/>
      </w:pPr>
      <w:r>
        <w:rPr>
          <w:rFonts w:ascii="Allstate Sans;sans-serif" w:hAnsi="Allstate Sans;sans-serif"/>
          <w:b/>
          <w:color w:val="0033A0"/>
          <w:sz w:val="18"/>
        </w:rPr>
        <w:t>Private credit exposure</w:t>
      </w:r>
      <w:r>
        <w:rPr>
          <w:color w:val="000000"/>
        </w:rPr>
        <w:t xml:space="preserve"> </w:t>
      </w:r>
      <w:r>
        <w:rPr>
          <w:rFonts w:ascii="Allstate Sans;sans-serif" w:hAnsi="Allstate Sans;sans-serif"/>
          <w:b w:val="false"/>
          <w:color w:val="000000"/>
          <w:sz w:val="18"/>
        </w:rPr>
        <w:t>We define private credit as investments in asset-based financing arrangements, corporate credit excluding SEC Rule 144a and similar exposures, and certain consumer lending exposures. Our private credit investments are primarily originated by third-party asset managers with global credit platforms and are generally secured by collateral, with 93% rated investment grade. Mortgage loans consist of residential loans, which are secured by collateral and have recourse to the borrower.</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The following table reflects investments as of June 30, 2026 in private credit by investment type. </w:t>
      </w:r>
    </w:p>
    <w:tbl>
      <w:tblPr>
        <w:tblW w:w="10205" w:type="dxa"/>
        <w:jc w:val="left"/>
        <w:tblInd w:w="0" w:type="dxa"/>
        <w:tblLayout w:type="fixed"/>
        <w:tblCellMar>
          <w:top w:w="28" w:type="dxa"/>
          <w:left w:w="28" w:type="dxa"/>
          <w:bottom w:w="28" w:type="dxa"/>
          <w:right w:w="28" w:type="dxa"/>
        </w:tblCellMar>
      </w:tblPr>
      <w:tblGrid>
        <w:gridCol w:w="759"/>
        <w:gridCol w:w="665"/>
        <w:gridCol w:w="666"/>
        <w:gridCol w:w="109"/>
        <w:gridCol w:w="109"/>
        <w:gridCol w:w="109"/>
        <w:gridCol w:w="688"/>
        <w:gridCol w:w="1606"/>
        <w:gridCol w:w="335"/>
        <w:gridCol w:w="109"/>
        <w:gridCol w:w="109"/>
        <w:gridCol w:w="109"/>
        <w:gridCol w:w="375"/>
        <w:gridCol w:w="874"/>
        <w:gridCol w:w="181"/>
        <w:gridCol w:w="109"/>
        <w:gridCol w:w="109"/>
        <w:gridCol w:w="109"/>
        <w:gridCol w:w="430"/>
        <w:gridCol w:w="1003"/>
        <w:gridCol w:w="209"/>
        <w:gridCol w:w="109"/>
        <w:gridCol w:w="109"/>
        <w:gridCol w:w="109"/>
        <w:gridCol w:w="226"/>
        <w:gridCol w:w="721"/>
        <w:gridCol w:w="159"/>
      </w:tblGrid>
      <w:tr>
        <w:trPr/>
        <w:tc>
          <w:tcPr>
            <w:tcW w:w="759"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0205" w:type="dxa"/>
            <w:gridSpan w:val="27"/>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left"/>
              <w:rPr>
                <w:rFonts w:ascii="Allstate Sans;sans-serif" w:hAnsi="Allstate Sans;sans-serif"/>
                <w:b/>
                <w:color w:val="000000"/>
                <w:sz w:val="18"/>
              </w:rPr>
            </w:pPr>
            <w:r>
              <w:rPr>
                <w:rFonts w:ascii="Allstate Sans;sans-serif" w:hAnsi="Allstate Sans;sans-serif"/>
                <w:b/>
                <w:color w:val="000000"/>
                <w:sz w:val="18"/>
              </w:rPr>
              <w:t>Private credit investments</w:t>
            </w:r>
          </w:p>
        </w:tc>
      </w:tr>
      <w:tr>
        <w:trPr/>
        <w:tc>
          <w:tcPr>
            <w:tcW w:w="20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8"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As of June 30, 2026</w:t>
            </w:r>
          </w:p>
        </w:tc>
      </w:tr>
      <w:tr>
        <w:trPr/>
        <w:tc>
          <w:tcPr>
            <w:tcW w:w="20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Helvetica_Neue_LT_W1G_55_Roman;sans-serif" w:hAnsi="Helvetica_Neue_LT_W1G_55_Roman;sans-serif"/>
                <w:b/>
                <w:color w:val="000000"/>
                <w:sz w:val="18"/>
              </w:rPr>
              <w:t xml:space="preserve">Fixed income securities </w:t>
            </w:r>
            <w:r>
              <w:rPr>
                <w:rFonts w:ascii="Helvetica_Neue_LT_W1G_55_Roman;sans-serif" w:hAnsi="Helvetica_Neue_LT_W1G_55_Roman;sans-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Helvetica_Neue_LT_W1G_55_Roman;sans-serif" w:hAnsi="Helvetica_Neue_LT_W1G_55_Roman;sans-serif"/>
                <w:b/>
                <w:color w:val="000000"/>
                <w:sz w:val="18"/>
              </w:rPr>
              <w:t xml:space="preserve">Bank loans </w:t>
            </w:r>
            <w:r>
              <w:rPr>
                <w:rFonts w:ascii="Helvetica_Neue_LT_W1G_55_Roman;sans-serif" w:hAnsi="Helvetica_Neue_LT_W1G_55_Roman;sans-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Mortgage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w:t>
            </w:r>
          </w:p>
        </w:tc>
      </w:tr>
      <w:tr>
        <w:trPr/>
        <w:tc>
          <w:tcPr>
            <w:tcW w:w="2090"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Asset-based financing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1606"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84 </w:t>
            </w:r>
          </w:p>
        </w:tc>
        <w:tc>
          <w:tcPr>
            <w:tcW w:w="335"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874"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291 </w:t>
            </w:r>
          </w:p>
        </w:tc>
        <w:tc>
          <w:tcPr>
            <w:tcW w:w="181"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1003"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342 </w:t>
            </w:r>
          </w:p>
        </w:tc>
        <w:tc>
          <w:tcPr>
            <w:tcW w:w="209"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721"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717 </w:t>
            </w:r>
          </w:p>
        </w:tc>
        <w:tc>
          <w:tcPr>
            <w:tcW w:w="159"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0"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Corporate credit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160 </w:t>
            </w:r>
          </w:p>
        </w:tc>
        <w:tc>
          <w:tcPr>
            <w:tcW w:w="335"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178 </w:t>
            </w:r>
          </w:p>
        </w:tc>
        <w:tc>
          <w:tcPr>
            <w:tcW w:w="181"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338 </w:t>
            </w:r>
          </w:p>
        </w:tc>
        <w:tc>
          <w:tcPr>
            <w:tcW w:w="159"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0" w:type="dxa"/>
            <w:gridSpan w:val="3"/>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 carrying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160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244</w:t>
            </w:r>
            <w:r>
              <w:rPr>
                <w:color w:val="000000"/>
              </w:rPr>
              <w:t> </w:t>
            </w:r>
          </w:p>
        </w:tc>
        <w:tc>
          <w:tcPr>
            <w:tcW w:w="335"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874"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469</w:t>
            </w:r>
            <w:r>
              <w:rPr>
                <w:color w:val="000000"/>
              </w:rPr>
              <w:t> </w:t>
            </w:r>
          </w:p>
        </w:tc>
        <w:tc>
          <w:tcPr>
            <w:tcW w:w="181"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1003"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342</w:t>
            </w:r>
            <w:r>
              <w:rPr>
                <w:color w:val="000000"/>
              </w:rPr>
              <w:t> </w:t>
            </w:r>
          </w:p>
        </w:tc>
        <w:tc>
          <w:tcPr>
            <w:tcW w:w="209"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721"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1,055</w:t>
            </w:r>
            <w:r>
              <w:rPr>
                <w:color w:val="000000"/>
              </w:rPr>
              <w:t> </w:t>
            </w:r>
          </w:p>
        </w:tc>
        <w:tc>
          <w:tcPr>
            <w:tcW w:w="159"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180"/>
        <w:jc w:val="left"/>
        <w:rPr/>
      </w:pPr>
      <w:r>
        <w:rPr>
          <w:rFonts w:ascii="Allstate Sans;sans-serif" w:hAnsi="Allstate Sans;sans-serif"/>
          <w:b w:val="false"/>
          <w:color w:val="000000"/>
          <w:sz w:val="10"/>
        </w:rPr>
        <w:t>(1)</w:t>
      </w:r>
      <w:r>
        <w:rPr>
          <w:color w:val="000000"/>
        </w:rPr>
        <w:t>    </w:t>
      </w:r>
      <w:r>
        <w:rPr>
          <w:rFonts w:ascii="Allstate Sans;sans-serif" w:hAnsi="Allstate Sans;sans-serif"/>
          <w:b w:val="false"/>
          <w:color w:val="000000"/>
          <w:sz w:val="16"/>
        </w:rPr>
        <w:t>93% of fixed income securities and 93% of bank loans were rated investment grade.</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Given this composition, the portfolio is well positioned in the current market environment, with risk characteristics that differ from areas of the private credit market experiencing heightened volatility.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33350"/>
                <wp:effectExtent l="0" t="0" r="0" b="0"/>
                <wp:wrapNone/>
                <wp:docPr id="69" name="Frame61"/>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ind w:left="0" w:right="0" w:firstLine="360"/>
                              <w:jc w:val="right"/>
                              <w:rPr/>
                            </w:pPr>
                            <w:r>
                              <w:rPr>
                                <w:rFonts w:ascii="Allstate Sans;sans-serif" w:hAnsi="Allstate Sans;sans-serif"/>
                                <w:b w:val="false"/>
                                <w:color w:val="000000"/>
                                <w:sz w:val="18"/>
                              </w:rPr>
                              <w:t xml:space="preserve">Second Quarter 2026 Form 10-Q </w:t>
                            </w:r>
                            <w:r>
                              <w:rPr>
                                <w:rFonts w:ascii="Allstate Sans;sans-serif" w:hAnsi="Allstate Sans;sans-serif"/>
                                <w:b w:val="false"/>
                                <w:color w:val="0033A0"/>
                                <w:sz w:val="18"/>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right"/>
                        <w:rPr/>
                      </w:pPr>
                      <w:r>
                        <w:rPr>
                          <w:rFonts w:ascii="Allstate Sans;sans-serif" w:hAnsi="Allstate Sans;sans-serif"/>
                          <w:b w:val="false"/>
                          <w:color w:val="000000"/>
                          <w:sz w:val="18"/>
                        </w:rPr>
                        <w:t xml:space="preserve">Second Quarter 2026 Form 10-Q </w:t>
                      </w:r>
                      <w:r>
                        <w:rPr>
                          <w:rFonts w:ascii="Allstate Sans;sans-serif" w:hAnsi="Allstate Sans;sans-serif"/>
                          <w:b w:val="false"/>
                          <w:color w:val="0033A0"/>
                          <w:sz w:val="18"/>
                        </w:rPr>
                        <w:t>59</w:t>
                      </w:r>
                    </w:p>
                  </w:txbxContent>
                </v:textbox>
                <w10:wrap type="none"/>
              </v:rect>
            </w:pict>
          </mc:Fallback>
        </mc:AlternateContent>
      </w:r>
    </w:p>
    <w:p>
      <w:pPr>
        <w:pStyle w:val="TextBody"/>
        <w:bidi w:val="0"/>
        <w:spacing w:lineRule="auto" w:line="288" w:before="0" w:after="120"/>
        <w:jc w:val="left"/>
        <w:rPr>
          <w:rFonts w:ascii="Allstate Sans;sans-serif" w:hAnsi="Allstate Sans;sans-serif"/>
          <w:b w:val="false"/>
          <w:color w:val="0033A0"/>
          <w:sz w:val="18"/>
        </w:rPr>
      </w:pPr>
      <w:r>
        <w:rPr>
          <w:rFonts w:ascii="Allstate Sans;sans-serif" w:hAnsi="Allstate Sans;sans-serif"/>
          <w:b w:val="false"/>
          <w:color w:val="0033A0"/>
          <w:sz w:val="18"/>
        </w:rPr>
        <w:t>Investments</w:t>
      </w:r>
    </w:p>
    <w:tbl>
      <w:tblPr>
        <w:tblW w:w="9448" w:type="dxa"/>
        <w:jc w:val="left"/>
        <w:tblInd w:w="0" w:type="dxa"/>
        <w:tblLayout w:type="fixed"/>
        <w:tblCellMar>
          <w:top w:w="28" w:type="dxa"/>
          <w:left w:w="28" w:type="dxa"/>
          <w:bottom w:w="28" w:type="dxa"/>
          <w:right w:w="28" w:type="dxa"/>
        </w:tblCellMar>
      </w:tblPr>
      <w:tblGrid>
        <w:gridCol w:w="1308"/>
        <w:gridCol w:w="1150"/>
        <w:gridCol w:w="1157"/>
        <w:gridCol w:w="109"/>
        <w:gridCol w:w="109"/>
        <w:gridCol w:w="109"/>
        <w:gridCol w:w="226"/>
        <w:gridCol w:w="841"/>
        <w:gridCol w:w="286"/>
        <w:gridCol w:w="109"/>
        <w:gridCol w:w="109"/>
        <w:gridCol w:w="109"/>
        <w:gridCol w:w="385"/>
        <w:gridCol w:w="1228"/>
        <w:gridCol w:w="488"/>
        <w:gridCol w:w="109"/>
        <w:gridCol w:w="109"/>
        <w:gridCol w:w="109"/>
        <w:gridCol w:w="226"/>
        <w:gridCol w:w="841"/>
        <w:gridCol w:w="331"/>
      </w:tblGrid>
      <w:tr>
        <w:trPr/>
        <w:tc>
          <w:tcPr>
            <w:tcW w:w="1308"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9448" w:type="dxa"/>
            <w:gridSpan w:val="21"/>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left"/>
              <w:rPr>
                <w:rFonts w:ascii="Allstate Sans;sans-serif" w:hAnsi="Allstate Sans;sans-serif"/>
                <w:b/>
                <w:color w:val="000000"/>
                <w:sz w:val="18"/>
              </w:rPr>
            </w:pPr>
            <w:r>
              <w:rPr>
                <w:rFonts w:ascii="Allstate Sans;sans-serif" w:hAnsi="Allstate Sans;sans-serif"/>
                <w:b/>
                <w:color w:val="000000"/>
                <w:sz w:val="18"/>
              </w:rPr>
              <w:t>Portfolio composition by investment strategy</w:t>
            </w:r>
          </w:p>
        </w:tc>
      </w:tr>
      <w:tr>
        <w:trPr/>
        <w:tc>
          <w:tcPr>
            <w:tcW w:w="36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6"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June 30, 2026</w:t>
            </w:r>
          </w:p>
        </w:tc>
      </w:tr>
      <w:tr>
        <w:trPr/>
        <w:tc>
          <w:tcPr>
            <w:tcW w:w="3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Market-</w:t>
              <w:br/>
              <w:t>based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Performance-based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w:t>
            </w:r>
          </w:p>
        </w:tc>
      </w:tr>
      <w:tr>
        <w:trPr/>
        <w:tc>
          <w:tcPr>
            <w:tcW w:w="3615"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Fixed income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841"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60,703 </w:t>
            </w:r>
          </w:p>
        </w:tc>
        <w:tc>
          <w:tcPr>
            <w:tcW w:w="286"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1228"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106 </w:t>
            </w:r>
          </w:p>
        </w:tc>
        <w:tc>
          <w:tcPr>
            <w:tcW w:w="488"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841"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60,809 </w:t>
            </w:r>
          </w:p>
        </w:tc>
        <w:tc>
          <w:tcPr>
            <w:tcW w:w="331"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Equity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10,806 </w:t>
            </w:r>
          </w:p>
        </w:tc>
        <w:tc>
          <w:tcPr>
            <w:tcW w:w="286"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353 </w:t>
            </w:r>
          </w:p>
        </w:tc>
        <w:tc>
          <w:tcPr>
            <w:tcW w:w="488"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11,159 </w:t>
            </w:r>
          </w:p>
        </w:tc>
        <w:tc>
          <w:tcPr>
            <w:tcW w:w="331"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Mortgage loans,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842 </w:t>
            </w:r>
          </w:p>
        </w:tc>
        <w:tc>
          <w:tcPr>
            <w:tcW w:w="286"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8"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842 </w:t>
            </w:r>
          </w:p>
        </w:tc>
        <w:tc>
          <w:tcPr>
            <w:tcW w:w="331"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Limited partnership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256 </w:t>
            </w:r>
          </w:p>
        </w:tc>
        <w:tc>
          <w:tcPr>
            <w:tcW w:w="286"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8,711 </w:t>
            </w:r>
          </w:p>
        </w:tc>
        <w:tc>
          <w:tcPr>
            <w:tcW w:w="488"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8,967 </w:t>
            </w:r>
          </w:p>
        </w:tc>
        <w:tc>
          <w:tcPr>
            <w:tcW w:w="331"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Short-term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4,872 </w:t>
            </w:r>
          </w:p>
        </w:tc>
        <w:tc>
          <w:tcPr>
            <w:tcW w:w="286"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8"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4,872 </w:t>
            </w:r>
          </w:p>
        </w:tc>
        <w:tc>
          <w:tcPr>
            <w:tcW w:w="331"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Other investments,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551 </w:t>
            </w:r>
          </w:p>
        </w:tc>
        <w:tc>
          <w:tcPr>
            <w:tcW w:w="286"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602 </w:t>
            </w:r>
          </w:p>
        </w:tc>
        <w:tc>
          <w:tcPr>
            <w:tcW w:w="488"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1,153 </w:t>
            </w:r>
          </w:p>
        </w:tc>
        <w:tc>
          <w:tcPr>
            <w:tcW w:w="331"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84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78,030</w:t>
            </w:r>
            <w:r>
              <w:rPr>
                <w:color w:val="000000"/>
              </w:rPr>
              <w:t> </w:t>
            </w:r>
          </w:p>
        </w:tc>
        <w:tc>
          <w:tcPr>
            <w:tcW w:w="28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1228"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9,772</w:t>
            </w:r>
            <w:r>
              <w:rPr>
                <w:color w:val="000000"/>
              </w:rPr>
              <w:t> </w:t>
            </w:r>
          </w:p>
        </w:tc>
        <w:tc>
          <w:tcPr>
            <w:tcW w:w="48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84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87,802</w:t>
            </w:r>
            <w:r>
              <w:rPr>
                <w:color w:val="000000"/>
              </w:rPr>
              <w:t> </w:t>
            </w:r>
          </w:p>
        </w:tc>
        <w:tc>
          <w:tcPr>
            <w:tcW w:w="33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Percent to 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88.9</w:t>
            </w:r>
            <w:r>
              <w:rPr>
                <w:color w:val="000000"/>
              </w:rPr>
              <w:t> </w:t>
            </w:r>
          </w:p>
        </w:tc>
        <w:tc>
          <w:tcPr>
            <w:tcW w:w="28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11.1</w:t>
            </w:r>
            <w:r>
              <w:rPr>
                <w:color w:val="000000"/>
              </w:rPr>
              <w:t> </w:t>
            </w:r>
          </w:p>
        </w:tc>
        <w:tc>
          <w:tcPr>
            <w:tcW w:w="488"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100.0</w:t>
            </w:r>
            <w:r>
              <w:rPr>
                <w:color w:val="000000"/>
              </w:rPr>
              <w:t> </w:t>
            </w:r>
          </w:p>
        </w:tc>
        <w:tc>
          <w:tcPr>
            <w:tcW w:w="33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r>
      <w:tr>
        <w:trPr/>
        <w:tc>
          <w:tcPr>
            <w:tcW w:w="3615"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Unrealized net capital gains and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4"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gridSpan w:val="3"/>
            <w:tcBorders>
              <w:top w:val="single" w:sz="4"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single" w:sz="4"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Fixed income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841"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(93)</w:t>
            </w:r>
          </w:p>
        </w:tc>
        <w:tc>
          <w:tcPr>
            <w:tcW w:w="286"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1228"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8"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841"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(93)</w:t>
            </w:r>
          </w:p>
        </w:tc>
        <w:tc>
          <w:tcPr>
            <w:tcW w:w="331"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r>
      <w:tr>
        <w:trPr/>
        <w:tc>
          <w:tcPr>
            <w:tcW w:w="3615"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Short-term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w:t>
            </w:r>
          </w:p>
        </w:tc>
        <w:tc>
          <w:tcPr>
            <w:tcW w:w="286"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8"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w:t>
            </w:r>
          </w:p>
        </w:tc>
        <w:tc>
          <w:tcPr>
            <w:tcW w:w="331"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Other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w:t>
            </w:r>
          </w:p>
        </w:tc>
        <w:tc>
          <w:tcPr>
            <w:tcW w:w="286"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8"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w:t>
            </w:r>
          </w:p>
        </w:tc>
        <w:tc>
          <w:tcPr>
            <w:tcW w:w="331"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841"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(97)</w:t>
            </w:r>
          </w:p>
        </w:tc>
        <w:tc>
          <w:tcPr>
            <w:tcW w:w="28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1228"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488"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841"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(97)</w:t>
            </w:r>
          </w:p>
        </w:tc>
        <w:tc>
          <w:tcPr>
            <w:tcW w:w="331"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left"/>
        <w:rPr>
          <w:rFonts w:ascii="Allstate Sans;sans-serif" w:hAnsi="Allstate Sans;sans-serif"/>
          <w:b/>
          <w:color w:val="0033A0"/>
          <w:sz w:val="18"/>
        </w:rPr>
      </w:pPr>
      <w:r>
        <w:rPr>
          <w:rFonts w:ascii="Allstate Sans;sans-serif" w:hAnsi="Allstate Sans;sans-serif"/>
          <w:b/>
          <w:color w:val="0033A0"/>
          <w:sz w:val="18"/>
        </w:rPr>
        <w:t>Fixed income securities</w:t>
      </w:r>
    </w:p>
    <w:tbl>
      <w:tblPr>
        <w:tblW w:w="7612" w:type="dxa"/>
        <w:jc w:val="left"/>
        <w:tblInd w:w="0" w:type="dxa"/>
        <w:tblLayout w:type="fixed"/>
        <w:tblCellMar>
          <w:top w:w="28" w:type="dxa"/>
          <w:left w:w="28" w:type="dxa"/>
          <w:bottom w:w="28" w:type="dxa"/>
          <w:right w:w="28" w:type="dxa"/>
        </w:tblCellMar>
      </w:tblPr>
      <w:tblGrid>
        <w:gridCol w:w="1230"/>
        <w:gridCol w:w="1079"/>
        <w:gridCol w:w="1081"/>
        <w:gridCol w:w="109"/>
        <w:gridCol w:w="109"/>
        <w:gridCol w:w="109"/>
        <w:gridCol w:w="281"/>
        <w:gridCol w:w="1053"/>
        <w:gridCol w:w="135"/>
        <w:gridCol w:w="109"/>
        <w:gridCol w:w="109"/>
        <w:gridCol w:w="109"/>
        <w:gridCol w:w="387"/>
        <w:gridCol w:w="1448"/>
        <w:gridCol w:w="264"/>
      </w:tblGrid>
      <w:tr>
        <w:trPr/>
        <w:tc>
          <w:tcPr>
            <w:tcW w:w="1230"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r>
      <w:tr>
        <w:trPr/>
        <w:tc>
          <w:tcPr>
            <w:tcW w:w="7612" w:type="dxa"/>
            <w:gridSpan w:val="15"/>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left"/>
              <w:rPr>
                <w:rFonts w:ascii="Allstate Sans;sans-serif" w:hAnsi="Allstate Sans;sans-serif"/>
                <w:b/>
                <w:color w:val="000000"/>
                <w:sz w:val="18"/>
              </w:rPr>
            </w:pPr>
            <w:r>
              <w:rPr>
                <w:rFonts w:ascii="Allstate Sans;sans-serif" w:hAnsi="Allstate Sans;sans-serif"/>
                <w:b/>
                <w:color w:val="000000"/>
                <w:sz w:val="18"/>
              </w:rPr>
              <w:t>Fixed income securities by type</w:t>
            </w:r>
          </w:p>
        </w:tc>
      </w:tr>
      <w:tr>
        <w:trPr/>
        <w:tc>
          <w:tcPr>
            <w:tcW w:w="3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Fair value as of</w:t>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December 31, 2025</w:t>
            </w:r>
          </w:p>
        </w:tc>
      </w:tr>
      <w:tr>
        <w:trPr/>
        <w:tc>
          <w:tcPr>
            <w:tcW w:w="3390"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U.S. government and agencies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1053"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12,351 </w:t>
            </w:r>
          </w:p>
        </w:tc>
        <w:tc>
          <w:tcPr>
            <w:tcW w:w="135"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1448"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18,133 </w:t>
            </w:r>
          </w:p>
        </w:tc>
        <w:tc>
          <w:tcPr>
            <w:tcW w:w="264"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Municipal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6,334 </w:t>
            </w:r>
          </w:p>
        </w:tc>
        <w:tc>
          <w:tcPr>
            <w:tcW w:w="135"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5,643 </w:t>
            </w:r>
          </w:p>
        </w:tc>
        <w:tc>
          <w:tcPr>
            <w:tcW w:w="264"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Corporate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36,407 </w:t>
            </w:r>
          </w:p>
        </w:tc>
        <w:tc>
          <w:tcPr>
            <w:tcW w:w="135"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30,401 </w:t>
            </w:r>
          </w:p>
        </w:tc>
        <w:tc>
          <w:tcPr>
            <w:tcW w:w="264"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Foreign government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1,625 </w:t>
            </w:r>
          </w:p>
        </w:tc>
        <w:tc>
          <w:tcPr>
            <w:tcW w:w="13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1,460 </w:t>
            </w:r>
          </w:p>
        </w:tc>
        <w:tc>
          <w:tcPr>
            <w:tcW w:w="264"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Asset-backed securities (“ABS”)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1,971 </w:t>
            </w:r>
          </w:p>
        </w:tc>
        <w:tc>
          <w:tcPr>
            <w:tcW w:w="13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1,352 </w:t>
            </w:r>
          </w:p>
        </w:tc>
        <w:tc>
          <w:tcPr>
            <w:tcW w:w="264"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Mortgage-backed securities (“MBS”)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2,121 </w:t>
            </w:r>
          </w:p>
        </w:tc>
        <w:tc>
          <w:tcPr>
            <w:tcW w:w="13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2,126 </w:t>
            </w:r>
          </w:p>
        </w:tc>
        <w:tc>
          <w:tcPr>
            <w:tcW w:w="264"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 fixed income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1053"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60,809</w:t>
            </w:r>
            <w:r>
              <w:rPr>
                <w:color w:val="000000"/>
              </w:rPr>
              <w:t> </w:t>
            </w:r>
          </w:p>
        </w:tc>
        <w:tc>
          <w:tcPr>
            <w:tcW w:w="135"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1448"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59,115</w:t>
            </w:r>
            <w:r>
              <w:rPr>
                <w:color w:val="000000"/>
              </w:rPr>
              <w:t> </w:t>
            </w:r>
          </w:p>
        </w:tc>
        <w:tc>
          <w:tcPr>
            <w:tcW w:w="264"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Fixed income securities are rated by third-party credit rating agencies or are internally rated. The Securities Valuation Office (“SVO”) of the National Association of Insurance Commissioners (“NAIC”) evaluates the fixed income securities of insurers for regulatory reporting and capital assessment purposes. The NAIC assigns securities to one of six credit quality categories defined as “NAIC designations”. In general, securities with NAIC designations of 1 and 2 are considered investment grade and securities with NAIC designations of 3 through 6 are considered below investment grade. The rating is either received from the SVO based on availability of applicable ratings from rating agencies on the NAIC Nationally Recognized Statistical Rating Organizations provider list, including Moody’s Investors Service (“Moody’s”), S&amp;P Global Ratings (“S&amp;P”), Fitch Ratings or a comparable internal rating.</w:t>
      </w:r>
    </w:p>
    <w:p>
      <w:pPr>
        <w:pStyle w:val="TextBody"/>
        <w:bidi w:val="0"/>
        <w:spacing w:lineRule="auto" w:line="288" w:before="0" w:after="120"/>
        <w:ind w:left="0" w:right="0" w:firstLine="360"/>
        <w:jc w:val="left"/>
        <w:rPr/>
      </w:pPr>
      <w:r>
        <w:rPr>
          <w:rFonts w:ascii="Allstate Sans;sans-serif" w:hAnsi="Allstate Sans;sans-serif"/>
          <w:b w:val="false"/>
          <w:color w:val="000000"/>
          <w:sz w:val="18"/>
        </w:rPr>
        <w:t>As a result of time lags between the funding of investments, the finalization of legal documents, and the completion of the SVO filing process, the portfolio includes certain securities that have not yet been designated by the SVO as of each balance sheet date and the categorization of these securities is based on the expected ratings indicated by internal analysis</w:t>
      </w:r>
      <w:r>
        <w:rPr>
          <w:rFonts w:ascii="Times New Roman;serif" w:hAnsi="Times New Roman;serif"/>
          <w:b w:val="false"/>
          <w:color w:val="000000"/>
          <w:sz w:val="16"/>
        </w:rPr>
        <w:t>.</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 xml:space="preserve">As of June 30, 2026, 92.2% of the consolidated fixed income securities portfolio was rated investment </w:t>
      </w:r>
    </w:p>
    <w:p>
      <w:pPr>
        <w:pStyle w:val="TextBody"/>
        <w:bidi w:val="0"/>
        <w:spacing w:lineRule="auto" w:line="288" w:before="0" w:after="120"/>
        <w:jc w:val="left"/>
        <w:rPr>
          <w:rFonts w:ascii="Allstate Sans;sans-serif" w:hAnsi="Allstate Sans;sans-serif"/>
          <w:b w:val="false"/>
          <w:color w:val="000000"/>
          <w:sz w:val="18"/>
        </w:rPr>
      </w:pPr>
      <w:r>
        <w:rPr>
          <w:rFonts w:ascii="Allstate Sans;sans-serif" w:hAnsi="Allstate Sans;sans-serif"/>
          <w:b w:val="false"/>
          <w:color w:val="000000"/>
          <w:sz w:val="18"/>
        </w:rPr>
        <w:t xml:space="preserve">grade. Credit ratings below these designations are considered lower credit quality or below investment grade, which includes high yield bonds. </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Market prices for certain securities may have credit spreads which imply higher or lower credit quality than the current third-party rating. Our initial investment decisions and ongoing monitoring procedures for fixed income securities are based on a due diligence process which includes, but is not limited to, an assessment of the credit quality, sector, structure and liquidity risks of each issuer.</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Fixed income portfolio monitoring is a comprehensive process to identify and evaluate each fixed income security that may require a credit loss allowance. The process includes a quarterly review of all securities to identify instances where the fair value of a security compared to its amortized cost is below internally established thresholds. For further detail on our fixed income portfolio monitoring process, see Note 4 of the condensed consolidated financial statements.</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The following table presents total fixed income securities by the applicable NAIC designation and comparable S&amp;P rating.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70"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120"/>
                              <w:jc w:val="left"/>
                              <w:rPr/>
                            </w:pPr>
                            <w:r>
                              <w:rPr>
                                <w:rFonts w:ascii="Allstate Sans;sans-serif" w:hAnsi="Allstate Sans;sans-serif"/>
                                <w:b w:val="false"/>
                                <w:color w:val="0033A0"/>
                                <w:sz w:val="18"/>
                              </w:rPr>
                              <w:t>60</w:t>
                            </w:r>
                            <w:r>
                              <w:rPr>
                                <w:color w:val="1666AF"/>
                              </w:rPr>
                              <w:t xml:space="preserve"> </w:t>
                            </w:r>
                            <w:r>
                              <w:rPr>
                                <w:rFonts w:ascii="Allstate Sans;sans-serif" w:hAnsi="Allstate Sans;sans-serif"/>
                                <w:b w:val="false"/>
                                <w:color w:val="000000"/>
                                <w:sz w:val="18"/>
                              </w:rPr>
                              <w:t>www.allstate.com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left"/>
                        <w:rPr/>
                      </w:pPr>
                      <w:r>
                        <w:rPr>
                          <w:rFonts w:ascii="Allstate Sans;sans-serif" w:hAnsi="Allstate Sans;sans-serif"/>
                          <w:b w:val="false"/>
                          <w:color w:val="0033A0"/>
                          <w:sz w:val="18"/>
                        </w:rPr>
                        <w:t>60</w:t>
                      </w:r>
                      <w:r>
                        <w:rPr>
                          <w:color w:val="1666AF"/>
                        </w:rPr>
                        <w:t xml:space="preserve"> </w:t>
                      </w:r>
                      <w:r>
                        <w:rPr>
                          <w:rFonts w:ascii="Allstate Sans;sans-serif" w:hAnsi="Allstate Sans;sans-serif"/>
                          <w:b w:val="false"/>
                          <w:color w:val="000000"/>
                          <w:sz w:val="18"/>
                        </w:rPr>
                        <w:t>www.allstate.com</w:t>
                      </w:r>
                    </w:p>
                  </w:txbxContent>
                </v:textbox>
                <w10:wrap type="none"/>
              </v:rect>
            </w:pict>
          </mc:Fallback>
        </mc:AlternateContent>
      </w:r>
    </w:p>
    <w:p>
      <w:pPr>
        <w:pStyle w:val="TextBody"/>
        <w:bidi w:val="0"/>
        <w:spacing w:lineRule="auto" w:line="288" w:before="0" w:after="120"/>
        <w:ind w:left="0" w:right="0" w:firstLine="360"/>
        <w:jc w:val="right"/>
        <w:rPr>
          <w:rFonts w:ascii="Allstate Sans;sans-serif" w:hAnsi="Allstate Sans;sans-serif"/>
          <w:b w:val="false"/>
          <w:color w:val="0033A0"/>
          <w:sz w:val="18"/>
        </w:rPr>
      </w:pPr>
      <w:r>
        <w:rPr>
          <w:rFonts w:ascii="Allstate Sans;sans-serif" w:hAnsi="Allstate Sans;sans-serif"/>
          <w:b w:val="false"/>
          <w:color w:val="0033A0"/>
          <w:sz w:val="18"/>
        </w:rPr>
        <w:t>Investments</w:t>
      </w:r>
    </w:p>
    <w:tbl>
      <w:tblPr>
        <w:tblW w:w="10564" w:type="dxa"/>
        <w:jc w:val="left"/>
        <w:tblInd w:w="0" w:type="dxa"/>
        <w:tblLayout w:type="fixed"/>
        <w:tblCellMar>
          <w:top w:w="28" w:type="dxa"/>
          <w:left w:w="28" w:type="dxa"/>
          <w:bottom w:w="28" w:type="dxa"/>
          <w:right w:w="28" w:type="dxa"/>
        </w:tblCellMar>
      </w:tblPr>
      <w:tblGrid>
        <w:gridCol w:w="517"/>
        <w:gridCol w:w="454"/>
        <w:gridCol w:w="455"/>
        <w:gridCol w:w="109"/>
        <w:gridCol w:w="109"/>
        <w:gridCol w:w="109"/>
        <w:gridCol w:w="226"/>
        <w:gridCol w:w="841"/>
        <w:gridCol w:w="109"/>
        <w:gridCol w:w="109"/>
        <w:gridCol w:w="109"/>
        <w:gridCol w:w="109"/>
        <w:gridCol w:w="359"/>
        <w:gridCol w:w="668"/>
        <w:gridCol w:w="174"/>
        <w:gridCol w:w="109"/>
        <w:gridCol w:w="109"/>
        <w:gridCol w:w="109"/>
        <w:gridCol w:w="226"/>
        <w:gridCol w:w="841"/>
        <w:gridCol w:w="109"/>
        <w:gridCol w:w="109"/>
        <w:gridCol w:w="109"/>
        <w:gridCol w:w="109"/>
        <w:gridCol w:w="359"/>
        <w:gridCol w:w="668"/>
        <w:gridCol w:w="174"/>
        <w:gridCol w:w="109"/>
        <w:gridCol w:w="109"/>
        <w:gridCol w:w="109"/>
        <w:gridCol w:w="226"/>
        <w:gridCol w:w="841"/>
        <w:gridCol w:w="109"/>
        <w:gridCol w:w="109"/>
        <w:gridCol w:w="109"/>
        <w:gridCol w:w="109"/>
        <w:gridCol w:w="351"/>
        <w:gridCol w:w="654"/>
        <w:gridCol w:w="241"/>
      </w:tblGrid>
      <w:tr>
        <w:trPr/>
        <w:tc>
          <w:tcPr>
            <w:tcW w:w="517"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10564" w:type="dxa"/>
            <w:gridSpan w:val="39"/>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left"/>
              <w:rPr>
                <w:rFonts w:ascii="Allstate Sans;sans-serif" w:hAnsi="Allstate Sans;sans-serif"/>
                <w:b/>
                <w:color w:val="000000"/>
                <w:sz w:val="18"/>
              </w:rPr>
            </w:pPr>
            <w:r>
              <w:rPr>
                <w:rFonts w:ascii="Allstate Sans;sans-serif" w:hAnsi="Allstate Sans;sans-serif"/>
                <w:b/>
                <w:color w:val="000000"/>
                <w:sz w:val="18"/>
              </w:rPr>
              <w:t>Fair value and unrealized net capital gains (losses) for fixed income securities by credit rating</w:t>
            </w:r>
          </w:p>
        </w:tc>
      </w:tr>
      <w:tr>
        <w:trPr/>
        <w:tc>
          <w:tcPr>
            <w:tcW w:w="1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1" w:type="dxa"/>
            <w:gridSpan w:val="33"/>
            <w:tcBorders>
              <w:top w:val="single" w:sz="8" w:space="0" w:color="000000"/>
              <w:bottom w:val="single" w:sz="8" w:space="0" w:color="6D6D6D"/>
            </w:tcBorders>
            <w:tcMar>
              <w:top w:w="30" w:type="dxa"/>
              <w:left w:w="0" w:type="dxa"/>
              <w:bottom w:w="3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June 30, 2026</w:t>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4" w:type="dxa"/>
            <w:gridSpan w:val="9"/>
            <w:tcBorders>
              <w:top w:val="single" w:sz="8" w:space="0" w:color="6D6D6D"/>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NAIC 1</w:t>
            </w:r>
          </w:p>
        </w:tc>
        <w:tc>
          <w:tcPr>
            <w:tcW w:w="327" w:type="dxa"/>
            <w:gridSpan w:val="3"/>
            <w:tcBorders>
              <w:top w:val="single" w:sz="8"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4" w:type="dxa"/>
            <w:gridSpan w:val="9"/>
            <w:tcBorders>
              <w:top w:val="single" w:sz="8" w:space="0" w:color="6D6D6D"/>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NAIC 2</w:t>
            </w:r>
          </w:p>
        </w:tc>
        <w:tc>
          <w:tcPr>
            <w:tcW w:w="327" w:type="dxa"/>
            <w:gridSpan w:val="3"/>
            <w:tcBorders>
              <w:top w:val="single" w:sz="8"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9" w:type="dxa"/>
            <w:gridSpan w:val="9"/>
            <w:tcBorders>
              <w:top w:val="single" w:sz="8" w:space="0" w:color="6D6D6D"/>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NAIC 3</w:t>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A and above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BBB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BB</w:t>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Fair</w:t>
            </w:r>
          </w:p>
          <w:p>
            <w:pPr>
              <w:pStyle w:val="TableContents"/>
              <w:bidi w:val="0"/>
              <w:spacing w:lineRule="auto" w:line="240" w:before="0" w:after="0"/>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value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Unrealized</w:t>
            </w:r>
          </w:p>
          <w:p>
            <w:pPr>
              <w:pStyle w:val="TableContents"/>
              <w:bidi w:val="0"/>
              <w:spacing w:lineRule="auto" w:line="240" w:before="0" w:after="0"/>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gain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Fair</w:t>
            </w:r>
          </w:p>
          <w:p>
            <w:pPr>
              <w:pStyle w:val="TableContents"/>
              <w:bidi w:val="0"/>
              <w:spacing w:lineRule="auto" w:line="240" w:before="0" w:after="0"/>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value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Unrealized</w:t>
            </w:r>
          </w:p>
          <w:p>
            <w:pPr>
              <w:pStyle w:val="TableContents"/>
              <w:bidi w:val="0"/>
              <w:spacing w:lineRule="auto" w:line="240" w:before="0" w:after="0"/>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gain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Fair</w:t>
            </w:r>
          </w:p>
          <w:p>
            <w:pPr>
              <w:pStyle w:val="TableContents"/>
              <w:bidi w:val="0"/>
              <w:spacing w:lineRule="auto" w:line="240" w:before="0" w:after="0"/>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value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Unrealized</w:t>
            </w:r>
          </w:p>
          <w:p>
            <w:pPr>
              <w:pStyle w:val="TableContents"/>
              <w:bidi w:val="0"/>
              <w:spacing w:lineRule="auto" w:line="240" w:before="0" w:after="0"/>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gain (loss)</w:t>
            </w:r>
          </w:p>
        </w:tc>
      </w:tr>
      <w:tr>
        <w:trPr/>
        <w:tc>
          <w:tcPr>
            <w:tcW w:w="1426"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U.S. government and agencies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841"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12,351 </w:t>
            </w:r>
          </w:p>
        </w:tc>
        <w:tc>
          <w:tcPr>
            <w:tcW w:w="109"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668"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(91)</w:t>
            </w:r>
          </w:p>
        </w:tc>
        <w:tc>
          <w:tcPr>
            <w:tcW w:w="174"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841"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668"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841"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654"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Municipal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6,121 </w:t>
            </w:r>
          </w:p>
        </w:tc>
        <w:tc>
          <w:tcPr>
            <w:tcW w:w="109"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49 </w:t>
            </w:r>
          </w:p>
        </w:tc>
        <w:tc>
          <w:tcPr>
            <w:tcW w:w="174"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210 </w:t>
            </w:r>
          </w:p>
        </w:tc>
        <w:tc>
          <w:tcPr>
            <w:tcW w:w="109"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1 </w:t>
            </w:r>
          </w:p>
        </w:tc>
        <w:tc>
          <w:tcPr>
            <w:tcW w:w="174"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Corporate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4"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4"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4"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4"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4"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4"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Public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7,855 </w:t>
            </w:r>
          </w:p>
        </w:tc>
        <w:tc>
          <w:tcPr>
            <w:tcW w:w="109"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(10)</w:t>
            </w:r>
          </w:p>
        </w:tc>
        <w:tc>
          <w:tcPr>
            <w:tcW w:w="174"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14,958 </w:t>
            </w:r>
          </w:p>
        </w:tc>
        <w:tc>
          <w:tcPr>
            <w:tcW w:w="109"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(40)</w:t>
            </w:r>
          </w:p>
        </w:tc>
        <w:tc>
          <w:tcPr>
            <w:tcW w:w="174"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613 </w:t>
            </w:r>
          </w:p>
        </w:tc>
        <w:tc>
          <w:tcPr>
            <w:tcW w:w="109"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1 </w:t>
            </w:r>
          </w:p>
        </w:tc>
        <w:tc>
          <w:tcPr>
            <w:tcW w:w="241"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Privately placed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2,987 </w:t>
            </w:r>
          </w:p>
        </w:tc>
        <w:tc>
          <w:tcPr>
            <w:tcW w:w="109"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w:t>
            </w:r>
          </w:p>
        </w:tc>
        <w:tc>
          <w:tcPr>
            <w:tcW w:w="174"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5,932 </w:t>
            </w:r>
          </w:p>
        </w:tc>
        <w:tc>
          <w:tcPr>
            <w:tcW w:w="109"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1 </w:t>
            </w:r>
          </w:p>
        </w:tc>
        <w:tc>
          <w:tcPr>
            <w:tcW w:w="174"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2,492 </w:t>
            </w:r>
          </w:p>
        </w:tc>
        <w:tc>
          <w:tcPr>
            <w:tcW w:w="109"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8 </w:t>
            </w:r>
          </w:p>
        </w:tc>
        <w:tc>
          <w:tcPr>
            <w:tcW w:w="241"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 corporate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10,842</w:t>
            </w: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(15)</w:t>
            </w:r>
          </w:p>
        </w:tc>
        <w:tc>
          <w:tcPr>
            <w:tcW w:w="17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20,890</w:t>
            </w: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(39)</w:t>
            </w:r>
          </w:p>
        </w:tc>
        <w:tc>
          <w:tcPr>
            <w:tcW w:w="17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3,105</w:t>
            </w: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9</w:t>
            </w:r>
            <w:r>
              <w:rPr>
                <w:color w:val="000000"/>
              </w:rPr>
              <w:t> </w:t>
            </w:r>
          </w:p>
        </w:tc>
        <w:tc>
          <w:tcPr>
            <w:tcW w:w="24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Foreign government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1,520 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w:t>
            </w:r>
          </w:p>
        </w:tc>
        <w:tc>
          <w:tcPr>
            <w:tcW w:w="17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105 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1 </w:t>
            </w:r>
          </w:p>
        </w:tc>
        <w:tc>
          <w:tcPr>
            <w:tcW w:w="17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ABS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1,757 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w:t>
            </w:r>
          </w:p>
        </w:tc>
        <w:tc>
          <w:tcPr>
            <w:tcW w:w="17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160 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15 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MBS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2,121 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w:t>
            </w:r>
          </w:p>
        </w:tc>
        <w:tc>
          <w:tcPr>
            <w:tcW w:w="17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 fixed income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84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34,712</w:t>
            </w: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668"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(69)</w:t>
            </w:r>
          </w:p>
        </w:tc>
        <w:tc>
          <w:tcPr>
            <w:tcW w:w="17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84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21,365</w:t>
            </w: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668"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(37)</w:t>
            </w:r>
          </w:p>
        </w:tc>
        <w:tc>
          <w:tcPr>
            <w:tcW w:w="17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84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3,120</w:t>
            </w: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654"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9</w:t>
            </w:r>
            <w:r>
              <w:rPr>
                <w:color w:val="000000"/>
              </w:rPr>
              <w:t> </w:t>
            </w:r>
          </w:p>
        </w:tc>
        <w:tc>
          <w:tcPr>
            <w:tcW w:w="24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33A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33A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33A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4"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NAIC 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4"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NAIC 5-6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9" w:type="dxa"/>
            <w:gridSpan w:val="9"/>
            <w:vMerge w:val="restart"/>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w:t>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CCC and lower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9" w:type="dxa"/>
            <w:gridSpan w:val="9"/>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Fair</w:t>
            </w:r>
          </w:p>
          <w:p>
            <w:pPr>
              <w:pStyle w:val="TableContents"/>
              <w:bidi w:val="0"/>
              <w:spacing w:lineRule="auto" w:line="240" w:before="0" w:after="0"/>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value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Unrealized</w:t>
            </w:r>
          </w:p>
          <w:p>
            <w:pPr>
              <w:pStyle w:val="TableContents"/>
              <w:bidi w:val="0"/>
              <w:spacing w:lineRule="auto" w:line="240" w:before="0" w:after="0"/>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gain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Fair</w:t>
            </w:r>
          </w:p>
          <w:p>
            <w:pPr>
              <w:pStyle w:val="TableContents"/>
              <w:bidi w:val="0"/>
              <w:spacing w:lineRule="auto" w:line="240" w:before="0" w:after="0"/>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value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Unrealized</w:t>
            </w:r>
          </w:p>
          <w:p>
            <w:pPr>
              <w:pStyle w:val="TableContents"/>
              <w:bidi w:val="0"/>
              <w:spacing w:lineRule="auto" w:line="240" w:before="0" w:after="0"/>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gain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Fair</w:t>
            </w:r>
          </w:p>
          <w:p>
            <w:pPr>
              <w:pStyle w:val="TableContents"/>
              <w:bidi w:val="0"/>
              <w:spacing w:lineRule="auto" w:line="240" w:before="0" w:after="0"/>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value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Unrealized</w:t>
            </w:r>
          </w:p>
          <w:p>
            <w:pPr>
              <w:pStyle w:val="TableContents"/>
              <w:bidi w:val="0"/>
              <w:spacing w:lineRule="auto" w:line="240" w:before="0" w:after="0"/>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gain (loss)</w:t>
            </w:r>
          </w:p>
        </w:tc>
      </w:tr>
      <w:tr>
        <w:trPr/>
        <w:tc>
          <w:tcPr>
            <w:tcW w:w="1426"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U.S. government and agencies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841"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668"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841"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668"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841"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12,351 </w:t>
            </w:r>
          </w:p>
        </w:tc>
        <w:tc>
          <w:tcPr>
            <w:tcW w:w="109"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654"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(91)</w:t>
            </w:r>
          </w:p>
        </w:tc>
        <w:tc>
          <w:tcPr>
            <w:tcW w:w="241"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Municipal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3 </w:t>
            </w:r>
          </w:p>
        </w:tc>
        <w:tc>
          <w:tcPr>
            <w:tcW w:w="109"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2 </w:t>
            </w:r>
          </w:p>
        </w:tc>
        <w:tc>
          <w:tcPr>
            <w:tcW w:w="174"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6,334 </w:t>
            </w:r>
          </w:p>
        </w:tc>
        <w:tc>
          <w:tcPr>
            <w:tcW w:w="109"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52 </w:t>
            </w:r>
          </w:p>
        </w:tc>
        <w:tc>
          <w:tcPr>
            <w:tcW w:w="241"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Corporate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4"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4"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4"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4"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4"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4"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Public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88 </w:t>
            </w:r>
          </w:p>
        </w:tc>
        <w:tc>
          <w:tcPr>
            <w:tcW w:w="109"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23,514 </w:t>
            </w:r>
          </w:p>
        </w:tc>
        <w:tc>
          <w:tcPr>
            <w:tcW w:w="109"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(49)</w:t>
            </w:r>
          </w:p>
        </w:tc>
        <w:tc>
          <w:tcPr>
            <w:tcW w:w="241"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Privately placed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1,338 </w:t>
            </w:r>
          </w:p>
        </w:tc>
        <w:tc>
          <w:tcPr>
            <w:tcW w:w="109"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2 </w:t>
            </w:r>
          </w:p>
        </w:tc>
        <w:tc>
          <w:tcPr>
            <w:tcW w:w="174"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144 </w:t>
            </w:r>
          </w:p>
        </w:tc>
        <w:tc>
          <w:tcPr>
            <w:tcW w:w="109"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w:t>
            </w:r>
          </w:p>
        </w:tc>
        <w:tc>
          <w:tcPr>
            <w:tcW w:w="174"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12,893 </w:t>
            </w:r>
          </w:p>
        </w:tc>
        <w:tc>
          <w:tcPr>
            <w:tcW w:w="109"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4 </w:t>
            </w:r>
          </w:p>
        </w:tc>
        <w:tc>
          <w:tcPr>
            <w:tcW w:w="241"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 corporate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1,426</w:t>
            </w: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2</w:t>
            </w:r>
            <w:r>
              <w:rPr>
                <w:color w:val="000000"/>
              </w:rPr>
              <w:t> </w:t>
            </w:r>
          </w:p>
        </w:tc>
        <w:tc>
          <w:tcPr>
            <w:tcW w:w="17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144</w:t>
            </w: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w:t>
            </w:r>
          </w:p>
        </w:tc>
        <w:tc>
          <w:tcPr>
            <w:tcW w:w="17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36,407</w:t>
            </w: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(45)</w:t>
            </w:r>
          </w:p>
        </w:tc>
        <w:tc>
          <w:tcPr>
            <w:tcW w:w="24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Foreign government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1,625 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w:t>
            </w:r>
          </w:p>
        </w:tc>
        <w:tc>
          <w:tcPr>
            <w:tcW w:w="24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ABS</w:t>
            </w:r>
          </w:p>
        </w:tc>
        <w:tc>
          <w:tcPr>
            <w:tcW w:w="327" w:type="dxa"/>
            <w:gridSpan w:val="3"/>
            <w:tcBorders>
              <w:top w:val="single" w:sz="4"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1 </w:t>
            </w:r>
          </w:p>
        </w:tc>
        <w:tc>
          <w:tcPr>
            <w:tcW w:w="109"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38 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2 </w:t>
            </w:r>
          </w:p>
        </w:tc>
        <w:tc>
          <w:tcPr>
            <w:tcW w:w="17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1,971 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w:t>
            </w:r>
          </w:p>
        </w:tc>
        <w:tc>
          <w:tcPr>
            <w:tcW w:w="24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MBS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2,121 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w:t>
            </w:r>
          </w:p>
        </w:tc>
        <w:tc>
          <w:tcPr>
            <w:tcW w:w="24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 fixed income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841"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1,427</w:t>
            </w:r>
            <w:r>
              <w:rPr>
                <w:color w:val="000000"/>
              </w:rPr>
              <w:t> </w:t>
            </w:r>
          </w:p>
        </w:tc>
        <w:tc>
          <w:tcPr>
            <w:tcW w:w="109"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668"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2</w:t>
            </w:r>
            <w:r>
              <w:rPr>
                <w:color w:val="000000"/>
              </w:rPr>
              <w:t> </w:t>
            </w:r>
          </w:p>
        </w:tc>
        <w:tc>
          <w:tcPr>
            <w:tcW w:w="174"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841"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185</w:t>
            </w:r>
            <w:r>
              <w:rPr>
                <w:color w:val="000000"/>
              </w:rPr>
              <w:t> </w:t>
            </w:r>
          </w:p>
        </w:tc>
        <w:tc>
          <w:tcPr>
            <w:tcW w:w="109"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668"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2</w:t>
            </w:r>
            <w:r>
              <w:rPr>
                <w:color w:val="000000"/>
              </w:rPr>
              <w:t> </w:t>
            </w:r>
          </w:p>
        </w:tc>
        <w:tc>
          <w:tcPr>
            <w:tcW w:w="174"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841"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60,809</w:t>
            </w:r>
            <w:r>
              <w:rPr>
                <w:color w:val="000000"/>
              </w:rPr>
              <w:t> </w:t>
            </w:r>
          </w:p>
        </w:tc>
        <w:tc>
          <w:tcPr>
            <w:tcW w:w="109"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654"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(93)</w:t>
            </w:r>
          </w:p>
        </w:tc>
        <w:tc>
          <w:tcPr>
            <w:tcW w:w="241"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left"/>
        <w:rPr/>
      </w:pPr>
      <w:r>
        <w:rPr>
          <w:rFonts w:ascii="Allstate Sans;sans-serif" w:hAnsi="Allstate Sans;sans-serif"/>
          <w:b w:val="false"/>
          <w:i/>
          <w:color w:val="0033A0"/>
          <w:sz w:val="18"/>
        </w:rPr>
        <w:t>Municipal bonds</w:t>
      </w:r>
      <w:r>
        <w:rPr>
          <w:rFonts w:ascii="Allstate Sans;sans-serif" w:hAnsi="Allstate Sans;sans-serif"/>
          <w:b w:val="false"/>
          <w:color w:val="000000"/>
          <w:sz w:val="18"/>
        </w:rPr>
        <w:t>, including tax-exempt and taxable securities,</w:t>
      </w:r>
      <w:r>
        <w:rPr>
          <w:color w:val="0033A0"/>
        </w:rPr>
        <w:t xml:space="preserve"> </w:t>
      </w:r>
      <w:r>
        <w:rPr>
          <w:rFonts w:ascii="Allstate Sans;sans-serif" w:hAnsi="Allstate Sans;sans-serif"/>
          <w:b w:val="false"/>
          <w:color w:val="000000"/>
          <w:sz w:val="18"/>
        </w:rPr>
        <w:t>include general obligations of state and local issuers and revenue bonds.</w:t>
      </w:r>
    </w:p>
    <w:p>
      <w:pPr>
        <w:pStyle w:val="TextBody"/>
        <w:bidi w:val="0"/>
        <w:spacing w:lineRule="auto" w:line="288" w:before="0" w:after="120"/>
        <w:ind w:left="0" w:right="0" w:firstLine="360"/>
        <w:jc w:val="left"/>
        <w:rPr/>
      </w:pPr>
      <w:r>
        <w:rPr>
          <w:rFonts w:ascii="Allstate Sans;sans-serif" w:hAnsi="Allstate Sans;sans-serif"/>
          <w:b w:val="false"/>
          <w:i/>
          <w:color w:val="0033A0"/>
          <w:sz w:val="18"/>
        </w:rPr>
        <w:t>Corporate bonds</w:t>
      </w:r>
      <w:r>
        <w:rPr>
          <w:color w:val="000000"/>
        </w:rPr>
        <w:t xml:space="preserve"> </w:t>
      </w:r>
      <w:r>
        <w:rPr>
          <w:rFonts w:ascii="Allstate Sans;sans-serif" w:hAnsi="Allstate Sans;sans-serif"/>
          <w:b w:val="false"/>
          <w:color w:val="000000"/>
          <w:sz w:val="18"/>
        </w:rPr>
        <w:t>include publicly traded and privately placed securities. Privately placed securities primarily consist of corporate issued senior debt securities that are negotiated with the borrower or are issued by public entities in unregistered form.</w:t>
      </w:r>
    </w:p>
    <w:p>
      <w:pPr>
        <w:pStyle w:val="TextBody"/>
        <w:bidi w:val="0"/>
        <w:spacing w:lineRule="auto" w:line="288" w:before="0" w:after="120"/>
        <w:ind w:left="0" w:right="0" w:firstLine="360"/>
        <w:jc w:val="left"/>
        <w:rPr/>
      </w:pPr>
      <w:r>
        <w:rPr>
          <w:rFonts w:ascii="Allstate Sans;sans-serif" w:hAnsi="Allstate Sans;sans-serif"/>
          <w:b w:val="false"/>
          <w:i/>
          <w:color w:val="0033A0"/>
          <w:sz w:val="18"/>
        </w:rPr>
        <w:t>ABS</w:t>
      </w:r>
      <w:r>
        <w:rPr>
          <w:color w:val="000000"/>
        </w:rPr>
        <w:t xml:space="preserve"> </w:t>
      </w:r>
      <w:r>
        <w:rPr>
          <w:rFonts w:ascii="Allstate Sans;sans-serif" w:hAnsi="Allstate Sans;sans-serif"/>
          <w:b w:val="false"/>
          <w:color w:val="000000"/>
          <w:sz w:val="18"/>
        </w:rPr>
        <w:t xml:space="preserve">includes collateralized debt obligations, consumer and other ABS. Credit risk is managed by monitoring the performance of the underlying collateral. Many of the securities in the ABS portfolio have credit enhancement with features such as overcollateralization, subordinated structures, reserve funds, guarantees or insurance. </w:t>
      </w:r>
    </w:p>
    <w:p>
      <w:pPr>
        <w:pStyle w:val="TextBody"/>
        <w:bidi w:val="0"/>
        <w:spacing w:lineRule="auto" w:line="288" w:before="0" w:after="120"/>
        <w:ind w:left="0" w:right="0" w:firstLine="360"/>
        <w:jc w:val="left"/>
        <w:rPr/>
      </w:pPr>
      <w:r>
        <w:rPr>
          <w:rFonts w:ascii="Allstate Sans;sans-serif" w:hAnsi="Allstate Sans;sans-serif"/>
          <w:b w:val="false"/>
          <w:i/>
          <w:color w:val="0033A0"/>
          <w:sz w:val="18"/>
        </w:rPr>
        <w:t>MBS</w:t>
      </w:r>
      <w:r>
        <w:rPr>
          <w:color w:val="000000"/>
        </w:rPr>
        <w:t xml:space="preserve"> </w:t>
      </w:r>
      <w:r>
        <w:rPr>
          <w:rFonts w:ascii="Allstate Sans;sans-serif" w:hAnsi="Allstate Sans;sans-serif"/>
          <w:b w:val="false"/>
          <w:color w:val="000000"/>
          <w:sz w:val="18"/>
        </w:rPr>
        <w:t>includes residential mortgage-backed securities (“RMBS”) and commercial mortgage-backed securities (“CMBS”). RMBS is subject to interest rate risk, but unlike other fixed income securities, is additionally subject to prepayment risk from the underlying residential mortgage loans. RMBS primarily consists of a U.S. Agency portfolio having collateral issued or guaranteed by U.S. government agencies. CMBS investments are primarily traditional conduit transactions collateralized by commercial mortgage loans, broadly diversified across property types and geographical area.</w:t>
      </w:r>
    </w:p>
    <w:p>
      <w:pPr>
        <w:pStyle w:val="TextBody"/>
        <w:bidi w:val="0"/>
        <w:spacing w:lineRule="auto" w:line="288" w:before="0" w:after="120"/>
        <w:ind w:left="0" w:right="0" w:firstLine="360"/>
        <w:jc w:val="left"/>
        <w:rPr/>
      </w:pPr>
      <w:r>
        <w:rPr>
          <w:rFonts w:ascii="Allstate Sans;sans-serif" w:hAnsi="Allstate Sans;sans-serif"/>
          <w:b/>
          <w:color w:val="0033A0"/>
          <w:sz w:val="18"/>
        </w:rPr>
        <w:t>Equity securities</w:t>
      </w:r>
      <w:r>
        <w:rPr>
          <w:color w:val="000000"/>
        </w:rPr>
        <w:t xml:space="preserve"> </w:t>
      </w:r>
      <w:r>
        <w:rPr>
          <w:rFonts w:ascii="Allstate Sans;sans-serif" w:hAnsi="Allstate Sans;sans-serif"/>
          <w:b w:val="false"/>
          <w:color w:val="000000"/>
          <w:sz w:val="18"/>
        </w:rPr>
        <w:t xml:space="preserve">of $11.16 billion primarily include common stocks, exchange traded and mutual funds, non-redeemable preferred stocks and real estate investment trust (“REITs”) equity investments. Exchange traded and mutual funds that have fixed income and short-term securities as their underlying investments total $2.88 billion as of June 30, 2026. </w:t>
      </w:r>
    </w:p>
    <w:p>
      <w:pPr>
        <w:pStyle w:val="TextBody"/>
        <w:bidi w:val="0"/>
        <w:spacing w:lineRule="auto" w:line="288" w:before="0" w:after="120"/>
        <w:ind w:left="0" w:right="0" w:firstLine="360"/>
        <w:jc w:val="left"/>
        <w:rPr/>
      </w:pPr>
      <w:r>
        <w:rPr>
          <w:rFonts w:ascii="Allstate Sans;sans-serif" w:hAnsi="Allstate Sans;sans-serif"/>
          <w:b/>
          <w:color w:val="0033A0"/>
          <w:sz w:val="18"/>
        </w:rPr>
        <w:t xml:space="preserve">Mortgage loans </w:t>
      </w:r>
      <w:r>
        <w:rPr>
          <w:rFonts w:ascii="Allstate Sans;sans-serif" w:hAnsi="Allstate Sans;sans-serif"/>
          <w:b w:val="false"/>
          <w:color w:val="000000"/>
          <w:sz w:val="18"/>
        </w:rPr>
        <w:t>of $842 million</w:t>
      </w:r>
      <w:r>
        <w:rPr>
          <w:color w:val="0033A0"/>
        </w:rPr>
        <w:t xml:space="preserve"> </w:t>
      </w:r>
      <w:r>
        <w:rPr>
          <w:rFonts w:ascii="Allstate Sans;sans-serif" w:hAnsi="Allstate Sans;sans-serif"/>
          <w:b w:val="false"/>
          <w:color w:val="000000"/>
          <w:sz w:val="18"/>
        </w:rPr>
        <w:t>comprise loans secured by first mortgages on developed commercial real estate of $548 million and residential mortgage loans of $294 million. Key considerations used to manage our exposure include property type and geographic diversification. For further detail on our mortgage loan portfolio, see Note 4 of the condensed consolidated financial statements.</w:t>
      </w:r>
    </w:p>
    <w:p>
      <w:pPr>
        <w:pStyle w:val="TextBody"/>
        <w:bidi w:val="0"/>
        <w:spacing w:lineRule="auto" w:line="288" w:before="0" w:after="120"/>
        <w:ind w:left="0" w:right="0" w:firstLine="360"/>
        <w:jc w:val="left"/>
        <w:rPr/>
      </w:pPr>
      <w:r>
        <w:rPr>
          <w:rFonts w:ascii="Allstate Sans;sans-serif" w:hAnsi="Allstate Sans;sans-serif"/>
          <w:b/>
          <w:color w:val="0033A0"/>
          <w:sz w:val="18"/>
        </w:rPr>
        <w:t xml:space="preserve">Limited partnership interests </w:t>
      </w:r>
      <w:r>
        <w:rPr>
          <w:rFonts w:ascii="Allstate Sans;sans-serif" w:hAnsi="Allstate Sans;sans-serif"/>
          <w:b w:val="false"/>
          <w:color w:val="000000"/>
          <w:sz w:val="18"/>
        </w:rPr>
        <w:t>include $7.09 billion of interests in private equity funds, $1.62 billion of interests in real estate funds and $256 million of interests in other funds as of June 30, 2026. We have commitments to invest additional amounts in limited partnership interests totaling $3.07 billion as of June 30, 2026.</w:t>
      </w:r>
    </w:p>
    <w:p>
      <w:pPr>
        <w:pStyle w:val="TextBody"/>
        <w:bidi w:val="0"/>
        <w:spacing w:lineRule="auto" w:line="288" w:before="0" w:after="120"/>
        <w:ind w:left="0" w:right="0" w:firstLine="360"/>
        <w:jc w:val="left"/>
        <w:rPr/>
      </w:pPr>
      <w:r>
        <w:rPr>
          <w:rFonts w:ascii="Allstate Sans;sans-serif" w:hAnsi="Allstate Sans;sans-serif"/>
          <w:b/>
          <w:color w:val="0033A0"/>
          <w:sz w:val="18"/>
        </w:rPr>
        <w:t>Other investments</w:t>
      </w:r>
      <w:r>
        <w:rPr>
          <w:color w:val="1666AF"/>
        </w:rPr>
        <w:t xml:space="preserve"> </w:t>
      </w:r>
      <w:r>
        <w:rPr>
          <w:rFonts w:ascii="Allstate Sans;sans-serif" w:hAnsi="Allstate Sans;sans-serif"/>
          <w:b w:val="false"/>
          <w:color w:val="000000"/>
          <w:sz w:val="18"/>
        </w:rPr>
        <w:t>include $575 million of direct investments in real estate and $564 million of bank loans, net as of June 30, 2026. We have commitments to invest additional amounts in bank loans totaling $172 million as of June 30,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33350"/>
                <wp:effectExtent l="0" t="0" r="0" b="0"/>
                <wp:wrapNone/>
                <wp:docPr id="71" name="Frame63"/>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ind w:left="0" w:right="0" w:firstLine="360"/>
                              <w:jc w:val="right"/>
                              <w:rPr/>
                            </w:pPr>
                            <w:r>
                              <w:rPr>
                                <w:rFonts w:ascii="Allstate Sans;sans-serif" w:hAnsi="Allstate Sans;sans-serif"/>
                                <w:b w:val="false"/>
                                <w:color w:val="000000"/>
                                <w:sz w:val="18"/>
                              </w:rPr>
                              <w:t xml:space="preserve">Second Quarter 2026 Form 10-Q </w:t>
                            </w:r>
                            <w:r>
                              <w:rPr>
                                <w:rFonts w:ascii="Allstate Sans;sans-serif" w:hAnsi="Allstate Sans;sans-serif"/>
                                <w:b w:val="false"/>
                                <w:color w:val="0033A0"/>
                                <w:sz w:val="18"/>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right"/>
                        <w:rPr/>
                      </w:pPr>
                      <w:r>
                        <w:rPr>
                          <w:rFonts w:ascii="Allstate Sans;sans-serif" w:hAnsi="Allstate Sans;sans-serif"/>
                          <w:b w:val="false"/>
                          <w:color w:val="000000"/>
                          <w:sz w:val="18"/>
                        </w:rPr>
                        <w:t xml:space="preserve">Second Quarter 2026 Form 10-Q </w:t>
                      </w:r>
                      <w:r>
                        <w:rPr>
                          <w:rFonts w:ascii="Allstate Sans;sans-serif" w:hAnsi="Allstate Sans;sans-serif"/>
                          <w:b w:val="false"/>
                          <w:color w:val="0033A0"/>
                          <w:sz w:val="18"/>
                        </w:rPr>
                        <w:t>61</w:t>
                      </w:r>
                    </w:p>
                  </w:txbxContent>
                </v:textbox>
                <w10:wrap type="none"/>
              </v:rect>
            </w:pict>
          </mc:Fallback>
        </mc:AlternateContent>
      </w:r>
    </w:p>
    <w:p>
      <w:pPr>
        <w:pStyle w:val="TextBody"/>
        <w:bidi w:val="0"/>
        <w:spacing w:lineRule="auto" w:line="288" w:before="0" w:after="120"/>
        <w:jc w:val="left"/>
        <w:rPr>
          <w:rFonts w:ascii="Allstate Sans;sans-serif" w:hAnsi="Allstate Sans;sans-serif"/>
          <w:b w:val="false"/>
          <w:color w:val="0033A0"/>
          <w:sz w:val="18"/>
        </w:rPr>
      </w:pPr>
      <w:r>
        <w:rPr>
          <w:rFonts w:ascii="Allstate Sans;sans-serif" w:hAnsi="Allstate Sans;sans-serif"/>
          <w:b w:val="false"/>
          <w:color w:val="0033A0"/>
          <w:sz w:val="18"/>
        </w:rPr>
        <w:t>Investments</w:t>
      </w:r>
    </w:p>
    <w:tbl>
      <w:tblPr>
        <w:tblW w:w="8642" w:type="dxa"/>
        <w:jc w:val="left"/>
        <w:tblInd w:w="0" w:type="dxa"/>
        <w:tblLayout w:type="fixed"/>
        <w:tblCellMar>
          <w:top w:w="28" w:type="dxa"/>
          <w:left w:w="28" w:type="dxa"/>
          <w:bottom w:w="28" w:type="dxa"/>
          <w:right w:w="28" w:type="dxa"/>
        </w:tblCellMar>
      </w:tblPr>
      <w:tblGrid>
        <w:gridCol w:w="1809"/>
        <w:gridCol w:w="1590"/>
        <w:gridCol w:w="1595"/>
        <w:gridCol w:w="153"/>
        <w:gridCol w:w="153"/>
        <w:gridCol w:w="153"/>
        <w:gridCol w:w="318"/>
        <w:gridCol w:w="699"/>
        <w:gridCol w:w="153"/>
        <w:gridCol w:w="153"/>
        <w:gridCol w:w="153"/>
        <w:gridCol w:w="153"/>
        <w:gridCol w:w="388"/>
        <w:gridCol w:w="907"/>
        <w:gridCol w:w="265"/>
      </w:tblGrid>
      <w:tr>
        <w:trPr/>
        <w:tc>
          <w:tcPr>
            <w:tcW w:w="1809" w:type="dxa"/>
            <w:tcBorders/>
            <w:vAlign w:val="center"/>
          </w:tcPr>
          <w:p>
            <w:pPr>
              <w:pStyle w:val="TableContents"/>
              <w:bidi w:val="0"/>
              <w:spacing w:before="0" w:after="283"/>
              <w:jc w:val="left"/>
              <w:rPr>
                <w:sz w:val="4"/>
                <w:szCs w:val="4"/>
              </w:rPr>
            </w:pPr>
            <w:r>
              <w:rPr>
                <w:sz w:val="4"/>
                <w:szCs w:val="4"/>
              </w:rPr>
            </w:r>
          </w:p>
        </w:tc>
        <w:tc>
          <w:tcPr>
            <w:tcW w:w="1590" w:type="dxa"/>
            <w:tcBorders/>
            <w:vAlign w:val="center"/>
          </w:tcPr>
          <w:p>
            <w:pPr>
              <w:pStyle w:val="TableContents"/>
              <w:bidi w:val="0"/>
              <w:spacing w:before="0" w:after="283"/>
              <w:jc w:val="left"/>
              <w:rPr>
                <w:sz w:val="4"/>
                <w:szCs w:val="4"/>
              </w:rPr>
            </w:pPr>
            <w:r>
              <w:rPr>
                <w:sz w:val="4"/>
                <w:szCs w:val="4"/>
              </w:rPr>
            </w:r>
          </w:p>
        </w:tc>
        <w:tc>
          <w:tcPr>
            <w:tcW w:w="1595"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r>
      <w:tr>
        <w:trPr/>
        <w:tc>
          <w:tcPr>
            <w:tcW w:w="8642" w:type="dxa"/>
            <w:gridSpan w:val="15"/>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left"/>
              <w:rPr>
                <w:rFonts w:ascii="Allstate Sans;sans-serif" w:hAnsi="Allstate Sans;sans-serif"/>
                <w:b/>
                <w:color w:val="000000"/>
                <w:sz w:val="18"/>
              </w:rPr>
            </w:pPr>
            <w:r>
              <w:rPr>
                <w:rFonts w:ascii="Allstate Sans;sans-serif" w:hAnsi="Allstate Sans;sans-serif"/>
                <w:b/>
                <w:color w:val="000000"/>
                <w:sz w:val="18"/>
              </w:rPr>
              <w:t>Unrealized net capital gains (losses)</w:t>
            </w:r>
          </w:p>
        </w:tc>
      </w:tr>
      <w:tr>
        <w:trPr/>
        <w:tc>
          <w:tcPr>
            <w:tcW w:w="49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June 30,</w:t>
            </w:r>
          </w:p>
        </w:tc>
        <w:tc>
          <w:tcPr>
            <w:tcW w:w="4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December 31,</w:t>
            </w:r>
          </w:p>
        </w:tc>
      </w:tr>
      <w:tr>
        <w:trPr/>
        <w:tc>
          <w:tcPr>
            <w:tcW w:w="4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 in millions) </w:t>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2026</w:t>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2025</w:t>
            </w:r>
          </w:p>
        </w:tc>
      </w:tr>
      <w:tr>
        <w:trPr/>
        <w:tc>
          <w:tcPr>
            <w:tcW w:w="4994"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U.S. government and agencies</w:t>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699"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(91)</w:t>
            </w:r>
          </w:p>
        </w:tc>
        <w:tc>
          <w:tcPr>
            <w:tcW w:w="153"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907"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(32)</w:t>
            </w:r>
          </w:p>
        </w:tc>
        <w:tc>
          <w:tcPr>
            <w:tcW w:w="265"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Municipal</w:t>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52 </w:t>
            </w:r>
          </w:p>
        </w:tc>
        <w:tc>
          <w:tcPr>
            <w:tcW w:w="153"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26 </w:t>
            </w:r>
          </w:p>
        </w:tc>
        <w:tc>
          <w:tcPr>
            <w:tcW w:w="265"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Corporate</w:t>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(45)</w:t>
            </w:r>
          </w:p>
        </w:tc>
        <w:tc>
          <w:tcPr>
            <w:tcW w:w="153"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351 </w:t>
            </w:r>
          </w:p>
        </w:tc>
        <w:tc>
          <w:tcPr>
            <w:tcW w:w="265"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Foreign government</w:t>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w:t>
            </w:r>
          </w:p>
        </w:tc>
        <w:tc>
          <w:tcPr>
            <w:tcW w:w="153"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w:t>
            </w:r>
          </w:p>
        </w:tc>
        <w:tc>
          <w:tcPr>
            <w:tcW w:w="265"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ABS</w:t>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w:t>
            </w:r>
          </w:p>
        </w:tc>
        <w:tc>
          <w:tcPr>
            <w:tcW w:w="15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4 </w:t>
            </w:r>
          </w:p>
        </w:tc>
        <w:tc>
          <w:tcPr>
            <w:tcW w:w="26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MBS</w:t>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w:t>
            </w:r>
          </w:p>
        </w:tc>
        <w:tc>
          <w:tcPr>
            <w:tcW w:w="15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40 </w:t>
            </w:r>
          </w:p>
        </w:tc>
        <w:tc>
          <w:tcPr>
            <w:tcW w:w="26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Fixed income securities</w:t>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(93)</w:t>
            </w:r>
          </w:p>
        </w:tc>
        <w:tc>
          <w:tcPr>
            <w:tcW w:w="15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385</w:t>
            </w:r>
            <w:r>
              <w:rPr>
                <w:color w:val="000000"/>
              </w:rPr>
              <w:t> </w:t>
            </w:r>
          </w:p>
        </w:tc>
        <w:tc>
          <w:tcPr>
            <w:tcW w:w="26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Short-term investments</w:t>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w:t>
            </w:r>
          </w:p>
        </w:tc>
        <w:tc>
          <w:tcPr>
            <w:tcW w:w="153"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w:t>
            </w:r>
          </w:p>
        </w:tc>
        <w:tc>
          <w:tcPr>
            <w:tcW w:w="265"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Derivatives</w:t>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w:t>
            </w:r>
          </w:p>
        </w:tc>
        <w:tc>
          <w:tcPr>
            <w:tcW w:w="15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w:t>
            </w:r>
          </w:p>
        </w:tc>
        <w:tc>
          <w:tcPr>
            <w:tcW w:w="26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r>
      <w:tr>
        <w:trPr/>
        <w:tc>
          <w:tcPr>
            <w:tcW w:w="4994"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r>
      <w:tr>
        <w:trPr/>
        <w:tc>
          <w:tcPr>
            <w:tcW w:w="4994" w:type="dxa"/>
            <w:gridSpan w:val="3"/>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Unrealized net capital gains and losses, pre-tax</w:t>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699"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(97)</w:t>
            </w:r>
          </w:p>
        </w:tc>
        <w:tc>
          <w:tcPr>
            <w:tcW w:w="153"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907"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382</w:t>
            </w:r>
            <w:r>
              <w:rPr>
                <w:color w:val="000000"/>
              </w:rPr>
              <w:t> </w:t>
            </w:r>
          </w:p>
        </w:tc>
        <w:tc>
          <w:tcPr>
            <w:tcW w:w="265"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194"/>
        <w:gridCol w:w="1049"/>
        <w:gridCol w:w="1057"/>
        <w:gridCol w:w="136"/>
        <w:gridCol w:w="136"/>
        <w:gridCol w:w="136"/>
        <w:gridCol w:w="283"/>
        <w:gridCol w:w="1056"/>
        <w:gridCol w:w="136"/>
        <w:gridCol w:w="136"/>
        <w:gridCol w:w="136"/>
        <w:gridCol w:w="136"/>
        <w:gridCol w:w="283"/>
        <w:gridCol w:w="660"/>
        <w:gridCol w:w="136"/>
        <w:gridCol w:w="136"/>
        <w:gridCol w:w="136"/>
        <w:gridCol w:w="136"/>
        <w:gridCol w:w="283"/>
        <w:gridCol w:w="750"/>
        <w:gridCol w:w="136"/>
        <w:gridCol w:w="136"/>
        <w:gridCol w:w="136"/>
        <w:gridCol w:w="136"/>
        <w:gridCol w:w="283"/>
        <w:gridCol w:w="1056"/>
        <w:gridCol w:w="211"/>
      </w:tblGrid>
      <w:tr>
        <w:trPr/>
        <w:tc>
          <w:tcPr>
            <w:tcW w:w="1194"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0205" w:type="dxa"/>
            <w:gridSpan w:val="27"/>
            <w:tcBorders>
              <w:top w:val="single" w:sz="4" w:space="0" w:color="000000"/>
            </w:tcBorders>
            <w:tcMar>
              <w:top w:w="30" w:type="dxa"/>
              <w:left w:w="0" w:type="dxa"/>
              <w:bottom w:w="0" w:type="dxa"/>
              <w:right w:w="0" w:type="dxa"/>
            </w:tcMar>
            <w:vAlign w:val="center"/>
          </w:tcPr>
          <w:p>
            <w:pPr>
              <w:pStyle w:val="TableContents"/>
              <w:bidi w:val="0"/>
              <w:spacing w:lineRule="auto" w:line="288" w:before="0" w:after="120"/>
              <w:jc w:val="left"/>
              <w:rPr>
                <w:rFonts w:ascii="Allstate Sans;sans-serif" w:hAnsi="Allstate Sans;sans-serif"/>
                <w:b/>
                <w:color w:val="000000"/>
                <w:sz w:val="18"/>
              </w:rPr>
            </w:pPr>
            <w:r>
              <w:rPr>
                <w:rFonts w:ascii="Allstate Sans;sans-serif" w:hAnsi="Allstate Sans;sans-serif"/>
                <w:b/>
                <w:color w:val="000000"/>
                <w:sz w:val="18"/>
              </w:rPr>
              <w:t>Gross unrealized gains (losses) on fixed income securities by type and sector</w:t>
            </w:r>
          </w:p>
        </w:tc>
      </w:tr>
      <w:tr>
        <w:trPr/>
        <w:tc>
          <w:tcPr>
            <w:tcW w:w="3300"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 in millions)</w:t>
            </w:r>
          </w:p>
        </w:tc>
        <w:tc>
          <w:tcPr>
            <w:tcW w:w="408"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Amortized</w:t>
            </w:r>
          </w:p>
          <w:p>
            <w:pPr>
              <w:pStyle w:val="TableContents"/>
              <w:bidi w:val="0"/>
              <w:spacing w:lineRule="auto" w:line="240" w:before="0" w:after="0"/>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cost, net</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Gross unrealized</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Fair</w:t>
            </w:r>
          </w:p>
          <w:p>
            <w:pPr>
              <w:pStyle w:val="TableContents"/>
              <w:bidi w:val="0"/>
              <w:spacing w:lineRule="auto" w:line="240" w:before="0" w:after="0"/>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value</w:t>
            </w:r>
          </w:p>
        </w:tc>
      </w:tr>
      <w:tr>
        <w:trPr/>
        <w:tc>
          <w:tcPr>
            <w:tcW w:w="3300"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408"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47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Gains</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Losses</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3300"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June 30, 2026</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Corporate</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Banking</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105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4,422 </w:t>
            </w:r>
          </w:p>
        </w:tc>
        <w:tc>
          <w:tcPr>
            <w:tcW w:w="13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660"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35 </w:t>
            </w:r>
          </w:p>
        </w:tc>
        <w:tc>
          <w:tcPr>
            <w:tcW w:w="13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750"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(27)</w:t>
            </w:r>
          </w:p>
        </w:tc>
        <w:tc>
          <w:tcPr>
            <w:tcW w:w="13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105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4,430 </w:t>
            </w:r>
          </w:p>
        </w:tc>
        <w:tc>
          <w:tcPr>
            <w:tcW w:w="21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 xml:space="preserve">Basic industry </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1,530 </w:t>
            </w:r>
          </w:p>
        </w:tc>
        <w:tc>
          <w:tcPr>
            <w:tcW w:w="13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10 </w:t>
            </w:r>
          </w:p>
        </w:tc>
        <w:tc>
          <w:tcPr>
            <w:tcW w:w="13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(12)</w:t>
            </w:r>
          </w:p>
        </w:tc>
        <w:tc>
          <w:tcPr>
            <w:tcW w:w="13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1,528 </w:t>
            </w:r>
          </w:p>
        </w:tc>
        <w:tc>
          <w:tcPr>
            <w:tcW w:w="21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Capital goods</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3,603 </w:t>
            </w:r>
          </w:p>
        </w:tc>
        <w:tc>
          <w:tcPr>
            <w:tcW w:w="13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35 </w:t>
            </w:r>
          </w:p>
        </w:tc>
        <w:tc>
          <w:tcPr>
            <w:tcW w:w="13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(37)</w:t>
            </w:r>
          </w:p>
        </w:tc>
        <w:tc>
          <w:tcPr>
            <w:tcW w:w="13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3,601 </w:t>
            </w:r>
          </w:p>
        </w:tc>
        <w:tc>
          <w:tcPr>
            <w:tcW w:w="21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Communications</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2,957 </w:t>
            </w:r>
          </w:p>
        </w:tc>
        <w:tc>
          <w:tcPr>
            <w:tcW w:w="13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20 </w:t>
            </w:r>
          </w:p>
        </w:tc>
        <w:tc>
          <w:tcPr>
            <w:tcW w:w="13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(45)</w:t>
            </w:r>
          </w:p>
        </w:tc>
        <w:tc>
          <w:tcPr>
            <w:tcW w:w="13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2,932 </w:t>
            </w:r>
          </w:p>
        </w:tc>
        <w:tc>
          <w:tcPr>
            <w:tcW w:w="21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Consumer goods (cyclical and non-cyclical)</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6,963 </w:t>
            </w:r>
          </w:p>
        </w:tc>
        <w:tc>
          <w:tcPr>
            <w:tcW w:w="13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64 </w:t>
            </w:r>
          </w:p>
        </w:tc>
        <w:tc>
          <w:tcPr>
            <w:tcW w:w="13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(55)</w:t>
            </w:r>
          </w:p>
        </w:tc>
        <w:tc>
          <w:tcPr>
            <w:tcW w:w="13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6,972 </w:t>
            </w:r>
          </w:p>
        </w:tc>
        <w:tc>
          <w:tcPr>
            <w:tcW w:w="21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Energy</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4,160 </w:t>
            </w:r>
          </w:p>
        </w:tc>
        <w:tc>
          <w:tcPr>
            <w:tcW w:w="13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40 </w:t>
            </w:r>
          </w:p>
        </w:tc>
        <w:tc>
          <w:tcPr>
            <w:tcW w:w="13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(28)</w:t>
            </w:r>
          </w:p>
        </w:tc>
        <w:tc>
          <w:tcPr>
            <w:tcW w:w="13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4,172 </w:t>
            </w:r>
          </w:p>
        </w:tc>
        <w:tc>
          <w:tcPr>
            <w:tcW w:w="21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Financial services</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2,429 </w:t>
            </w:r>
          </w:p>
        </w:tc>
        <w:tc>
          <w:tcPr>
            <w:tcW w:w="13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17 </w:t>
            </w:r>
          </w:p>
        </w:tc>
        <w:tc>
          <w:tcPr>
            <w:tcW w:w="13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(26)</w:t>
            </w:r>
          </w:p>
        </w:tc>
        <w:tc>
          <w:tcPr>
            <w:tcW w:w="13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2,420 </w:t>
            </w:r>
          </w:p>
        </w:tc>
        <w:tc>
          <w:tcPr>
            <w:tcW w:w="21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Technology</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2,853 </w:t>
            </w:r>
          </w:p>
        </w:tc>
        <w:tc>
          <w:tcPr>
            <w:tcW w:w="13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18 </w:t>
            </w:r>
          </w:p>
        </w:tc>
        <w:tc>
          <w:tcPr>
            <w:tcW w:w="13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(52)</w:t>
            </w:r>
          </w:p>
        </w:tc>
        <w:tc>
          <w:tcPr>
            <w:tcW w:w="13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2,819 </w:t>
            </w:r>
          </w:p>
        </w:tc>
        <w:tc>
          <w:tcPr>
            <w:tcW w:w="21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Transportation</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1,172 </w:t>
            </w:r>
          </w:p>
        </w:tc>
        <w:tc>
          <w:tcPr>
            <w:tcW w:w="13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8 </w:t>
            </w:r>
          </w:p>
        </w:tc>
        <w:tc>
          <w:tcPr>
            <w:tcW w:w="13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(11)</w:t>
            </w:r>
          </w:p>
        </w:tc>
        <w:tc>
          <w:tcPr>
            <w:tcW w:w="13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1,169 </w:t>
            </w:r>
          </w:p>
        </w:tc>
        <w:tc>
          <w:tcPr>
            <w:tcW w:w="21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 xml:space="preserve">Utilities </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5,906 </w:t>
            </w:r>
          </w:p>
        </w:tc>
        <w:tc>
          <w:tcPr>
            <w:tcW w:w="13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60 </w:t>
            </w:r>
          </w:p>
        </w:tc>
        <w:tc>
          <w:tcPr>
            <w:tcW w:w="13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(54)</w:t>
            </w:r>
          </w:p>
        </w:tc>
        <w:tc>
          <w:tcPr>
            <w:tcW w:w="13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5,912 </w:t>
            </w:r>
          </w:p>
        </w:tc>
        <w:tc>
          <w:tcPr>
            <w:tcW w:w="21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Other</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457 </w:t>
            </w:r>
          </w:p>
        </w:tc>
        <w:tc>
          <w:tcPr>
            <w:tcW w:w="13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3 </w:t>
            </w:r>
          </w:p>
        </w:tc>
        <w:tc>
          <w:tcPr>
            <w:tcW w:w="13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w:t>
            </w:r>
          </w:p>
        </w:tc>
        <w:tc>
          <w:tcPr>
            <w:tcW w:w="13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452 </w:t>
            </w:r>
          </w:p>
        </w:tc>
        <w:tc>
          <w:tcPr>
            <w:tcW w:w="21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 corporate fixed income portfolio</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36,452</w:t>
            </w:r>
            <w:r>
              <w:rPr>
                <w:color w:val="000000"/>
              </w:rPr>
              <w:t> </w:t>
            </w:r>
          </w:p>
        </w:tc>
        <w:tc>
          <w:tcPr>
            <w:tcW w:w="13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310</w:t>
            </w:r>
            <w:r>
              <w:rPr>
                <w:color w:val="000000"/>
              </w:rPr>
              <w:t> </w:t>
            </w:r>
          </w:p>
        </w:tc>
        <w:tc>
          <w:tcPr>
            <w:tcW w:w="13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(355)</w:t>
            </w:r>
          </w:p>
        </w:tc>
        <w:tc>
          <w:tcPr>
            <w:tcW w:w="13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36,407</w:t>
            </w:r>
            <w:r>
              <w:rPr>
                <w:color w:val="000000"/>
              </w:rPr>
              <w:t> </w:t>
            </w:r>
          </w:p>
        </w:tc>
        <w:tc>
          <w:tcPr>
            <w:tcW w:w="21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U.S. government and agencies</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12,442 </w:t>
            </w:r>
          </w:p>
        </w:tc>
        <w:tc>
          <w:tcPr>
            <w:tcW w:w="13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12 </w:t>
            </w:r>
          </w:p>
        </w:tc>
        <w:tc>
          <w:tcPr>
            <w:tcW w:w="13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(103)</w:t>
            </w:r>
          </w:p>
        </w:tc>
        <w:tc>
          <w:tcPr>
            <w:tcW w:w="13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12,351 </w:t>
            </w:r>
          </w:p>
        </w:tc>
        <w:tc>
          <w:tcPr>
            <w:tcW w:w="21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Municipal</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6,282 </w:t>
            </w:r>
          </w:p>
        </w:tc>
        <w:tc>
          <w:tcPr>
            <w:tcW w:w="13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92 </w:t>
            </w:r>
          </w:p>
        </w:tc>
        <w:tc>
          <w:tcPr>
            <w:tcW w:w="13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(40)</w:t>
            </w:r>
          </w:p>
        </w:tc>
        <w:tc>
          <w:tcPr>
            <w:tcW w:w="13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6,334 </w:t>
            </w:r>
          </w:p>
        </w:tc>
        <w:tc>
          <w:tcPr>
            <w:tcW w:w="21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Foreign government</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1,626 </w:t>
            </w:r>
          </w:p>
        </w:tc>
        <w:tc>
          <w:tcPr>
            <w:tcW w:w="13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13 </w:t>
            </w:r>
          </w:p>
        </w:tc>
        <w:tc>
          <w:tcPr>
            <w:tcW w:w="13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(14)</w:t>
            </w:r>
          </w:p>
        </w:tc>
        <w:tc>
          <w:tcPr>
            <w:tcW w:w="13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1,625 </w:t>
            </w:r>
          </w:p>
        </w:tc>
        <w:tc>
          <w:tcPr>
            <w:tcW w:w="21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ABS</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1,976 </w:t>
            </w:r>
          </w:p>
        </w:tc>
        <w:tc>
          <w:tcPr>
            <w:tcW w:w="13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7 </w:t>
            </w:r>
          </w:p>
        </w:tc>
        <w:tc>
          <w:tcPr>
            <w:tcW w:w="13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(12)</w:t>
            </w:r>
          </w:p>
        </w:tc>
        <w:tc>
          <w:tcPr>
            <w:tcW w:w="13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1,971 </w:t>
            </w:r>
          </w:p>
        </w:tc>
        <w:tc>
          <w:tcPr>
            <w:tcW w:w="21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MBS</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2,124 </w:t>
            </w:r>
          </w:p>
        </w:tc>
        <w:tc>
          <w:tcPr>
            <w:tcW w:w="13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11 </w:t>
            </w:r>
          </w:p>
        </w:tc>
        <w:tc>
          <w:tcPr>
            <w:tcW w:w="13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(14)</w:t>
            </w:r>
          </w:p>
        </w:tc>
        <w:tc>
          <w:tcPr>
            <w:tcW w:w="13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2,121 </w:t>
            </w:r>
          </w:p>
        </w:tc>
        <w:tc>
          <w:tcPr>
            <w:tcW w:w="21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 fixed income securities</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105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60,902</w:t>
            </w:r>
            <w:r>
              <w:rPr>
                <w:color w:val="000000"/>
              </w:rPr>
              <w:t> </w:t>
            </w:r>
          </w:p>
        </w:tc>
        <w:tc>
          <w:tcPr>
            <w:tcW w:w="13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660"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445</w:t>
            </w:r>
            <w:r>
              <w:rPr>
                <w:color w:val="000000"/>
              </w:rPr>
              <w:t> </w:t>
            </w:r>
          </w:p>
        </w:tc>
        <w:tc>
          <w:tcPr>
            <w:tcW w:w="13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750"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(538)</w:t>
            </w:r>
          </w:p>
        </w:tc>
        <w:tc>
          <w:tcPr>
            <w:tcW w:w="13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105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60,809</w:t>
            </w:r>
            <w:r>
              <w:rPr>
                <w:color w:val="000000"/>
              </w:rPr>
              <w:t> </w:t>
            </w:r>
          </w:p>
        </w:tc>
        <w:tc>
          <w:tcPr>
            <w:tcW w:w="211"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260"/>
                <wp:effectExtent l="0" t="0" r="0" b="0"/>
                <wp:wrapNone/>
                <wp:docPr id="72"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120"/>
                              <w:jc w:val="left"/>
                              <w:rPr/>
                            </w:pPr>
                            <w:r>
                              <w:rPr>
                                <w:rFonts w:ascii="Allstate Sans;sans-serif" w:hAnsi="Allstate Sans;sans-serif"/>
                                <w:b w:val="false"/>
                                <w:color w:val="0033A0"/>
                                <w:sz w:val="18"/>
                              </w:rPr>
                              <w:t>62</w:t>
                            </w:r>
                            <w:r>
                              <w:rPr>
                                <w:color w:val="1666AF"/>
                              </w:rPr>
                              <w:t xml:space="preserve"> </w:t>
                            </w:r>
                            <w:r>
                              <w:rPr>
                                <w:rFonts w:ascii="Allstate Sans;sans-serif" w:hAnsi="Allstate Sans;sans-serif"/>
                                <w:b w:val="false"/>
                                <w:color w:val="000000"/>
                                <w:sz w:val="18"/>
                              </w:rPr>
                              <w:t>www.allstate.com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left"/>
                        <w:rPr/>
                      </w:pPr>
                      <w:r>
                        <w:rPr>
                          <w:rFonts w:ascii="Allstate Sans;sans-serif" w:hAnsi="Allstate Sans;sans-serif"/>
                          <w:b w:val="false"/>
                          <w:color w:val="0033A0"/>
                          <w:sz w:val="18"/>
                        </w:rPr>
                        <w:t>62</w:t>
                      </w:r>
                      <w:r>
                        <w:rPr>
                          <w:color w:val="1666AF"/>
                        </w:rPr>
                        <w:t xml:space="preserve"> </w:t>
                      </w:r>
                      <w:r>
                        <w:rPr>
                          <w:rFonts w:ascii="Allstate Sans;sans-serif" w:hAnsi="Allstate Sans;sans-serif"/>
                          <w:b w:val="false"/>
                          <w:color w:val="000000"/>
                          <w:sz w:val="18"/>
                        </w:rPr>
                        <w:t>www.allstate.com</w:t>
                      </w:r>
                    </w:p>
                  </w:txbxContent>
                </v:textbox>
                <w10:wrap type="none"/>
              </v:rect>
            </w:pict>
          </mc:Fallback>
        </mc:AlternateContent>
      </w:r>
    </w:p>
    <w:p>
      <w:pPr>
        <w:pStyle w:val="TextBody"/>
        <w:bidi w:val="0"/>
        <w:spacing w:lineRule="auto" w:line="288" w:before="0" w:after="120"/>
        <w:ind w:left="0" w:right="0" w:firstLine="360"/>
        <w:jc w:val="right"/>
        <w:rPr>
          <w:rFonts w:ascii="Allstate Sans;sans-serif" w:hAnsi="Allstate Sans;sans-serif"/>
          <w:b w:val="false"/>
          <w:color w:val="0033A0"/>
          <w:sz w:val="18"/>
        </w:rPr>
      </w:pPr>
      <w:r>
        <w:rPr>
          <w:rFonts w:ascii="Allstate Sans;sans-serif" w:hAnsi="Allstate Sans;sans-serif"/>
          <w:b w:val="false"/>
          <w:color w:val="0033A0"/>
          <w:sz w:val="18"/>
        </w:rPr>
        <w:t>Investments</w:t>
      </w:r>
    </w:p>
    <w:tbl>
      <w:tblPr>
        <w:tblW w:w="10205" w:type="dxa"/>
        <w:jc w:val="left"/>
        <w:tblInd w:w="0" w:type="dxa"/>
        <w:tblLayout w:type="fixed"/>
        <w:tblCellMar>
          <w:top w:w="28" w:type="dxa"/>
          <w:left w:w="28" w:type="dxa"/>
          <w:bottom w:w="28" w:type="dxa"/>
          <w:right w:w="28" w:type="dxa"/>
        </w:tblCellMar>
      </w:tblPr>
      <w:tblGrid>
        <w:gridCol w:w="1246"/>
        <w:gridCol w:w="1028"/>
        <w:gridCol w:w="1026"/>
        <w:gridCol w:w="136"/>
        <w:gridCol w:w="136"/>
        <w:gridCol w:w="136"/>
        <w:gridCol w:w="283"/>
        <w:gridCol w:w="1056"/>
        <w:gridCol w:w="136"/>
        <w:gridCol w:w="136"/>
        <w:gridCol w:w="136"/>
        <w:gridCol w:w="136"/>
        <w:gridCol w:w="283"/>
        <w:gridCol w:w="660"/>
        <w:gridCol w:w="136"/>
        <w:gridCol w:w="136"/>
        <w:gridCol w:w="136"/>
        <w:gridCol w:w="136"/>
        <w:gridCol w:w="283"/>
        <w:gridCol w:w="750"/>
        <w:gridCol w:w="136"/>
        <w:gridCol w:w="136"/>
        <w:gridCol w:w="136"/>
        <w:gridCol w:w="136"/>
        <w:gridCol w:w="283"/>
        <w:gridCol w:w="1056"/>
        <w:gridCol w:w="211"/>
      </w:tblGrid>
      <w:tr>
        <w:trPr/>
        <w:tc>
          <w:tcPr>
            <w:tcW w:w="1246"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0205" w:type="dxa"/>
            <w:gridSpan w:val="27"/>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Gross unrealized gains (losses) on fixed income securities by type and sector</w:t>
            </w:r>
          </w:p>
        </w:tc>
      </w:tr>
      <w:tr>
        <w:trPr/>
        <w:tc>
          <w:tcPr>
            <w:tcW w:w="3300"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 in millions)</w:t>
            </w:r>
          </w:p>
        </w:tc>
        <w:tc>
          <w:tcPr>
            <w:tcW w:w="408"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Amortized</w:t>
              <w:br/>
              <w:t>cost, net</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Gross unrealized</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Fair</w:t>
            </w:r>
          </w:p>
          <w:p>
            <w:pPr>
              <w:pStyle w:val="TableContents"/>
              <w:bidi w:val="0"/>
              <w:spacing w:lineRule="auto" w:line="240" w:before="0" w:after="0"/>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value</w:t>
            </w:r>
          </w:p>
        </w:tc>
      </w:tr>
      <w:tr>
        <w:trPr/>
        <w:tc>
          <w:tcPr>
            <w:tcW w:w="3300"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408"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47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Gains</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Losses</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3300"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December 31, 2025</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Corporate</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 xml:space="preserve">Banking </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105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3,720 </w:t>
            </w:r>
          </w:p>
        </w:tc>
        <w:tc>
          <w:tcPr>
            <w:tcW w:w="13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660"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83 </w:t>
            </w:r>
          </w:p>
        </w:tc>
        <w:tc>
          <w:tcPr>
            <w:tcW w:w="13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750"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(11)</w:t>
            </w:r>
          </w:p>
        </w:tc>
        <w:tc>
          <w:tcPr>
            <w:tcW w:w="13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105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3,792 </w:t>
            </w:r>
          </w:p>
        </w:tc>
        <w:tc>
          <w:tcPr>
            <w:tcW w:w="21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Basic industry</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1,028 </w:t>
            </w:r>
          </w:p>
        </w:tc>
        <w:tc>
          <w:tcPr>
            <w:tcW w:w="13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19 </w:t>
            </w:r>
          </w:p>
        </w:tc>
        <w:tc>
          <w:tcPr>
            <w:tcW w:w="13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(9)</w:t>
            </w:r>
          </w:p>
        </w:tc>
        <w:tc>
          <w:tcPr>
            <w:tcW w:w="13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1,038 </w:t>
            </w:r>
          </w:p>
        </w:tc>
        <w:tc>
          <w:tcPr>
            <w:tcW w:w="21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Capital goods</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3,142 </w:t>
            </w:r>
          </w:p>
        </w:tc>
        <w:tc>
          <w:tcPr>
            <w:tcW w:w="13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64 </w:t>
            </w:r>
          </w:p>
        </w:tc>
        <w:tc>
          <w:tcPr>
            <w:tcW w:w="13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(22)</w:t>
            </w:r>
          </w:p>
        </w:tc>
        <w:tc>
          <w:tcPr>
            <w:tcW w:w="13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3,184 </w:t>
            </w:r>
          </w:p>
        </w:tc>
        <w:tc>
          <w:tcPr>
            <w:tcW w:w="21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Communications</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2,195 </w:t>
            </w:r>
          </w:p>
        </w:tc>
        <w:tc>
          <w:tcPr>
            <w:tcW w:w="13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38 </w:t>
            </w:r>
          </w:p>
        </w:tc>
        <w:tc>
          <w:tcPr>
            <w:tcW w:w="13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(21)</w:t>
            </w:r>
          </w:p>
        </w:tc>
        <w:tc>
          <w:tcPr>
            <w:tcW w:w="13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2,212 </w:t>
            </w:r>
          </w:p>
        </w:tc>
        <w:tc>
          <w:tcPr>
            <w:tcW w:w="21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Consumer goods (cyclical and non-cyclical)</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6,097 </w:t>
            </w:r>
          </w:p>
        </w:tc>
        <w:tc>
          <w:tcPr>
            <w:tcW w:w="13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124 </w:t>
            </w:r>
          </w:p>
        </w:tc>
        <w:tc>
          <w:tcPr>
            <w:tcW w:w="13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(42)</w:t>
            </w:r>
          </w:p>
        </w:tc>
        <w:tc>
          <w:tcPr>
            <w:tcW w:w="13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6,179 </w:t>
            </w:r>
          </w:p>
        </w:tc>
        <w:tc>
          <w:tcPr>
            <w:tcW w:w="21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Energy</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2,715 </w:t>
            </w:r>
          </w:p>
        </w:tc>
        <w:tc>
          <w:tcPr>
            <w:tcW w:w="13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55 </w:t>
            </w:r>
          </w:p>
        </w:tc>
        <w:tc>
          <w:tcPr>
            <w:tcW w:w="13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(17)</w:t>
            </w:r>
          </w:p>
        </w:tc>
        <w:tc>
          <w:tcPr>
            <w:tcW w:w="13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2,753 </w:t>
            </w:r>
          </w:p>
        </w:tc>
        <w:tc>
          <w:tcPr>
            <w:tcW w:w="21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Financial services</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2,430 </w:t>
            </w:r>
          </w:p>
        </w:tc>
        <w:tc>
          <w:tcPr>
            <w:tcW w:w="13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39 </w:t>
            </w:r>
          </w:p>
        </w:tc>
        <w:tc>
          <w:tcPr>
            <w:tcW w:w="13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(21)</w:t>
            </w:r>
          </w:p>
        </w:tc>
        <w:tc>
          <w:tcPr>
            <w:tcW w:w="13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2,448 </w:t>
            </w:r>
          </w:p>
        </w:tc>
        <w:tc>
          <w:tcPr>
            <w:tcW w:w="21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Technology</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2,956 </w:t>
            </w:r>
          </w:p>
        </w:tc>
        <w:tc>
          <w:tcPr>
            <w:tcW w:w="13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40 </w:t>
            </w:r>
          </w:p>
        </w:tc>
        <w:tc>
          <w:tcPr>
            <w:tcW w:w="13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(47)</w:t>
            </w:r>
          </w:p>
        </w:tc>
        <w:tc>
          <w:tcPr>
            <w:tcW w:w="13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2,949 </w:t>
            </w:r>
          </w:p>
        </w:tc>
        <w:tc>
          <w:tcPr>
            <w:tcW w:w="21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Transportation</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831 </w:t>
            </w:r>
          </w:p>
        </w:tc>
        <w:tc>
          <w:tcPr>
            <w:tcW w:w="13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14 </w:t>
            </w:r>
          </w:p>
        </w:tc>
        <w:tc>
          <w:tcPr>
            <w:tcW w:w="13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w:t>
            </w:r>
          </w:p>
        </w:tc>
        <w:tc>
          <w:tcPr>
            <w:tcW w:w="13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839 </w:t>
            </w:r>
          </w:p>
        </w:tc>
        <w:tc>
          <w:tcPr>
            <w:tcW w:w="21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Utilities</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4,465 </w:t>
            </w:r>
          </w:p>
        </w:tc>
        <w:tc>
          <w:tcPr>
            <w:tcW w:w="13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104 </w:t>
            </w:r>
          </w:p>
        </w:tc>
        <w:tc>
          <w:tcPr>
            <w:tcW w:w="13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(27)</w:t>
            </w:r>
          </w:p>
        </w:tc>
        <w:tc>
          <w:tcPr>
            <w:tcW w:w="13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4,542 </w:t>
            </w:r>
          </w:p>
        </w:tc>
        <w:tc>
          <w:tcPr>
            <w:tcW w:w="21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Other</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471 </w:t>
            </w:r>
          </w:p>
        </w:tc>
        <w:tc>
          <w:tcPr>
            <w:tcW w:w="13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5 </w:t>
            </w:r>
          </w:p>
        </w:tc>
        <w:tc>
          <w:tcPr>
            <w:tcW w:w="13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(11)</w:t>
            </w:r>
          </w:p>
        </w:tc>
        <w:tc>
          <w:tcPr>
            <w:tcW w:w="13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465 </w:t>
            </w:r>
          </w:p>
        </w:tc>
        <w:tc>
          <w:tcPr>
            <w:tcW w:w="21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 corporate fixed income portfolio</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30,050</w:t>
            </w:r>
            <w:r>
              <w:rPr>
                <w:color w:val="000000"/>
              </w:rPr>
              <w:t> </w:t>
            </w:r>
          </w:p>
        </w:tc>
        <w:tc>
          <w:tcPr>
            <w:tcW w:w="13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585</w:t>
            </w:r>
            <w:r>
              <w:rPr>
                <w:color w:val="000000"/>
              </w:rPr>
              <w:t> </w:t>
            </w:r>
          </w:p>
        </w:tc>
        <w:tc>
          <w:tcPr>
            <w:tcW w:w="13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(234)</w:t>
            </w:r>
          </w:p>
        </w:tc>
        <w:tc>
          <w:tcPr>
            <w:tcW w:w="13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30,401</w:t>
            </w:r>
            <w:r>
              <w:rPr>
                <w:color w:val="000000"/>
              </w:rPr>
              <w:t> </w:t>
            </w:r>
          </w:p>
        </w:tc>
        <w:tc>
          <w:tcPr>
            <w:tcW w:w="21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U.S. government and agencies</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18,165 </w:t>
            </w:r>
          </w:p>
        </w:tc>
        <w:tc>
          <w:tcPr>
            <w:tcW w:w="13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43 </w:t>
            </w:r>
          </w:p>
        </w:tc>
        <w:tc>
          <w:tcPr>
            <w:tcW w:w="13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(75)</w:t>
            </w:r>
          </w:p>
        </w:tc>
        <w:tc>
          <w:tcPr>
            <w:tcW w:w="13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18,133 </w:t>
            </w:r>
          </w:p>
        </w:tc>
        <w:tc>
          <w:tcPr>
            <w:tcW w:w="21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Municipal</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5,617 </w:t>
            </w:r>
          </w:p>
        </w:tc>
        <w:tc>
          <w:tcPr>
            <w:tcW w:w="13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87 </w:t>
            </w:r>
          </w:p>
        </w:tc>
        <w:tc>
          <w:tcPr>
            <w:tcW w:w="13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(61)</w:t>
            </w:r>
          </w:p>
        </w:tc>
        <w:tc>
          <w:tcPr>
            <w:tcW w:w="13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5,643 </w:t>
            </w:r>
          </w:p>
        </w:tc>
        <w:tc>
          <w:tcPr>
            <w:tcW w:w="21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Foreign government</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1,464 </w:t>
            </w:r>
          </w:p>
        </w:tc>
        <w:tc>
          <w:tcPr>
            <w:tcW w:w="13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13 </w:t>
            </w:r>
          </w:p>
        </w:tc>
        <w:tc>
          <w:tcPr>
            <w:tcW w:w="13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(17)</w:t>
            </w:r>
          </w:p>
        </w:tc>
        <w:tc>
          <w:tcPr>
            <w:tcW w:w="13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1,460 </w:t>
            </w:r>
          </w:p>
        </w:tc>
        <w:tc>
          <w:tcPr>
            <w:tcW w:w="21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ABS</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1,348 </w:t>
            </w:r>
          </w:p>
        </w:tc>
        <w:tc>
          <w:tcPr>
            <w:tcW w:w="13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8 </w:t>
            </w:r>
          </w:p>
        </w:tc>
        <w:tc>
          <w:tcPr>
            <w:tcW w:w="13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w:t>
            </w:r>
          </w:p>
        </w:tc>
        <w:tc>
          <w:tcPr>
            <w:tcW w:w="13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1,352 </w:t>
            </w:r>
          </w:p>
        </w:tc>
        <w:tc>
          <w:tcPr>
            <w:tcW w:w="21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MBS</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2,086 </w:t>
            </w:r>
          </w:p>
        </w:tc>
        <w:tc>
          <w:tcPr>
            <w:tcW w:w="13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41 </w:t>
            </w:r>
          </w:p>
        </w:tc>
        <w:tc>
          <w:tcPr>
            <w:tcW w:w="13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w:t>
            </w:r>
          </w:p>
        </w:tc>
        <w:tc>
          <w:tcPr>
            <w:tcW w:w="13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2,126 </w:t>
            </w:r>
          </w:p>
        </w:tc>
        <w:tc>
          <w:tcPr>
            <w:tcW w:w="21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 fixed income securities</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105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58,730</w:t>
            </w:r>
            <w:r>
              <w:rPr>
                <w:color w:val="000000"/>
              </w:rPr>
              <w:t> </w:t>
            </w:r>
          </w:p>
        </w:tc>
        <w:tc>
          <w:tcPr>
            <w:tcW w:w="13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660"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777</w:t>
            </w:r>
            <w:r>
              <w:rPr>
                <w:color w:val="000000"/>
              </w:rPr>
              <w:t> </w:t>
            </w:r>
          </w:p>
        </w:tc>
        <w:tc>
          <w:tcPr>
            <w:tcW w:w="13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750"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(392)</w:t>
            </w:r>
          </w:p>
        </w:tc>
        <w:tc>
          <w:tcPr>
            <w:tcW w:w="13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105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59,115</w:t>
            </w:r>
            <w:r>
              <w:rPr>
                <w:color w:val="000000"/>
              </w:rPr>
              <w:t> </w:t>
            </w:r>
          </w:p>
        </w:tc>
        <w:tc>
          <w:tcPr>
            <w:tcW w:w="211"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In general, gross unrealized losses are related to an increase in market yields, which may include increased risk-free interest rates and wider credit spreads since the time of initial purchase. Similarly, gross unrealized gains reflect a decrease in market yields since the time of initial purchase.</w:t>
      </w:r>
    </w:p>
    <w:tbl>
      <w:tblPr>
        <w:tblW w:w="10205" w:type="dxa"/>
        <w:jc w:val="left"/>
        <w:tblInd w:w="0" w:type="dxa"/>
        <w:tblLayout w:type="fixed"/>
        <w:tblCellMar>
          <w:top w:w="28" w:type="dxa"/>
          <w:left w:w="28" w:type="dxa"/>
          <w:bottom w:w="28" w:type="dxa"/>
          <w:right w:w="28" w:type="dxa"/>
        </w:tblCellMar>
      </w:tblPr>
      <w:tblGrid>
        <w:gridCol w:w="620"/>
        <w:gridCol w:w="544"/>
        <w:gridCol w:w="549"/>
        <w:gridCol w:w="109"/>
        <w:gridCol w:w="109"/>
        <w:gridCol w:w="109"/>
        <w:gridCol w:w="226"/>
        <w:gridCol w:w="841"/>
        <w:gridCol w:w="109"/>
        <w:gridCol w:w="109"/>
        <w:gridCol w:w="109"/>
        <w:gridCol w:w="109"/>
        <w:gridCol w:w="234"/>
        <w:gridCol w:w="749"/>
        <w:gridCol w:w="113"/>
        <w:gridCol w:w="109"/>
        <w:gridCol w:w="109"/>
        <w:gridCol w:w="109"/>
        <w:gridCol w:w="226"/>
        <w:gridCol w:w="841"/>
        <w:gridCol w:w="109"/>
        <w:gridCol w:w="109"/>
        <w:gridCol w:w="109"/>
        <w:gridCol w:w="109"/>
        <w:gridCol w:w="226"/>
        <w:gridCol w:w="721"/>
        <w:gridCol w:w="109"/>
        <w:gridCol w:w="109"/>
        <w:gridCol w:w="109"/>
        <w:gridCol w:w="109"/>
        <w:gridCol w:w="241"/>
        <w:gridCol w:w="563"/>
        <w:gridCol w:w="117"/>
        <w:gridCol w:w="109"/>
        <w:gridCol w:w="109"/>
        <w:gridCol w:w="109"/>
        <w:gridCol w:w="226"/>
        <w:gridCol w:w="721"/>
        <w:gridCol w:w="158"/>
      </w:tblGrid>
      <w:tr>
        <w:trPr/>
        <w:tc>
          <w:tcPr>
            <w:tcW w:w="620"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0205" w:type="dxa"/>
            <w:gridSpan w:val="39"/>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120"/>
              <w:jc w:val="left"/>
              <w:rPr>
                <w:rFonts w:ascii="Allstate Sans;sans-serif" w:hAnsi="Allstate Sans;sans-serif"/>
                <w:b/>
                <w:color w:val="000000"/>
                <w:sz w:val="18"/>
              </w:rPr>
            </w:pPr>
            <w:r>
              <w:rPr>
                <w:rFonts w:ascii="Allstate Sans;sans-serif" w:hAnsi="Allstate Sans;sans-serif"/>
                <w:b/>
                <w:color w:val="000000"/>
                <w:sz w:val="18"/>
              </w:rPr>
              <w:t>Equity securities by sector</w:t>
            </w:r>
          </w:p>
        </w:tc>
      </w:tr>
      <w:tr>
        <w:trPr/>
        <w:tc>
          <w:tcPr>
            <w:tcW w:w="17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6"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December 31, 2025</w:t>
            </w:r>
          </w:p>
        </w:tc>
      </w:tr>
      <w:tr>
        <w:trPr/>
        <w:tc>
          <w:tcPr>
            <w:tcW w:w="171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 in millions)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Cost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restart"/>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Over (under) cost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Fair</w:t>
            </w:r>
          </w:p>
          <w:p>
            <w:pPr>
              <w:pStyle w:val="TableContents"/>
              <w:bidi w:val="0"/>
              <w:spacing w:lineRule="auto" w:line="240" w:before="0" w:after="0"/>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Cost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vMerge w:val="restart"/>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Over (under) cost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vMerge w:val="restart"/>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Fair</w:t>
            </w:r>
          </w:p>
          <w:p>
            <w:pPr>
              <w:pStyle w:val="TableContents"/>
              <w:bidi w:val="0"/>
              <w:spacing w:lineRule="auto" w:line="240" w:before="0" w:after="0"/>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value</w:t>
            </w:r>
          </w:p>
        </w:tc>
      </w:tr>
      <w:tr>
        <w:trPr/>
        <w:tc>
          <w:tcPr>
            <w:tcW w:w="171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76" w:type="dxa"/>
            <w:gridSpan w:val="3"/>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r>
      <w:tr>
        <w:trPr/>
        <w:tc>
          <w:tcPr>
            <w:tcW w:w="1713"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Banking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841"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369 </w:t>
            </w:r>
          </w:p>
        </w:tc>
        <w:tc>
          <w:tcPr>
            <w:tcW w:w="109"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749"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52 </w:t>
            </w:r>
          </w:p>
        </w:tc>
        <w:tc>
          <w:tcPr>
            <w:tcW w:w="113"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841"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421 </w:t>
            </w:r>
          </w:p>
        </w:tc>
        <w:tc>
          <w:tcPr>
            <w:tcW w:w="109"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721"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298 </w:t>
            </w:r>
          </w:p>
        </w:tc>
        <w:tc>
          <w:tcPr>
            <w:tcW w:w="109"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563"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58 </w:t>
            </w:r>
          </w:p>
        </w:tc>
        <w:tc>
          <w:tcPr>
            <w:tcW w:w="117"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721"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356 </w:t>
            </w:r>
          </w:p>
        </w:tc>
        <w:tc>
          <w:tcPr>
            <w:tcW w:w="158"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3"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Basic industry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149 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16 </w:t>
            </w:r>
          </w:p>
        </w:tc>
        <w:tc>
          <w:tcPr>
            <w:tcW w:w="11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165 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105 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7 </w:t>
            </w:r>
          </w:p>
        </w:tc>
        <w:tc>
          <w:tcPr>
            <w:tcW w:w="11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112 </w:t>
            </w:r>
          </w:p>
        </w:tc>
        <w:tc>
          <w:tcPr>
            <w:tcW w:w="15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3"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Capital goods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563 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120 </w:t>
            </w:r>
          </w:p>
        </w:tc>
        <w:tc>
          <w:tcPr>
            <w:tcW w:w="11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683 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412 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12 </w:t>
            </w:r>
          </w:p>
        </w:tc>
        <w:tc>
          <w:tcPr>
            <w:tcW w:w="11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424 </w:t>
            </w:r>
          </w:p>
        </w:tc>
        <w:tc>
          <w:tcPr>
            <w:tcW w:w="15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3"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Communications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339 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(12)</w:t>
            </w:r>
          </w:p>
        </w:tc>
        <w:tc>
          <w:tcPr>
            <w:tcW w:w="11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327 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333 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19 </w:t>
            </w:r>
          </w:p>
        </w:tc>
        <w:tc>
          <w:tcPr>
            <w:tcW w:w="11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352 </w:t>
            </w:r>
          </w:p>
        </w:tc>
        <w:tc>
          <w:tcPr>
            <w:tcW w:w="15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3"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Consumer goods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1,490 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104 </w:t>
            </w:r>
          </w:p>
        </w:tc>
        <w:tc>
          <w:tcPr>
            <w:tcW w:w="11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1,594 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1,107 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22 </w:t>
            </w:r>
          </w:p>
        </w:tc>
        <w:tc>
          <w:tcPr>
            <w:tcW w:w="11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1,129 </w:t>
            </w:r>
          </w:p>
        </w:tc>
        <w:tc>
          <w:tcPr>
            <w:tcW w:w="15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3"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Energy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255 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41 </w:t>
            </w:r>
          </w:p>
        </w:tc>
        <w:tc>
          <w:tcPr>
            <w:tcW w:w="11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296 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187 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8 </w:t>
            </w:r>
          </w:p>
        </w:tc>
        <w:tc>
          <w:tcPr>
            <w:tcW w:w="11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195 </w:t>
            </w:r>
          </w:p>
        </w:tc>
        <w:tc>
          <w:tcPr>
            <w:tcW w:w="15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3"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Financial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438 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36 </w:t>
            </w:r>
          </w:p>
        </w:tc>
        <w:tc>
          <w:tcPr>
            <w:tcW w:w="11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474 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357 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17 </w:t>
            </w:r>
          </w:p>
        </w:tc>
        <w:tc>
          <w:tcPr>
            <w:tcW w:w="11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374 </w:t>
            </w:r>
          </w:p>
        </w:tc>
        <w:tc>
          <w:tcPr>
            <w:tcW w:w="15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3"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REITs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209 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49 </w:t>
            </w:r>
          </w:p>
        </w:tc>
        <w:tc>
          <w:tcPr>
            <w:tcW w:w="11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258 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163 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24 </w:t>
            </w:r>
          </w:p>
        </w:tc>
        <w:tc>
          <w:tcPr>
            <w:tcW w:w="11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187 </w:t>
            </w:r>
          </w:p>
        </w:tc>
        <w:tc>
          <w:tcPr>
            <w:tcW w:w="15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3"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Technology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1,961 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588 </w:t>
            </w:r>
          </w:p>
        </w:tc>
        <w:tc>
          <w:tcPr>
            <w:tcW w:w="11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2,549 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2,039 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133 </w:t>
            </w:r>
          </w:p>
        </w:tc>
        <w:tc>
          <w:tcPr>
            <w:tcW w:w="11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2,172 </w:t>
            </w:r>
          </w:p>
        </w:tc>
        <w:tc>
          <w:tcPr>
            <w:tcW w:w="15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3"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Transportation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79 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19 </w:t>
            </w:r>
          </w:p>
        </w:tc>
        <w:tc>
          <w:tcPr>
            <w:tcW w:w="11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98 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51 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2 </w:t>
            </w:r>
          </w:p>
        </w:tc>
        <w:tc>
          <w:tcPr>
            <w:tcW w:w="11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53 </w:t>
            </w:r>
          </w:p>
        </w:tc>
        <w:tc>
          <w:tcPr>
            <w:tcW w:w="15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3"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Utilities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202 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202 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167 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w:t>
            </w:r>
          </w:p>
        </w:tc>
        <w:tc>
          <w:tcPr>
            <w:tcW w:w="11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163 </w:t>
            </w:r>
          </w:p>
        </w:tc>
        <w:tc>
          <w:tcPr>
            <w:tcW w:w="15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3"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w:t>
            </w:r>
          </w:p>
        </w:tc>
        <w:tc>
          <w:tcPr>
            <w:tcW w:w="11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w:t>
            </w:r>
          </w:p>
        </w:tc>
        <w:tc>
          <w:tcPr>
            <w:tcW w:w="11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3 </w:t>
            </w:r>
          </w:p>
        </w:tc>
        <w:tc>
          <w:tcPr>
            <w:tcW w:w="15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3"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Directly held equity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6,058</w:t>
            </w: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1,012</w:t>
            </w:r>
            <w:r>
              <w:rPr>
                <w:color w:val="000000"/>
              </w:rPr>
              <w:t> </w:t>
            </w:r>
          </w:p>
        </w:tc>
        <w:tc>
          <w:tcPr>
            <w:tcW w:w="11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7,070</w:t>
            </w: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5,224</w:t>
            </w: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296</w:t>
            </w:r>
            <w:r>
              <w:rPr>
                <w:color w:val="000000"/>
              </w:rPr>
              <w:t> </w:t>
            </w:r>
          </w:p>
        </w:tc>
        <w:tc>
          <w:tcPr>
            <w:tcW w:w="11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5,520</w:t>
            </w:r>
            <w:r>
              <w:rPr>
                <w:color w:val="000000"/>
              </w:rPr>
              <w:t> </w:t>
            </w:r>
          </w:p>
        </w:tc>
        <w:tc>
          <w:tcPr>
            <w:tcW w:w="15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3"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Funds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3"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Equities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1,139 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74 </w:t>
            </w:r>
          </w:p>
        </w:tc>
        <w:tc>
          <w:tcPr>
            <w:tcW w:w="11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1,213 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1,544 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67 </w:t>
            </w:r>
          </w:p>
        </w:tc>
        <w:tc>
          <w:tcPr>
            <w:tcW w:w="11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1,611 </w:t>
            </w:r>
          </w:p>
        </w:tc>
        <w:tc>
          <w:tcPr>
            <w:tcW w:w="15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3"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Fixed income and short-term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2,874 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2 </w:t>
            </w:r>
          </w:p>
        </w:tc>
        <w:tc>
          <w:tcPr>
            <w:tcW w:w="11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2,876 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1,257 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8 </w:t>
            </w:r>
          </w:p>
        </w:tc>
        <w:tc>
          <w:tcPr>
            <w:tcW w:w="11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1,265 </w:t>
            </w:r>
          </w:p>
        </w:tc>
        <w:tc>
          <w:tcPr>
            <w:tcW w:w="15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3"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1 </w:t>
            </w:r>
          </w:p>
        </w:tc>
        <w:tc>
          <w:tcPr>
            <w:tcW w:w="11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2 </w:t>
            </w:r>
          </w:p>
        </w:tc>
        <w:tc>
          <w:tcPr>
            <w:tcW w:w="15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3"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 funds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4,013</w:t>
            </w: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76</w:t>
            </w:r>
            <w:r>
              <w:rPr>
                <w:color w:val="000000"/>
              </w:rPr>
              <w:t> </w:t>
            </w:r>
          </w:p>
        </w:tc>
        <w:tc>
          <w:tcPr>
            <w:tcW w:w="11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4,089</w:t>
            </w: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2,802</w:t>
            </w: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76</w:t>
            </w:r>
            <w:r>
              <w:rPr>
                <w:color w:val="000000"/>
              </w:rPr>
              <w:t> </w:t>
            </w:r>
          </w:p>
        </w:tc>
        <w:tc>
          <w:tcPr>
            <w:tcW w:w="11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2,878</w:t>
            </w:r>
            <w:r>
              <w:rPr>
                <w:color w:val="000000"/>
              </w:rPr>
              <w:t> </w:t>
            </w:r>
          </w:p>
        </w:tc>
        <w:tc>
          <w:tcPr>
            <w:tcW w:w="15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3" w:type="dxa"/>
            <w:gridSpan w:val="3"/>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 equity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841"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10,071</w:t>
            </w:r>
            <w:r>
              <w:rPr>
                <w:color w:val="000000"/>
              </w:rPr>
              <w:t> </w:t>
            </w:r>
          </w:p>
        </w:tc>
        <w:tc>
          <w:tcPr>
            <w:tcW w:w="109"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749"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1,088</w:t>
            </w:r>
            <w:r>
              <w:rPr>
                <w:color w:val="000000"/>
              </w:rPr>
              <w:t> </w:t>
            </w:r>
          </w:p>
        </w:tc>
        <w:tc>
          <w:tcPr>
            <w:tcW w:w="113"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841"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11,159</w:t>
            </w:r>
            <w:r>
              <w:rPr>
                <w:color w:val="000000"/>
              </w:rPr>
              <w:t> </w:t>
            </w:r>
          </w:p>
        </w:tc>
        <w:tc>
          <w:tcPr>
            <w:tcW w:w="109"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721"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8,026</w:t>
            </w:r>
            <w:r>
              <w:rPr>
                <w:color w:val="000000"/>
              </w:rPr>
              <w:t> </w:t>
            </w:r>
          </w:p>
        </w:tc>
        <w:tc>
          <w:tcPr>
            <w:tcW w:w="109"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563"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372</w:t>
            </w:r>
            <w:r>
              <w:rPr>
                <w:color w:val="000000"/>
              </w:rPr>
              <w:t> </w:t>
            </w:r>
          </w:p>
        </w:tc>
        <w:tc>
          <w:tcPr>
            <w:tcW w:w="117"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721"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8,398</w:t>
            </w:r>
            <w:r>
              <w:rPr>
                <w:color w:val="000000"/>
              </w:rPr>
              <w:t> </w:t>
            </w:r>
          </w:p>
        </w:tc>
        <w:tc>
          <w:tcPr>
            <w:tcW w:w="158"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33350"/>
                <wp:effectExtent l="0" t="0" r="0" b="0"/>
                <wp:wrapNone/>
                <wp:docPr id="73" name="Frame65"/>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ind w:left="0" w:right="0" w:firstLine="360"/>
                              <w:jc w:val="right"/>
                              <w:rPr/>
                            </w:pPr>
                            <w:r>
                              <w:rPr>
                                <w:rFonts w:ascii="Allstate Sans;sans-serif" w:hAnsi="Allstate Sans;sans-serif"/>
                                <w:b w:val="false"/>
                                <w:color w:val="000000"/>
                                <w:sz w:val="18"/>
                              </w:rPr>
                              <w:t xml:space="preserve">Second Quarter 2026 Form 10-Q </w:t>
                            </w:r>
                            <w:r>
                              <w:rPr>
                                <w:rFonts w:ascii="Allstate Sans;sans-serif" w:hAnsi="Allstate Sans;sans-serif"/>
                                <w:b w:val="false"/>
                                <w:color w:val="0033A0"/>
                                <w:sz w:val="18"/>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right"/>
                        <w:rPr/>
                      </w:pPr>
                      <w:r>
                        <w:rPr>
                          <w:rFonts w:ascii="Allstate Sans;sans-serif" w:hAnsi="Allstate Sans;sans-serif"/>
                          <w:b w:val="false"/>
                          <w:color w:val="000000"/>
                          <w:sz w:val="18"/>
                        </w:rPr>
                        <w:t xml:space="preserve">Second Quarter 2026 Form 10-Q </w:t>
                      </w:r>
                      <w:r>
                        <w:rPr>
                          <w:rFonts w:ascii="Allstate Sans;sans-serif" w:hAnsi="Allstate Sans;sans-serif"/>
                          <w:b w:val="false"/>
                          <w:color w:val="0033A0"/>
                          <w:sz w:val="18"/>
                        </w:rPr>
                        <w:t>63</w:t>
                      </w:r>
                    </w:p>
                  </w:txbxContent>
                </v:textbox>
                <w10:wrap type="none"/>
              </v:rect>
            </w:pict>
          </mc:Fallback>
        </mc:AlternateContent>
      </w:r>
    </w:p>
    <w:p>
      <w:pPr>
        <w:pStyle w:val="TextBody"/>
        <w:bidi w:val="0"/>
        <w:spacing w:lineRule="auto" w:line="288" w:before="0" w:after="120"/>
        <w:jc w:val="left"/>
        <w:rPr>
          <w:rFonts w:ascii="Allstate Sans;sans-serif" w:hAnsi="Allstate Sans;sans-serif"/>
          <w:b w:val="false"/>
          <w:color w:val="0033A0"/>
          <w:sz w:val="18"/>
        </w:rPr>
      </w:pPr>
      <w:r>
        <w:rPr>
          <w:rFonts w:ascii="Allstate Sans;sans-serif" w:hAnsi="Allstate Sans;sans-serif"/>
          <w:b w:val="false"/>
          <w:color w:val="0033A0"/>
          <w:sz w:val="18"/>
        </w:rPr>
        <w:t>Investments</w:t>
      </w:r>
    </w:p>
    <w:tbl>
      <w:tblPr>
        <w:tblW w:w="10205" w:type="dxa"/>
        <w:jc w:val="left"/>
        <w:tblInd w:w="0" w:type="dxa"/>
        <w:tblLayout w:type="fixed"/>
        <w:tblCellMar>
          <w:top w:w="28" w:type="dxa"/>
          <w:left w:w="28" w:type="dxa"/>
          <w:bottom w:w="28" w:type="dxa"/>
          <w:right w:w="28" w:type="dxa"/>
        </w:tblCellMar>
      </w:tblPr>
      <w:tblGrid>
        <w:gridCol w:w="1346"/>
        <w:gridCol w:w="1146"/>
        <w:gridCol w:w="1150"/>
        <w:gridCol w:w="109"/>
        <w:gridCol w:w="109"/>
        <w:gridCol w:w="109"/>
        <w:gridCol w:w="307"/>
        <w:gridCol w:w="979"/>
        <w:gridCol w:w="147"/>
        <w:gridCol w:w="147"/>
        <w:gridCol w:w="147"/>
        <w:gridCol w:w="147"/>
        <w:gridCol w:w="307"/>
        <w:gridCol w:w="714"/>
        <w:gridCol w:w="147"/>
        <w:gridCol w:w="109"/>
        <w:gridCol w:w="109"/>
        <w:gridCol w:w="109"/>
        <w:gridCol w:w="260"/>
        <w:gridCol w:w="830"/>
        <w:gridCol w:w="125"/>
        <w:gridCol w:w="125"/>
        <w:gridCol w:w="125"/>
        <w:gridCol w:w="125"/>
        <w:gridCol w:w="260"/>
        <w:gridCol w:w="830"/>
        <w:gridCol w:w="187"/>
      </w:tblGrid>
      <w:tr>
        <w:trPr/>
        <w:tc>
          <w:tcPr>
            <w:tcW w:w="1346"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7011" w:type="dxa"/>
            <w:gridSpan w:val="15"/>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left"/>
              <w:rPr>
                <w:rFonts w:ascii="Allstate Sans;sans-serif" w:hAnsi="Allstate Sans;sans-serif"/>
                <w:b/>
                <w:color w:val="000000"/>
                <w:sz w:val="18"/>
              </w:rPr>
            </w:pPr>
            <w:r>
              <w:rPr>
                <w:rFonts w:ascii="Allstate Sans;sans-serif" w:hAnsi="Allstate Sans;sans-serif"/>
                <w:b/>
                <w:color w:val="000000"/>
                <w:sz w:val="18"/>
              </w:rPr>
              <w:t>Net investment income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6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Six months ended June 30,</w:t>
            </w:r>
          </w:p>
        </w:tc>
      </w:tr>
      <w:tr>
        <w:trPr/>
        <w:tc>
          <w:tcPr>
            <w:tcW w:w="36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2026</w:t>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2026</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2025</w:t>
            </w:r>
          </w:p>
        </w:tc>
      </w:tr>
      <w:tr>
        <w:trPr/>
        <w:tc>
          <w:tcPr>
            <w:tcW w:w="3642"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Fixed income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979"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710 </w:t>
            </w:r>
          </w:p>
        </w:tc>
        <w:tc>
          <w:tcPr>
            <w:tcW w:w="147"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714"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602 </w:t>
            </w:r>
          </w:p>
        </w:tc>
        <w:tc>
          <w:tcPr>
            <w:tcW w:w="147"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830"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1,376 </w:t>
            </w:r>
          </w:p>
        </w:tc>
        <w:tc>
          <w:tcPr>
            <w:tcW w:w="125"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830"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1,210 </w:t>
            </w:r>
          </w:p>
        </w:tc>
        <w:tc>
          <w:tcPr>
            <w:tcW w:w="187"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2"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Equity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54 </w:t>
            </w:r>
          </w:p>
        </w:tc>
        <w:tc>
          <w:tcPr>
            <w:tcW w:w="147"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17 </w:t>
            </w:r>
          </w:p>
        </w:tc>
        <w:tc>
          <w:tcPr>
            <w:tcW w:w="147"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95 </w:t>
            </w:r>
          </w:p>
        </w:tc>
        <w:tc>
          <w:tcPr>
            <w:tcW w:w="125"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37 </w:t>
            </w:r>
          </w:p>
        </w:tc>
        <w:tc>
          <w:tcPr>
            <w:tcW w:w="187"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2"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Mortgage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12 </w:t>
            </w:r>
          </w:p>
        </w:tc>
        <w:tc>
          <w:tcPr>
            <w:tcW w:w="147"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9 </w:t>
            </w:r>
          </w:p>
        </w:tc>
        <w:tc>
          <w:tcPr>
            <w:tcW w:w="147"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24 </w:t>
            </w:r>
          </w:p>
        </w:tc>
        <w:tc>
          <w:tcPr>
            <w:tcW w:w="125"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19 </w:t>
            </w:r>
          </w:p>
        </w:tc>
        <w:tc>
          <w:tcPr>
            <w:tcW w:w="187"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2"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Limited partnership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240 </w:t>
            </w:r>
          </w:p>
        </w:tc>
        <w:tc>
          <w:tcPr>
            <w:tcW w:w="147"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74 </w:t>
            </w:r>
          </w:p>
        </w:tc>
        <w:tc>
          <w:tcPr>
            <w:tcW w:w="147"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446 </w:t>
            </w:r>
          </w:p>
        </w:tc>
        <w:tc>
          <w:tcPr>
            <w:tcW w:w="125"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268 </w:t>
            </w:r>
          </w:p>
        </w:tc>
        <w:tc>
          <w:tcPr>
            <w:tcW w:w="187"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2"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Short-term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48 </w:t>
            </w:r>
          </w:p>
        </w:tc>
        <w:tc>
          <w:tcPr>
            <w:tcW w:w="147"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97 </w:t>
            </w:r>
          </w:p>
        </w:tc>
        <w:tc>
          <w:tcPr>
            <w:tcW w:w="147"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107 </w:t>
            </w:r>
          </w:p>
        </w:tc>
        <w:tc>
          <w:tcPr>
            <w:tcW w:w="125"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169 </w:t>
            </w:r>
          </w:p>
        </w:tc>
        <w:tc>
          <w:tcPr>
            <w:tcW w:w="187"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2"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Other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28 </w:t>
            </w:r>
          </w:p>
        </w:tc>
        <w:tc>
          <w:tcPr>
            <w:tcW w:w="147"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24 </w:t>
            </w:r>
          </w:p>
        </w:tc>
        <w:tc>
          <w:tcPr>
            <w:tcW w:w="147"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54 </w:t>
            </w:r>
          </w:p>
        </w:tc>
        <w:tc>
          <w:tcPr>
            <w:tcW w:w="125"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45 </w:t>
            </w:r>
          </w:p>
        </w:tc>
        <w:tc>
          <w:tcPr>
            <w:tcW w:w="187"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2"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Investment income, before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1,092</w:t>
            </w:r>
            <w:r>
              <w:rPr>
                <w:color w:val="000000"/>
              </w:rPr>
              <w:t> </w:t>
            </w:r>
          </w:p>
        </w:tc>
        <w:tc>
          <w:tcPr>
            <w:tcW w:w="14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823</w:t>
            </w:r>
            <w:r>
              <w:rPr>
                <w:color w:val="000000"/>
              </w:rPr>
              <w:t> </w:t>
            </w:r>
          </w:p>
        </w:tc>
        <w:tc>
          <w:tcPr>
            <w:tcW w:w="14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2,102</w:t>
            </w:r>
            <w:r>
              <w:rPr>
                <w:color w:val="000000"/>
              </w:rPr>
              <w:t> </w:t>
            </w:r>
          </w:p>
        </w:tc>
        <w:tc>
          <w:tcPr>
            <w:tcW w:w="12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1,748</w:t>
            </w:r>
            <w:r>
              <w:rPr>
                <w:color w:val="000000"/>
              </w:rPr>
              <w:t> </w:t>
            </w:r>
          </w:p>
        </w:tc>
        <w:tc>
          <w:tcPr>
            <w:tcW w:w="18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2"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Investment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op w:val="single" w:sz="4"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4"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4"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4"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2"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Investee level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(16)</w:t>
            </w:r>
          </w:p>
        </w:tc>
        <w:tc>
          <w:tcPr>
            <w:tcW w:w="147"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(11)</w:t>
            </w:r>
          </w:p>
        </w:tc>
        <w:tc>
          <w:tcPr>
            <w:tcW w:w="147"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(28)</w:t>
            </w:r>
          </w:p>
        </w:tc>
        <w:tc>
          <w:tcPr>
            <w:tcW w:w="125"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(21)</w:t>
            </w:r>
          </w:p>
        </w:tc>
        <w:tc>
          <w:tcPr>
            <w:tcW w:w="187"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2"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Securities lending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(17)</w:t>
            </w:r>
          </w:p>
        </w:tc>
        <w:tc>
          <w:tcPr>
            <w:tcW w:w="147"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(21)</w:t>
            </w:r>
          </w:p>
        </w:tc>
        <w:tc>
          <w:tcPr>
            <w:tcW w:w="147"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(34)</w:t>
            </w:r>
          </w:p>
        </w:tc>
        <w:tc>
          <w:tcPr>
            <w:tcW w:w="125"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(43)</w:t>
            </w:r>
          </w:p>
        </w:tc>
        <w:tc>
          <w:tcPr>
            <w:tcW w:w="187"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2"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Operating costs and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(50)</w:t>
            </w:r>
          </w:p>
        </w:tc>
        <w:tc>
          <w:tcPr>
            <w:tcW w:w="147"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(37)</w:t>
            </w:r>
          </w:p>
        </w:tc>
        <w:tc>
          <w:tcPr>
            <w:tcW w:w="147"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(93)</w:t>
            </w:r>
          </w:p>
        </w:tc>
        <w:tc>
          <w:tcPr>
            <w:tcW w:w="125"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(76)</w:t>
            </w:r>
          </w:p>
        </w:tc>
        <w:tc>
          <w:tcPr>
            <w:tcW w:w="187"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2"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 investment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(83)</w:t>
            </w:r>
          </w:p>
        </w:tc>
        <w:tc>
          <w:tcPr>
            <w:tcW w:w="14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(69)</w:t>
            </w:r>
          </w:p>
        </w:tc>
        <w:tc>
          <w:tcPr>
            <w:tcW w:w="14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(155)</w:t>
            </w:r>
          </w:p>
        </w:tc>
        <w:tc>
          <w:tcPr>
            <w:tcW w:w="12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(140)</w:t>
            </w:r>
          </w:p>
        </w:tc>
        <w:tc>
          <w:tcPr>
            <w:tcW w:w="18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2"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Net investment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979"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1,009</w:t>
            </w:r>
            <w:r>
              <w:rPr>
                <w:color w:val="000000"/>
              </w:rPr>
              <w:t> </w:t>
            </w:r>
          </w:p>
        </w:tc>
        <w:tc>
          <w:tcPr>
            <w:tcW w:w="14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714"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754</w:t>
            </w:r>
            <w:r>
              <w:rPr>
                <w:color w:val="000000"/>
              </w:rPr>
              <w:t> </w:t>
            </w:r>
          </w:p>
        </w:tc>
        <w:tc>
          <w:tcPr>
            <w:tcW w:w="14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830"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1,947</w:t>
            </w:r>
            <w:r>
              <w:rPr>
                <w:color w:val="000000"/>
              </w:rPr>
              <w:t> </w:t>
            </w:r>
          </w:p>
        </w:tc>
        <w:tc>
          <w:tcPr>
            <w:tcW w:w="12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830"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1,608</w:t>
            </w:r>
            <w:r>
              <w:rPr>
                <w:color w:val="000000"/>
              </w:rPr>
              <w:t> </w:t>
            </w:r>
          </w:p>
        </w:tc>
        <w:tc>
          <w:tcPr>
            <w:tcW w:w="18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2" w:type="dxa"/>
            <w:gridSpan w:val="3"/>
            <w:tcBorders>
              <w:top w:val="single" w:sz="4"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op w:val="single" w:sz="4"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4"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4"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4"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2"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Market-based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979"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837 </w:t>
            </w:r>
          </w:p>
        </w:tc>
        <w:tc>
          <w:tcPr>
            <w:tcW w:w="147"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714"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733 </w:t>
            </w:r>
          </w:p>
        </w:tc>
        <w:tc>
          <w:tcPr>
            <w:tcW w:w="147"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830"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1,628 </w:t>
            </w:r>
          </w:p>
        </w:tc>
        <w:tc>
          <w:tcPr>
            <w:tcW w:w="125"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830"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1,452 </w:t>
            </w:r>
          </w:p>
        </w:tc>
        <w:tc>
          <w:tcPr>
            <w:tcW w:w="187"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2"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Performance-based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255 </w:t>
            </w:r>
          </w:p>
        </w:tc>
        <w:tc>
          <w:tcPr>
            <w:tcW w:w="147"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90 </w:t>
            </w:r>
          </w:p>
        </w:tc>
        <w:tc>
          <w:tcPr>
            <w:tcW w:w="147"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474 </w:t>
            </w:r>
          </w:p>
        </w:tc>
        <w:tc>
          <w:tcPr>
            <w:tcW w:w="125"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296 </w:t>
            </w:r>
          </w:p>
        </w:tc>
        <w:tc>
          <w:tcPr>
            <w:tcW w:w="18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2" w:type="dxa"/>
            <w:gridSpan w:val="3"/>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Investment income, before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979"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1,092</w:t>
            </w:r>
            <w:r>
              <w:rPr>
                <w:color w:val="000000"/>
              </w:rPr>
              <w:t> </w:t>
            </w:r>
          </w:p>
        </w:tc>
        <w:tc>
          <w:tcPr>
            <w:tcW w:w="147"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714"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823</w:t>
            </w:r>
            <w:r>
              <w:rPr>
                <w:color w:val="000000"/>
              </w:rPr>
              <w:t> </w:t>
            </w:r>
          </w:p>
        </w:tc>
        <w:tc>
          <w:tcPr>
            <w:tcW w:w="147"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830"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2,102</w:t>
            </w:r>
            <w:r>
              <w:rPr>
                <w:color w:val="000000"/>
              </w:rPr>
              <w:t> </w:t>
            </w:r>
          </w:p>
        </w:tc>
        <w:tc>
          <w:tcPr>
            <w:tcW w:w="125"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830"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1,748</w:t>
            </w:r>
            <w:r>
              <w:rPr>
                <w:color w:val="000000"/>
              </w:rPr>
              <w:t> </w:t>
            </w:r>
          </w:p>
        </w:tc>
        <w:tc>
          <w:tcPr>
            <w:tcW w:w="187"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left"/>
        <w:rPr/>
      </w:pPr>
      <w:r>
        <w:rPr>
          <w:rFonts w:ascii="Allstate Sans;sans-serif" w:hAnsi="Allstate Sans;sans-serif"/>
          <w:b w:val="false"/>
          <w:i/>
          <w:color w:val="0033A0"/>
          <w:sz w:val="18"/>
        </w:rPr>
        <w:t>Net investment income</w:t>
      </w:r>
      <w:r>
        <w:rPr>
          <w:color w:val="000000"/>
        </w:rPr>
        <w:t xml:space="preserve"> </w:t>
      </w:r>
      <w:r>
        <w:rPr>
          <w:rFonts w:ascii="Allstate Sans;sans-serif" w:hAnsi="Allstate Sans;sans-serif"/>
          <w:b w:val="false"/>
          <w:color w:val="000000"/>
          <w:sz w:val="18"/>
        </w:rPr>
        <w:t>increased 33.8% or $255 million in the second quarter of 2026 and increased 21% or $339 million in the first six months of 2026 compared to the same periods of 2025, primarily related to higher market-based income resulting from higher average investment balances and improved performance-based investment results.</w:t>
      </w:r>
    </w:p>
    <w:tbl>
      <w:tblPr>
        <w:tblW w:w="10205" w:type="dxa"/>
        <w:jc w:val="left"/>
        <w:tblInd w:w="0" w:type="dxa"/>
        <w:tblLayout w:type="fixed"/>
        <w:tblCellMar>
          <w:top w:w="28" w:type="dxa"/>
          <w:left w:w="28" w:type="dxa"/>
          <w:bottom w:w="28" w:type="dxa"/>
          <w:right w:w="28" w:type="dxa"/>
        </w:tblCellMar>
      </w:tblPr>
      <w:tblGrid>
        <w:gridCol w:w="1601"/>
        <w:gridCol w:w="1406"/>
        <w:gridCol w:w="1421"/>
        <w:gridCol w:w="141"/>
        <w:gridCol w:w="141"/>
        <w:gridCol w:w="141"/>
        <w:gridCol w:w="296"/>
        <w:gridCol w:w="690"/>
        <w:gridCol w:w="142"/>
        <w:gridCol w:w="142"/>
        <w:gridCol w:w="142"/>
        <w:gridCol w:w="142"/>
        <w:gridCol w:w="296"/>
        <w:gridCol w:w="532"/>
        <w:gridCol w:w="142"/>
        <w:gridCol w:w="109"/>
        <w:gridCol w:w="109"/>
        <w:gridCol w:w="109"/>
        <w:gridCol w:w="269"/>
        <w:gridCol w:w="627"/>
        <w:gridCol w:w="129"/>
        <w:gridCol w:w="129"/>
        <w:gridCol w:w="129"/>
        <w:gridCol w:w="129"/>
        <w:gridCol w:w="269"/>
        <w:gridCol w:w="627"/>
        <w:gridCol w:w="195"/>
      </w:tblGrid>
      <w:tr>
        <w:trPr/>
        <w:tc>
          <w:tcPr>
            <w:tcW w:w="1601" w:type="dxa"/>
            <w:tcBorders/>
            <w:vAlign w:val="center"/>
          </w:tcPr>
          <w:p>
            <w:pPr>
              <w:pStyle w:val="TableContents"/>
              <w:bidi w:val="0"/>
              <w:spacing w:before="0" w:after="283"/>
              <w:jc w:val="left"/>
              <w:rPr>
                <w:sz w:val="4"/>
                <w:szCs w:val="4"/>
              </w:rPr>
            </w:pPr>
            <w:r>
              <w:rPr>
                <w:sz w:val="4"/>
                <w:szCs w:val="4"/>
              </w:rPr>
            </w:r>
          </w:p>
        </w:tc>
        <w:tc>
          <w:tcPr>
            <w:tcW w:w="1406"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7375" w:type="dxa"/>
            <w:gridSpan w:val="15"/>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left"/>
              <w:rPr>
                <w:rFonts w:ascii="Allstate Sans;sans-serif" w:hAnsi="Allstate Sans;sans-serif"/>
                <w:b/>
                <w:color w:val="000000"/>
                <w:sz w:val="18"/>
              </w:rPr>
            </w:pPr>
            <w:r>
              <w:rPr>
                <w:rFonts w:ascii="Allstate Sans;sans-serif" w:hAnsi="Allstate Sans;sans-serif"/>
                <w:b/>
                <w:color w:val="000000"/>
                <w:sz w:val="18"/>
              </w:rPr>
              <w:t>Performance-based investment income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44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Six months ended June 30,</w:t>
            </w:r>
          </w:p>
        </w:tc>
      </w:tr>
      <w:tr>
        <w:trPr/>
        <w:tc>
          <w:tcPr>
            <w:tcW w:w="44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 in millions)</w:t>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2026</w:t>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2026</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2025</w:t>
            </w:r>
          </w:p>
        </w:tc>
      </w:tr>
      <w:tr>
        <w:trPr/>
        <w:tc>
          <w:tcPr>
            <w:tcW w:w="4428"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Private equity</w:t>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690"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143 </w:t>
            </w:r>
          </w:p>
        </w:tc>
        <w:tc>
          <w:tcPr>
            <w:tcW w:w="142"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532"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74 </w:t>
            </w:r>
          </w:p>
        </w:tc>
        <w:tc>
          <w:tcPr>
            <w:tcW w:w="142"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627"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254 </w:t>
            </w:r>
          </w:p>
        </w:tc>
        <w:tc>
          <w:tcPr>
            <w:tcW w:w="129"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627"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177 </w:t>
            </w:r>
          </w:p>
        </w:tc>
        <w:tc>
          <w:tcPr>
            <w:tcW w:w="195"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8"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Real estate</w:t>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112 </w:t>
            </w:r>
          </w:p>
        </w:tc>
        <w:tc>
          <w:tcPr>
            <w:tcW w:w="142"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16 </w:t>
            </w:r>
          </w:p>
        </w:tc>
        <w:tc>
          <w:tcPr>
            <w:tcW w:w="142"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220 </w:t>
            </w:r>
          </w:p>
        </w:tc>
        <w:tc>
          <w:tcPr>
            <w:tcW w:w="129"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119 </w:t>
            </w:r>
          </w:p>
        </w:tc>
        <w:tc>
          <w:tcPr>
            <w:tcW w:w="195"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8"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 performance-based income before investee level expenses</w:t>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690"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255</w:t>
            </w:r>
            <w:r>
              <w:rPr>
                <w:color w:val="000000"/>
              </w:rPr>
              <w:t> </w:t>
            </w:r>
          </w:p>
        </w:tc>
        <w:tc>
          <w:tcPr>
            <w:tcW w:w="14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532"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90</w:t>
            </w:r>
            <w:r>
              <w:rPr>
                <w:color w:val="000000"/>
              </w:rPr>
              <w:t> </w:t>
            </w:r>
          </w:p>
        </w:tc>
        <w:tc>
          <w:tcPr>
            <w:tcW w:w="14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627"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474</w:t>
            </w:r>
            <w:r>
              <w:rPr>
                <w:color w:val="000000"/>
              </w:rPr>
              <w:t> </w:t>
            </w:r>
          </w:p>
        </w:tc>
        <w:tc>
          <w:tcPr>
            <w:tcW w:w="12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627"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296</w:t>
            </w:r>
            <w:r>
              <w:rPr>
                <w:color w:val="000000"/>
              </w:rPr>
              <w:t> </w:t>
            </w:r>
          </w:p>
        </w:tc>
        <w:tc>
          <w:tcPr>
            <w:tcW w:w="19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8" w:type="dxa"/>
            <w:gridSpan w:val="3"/>
            <w:tcBorders>
              <w:top w:val="single" w:sz="4"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4"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4"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4"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4"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8"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0"/>
              <w:jc w:val="left"/>
              <w:rPr/>
            </w:pPr>
            <w:r>
              <w:rPr>
                <w:rFonts w:ascii="Helvetica_Neue_LT_W1G_55_Roman;sans-serif" w:hAnsi="Helvetica_Neue_LT_W1G_55_Roman;sans-serif"/>
                <w:b w:val="false"/>
                <w:color w:val="000000"/>
                <w:sz w:val="18"/>
              </w:rPr>
              <w:t>Investee level expenses</w:t>
            </w:r>
            <w:r>
              <w:rPr>
                <w:color w:val="000000"/>
              </w:rPr>
              <w:t xml:space="preserve"> </w:t>
            </w:r>
            <w:r>
              <w:rPr>
                <w:rFonts w:ascii="Helvetica_Neue_LT_W1G_55_Roman;sans-serif" w:hAnsi="Helvetica_Neue_LT_W1G_55_Roman;sans-serif"/>
                <w:b w:val="false"/>
                <w:color w:val="000000"/>
                <w:sz w:val="12"/>
              </w:rPr>
              <w:t>(1)</w:t>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(16)</w:t>
            </w:r>
          </w:p>
        </w:tc>
        <w:tc>
          <w:tcPr>
            <w:tcW w:w="142"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(11)</w:t>
            </w:r>
          </w:p>
        </w:tc>
        <w:tc>
          <w:tcPr>
            <w:tcW w:w="142"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(28)</w:t>
            </w:r>
          </w:p>
        </w:tc>
        <w:tc>
          <w:tcPr>
            <w:tcW w:w="129"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(21)</w:t>
            </w:r>
          </w:p>
        </w:tc>
        <w:tc>
          <w:tcPr>
            <w:tcW w:w="195"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8" w:type="dxa"/>
            <w:gridSpan w:val="3"/>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 performance-based income</w:t>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690"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239</w:t>
            </w:r>
            <w:r>
              <w:rPr>
                <w:color w:val="000000"/>
              </w:rPr>
              <w:t> </w:t>
            </w:r>
          </w:p>
        </w:tc>
        <w:tc>
          <w:tcPr>
            <w:tcW w:w="142"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532"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79</w:t>
            </w:r>
            <w:r>
              <w:rPr>
                <w:color w:val="000000"/>
              </w:rPr>
              <w:t> </w:t>
            </w:r>
          </w:p>
        </w:tc>
        <w:tc>
          <w:tcPr>
            <w:tcW w:w="142"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627"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446</w:t>
            </w:r>
            <w:r>
              <w:rPr>
                <w:color w:val="000000"/>
              </w:rPr>
              <w:t> </w:t>
            </w:r>
          </w:p>
        </w:tc>
        <w:tc>
          <w:tcPr>
            <w:tcW w:w="129"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627"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275</w:t>
            </w:r>
            <w:r>
              <w:rPr>
                <w:color w:val="000000"/>
              </w:rPr>
              <w:t> </w:t>
            </w:r>
          </w:p>
        </w:tc>
        <w:tc>
          <w:tcPr>
            <w:tcW w:w="195"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180"/>
        <w:jc w:val="left"/>
        <w:rPr/>
      </w:pPr>
      <w:r>
        <w:rPr>
          <w:rFonts w:ascii="Allstate Sans;sans-serif" w:hAnsi="Allstate Sans;sans-serif"/>
          <w:b w:val="false"/>
          <w:color w:val="000000"/>
          <w:sz w:val="10"/>
        </w:rPr>
        <w:t>(1)</w:t>
      </w:r>
      <w:r>
        <w:rPr>
          <w:rFonts w:ascii="Allstate Sans;sans-serif" w:hAnsi="Allstate Sans;sans-serif"/>
          <w:b w:val="false"/>
          <w:color w:val="000000"/>
          <w:sz w:val="16"/>
        </w:rPr>
        <w:t>Investee level expenses include asset level operating expenses on directly held real estate and other consolidated investments reported in investment expense.</w:t>
      </w:r>
    </w:p>
    <w:p>
      <w:pPr>
        <w:pStyle w:val="TextBody"/>
        <w:bidi w:val="0"/>
        <w:spacing w:lineRule="auto" w:line="288" w:before="0" w:after="120"/>
        <w:ind w:left="0" w:right="0" w:firstLine="360"/>
        <w:jc w:val="left"/>
        <w:rPr/>
      </w:pPr>
      <w:r>
        <w:rPr>
          <w:rFonts w:ascii="Allstate Sans;sans-serif" w:hAnsi="Allstate Sans;sans-serif"/>
          <w:b w:val="false"/>
          <w:i/>
          <w:color w:val="0033A0"/>
          <w:sz w:val="18"/>
        </w:rPr>
        <w:t>Performance-based investment income</w:t>
      </w:r>
      <w:r>
        <w:rPr>
          <w:color w:val="000000"/>
        </w:rPr>
        <w:t xml:space="preserve"> </w:t>
      </w:r>
      <w:r>
        <w:rPr>
          <w:rFonts w:ascii="Allstate Sans;sans-serif" w:hAnsi="Allstate Sans;sans-serif"/>
          <w:b w:val="false"/>
          <w:color w:val="000000"/>
          <w:sz w:val="18"/>
        </w:rPr>
        <w:t xml:space="preserve">increased $160 million in the second quarter of 2026 and increased 62.2% or $171 million in the first six months of 2026 compared to the same periods of 2025 primarily due to higher real estate and private equity valuation increases. Income in the second quarter of 2026 was concentrated among a small number of investments, with the top 10 investments contributing approximately 88% of performance-based income, while the broader portfolio generated modest returns. </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 xml:space="preserve">Performance-based investment results and income can vary significantly between periods and are influenced by economic conditions, equity market performance, comparable public company earnings </w:t>
      </w:r>
    </w:p>
    <w:p>
      <w:pPr>
        <w:pStyle w:val="TextBody"/>
        <w:bidi w:val="0"/>
        <w:spacing w:lineRule="auto" w:line="288" w:before="0" w:after="120"/>
        <w:jc w:val="left"/>
        <w:rPr>
          <w:rFonts w:ascii="Allstate Sans;sans-serif" w:hAnsi="Allstate Sans;sans-serif"/>
          <w:b w:val="false"/>
          <w:color w:val="000000"/>
          <w:sz w:val="18"/>
        </w:rPr>
      </w:pPr>
      <w:r>
        <w:rPr>
          <w:rFonts w:ascii="Allstate Sans;sans-serif" w:hAnsi="Allstate Sans;sans-serif"/>
          <w:b w:val="false"/>
          <w:color w:val="000000"/>
          <w:sz w:val="18"/>
        </w:rPr>
        <w:t>multiples, capitalization rates, operating performance of the underlying investments and the timing of asset sales. The Company typically employs a lag in recording and recognizing changes in valuations of limited partnership interests due to the availability of investee financial statements. As a result, performance-based income in the second quarter of 2026 is primarily comprised of operating and market performance and results of our investments for the three months ended March 31, 2026, and may not reflect all economic conditions, including the effects of macroeconomic impacts referred to in the Highlights section of MD&amp;A.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74"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120"/>
                              <w:jc w:val="left"/>
                              <w:rPr/>
                            </w:pPr>
                            <w:r>
                              <w:rPr>
                                <w:rFonts w:ascii="Allstate Sans;sans-serif" w:hAnsi="Allstate Sans;sans-serif"/>
                                <w:b w:val="false"/>
                                <w:color w:val="0033A0"/>
                                <w:sz w:val="18"/>
                              </w:rPr>
                              <w:t>64</w:t>
                            </w:r>
                            <w:r>
                              <w:rPr>
                                <w:color w:val="1666AF"/>
                              </w:rPr>
                              <w:t xml:space="preserve"> </w:t>
                            </w:r>
                            <w:r>
                              <w:rPr>
                                <w:rFonts w:ascii="Allstate Sans;sans-serif" w:hAnsi="Allstate Sans;sans-serif"/>
                                <w:b w:val="false"/>
                                <w:color w:val="000000"/>
                                <w:sz w:val="18"/>
                              </w:rPr>
                              <w:t>www.allstate.com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left"/>
                        <w:rPr/>
                      </w:pPr>
                      <w:r>
                        <w:rPr>
                          <w:rFonts w:ascii="Allstate Sans;sans-serif" w:hAnsi="Allstate Sans;sans-serif"/>
                          <w:b w:val="false"/>
                          <w:color w:val="0033A0"/>
                          <w:sz w:val="18"/>
                        </w:rPr>
                        <w:t>64</w:t>
                      </w:r>
                      <w:r>
                        <w:rPr>
                          <w:color w:val="1666AF"/>
                        </w:rPr>
                        <w:t xml:space="preserve"> </w:t>
                      </w:r>
                      <w:r>
                        <w:rPr>
                          <w:rFonts w:ascii="Allstate Sans;sans-serif" w:hAnsi="Allstate Sans;sans-serif"/>
                          <w:b w:val="false"/>
                          <w:color w:val="000000"/>
                          <w:sz w:val="18"/>
                        </w:rPr>
                        <w:t>www.allstate.com</w:t>
                      </w:r>
                    </w:p>
                  </w:txbxContent>
                </v:textbox>
                <w10:wrap type="none"/>
              </v:rect>
            </w:pict>
          </mc:Fallback>
        </mc:AlternateContent>
      </w:r>
    </w:p>
    <w:p>
      <w:pPr>
        <w:pStyle w:val="TextBody"/>
        <w:bidi w:val="0"/>
        <w:spacing w:lineRule="auto" w:line="288" w:before="0" w:after="120"/>
        <w:ind w:left="0" w:right="0" w:firstLine="360"/>
        <w:jc w:val="right"/>
        <w:rPr>
          <w:rFonts w:ascii="Allstate Sans;sans-serif" w:hAnsi="Allstate Sans;sans-serif"/>
          <w:b w:val="false"/>
          <w:color w:val="0033A0"/>
          <w:sz w:val="18"/>
        </w:rPr>
      </w:pPr>
      <w:r>
        <w:rPr>
          <w:rFonts w:ascii="Allstate Sans;sans-serif" w:hAnsi="Allstate Sans;sans-serif"/>
          <w:b w:val="false"/>
          <w:color w:val="0033A0"/>
          <w:sz w:val="18"/>
        </w:rPr>
        <w:t>Investments</w:t>
      </w:r>
    </w:p>
    <w:tbl>
      <w:tblPr>
        <w:tblW w:w="10205" w:type="dxa"/>
        <w:jc w:val="left"/>
        <w:tblInd w:w="0" w:type="dxa"/>
        <w:tblLayout w:type="fixed"/>
        <w:tblCellMar>
          <w:top w:w="28" w:type="dxa"/>
          <w:left w:w="28" w:type="dxa"/>
          <w:bottom w:w="28" w:type="dxa"/>
          <w:right w:w="28" w:type="dxa"/>
        </w:tblCellMar>
      </w:tblPr>
      <w:tblGrid>
        <w:gridCol w:w="1602"/>
        <w:gridCol w:w="1126"/>
        <w:gridCol w:w="1066"/>
        <w:gridCol w:w="136"/>
        <w:gridCol w:w="136"/>
        <w:gridCol w:w="136"/>
        <w:gridCol w:w="284"/>
        <w:gridCol w:w="907"/>
        <w:gridCol w:w="136"/>
        <w:gridCol w:w="136"/>
        <w:gridCol w:w="136"/>
        <w:gridCol w:w="136"/>
        <w:gridCol w:w="284"/>
        <w:gridCol w:w="726"/>
        <w:gridCol w:w="136"/>
        <w:gridCol w:w="136"/>
        <w:gridCol w:w="136"/>
        <w:gridCol w:w="136"/>
        <w:gridCol w:w="284"/>
        <w:gridCol w:w="662"/>
        <w:gridCol w:w="136"/>
        <w:gridCol w:w="136"/>
        <w:gridCol w:w="136"/>
        <w:gridCol w:w="136"/>
        <w:gridCol w:w="284"/>
        <w:gridCol w:w="726"/>
        <w:gridCol w:w="214"/>
      </w:tblGrid>
      <w:tr>
        <w:trPr/>
        <w:tc>
          <w:tcPr>
            <w:tcW w:w="1602"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10205" w:type="dxa"/>
            <w:gridSpan w:val="27"/>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left"/>
              <w:rPr>
                <w:rFonts w:ascii="Allstate Sans;sans-serif" w:hAnsi="Allstate Sans;sans-serif"/>
                <w:b/>
                <w:color w:val="000000"/>
                <w:sz w:val="18"/>
              </w:rPr>
            </w:pPr>
            <w:r>
              <w:rPr>
                <w:rFonts w:ascii="Allstate Sans;sans-serif" w:hAnsi="Allstate Sans;sans-serif"/>
                <w:b/>
                <w:color w:val="000000"/>
                <w:sz w:val="18"/>
              </w:rPr>
              <w:t>Components of net gains (losses) on investments and derivatives and the related tax effect</w:t>
            </w:r>
          </w:p>
        </w:tc>
      </w:tr>
      <w:tr>
        <w:trPr/>
        <w:tc>
          <w:tcPr>
            <w:tcW w:w="37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Three months ended June 30,</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Six months ended June 30,</w:t>
            </w:r>
          </w:p>
        </w:tc>
      </w:tr>
      <w:tr>
        <w:trPr/>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 in millions)</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2026</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2025</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2026</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2025</w:t>
            </w:r>
          </w:p>
        </w:tc>
      </w:tr>
      <w:tr>
        <w:trPr/>
        <w:tc>
          <w:tcPr>
            <w:tcW w:w="3794"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Sales</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907"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(80)</w:t>
            </w:r>
          </w:p>
        </w:tc>
        <w:tc>
          <w:tcPr>
            <w:tcW w:w="136"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726"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(245)</w:t>
            </w:r>
          </w:p>
        </w:tc>
        <w:tc>
          <w:tcPr>
            <w:tcW w:w="136"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662"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(84)</w:t>
            </w:r>
          </w:p>
        </w:tc>
        <w:tc>
          <w:tcPr>
            <w:tcW w:w="136"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726"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(382)</w:t>
            </w:r>
          </w:p>
        </w:tc>
        <w:tc>
          <w:tcPr>
            <w:tcW w:w="214"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0"/>
              <w:jc w:val="left"/>
              <w:rPr/>
            </w:pPr>
            <w:r>
              <w:rPr>
                <w:rFonts w:ascii="Helvetica_Neue_LT_W1G_55_Roman;sans-serif" w:hAnsi="Helvetica_Neue_LT_W1G_55_Roman;sans-serif"/>
                <w:b w:val="false"/>
                <w:color w:val="000000"/>
                <w:sz w:val="18"/>
              </w:rPr>
              <w:t xml:space="preserve">Credit losses </w:t>
            </w:r>
            <w:r>
              <w:rPr>
                <w:rFonts w:ascii="Helvetica_Neue_LT_W1G_55_Roman;sans-serif" w:hAnsi="Helvetica_Neue_LT_W1G_55_Roman;sans-serif"/>
                <w:b w:val="false"/>
                <w:color w:val="000000"/>
                <w:sz w:val="12"/>
              </w:rPr>
              <w:t>(1)</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(18)</w:t>
            </w:r>
          </w:p>
        </w:tc>
        <w:tc>
          <w:tcPr>
            <w:tcW w:w="136"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w:t>
            </w:r>
          </w:p>
        </w:tc>
        <w:tc>
          <w:tcPr>
            <w:tcW w:w="136"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(25)</w:t>
            </w:r>
          </w:p>
        </w:tc>
        <w:tc>
          <w:tcPr>
            <w:tcW w:w="136"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(80)</w:t>
            </w:r>
          </w:p>
        </w:tc>
        <w:tc>
          <w:tcPr>
            <w:tcW w:w="214"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Valuation change of equity investments - appreciation (decline):</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4"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4"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4"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Equity securities</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1,157 </w:t>
            </w:r>
          </w:p>
        </w:tc>
        <w:tc>
          <w:tcPr>
            <w:tcW w:w="13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163 </w:t>
            </w:r>
          </w:p>
        </w:tc>
        <w:tc>
          <w:tcPr>
            <w:tcW w:w="13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793 </w:t>
            </w:r>
          </w:p>
        </w:tc>
        <w:tc>
          <w:tcPr>
            <w:tcW w:w="13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46 </w:t>
            </w:r>
          </w:p>
        </w:tc>
        <w:tc>
          <w:tcPr>
            <w:tcW w:w="21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Equity fund investments in fixed income securities and short-term investments</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1 </w:t>
            </w:r>
          </w:p>
        </w:tc>
        <w:tc>
          <w:tcPr>
            <w:tcW w:w="136"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1 </w:t>
            </w:r>
          </w:p>
        </w:tc>
        <w:tc>
          <w:tcPr>
            <w:tcW w:w="136"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(16)</w:t>
            </w:r>
          </w:p>
        </w:tc>
        <w:tc>
          <w:tcPr>
            <w:tcW w:w="136"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6 </w:t>
            </w:r>
          </w:p>
        </w:tc>
        <w:tc>
          <w:tcPr>
            <w:tcW w:w="214"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0"/>
              <w:jc w:val="left"/>
              <w:rPr/>
            </w:pPr>
            <w:r>
              <w:rPr>
                <w:rFonts w:ascii="Helvetica_Neue_LT_W1G_55_Roman;sans-serif" w:hAnsi="Helvetica_Neue_LT_W1G_55_Roman;sans-serif"/>
                <w:b w:val="false"/>
                <w:color w:val="000000"/>
                <w:sz w:val="18"/>
              </w:rPr>
              <w:t xml:space="preserve">Limited partnerships </w:t>
            </w:r>
            <w:r>
              <w:rPr>
                <w:rFonts w:ascii="Helvetica_Neue_LT_W1G_55_Roman;sans-serif" w:hAnsi="Helvetica_Neue_LT_W1G_55_Roman;sans-serif"/>
                <w:b w:val="false"/>
                <w:color w:val="000000"/>
                <w:sz w:val="12"/>
              </w:rPr>
              <w:t>(2)</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21 </w:t>
            </w:r>
          </w:p>
        </w:tc>
        <w:tc>
          <w:tcPr>
            <w:tcW w:w="136"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6 </w:t>
            </w:r>
          </w:p>
        </w:tc>
        <w:tc>
          <w:tcPr>
            <w:tcW w:w="136"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14 </w:t>
            </w:r>
          </w:p>
        </w:tc>
        <w:tc>
          <w:tcPr>
            <w:tcW w:w="136"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1 </w:t>
            </w:r>
          </w:p>
        </w:tc>
        <w:tc>
          <w:tcPr>
            <w:tcW w:w="214"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 valuation of equity investments</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1,179</w:t>
            </w:r>
            <w:r>
              <w:rPr>
                <w:color w:val="000000"/>
              </w:rPr>
              <w:t> </w:t>
            </w:r>
          </w:p>
        </w:tc>
        <w:tc>
          <w:tcPr>
            <w:tcW w:w="136"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170</w:t>
            </w:r>
            <w:r>
              <w:rPr>
                <w:color w:val="000000"/>
              </w:rPr>
              <w:t> </w:t>
            </w:r>
          </w:p>
        </w:tc>
        <w:tc>
          <w:tcPr>
            <w:tcW w:w="136"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791</w:t>
            </w:r>
            <w:r>
              <w:rPr>
                <w:color w:val="000000"/>
              </w:rPr>
              <w:t> </w:t>
            </w:r>
          </w:p>
        </w:tc>
        <w:tc>
          <w:tcPr>
            <w:tcW w:w="136"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53</w:t>
            </w:r>
            <w:r>
              <w:rPr>
                <w:color w:val="000000"/>
              </w:rPr>
              <w:t> </w:t>
            </w:r>
          </w:p>
        </w:tc>
        <w:tc>
          <w:tcPr>
            <w:tcW w:w="214"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Valuation change and settlements of derivatives</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(26)</w:t>
            </w:r>
          </w:p>
        </w:tc>
        <w:tc>
          <w:tcPr>
            <w:tcW w:w="136"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(65)</w:t>
            </w:r>
          </w:p>
        </w:tc>
        <w:tc>
          <w:tcPr>
            <w:tcW w:w="136"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(32)</w:t>
            </w:r>
          </w:p>
        </w:tc>
        <w:tc>
          <w:tcPr>
            <w:tcW w:w="136"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(84)</w:t>
            </w:r>
          </w:p>
        </w:tc>
        <w:tc>
          <w:tcPr>
            <w:tcW w:w="214"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Net gains (losses) on investments and derivatives, pre-tax</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1,055</w:t>
            </w:r>
            <w:r>
              <w:rPr>
                <w:color w:val="000000"/>
              </w:rPr>
              <w:t> </w:t>
            </w:r>
          </w:p>
        </w:tc>
        <w:tc>
          <w:tcPr>
            <w:tcW w:w="13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(144)</w:t>
            </w:r>
          </w:p>
        </w:tc>
        <w:tc>
          <w:tcPr>
            <w:tcW w:w="13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650</w:t>
            </w:r>
            <w:r>
              <w:rPr>
                <w:color w:val="000000"/>
              </w:rPr>
              <w:t> </w:t>
            </w:r>
          </w:p>
        </w:tc>
        <w:tc>
          <w:tcPr>
            <w:tcW w:w="13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(493)</w:t>
            </w:r>
          </w:p>
        </w:tc>
        <w:tc>
          <w:tcPr>
            <w:tcW w:w="21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Income tax (expense) benefit</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(226)</w:t>
            </w:r>
          </w:p>
        </w:tc>
        <w:tc>
          <w:tcPr>
            <w:tcW w:w="136"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32 </w:t>
            </w:r>
          </w:p>
        </w:tc>
        <w:tc>
          <w:tcPr>
            <w:tcW w:w="136"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(141)</w:t>
            </w:r>
          </w:p>
        </w:tc>
        <w:tc>
          <w:tcPr>
            <w:tcW w:w="136"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105 </w:t>
            </w:r>
          </w:p>
        </w:tc>
        <w:tc>
          <w:tcPr>
            <w:tcW w:w="214"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Net gains (losses) on investments and derivatives, after-tax</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907"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829</w:t>
            </w:r>
            <w:r>
              <w:rPr>
                <w:color w:val="000000"/>
              </w:rPr>
              <w:t> </w:t>
            </w:r>
          </w:p>
        </w:tc>
        <w:tc>
          <w:tcPr>
            <w:tcW w:w="13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7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(112)</w:t>
            </w:r>
          </w:p>
        </w:tc>
        <w:tc>
          <w:tcPr>
            <w:tcW w:w="13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662"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509</w:t>
            </w:r>
            <w:r>
              <w:rPr>
                <w:color w:val="000000"/>
              </w:rPr>
              <w:t> </w:t>
            </w:r>
          </w:p>
        </w:tc>
        <w:tc>
          <w:tcPr>
            <w:tcW w:w="13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7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(388)</w:t>
            </w:r>
          </w:p>
        </w:tc>
        <w:tc>
          <w:tcPr>
            <w:tcW w:w="21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top w:val="single" w:sz="4"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4"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4"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4"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pPr>
            <w:r>
              <w:rPr>
                <w:rFonts w:ascii="Helvetica_Neue_LT_W1G_55_Roman;sans-serif" w:hAnsi="Helvetica_Neue_LT_W1G_55_Roman;sans-serif"/>
                <w:b w:val="false"/>
                <w:color w:val="000000"/>
                <w:sz w:val="18"/>
              </w:rPr>
              <w:t xml:space="preserve">Market-based </w:t>
            </w:r>
            <w:r>
              <w:rPr>
                <w:rFonts w:ascii="Helvetica_Neue_LT_W1G_55_Roman;sans-serif" w:hAnsi="Helvetica_Neue_LT_W1G_55_Roman;sans-serif"/>
                <w:b w:val="false"/>
                <w:color w:val="000000"/>
                <w:sz w:val="12"/>
              </w:rPr>
              <w:t>(1)</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907"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1,032 </w:t>
            </w:r>
          </w:p>
        </w:tc>
        <w:tc>
          <w:tcPr>
            <w:tcW w:w="136"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7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(168)</w:t>
            </w:r>
          </w:p>
        </w:tc>
        <w:tc>
          <w:tcPr>
            <w:tcW w:w="13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662"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642 </w:t>
            </w:r>
          </w:p>
        </w:tc>
        <w:tc>
          <w:tcPr>
            <w:tcW w:w="136"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726"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(489)</w:t>
            </w:r>
          </w:p>
        </w:tc>
        <w:tc>
          <w:tcPr>
            <w:tcW w:w="214"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Performance-based</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23 </w:t>
            </w:r>
          </w:p>
        </w:tc>
        <w:tc>
          <w:tcPr>
            <w:tcW w:w="136"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24 </w:t>
            </w:r>
          </w:p>
        </w:tc>
        <w:tc>
          <w:tcPr>
            <w:tcW w:w="136"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8 </w:t>
            </w:r>
          </w:p>
        </w:tc>
        <w:tc>
          <w:tcPr>
            <w:tcW w:w="136"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w:t>
            </w:r>
          </w:p>
        </w:tc>
        <w:tc>
          <w:tcPr>
            <w:tcW w:w="214"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Net gains (losses) on investments and derivatives, pre-tax</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907"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1,055</w:t>
            </w:r>
            <w:r>
              <w:rPr>
                <w:color w:val="000000"/>
              </w:rPr>
              <w:t> </w:t>
            </w:r>
          </w:p>
        </w:tc>
        <w:tc>
          <w:tcPr>
            <w:tcW w:w="13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72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(144)</w:t>
            </w:r>
          </w:p>
        </w:tc>
        <w:tc>
          <w:tcPr>
            <w:tcW w:w="13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662"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650</w:t>
            </w:r>
            <w:r>
              <w:rPr>
                <w:color w:val="000000"/>
              </w:rPr>
              <w:t> </w:t>
            </w:r>
          </w:p>
        </w:tc>
        <w:tc>
          <w:tcPr>
            <w:tcW w:w="13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72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(493)</w:t>
            </w:r>
          </w:p>
        </w:tc>
        <w:tc>
          <w:tcPr>
            <w:tcW w:w="214"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180"/>
        <w:jc w:val="left"/>
        <w:rPr/>
      </w:pPr>
      <w:r>
        <w:rPr>
          <w:rFonts w:ascii="Allstate Sans;sans-serif" w:hAnsi="Allstate Sans;sans-serif"/>
          <w:b w:val="false"/>
          <w:color w:val="000000"/>
          <w:sz w:val="10"/>
        </w:rPr>
        <w:t>(1)</w:t>
      </w:r>
      <w:r>
        <w:rPr>
          <w:rFonts w:ascii="Allstate Sans;sans-serif" w:hAnsi="Allstate Sans;sans-serif"/>
          <w:b w:val="false"/>
          <w:color w:val="000000"/>
          <w:sz w:val="16"/>
        </w:rPr>
        <w:t>2025 includes losses recorded for variable interests in Reciprocal Exchanges. See Note 7 for further details.</w:t>
      </w:r>
    </w:p>
    <w:p>
      <w:pPr>
        <w:pStyle w:val="TextBody"/>
        <w:bidi w:val="0"/>
        <w:spacing w:lineRule="auto" w:line="288" w:before="0" w:after="120"/>
        <w:ind w:left="0" w:right="0" w:hanging="180"/>
        <w:jc w:val="left"/>
        <w:rPr/>
      </w:pPr>
      <w:r>
        <w:rPr>
          <w:rFonts w:ascii="Allstate Sans;sans-serif" w:hAnsi="Allstate Sans;sans-serif"/>
          <w:b w:val="false"/>
          <w:color w:val="000000"/>
          <w:sz w:val="10"/>
        </w:rPr>
        <w:t>(2)</w:t>
      </w:r>
      <w:r>
        <w:rPr>
          <w:rFonts w:ascii="Allstate Sans;sans-serif" w:hAnsi="Allstate Sans;sans-serif"/>
          <w:b w:val="false"/>
          <w:color w:val="000000"/>
          <w:sz w:val="16"/>
        </w:rPr>
        <w:t>Relates to limited partnerships where the underlying assets are predominately public equity securities.</w:t>
      </w:r>
    </w:p>
    <w:p>
      <w:pPr>
        <w:pStyle w:val="TextBody"/>
        <w:bidi w:val="0"/>
        <w:spacing w:lineRule="auto" w:line="288" w:before="0" w:after="120"/>
        <w:ind w:left="0" w:right="0" w:firstLine="360"/>
        <w:jc w:val="left"/>
        <w:rPr/>
      </w:pPr>
      <w:r>
        <w:rPr>
          <w:rFonts w:ascii="Allstate Sans;sans-serif" w:hAnsi="Allstate Sans;sans-serif"/>
          <w:b w:val="false"/>
          <w:i/>
          <w:color w:val="0033A0"/>
          <w:sz w:val="18"/>
        </w:rPr>
        <w:t>Net gains on investments and derivatives</w:t>
      </w:r>
      <w:r>
        <w:rPr>
          <w:color w:val="000000"/>
        </w:rPr>
        <w:t xml:space="preserve"> </w:t>
      </w:r>
      <w:r>
        <w:rPr>
          <w:rFonts w:ascii="Allstate Sans;sans-serif" w:hAnsi="Allstate Sans;sans-serif"/>
          <w:b w:val="false"/>
          <w:color w:val="000000"/>
          <w:sz w:val="18"/>
        </w:rPr>
        <w:t xml:space="preserve">in the second quarter and first six months of 2026 primarily related to valuation gains on equity investments. These gains were slightly offset by losses on sales of fixed income securities in connection with ongoing portfolio management, net losses on valuation change and settlements of derivatives primarily related to interest rate futures used to manage duration, and credit losses. </w:t>
      </w:r>
    </w:p>
    <w:tbl>
      <w:tblPr>
        <w:tblW w:w="10205" w:type="dxa"/>
        <w:jc w:val="left"/>
        <w:tblInd w:w="0" w:type="dxa"/>
        <w:tblLayout w:type="fixed"/>
        <w:tblCellMar>
          <w:top w:w="28" w:type="dxa"/>
          <w:left w:w="28" w:type="dxa"/>
          <w:bottom w:w="28" w:type="dxa"/>
          <w:right w:w="28" w:type="dxa"/>
        </w:tblCellMar>
      </w:tblPr>
      <w:tblGrid>
        <w:gridCol w:w="1517"/>
        <w:gridCol w:w="951"/>
        <w:gridCol w:w="848"/>
        <w:gridCol w:w="215"/>
        <w:gridCol w:w="215"/>
        <w:gridCol w:w="215"/>
        <w:gridCol w:w="447"/>
        <w:gridCol w:w="804"/>
        <w:gridCol w:w="215"/>
        <w:gridCol w:w="215"/>
        <w:gridCol w:w="215"/>
        <w:gridCol w:w="215"/>
        <w:gridCol w:w="447"/>
        <w:gridCol w:w="804"/>
        <w:gridCol w:w="215"/>
        <w:gridCol w:w="109"/>
        <w:gridCol w:w="109"/>
        <w:gridCol w:w="109"/>
        <w:gridCol w:w="292"/>
        <w:gridCol w:w="526"/>
        <w:gridCol w:w="141"/>
        <w:gridCol w:w="141"/>
        <w:gridCol w:w="141"/>
        <w:gridCol w:w="141"/>
        <w:gridCol w:w="292"/>
        <w:gridCol w:w="450"/>
        <w:gridCol w:w="216"/>
      </w:tblGrid>
      <w:tr>
        <w:trPr/>
        <w:tc>
          <w:tcPr>
            <w:tcW w:w="1517"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7538" w:type="dxa"/>
            <w:gridSpan w:val="15"/>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left"/>
              <w:rPr>
                <w:rFonts w:ascii="Allstate Sans;sans-serif" w:hAnsi="Allstate Sans;sans-serif"/>
                <w:b/>
                <w:color w:val="000000"/>
                <w:sz w:val="18"/>
              </w:rPr>
            </w:pPr>
            <w:r>
              <w:rPr>
                <w:rFonts w:ascii="Allstate Sans;sans-serif" w:hAnsi="Allstate Sans;sans-serif"/>
                <w:b/>
                <w:color w:val="000000"/>
                <w:sz w:val="18"/>
              </w:rPr>
              <w:t>Net gains (losses) on performance-based investments and derivatives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3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Six months ended June 30,</w:t>
            </w:r>
          </w:p>
        </w:tc>
      </w:tr>
      <w:tr>
        <w:trPr/>
        <w:tc>
          <w:tcPr>
            <w:tcW w:w="33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 in millions)</w:t>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2026</w:t>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2026</w:t>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2025</w:t>
            </w:r>
          </w:p>
        </w:tc>
      </w:tr>
      <w:tr>
        <w:trPr/>
        <w:tc>
          <w:tcPr>
            <w:tcW w:w="3316"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Sales</w:t>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804"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39 </w:t>
            </w:r>
          </w:p>
        </w:tc>
        <w:tc>
          <w:tcPr>
            <w:tcW w:w="215"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804"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6 </w:t>
            </w:r>
          </w:p>
        </w:tc>
        <w:tc>
          <w:tcPr>
            <w:tcW w:w="215"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526"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35 </w:t>
            </w:r>
          </w:p>
        </w:tc>
        <w:tc>
          <w:tcPr>
            <w:tcW w:w="141"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450"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w:t>
            </w:r>
          </w:p>
        </w:tc>
        <w:tc>
          <w:tcPr>
            <w:tcW w:w="216"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6"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Credit losses</w:t>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(15)</w:t>
            </w:r>
          </w:p>
        </w:tc>
        <w:tc>
          <w:tcPr>
            <w:tcW w:w="215"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w:t>
            </w:r>
          </w:p>
        </w:tc>
        <w:tc>
          <w:tcPr>
            <w:tcW w:w="215"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(22)</w:t>
            </w:r>
          </w:p>
        </w:tc>
        <w:tc>
          <w:tcPr>
            <w:tcW w:w="141"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(11)</w:t>
            </w:r>
          </w:p>
        </w:tc>
        <w:tc>
          <w:tcPr>
            <w:tcW w:w="21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6"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Valuation change of equity investments</w:t>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w:t>
            </w:r>
          </w:p>
        </w:tc>
        <w:tc>
          <w:tcPr>
            <w:tcW w:w="215"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59 </w:t>
            </w:r>
          </w:p>
        </w:tc>
        <w:tc>
          <w:tcPr>
            <w:tcW w:w="215"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(16)</w:t>
            </w:r>
          </w:p>
        </w:tc>
        <w:tc>
          <w:tcPr>
            <w:tcW w:w="141"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66 </w:t>
            </w:r>
          </w:p>
        </w:tc>
        <w:tc>
          <w:tcPr>
            <w:tcW w:w="21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Valuation change and settlements of derivatives</w:t>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1 </w:t>
            </w:r>
          </w:p>
        </w:tc>
        <w:tc>
          <w:tcPr>
            <w:tcW w:w="21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(37)</w:t>
            </w:r>
          </w:p>
        </w:tc>
        <w:tc>
          <w:tcPr>
            <w:tcW w:w="21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11 </w:t>
            </w:r>
          </w:p>
        </w:tc>
        <w:tc>
          <w:tcPr>
            <w:tcW w:w="14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(56)</w:t>
            </w:r>
          </w:p>
        </w:tc>
        <w:tc>
          <w:tcPr>
            <w:tcW w:w="21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6" w:type="dxa"/>
            <w:gridSpan w:val="3"/>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 performance-based</w:t>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804"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23</w:t>
            </w:r>
            <w:r>
              <w:rPr>
                <w:color w:val="000000"/>
              </w:rPr>
              <w:t> </w:t>
            </w:r>
          </w:p>
        </w:tc>
        <w:tc>
          <w:tcPr>
            <w:tcW w:w="215"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804"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24</w:t>
            </w:r>
            <w:r>
              <w:rPr>
                <w:color w:val="000000"/>
              </w:rPr>
              <w:t> </w:t>
            </w:r>
          </w:p>
        </w:tc>
        <w:tc>
          <w:tcPr>
            <w:tcW w:w="215"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52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8</w:t>
            </w:r>
            <w:r>
              <w:rPr>
                <w:color w:val="000000"/>
              </w:rPr>
              <w:t> </w:t>
            </w:r>
          </w:p>
        </w:tc>
        <w:tc>
          <w:tcPr>
            <w:tcW w:w="141"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450"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(4)</w:t>
            </w:r>
          </w:p>
        </w:tc>
        <w:tc>
          <w:tcPr>
            <w:tcW w:w="21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316"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c>
          <w:tcPr>
            <w:tcW w:w="1466"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c>
          <w:tcPr>
            <w:tcW w:w="1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2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33350"/>
                <wp:effectExtent l="0" t="0" r="0" b="0"/>
                <wp:wrapNone/>
                <wp:docPr id="75" name="Frame67"/>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ind w:left="0" w:right="0" w:firstLine="360"/>
                              <w:jc w:val="right"/>
                              <w:rPr/>
                            </w:pPr>
                            <w:r>
                              <w:rPr>
                                <w:rFonts w:ascii="Allstate Sans;sans-serif" w:hAnsi="Allstate Sans;sans-serif"/>
                                <w:b w:val="false"/>
                                <w:color w:val="000000"/>
                                <w:sz w:val="18"/>
                              </w:rPr>
                              <w:t xml:space="preserve">Second Quarter 2026 Form 10-Q </w:t>
                            </w:r>
                            <w:r>
                              <w:rPr>
                                <w:rFonts w:ascii="Allstate Sans;sans-serif" w:hAnsi="Allstate Sans;sans-serif"/>
                                <w:b w:val="false"/>
                                <w:color w:val="0033A0"/>
                                <w:sz w:val="18"/>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right"/>
                        <w:rPr/>
                      </w:pPr>
                      <w:r>
                        <w:rPr>
                          <w:rFonts w:ascii="Allstate Sans;sans-serif" w:hAnsi="Allstate Sans;sans-serif"/>
                          <w:b w:val="false"/>
                          <w:color w:val="000000"/>
                          <w:sz w:val="18"/>
                        </w:rPr>
                        <w:t xml:space="preserve">Second Quarter 2026 Form 10-Q </w:t>
                      </w:r>
                      <w:r>
                        <w:rPr>
                          <w:rFonts w:ascii="Allstate Sans;sans-serif" w:hAnsi="Allstate Sans;sans-serif"/>
                          <w:b w:val="false"/>
                          <w:color w:val="0033A0"/>
                          <w:sz w:val="18"/>
                        </w:rPr>
                        <w:t>65</w:t>
                      </w:r>
                    </w:p>
                  </w:txbxContent>
                </v:textbox>
                <w10:wrap type="none"/>
              </v:rect>
            </w:pict>
          </mc:Fallback>
        </mc:AlternateContent>
      </w:r>
    </w:p>
    <w:p>
      <w:pPr>
        <w:pStyle w:val="TextBody"/>
        <w:bidi w:val="0"/>
        <w:spacing w:lineRule="auto" w:line="288" w:before="0" w:after="120"/>
        <w:jc w:val="left"/>
        <w:rPr>
          <w:rFonts w:ascii="Allstate Sans;sans-serif" w:hAnsi="Allstate Sans;sans-serif"/>
          <w:b w:val="false"/>
          <w:color w:val="0033A0"/>
          <w:sz w:val="18"/>
        </w:rPr>
      </w:pPr>
      <w:r>
        <w:rPr>
          <w:rFonts w:ascii="Allstate Sans;sans-serif" w:hAnsi="Allstate Sans;sans-serif"/>
          <w:b w:val="false"/>
          <w:color w:val="0033A0"/>
          <w:sz w:val="18"/>
        </w:rPr>
        <w:t xml:space="preserve">Capital Resources and Liquidity </w:t>
      </w:r>
    </w:p>
    <w:p>
      <w:pPr>
        <w:pStyle w:val="TextBody"/>
        <w:bidi w:val="0"/>
        <w:spacing w:before="0" w:after="120"/>
        <w:ind w:left="0" w:right="0" w:firstLine="360"/>
        <w:jc w:val="left"/>
        <w:rPr/>
      </w:pPr>
      <w:r>
        <w:rPr/>
      </w:r>
    </w:p>
    <w:p>
      <w:pPr>
        <w:pStyle w:val="TextBody"/>
        <w:bidi w:val="0"/>
        <w:spacing w:lineRule="auto" w:line="288" w:before="0" w:after="120"/>
        <w:jc w:val="left"/>
        <w:rPr>
          <w:rFonts w:ascii="Allstate Sans;sans-serif" w:hAnsi="Allstate Sans;sans-serif"/>
          <w:b/>
          <w:color w:val="0033A0"/>
          <w:sz w:val="22"/>
        </w:rPr>
      </w:pPr>
      <w:r>
        <w:rPr>
          <w:rFonts w:ascii="Allstate Sans;sans-serif" w:hAnsi="Allstate Sans;sans-serif"/>
          <w:b/>
          <w:color w:val="0033A0"/>
          <w:sz w:val="22"/>
        </w:rPr>
        <w:t>Capital Resources and Liquidity</w:t>
      </w:r>
    </w:p>
    <w:p>
      <w:pPr>
        <w:pStyle w:val="TextBody"/>
        <w:bidi w:val="0"/>
        <w:spacing w:lineRule="auto" w:line="288" w:before="0" w:after="120"/>
        <w:ind w:left="0" w:right="0" w:firstLine="360"/>
        <w:jc w:val="left"/>
        <w:rPr/>
      </w:pPr>
      <w:r>
        <w:rPr>
          <w:rFonts w:ascii="Allstate Sans;sans-serif" w:hAnsi="Allstate Sans;sans-serif"/>
          <w:b/>
          <w:color w:val="0033A0"/>
          <w:sz w:val="18"/>
        </w:rPr>
        <w:t>Capital resources</w:t>
      </w:r>
      <w:r>
        <w:rPr>
          <w:color w:val="000000"/>
        </w:rPr>
        <w:t xml:space="preserve"> </w:t>
      </w:r>
      <w:r>
        <w:rPr>
          <w:rFonts w:ascii="Allstate Sans;sans-serif" w:hAnsi="Allstate Sans;sans-serif"/>
          <w:b w:val="false"/>
          <w:color w:val="000000"/>
          <w:sz w:val="18"/>
        </w:rPr>
        <w:t xml:space="preserve">consist of shareholders’ equity and debt, representing funds deployed or available to be deployed to support business operations or for general corporate purposes. </w:t>
      </w:r>
    </w:p>
    <w:tbl>
      <w:tblPr>
        <w:tblW w:w="10205" w:type="dxa"/>
        <w:jc w:val="left"/>
        <w:tblInd w:w="0" w:type="dxa"/>
        <w:tblLayout w:type="fixed"/>
        <w:tblCellMar>
          <w:top w:w="28" w:type="dxa"/>
          <w:left w:w="28" w:type="dxa"/>
          <w:bottom w:w="28" w:type="dxa"/>
          <w:right w:w="28" w:type="dxa"/>
        </w:tblCellMar>
      </w:tblPr>
      <w:tblGrid>
        <w:gridCol w:w="2346"/>
        <w:gridCol w:w="1995"/>
        <w:gridCol w:w="1968"/>
        <w:gridCol w:w="109"/>
        <w:gridCol w:w="109"/>
        <w:gridCol w:w="109"/>
        <w:gridCol w:w="239"/>
        <w:gridCol w:w="891"/>
        <w:gridCol w:w="286"/>
        <w:gridCol w:w="109"/>
        <w:gridCol w:w="109"/>
        <w:gridCol w:w="109"/>
        <w:gridCol w:w="297"/>
        <w:gridCol w:w="1107"/>
        <w:gridCol w:w="422"/>
      </w:tblGrid>
      <w:tr>
        <w:trPr/>
        <w:tc>
          <w:tcPr>
            <w:tcW w:w="2346" w:type="dxa"/>
            <w:tcBorders/>
            <w:vAlign w:val="center"/>
          </w:tcPr>
          <w:p>
            <w:pPr>
              <w:pStyle w:val="TableContents"/>
              <w:bidi w:val="0"/>
              <w:spacing w:before="0" w:after="283"/>
              <w:jc w:val="left"/>
              <w:rPr>
                <w:sz w:val="4"/>
                <w:szCs w:val="4"/>
              </w:rPr>
            </w:pPr>
            <w:r>
              <w:rPr>
                <w:sz w:val="4"/>
                <w:szCs w:val="4"/>
              </w:rPr>
            </w:r>
          </w:p>
        </w:tc>
        <w:tc>
          <w:tcPr>
            <w:tcW w:w="1995" w:type="dxa"/>
            <w:tcBorders/>
            <w:vAlign w:val="center"/>
          </w:tcPr>
          <w:p>
            <w:pPr>
              <w:pStyle w:val="TableContents"/>
              <w:bidi w:val="0"/>
              <w:spacing w:before="0" w:after="283"/>
              <w:jc w:val="left"/>
              <w:rPr>
                <w:sz w:val="4"/>
                <w:szCs w:val="4"/>
              </w:rPr>
            </w:pPr>
            <w:r>
              <w:rPr>
                <w:sz w:val="4"/>
                <w:szCs w:val="4"/>
              </w:rPr>
            </w:r>
          </w:p>
        </w:tc>
        <w:tc>
          <w:tcPr>
            <w:tcW w:w="19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op w:val="single" w:sz="4" w:space="0" w:color="000000"/>
            </w:tcBorders>
            <w:tcMar>
              <w:top w:w="30" w:type="dxa"/>
              <w:left w:w="0" w:type="dxa"/>
              <w:bottom w:w="0" w:type="dxa"/>
              <w:right w:w="0" w:type="dxa"/>
            </w:tcMar>
            <w:vAlign w:val="center"/>
          </w:tcPr>
          <w:p>
            <w:pPr>
              <w:pStyle w:val="TableContents"/>
              <w:bidi w:val="0"/>
              <w:spacing w:lineRule="auto" w:line="288" w:before="0" w:after="120"/>
              <w:jc w:val="left"/>
              <w:rPr>
                <w:rFonts w:ascii="Allstate Sans;sans-serif" w:hAnsi="Allstate Sans;sans-serif"/>
                <w:b/>
                <w:color w:val="000000"/>
                <w:sz w:val="18"/>
              </w:rPr>
            </w:pPr>
            <w:r>
              <w:rPr>
                <w:rFonts w:ascii="Allstate Sans;sans-serif" w:hAnsi="Allstate Sans;sans-serif"/>
                <w:b/>
                <w:color w:val="000000"/>
                <w:sz w:val="18"/>
              </w:rPr>
              <w:t>Capital resources</w:t>
            </w:r>
          </w:p>
        </w:tc>
      </w:tr>
      <w:tr>
        <w:trPr/>
        <w:tc>
          <w:tcPr>
            <w:tcW w:w="63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 in 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December 31, 2025</w:t>
            </w:r>
          </w:p>
        </w:tc>
      </w:tr>
      <w:tr>
        <w:trPr/>
        <w:tc>
          <w:tcPr>
            <w:tcW w:w="6309"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Preferred stock, common stock, treasury stock, retained income and other shareholders’ equity items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891"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33,891 </w:t>
            </w:r>
          </w:p>
        </w:tc>
        <w:tc>
          <w:tcPr>
            <w:tcW w:w="286"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1107"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30,355 </w:t>
            </w:r>
          </w:p>
        </w:tc>
        <w:tc>
          <w:tcPr>
            <w:tcW w:w="422"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9"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Accumulated other comprehensive (loss)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(193)</w:t>
            </w:r>
          </w:p>
        </w:tc>
        <w:tc>
          <w:tcPr>
            <w:tcW w:w="28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255 </w:t>
            </w:r>
          </w:p>
        </w:tc>
        <w:tc>
          <w:tcPr>
            <w:tcW w:w="42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9"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 Allstate shareholders’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33,698</w:t>
            </w:r>
            <w:r>
              <w:rPr>
                <w:color w:val="000000"/>
              </w:rPr>
              <w:t> </w:t>
            </w:r>
          </w:p>
        </w:tc>
        <w:tc>
          <w:tcPr>
            <w:tcW w:w="28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30,610</w:t>
            </w:r>
            <w:r>
              <w:rPr>
                <w:color w:val="000000"/>
              </w:rPr>
              <w:t> </w:t>
            </w:r>
          </w:p>
        </w:tc>
        <w:tc>
          <w:tcPr>
            <w:tcW w:w="42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9"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pPr>
            <w:r>
              <w:rPr>
                <w:rFonts w:ascii="Helvetica_Neue_LT_W1G_55_Roman;sans-serif" w:hAnsi="Helvetica_Neue_LT_W1G_55_Roman;sans-serif"/>
                <w:b w:val="false"/>
                <w:color w:val="000000"/>
                <w:sz w:val="18"/>
              </w:rPr>
              <w:t xml:space="preserve">Debt </w:t>
            </w:r>
            <w:r>
              <w:rPr>
                <w:rFonts w:ascii="Helvetica_Neue_LT_W1G_55_Roman;sans-serif" w:hAnsi="Helvetica_Neue_LT_W1G_55_Roman;sans-serif"/>
                <w:b w:val="false"/>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7,492 </w:t>
            </w:r>
          </w:p>
        </w:tc>
        <w:tc>
          <w:tcPr>
            <w:tcW w:w="28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7,490 </w:t>
            </w:r>
          </w:p>
        </w:tc>
        <w:tc>
          <w:tcPr>
            <w:tcW w:w="42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9"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 capital resources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89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41,190</w:t>
            </w:r>
            <w:r>
              <w:rPr>
                <w:color w:val="000000"/>
              </w:rPr>
              <w:t> </w:t>
            </w:r>
          </w:p>
        </w:tc>
        <w:tc>
          <w:tcPr>
            <w:tcW w:w="28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1107"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38,100</w:t>
            </w:r>
            <w:r>
              <w:rPr>
                <w:color w:val="000000"/>
              </w:rPr>
              <w:t> </w:t>
            </w:r>
          </w:p>
        </w:tc>
        <w:tc>
          <w:tcPr>
            <w:tcW w:w="42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6" w:type="dxa"/>
            <w:gridSpan w:val="3"/>
            <w:tcBorders/>
            <w:vAlign w:val="center"/>
          </w:tcPr>
          <w:p>
            <w:pPr>
              <w:pStyle w:val="TableContents"/>
              <w:bidi w:val="0"/>
              <w:spacing w:before="0" w:after="283"/>
              <w:jc w:val="left"/>
              <w:rPr>
                <w:sz w:val="4"/>
                <w:szCs w:val="4"/>
              </w:rPr>
            </w:pPr>
            <w:r>
              <w:rPr>
                <w:sz w:val="4"/>
                <w:szCs w:val="4"/>
              </w:rPr>
            </w:r>
          </w:p>
        </w:tc>
      </w:tr>
      <w:tr>
        <w:trPr/>
        <w:tc>
          <w:tcPr>
            <w:tcW w:w="6309"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Ratio of debt to Allstate shareholders’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22.2 </w:t>
            </w:r>
          </w:p>
        </w:tc>
        <w:tc>
          <w:tcPr>
            <w:tcW w:w="28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24.5 </w:t>
            </w:r>
          </w:p>
        </w:tc>
        <w:tc>
          <w:tcPr>
            <w:tcW w:w="422"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r>
      <w:tr>
        <w:trPr/>
        <w:tc>
          <w:tcPr>
            <w:tcW w:w="6309" w:type="dxa"/>
            <w:gridSpan w:val="3"/>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Ratio of debt to capital resources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18.2 </w:t>
            </w:r>
          </w:p>
        </w:tc>
        <w:tc>
          <w:tcPr>
            <w:tcW w:w="28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19.7 </w:t>
            </w:r>
          </w:p>
        </w:tc>
        <w:tc>
          <w:tcPr>
            <w:tcW w:w="422"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6" w:type="dxa"/>
            <w:gridSpan w:val="3"/>
            <w:tcBorders/>
            <w:vAlign w:val="center"/>
          </w:tcPr>
          <w:p>
            <w:pPr>
              <w:pStyle w:val="TableContents"/>
              <w:bidi w:val="0"/>
              <w:spacing w:before="0" w:after="283"/>
              <w:jc w:val="left"/>
              <w:rPr>
                <w:sz w:val="4"/>
                <w:szCs w:val="4"/>
              </w:rPr>
            </w:pPr>
            <w:r>
              <w:rPr>
                <w:sz w:val="4"/>
                <w:szCs w:val="4"/>
              </w:rPr>
            </w:r>
          </w:p>
        </w:tc>
      </w:tr>
      <w:tr>
        <w:trPr/>
        <w:tc>
          <w:tcPr>
            <w:tcW w:w="6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180"/>
        <w:jc w:val="left"/>
        <w:rPr/>
      </w:pPr>
      <w:r>
        <w:rPr>
          <w:rFonts w:ascii="Allstate Sans;sans-serif" w:hAnsi="Allstate Sans;sans-serif"/>
          <w:b w:val="false"/>
          <w:color w:val="000000"/>
          <w:sz w:val="12"/>
        </w:rPr>
        <w:t>(1)</w:t>
      </w:r>
      <w:r>
        <w:rPr>
          <w:rFonts w:ascii="Allstate Sans;sans-serif" w:hAnsi="Allstate Sans;sans-serif"/>
          <w:b w:val="false"/>
          <w:color w:val="000000"/>
          <w:sz w:val="16"/>
        </w:rPr>
        <w:t>Net of debt issuance costs of $49 million and $51 million as of June 30, 2026 and December 31, 2025, respectively</w:t>
      </w:r>
      <w:r>
        <w:rPr>
          <w:rFonts w:ascii="Allstate Sans;sans-serif" w:hAnsi="Allstate Sans;sans-serif"/>
          <w:b w:val="false"/>
          <w:color w:val="000000"/>
          <w:sz w:val="18"/>
        </w:rPr>
        <w:t>.</w:t>
      </w:r>
    </w:p>
    <w:p>
      <w:pPr>
        <w:pStyle w:val="TextBody"/>
        <w:bidi w:val="0"/>
        <w:spacing w:lineRule="auto" w:line="288" w:before="0" w:after="120"/>
        <w:ind w:left="0" w:right="0" w:firstLine="360"/>
        <w:jc w:val="left"/>
        <w:rPr/>
      </w:pPr>
      <w:r>
        <w:rPr>
          <w:rFonts w:ascii="Allstate Sans;sans-serif" w:hAnsi="Allstate Sans;sans-serif"/>
          <w:b w:val="false"/>
          <w:i/>
          <w:color w:val="0033A0"/>
          <w:sz w:val="18"/>
        </w:rPr>
        <w:t xml:space="preserve">Allstate shareholders’ equity </w:t>
      </w:r>
      <w:r>
        <w:rPr>
          <w:rFonts w:ascii="Allstate Sans;sans-serif" w:hAnsi="Allstate Sans;sans-serif"/>
          <w:b w:val="false"/>
          <w:color w:val="000000"/>
          <w:sz w:val="18"/>
        </w:rPr>
        <w:t>increased in the first six months of 2026, primarily due to net income, partially offset by common share repurchases, dividends to shareholders and unrealized net capital losses. In the six months ended June 30, 2026, we paid dividends of $541 million and $59 million related to our common and preferred shares, respectively.</w:t>
      </w:r>
    </w:p>
    <w:p>
      <w:pPr>
        <w:pStyle w:val="TextBody"/>
        <w:bidi w:val="0"/>
        <w:spacing w:lineRule="auto" w:line="288" w:before="0" w:after="60"/>
        <w:ind w:left="0" w:right="0" w:firstLine="360"/>
        <w:jc w:val="left"/>
        <w:rPr/>
      </w:pPr>
      <w:r>
        <w:rPr>
          <w:rFonts w:ascii="Allstate Sans;sans-serif" w:hAnsi="Allstate Sans;sans-serif"/>
          <w:b w:val="false"/>
          <w:i/>
          <w:color w:val="0033A0"/>
          <w:sz w:val="18"/>
        </w:rPr>
        <w:t xml:space="preserve">Debt maturities </w:t>
      </w:r>
      <w:r>
        <w:rPr>
          <w:rFonts w:ascii="Allstate Sans;sans-serif" w:hAnsi="Allstate Sans;sans-serif"/>
          <w:b w:val="false"/>
          <w:color w:val="000000"/>
          <w:sz w:val="18"/>
        </w:rPr>
        <w:t>We have $550 million of debt that is scheduled to mature in December 2026.</w:t>
      </w:r>
    </w:p>
    <w:tbl>
      <w:tblPr>
        <w:tblW w:w="7212" w:type="dxa"/>
        <w:jc w:val="left"/>
        <w:tblInd w:w="0" w:type="dxa"/>
        <w:tblLayout w:type="fixed"/>
        <w:tblCellMar>
          <w:top w:w="28" w:type="dxa"/>
          <w:left w:w="28" w:type="dxa"/>
          <w:bottom w:w="28" w:type="dxa"/>
          <w:right w:w="28" w:type="dxa"/>
        </w:tblCellMar>
      </w:tblPr>
      <w:tblGrid>
        <w:gridCol w:w="1163"/>
        <w:gridCol w:w="1023"/>
        <w:gridCol w:w="1023"/>
        <w:gridCol w:w="305"/>
        <w:gridCol w:w="305"/>
        <w:gridCol w:w="305"/>
        <w:gridCol w:w="634"/>
        <w:gridCol w:w="2022"/>
        <w:gridCol w:w="432"/>
      </w:tblGrid>
      <w:tr>
        <w:trPr/>
        <w:tc>
          <w:tcPr>
            <w:tcW w:w="1163"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202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r>
      <w:tr>
        <w:trPr/>
        <w:tc>
          <w:tcPr>
            <w:tcW w:w="7212"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left"/>
              <w:rPr>
                <w:rFonts w:ascii="Allstate Sans;sans-serif" w:hAnsi="Allstate Sans;sans-serif"/>
                <w:b/>
                <w:color w:val="000000"/>
                <w:sz w:val="18"/>
              </w:rPr>
            </w:pPr>
            <w:r>
              <w:rPr>
                <w:rFonts w:ascii="Allstate Sans;sans-serif" w:hAnsi="Allstate Sans;sans-serif"/>
                <w:b/>
                <w:color w:val="000000"/>
                <w:sz w:val="18"/>
              </w:rPr>
              <w:t xml:space="preserve">Debt maturities for each of the next five years </w:t>
            </w:r>
          </w:p>
          <w:p>
            <w:pPr>
              <w:pStyle w:val="TableContents"/>
              <w:bidi w:val="0"/>
              <w:spacing w:lineRule="auto" w:line="240" w:before="0" w:after="0"/>
              <w:jc w:val="left"/>
              <w:rPr>
                <w:rFonts w:ascii="Allstate Sans;sans-serif" w:hAnsi="Allstate Sans;sans-serif"/>
                <w:b/>
                <w:color w:val="000000"/>
                <w:sz w:val="18"/>
              </w:rPr>
            </w:pPr>
            <w:r>
              <w:rPr>
                <w:rFonts w:ascii="Allstate Sans;sans-serif" w:hAnsi="Allstate Sans;sans-serif"/>
                <w:b/>
                <w:color w:val="000000"/>
                <w:sz w:val="18"/>
              </w:rPr>
              <w:t>and thereafter (excluding issuance costs)</w:t>
            </w:r>
          </w:p>
        </w:tc>
      </w:tr>
      <w:tr>
        <w:trPr/>
        <w:tc>
          <w:tcPr>
            <w:tcW w:w="3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 in millions)</w:t>
            </w:r>
          </w:p>
        </w:tc>
        <w:tc>
          <w:tcPr>
            <w:tcW w:w="9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2027</w:t>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2022"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2"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2028</w:t>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2029</w:t>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500 </w:t>
            </w:r>
          </w:p>
        </w:tc>
        <w:tc>
          <w:tcPr>
            <w:tcW w:w="43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2030</w:t>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600 </w:t>
            </w:r>
          </w:p>
        </w:tc>
        <w:tc>
          <w:tcPr>
            <w:tcW w:w="43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2031</w:t>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Thereafter</w:t>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5,891 </w:t>
            </w:r>
          </w:p>
        </w:tc>
        <w:tc>
          <w:tcPr>
            <w:tcW w:w="43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 long-term debt principal</w:t>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2022"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6,991</w:t>
            </w:r>
            <w:r>
              <w:rPr>
                <w:color w:val="000000"/>
              </w:rPr>
              <w:t> </w:t>
            </w:r>
          </w:p>
        </w:tc>
        <w:tc>
          <w:tcPr>
            <w:tcW w:w="432"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left"/>
        <w:rPr/>
      </w:pPr>
      <w:r>
        <w:rPr>
          <w:rFonts w:ascii="Allstate Sans;sans-serif" w:hAnsi="Allstate Sans;sans-serif"/>
          <w:b w:val="false"/>
          <w:i/>
          <w:color w:val="0033A0"/>
          <w:sz w:val="18"/>
        </w:rPr>
        <w:t>Common share repurchases</w:t>
      </w:r>
      <w:r>
        <w:rPr>
          <w:color w:val="000000"/>
        </w:rPr>
        <w:t xml:space="preserve"> </w:t>
      </w:r>
      <w:r>
        <w:rPr>
          <w:rFonts w:ascii="Allstate Sans;sans-serif" w:hAnsi="Allstate Sans;sans-serif"/>
          <w:b w:val="false"/>
          <w:color w:val="000000"/>
          <w:sz w:val="18"/>
        </w:rPr>
        <w:t>On February 4, 2026, the Board of Directors authorized a common share repurchase program</w:t>
      </w:r>
      <w:r>
        <w:rPr>
          <w:color w:val="000000"/>
        </w:rPr>
        <w:t xml:space="preserve"> </w:t>
      </w:r>
      <w:r>
        <w:rPr>
          <w:rFonts w:ascii="Allstate Sans;sans-serif" w:hAnsi="Allstate Sans;sans-serif"/>
          <w:b w:val="false"/>
          <w:color w:val="000000"/>
          <w:sz w:val="18"/>
        </w:rPr>
        <w:t>for</w:t>
      </w:r>
      <w:r>
        <w:rPr>
          <w:color w:val="000000"/>
        </w:rPr>
        <w:t xml:space="preserve"> </w:t>
      </w:r>
      <w:r>
        <w:rPr>
          <w:rFonts w:ascii="Allstate Sans;sans-serif" w:hAnsi="Allstate Sans;sans-serif"/>
          <w:b w:val="false"/>
          <w:color w:val="000000"/>
          <w:sz w:val="18"/>
        </w:rPr>
        <w:t>$4.00 billion which must be completed by February 29, 2028. As of June 30, 2026, there was $2.60 billion remaining on the $4.00 billion common share repurchase program.</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During the first six months of 2026, we repurchased 8 million common shares, or 3.0% of total common shares outstanding at December 31, 2025, for $1.66 billion.</w:t>
      </w:r>
    </w:p>
    <w:p>
      <w:pPr>
        <w:pStyle w:val="TextBody"/>
        <w:bidi w:val="0"/>
        <w:spacing w:lineRule="auto" w:line="288" w:before="0" w:after="120"/>
        <w:ind w:left="0" w:right="0" w:firstLine="360"/>
        <w:jc w:val="left"/>
        <w:rPr/>
      </w:pPr>
      <w:r>
        <w:rPr>
          <w:rFonts w:ascii="Allstate Sans;sans-serif" w:hAnsi="Allstate Sans;sans-serif"/>
          <w:b w:val="false"/>
          <w:i/>
          <w:color w:val="0033A0"/>
          <w:sz w:val="18"/>
        </w:rPr>
        <w:t>Common shareholder dividends</w:t>
      </w:r>
      <w:r>
        <w:rPr>
          <w:color w:val="000000"/>
        </w:rPr>
        <w:t xml:space="preserve"> </w:t>
      </w:r>
      <w:r>
        <w:rPr>
          <w:rFonts w:ascii="Allstate Sans;sans-serif" w:hAnsi="Allstate Sans;sans-serif"/>
          <w:b w:val="false"/>
          <w:color w:val="000000"/>
          <w:sz w:val="18"/>
        </w:rPr>
        <w:t>On January 2, 2026 and April 1, 2026, we paid a common shareholder dividend of $1.00 and $1.08, respectively. On May 22, 2026, we declared a common shareholder dividend of $1.08 payable on July 1, 2026.</w:t>
      </w:r>
    </w:p>
    <w:p>
      <w:pPr>
        <w:pStyle w:val="TextBody"/>
        <w:bidi w:val="0"/>
        <w:spacing w:lineRule="auto" w:line="288" w:before="0" w:after="120"/>
        <w:ind w:left="0" w:right="0" w:firstLine="360"/>
        <w:jc w:val="left"/>
        <w:rPr/>
      </w:pPr>
      <w:r>
        <w:rPr>
          <w:rFonts w:ascii="Allstate Sans;sans-serif" w:hAnsi="Allstate Sans;sans-serif"/>
          <w:b/>
          <w:color w:val="0033A0"/>
          <w:sz w:val="18"/>
        </w:rPr>
        <w:t>Financial ratings and strength</w:t>
      </w:r>
      <w:r>
        <w:rPr>
          <w:color w:val="000000"/>
        </w:rPr>
        <w:t xml:space="preserve"> </w:t>
      </w:r>
      <w:r>
        <w:rPr>
          <w:rFonts w:ascii="Allstate Sans;sans-serif" w:hAnsi="Allstate Sans;sans-serif"/>
          <w:b w:val="false"/>
          <w:color w:val="000000"/>
          <w:sz w:val="18"/>
        </w:rPr>
        <w:t xml:space="preserve">Our ratings are influenced by many factors including our operating and financial performance, asset quality, liquidity, overall portfolio mix, financial leverage (i.e., debt), exposure to risks such as catastrophes and the current level of operating leverage. The preferred stock and subordinated debentures are viewed as having a common equity component by certain rating agencies and are given equity credit up to a pre-determined </w:t>
      </w:r>
    </w:p>
    <w:p>
      <w:pPr>
        <w:pStyle w:val="TextBody"/>
        <w:bidi w:val="0"/>
        <w:spacing w:lineRule="auto" w:line="288" w:before="0" w:after="120"/>
        <w:jc w:val="left"/>
        <w:rPr>
          <w:rFonts w:ascii="Allstate Sans;sans-serif" w:hAnsi="Allstate Sans;sans-serif"/>
          <w:b w:val="false"/>
          <w:color w:val="000000"/>
          <w:sz w:val="18"/>
        </w:rPr>
      </w:pPr>
      <w:r>
        <w:rPr>
          <w:rFonts w:ascii="Allstate Sans;sans-serif" w:hAnsi="Allstate Sans;sans-serif"/>
          <w:b w:val="false"/>
          <w:color w:val="000000"/>
          <w:sz w:val="18"/>
        </w:rPr>
        <w:t>limit in our capital structure as determined by their respective methodologies. These respective methodologies consider the existence of certain terms and features in the instruments such as the noncumulative dividend feature in the preferred stock.</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There have been no changes to any of our ratings from A.M. Best, S&amp;P or Moody’s since December 31, 2025.</w:t>
      </w:r>
    </w:p>
    <w:p>
      <w:pPr>
        <w:pStyle w:val="TextBody"/>
        <w:bidi w:val="0"/>
        <w:spacing w:lineRule="auto" w:line="288" w:before="0" w:after="120"/>
        <w:ind w:left="0" w:right="0" w:firstLine="360"/>
        <w:jc w:val="left"/>
        <w:rPr/>
      </w:pPr>
      <w:r>
        <w:rPr>
          <w:rFonts w:ascii="Allstate Sans;sans-serif" w:hAnsi="Allstate Sans;sans-serif"/>
          <w:b/>
          <w:color w:val="0033A0"/>
          <w:sz w:val="18"/>
        </w:rPr>
        <w:t>Liquidity sources and uses</w:t>
      </w:r>
      <w:r>
        <w:rPr>
          <w:color w:val="000000"/>
        </w:rPr>
        <w:t xml:space="preserve"> </w:t>
      </w:r>
      <w:r>
        <w:rPr>
          <w:rFonts w:ascii="Allstate Sans;sans-serif" w:hAnsi="Allstate Sans;sans-serif"/>
          <w:b w:val="false"/>
          <w:color w:val="000000"/>
          <w:sz w:val="18"/>
        </w:rPr>
        <w:t>We actively manage our financial position and liquidity levels in light of changing market, economic and business conditions. Liquidity is managed at both the entity and enterprise level across the Company and is assessed on both base and stressed level liquidity needs. We believe we have sufficient liquidity to meet these needs. As of June 30, 2026, we held $28.47 billion of cash, U.S. government and agencies fixed income securities, public equity securities and short-term investments, which we would expect to be able to liquidate within one week.</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Additionally, we have existing intercompany agreements in place that facilitate liquidity management across the Company to enhance flexibility.</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The Corporation is party to an Amended and Restated Intercompany Liquidity Agreement (“Liquidity Agreement”) with certain subsidiaries, which includes, but is not limited to Allstate Insurance Company (“AIC”). The Liquidity Agreement allows for short-term advances of funds to be made between parties for liquidity and other general corporate purposes. The Liquidity Agreement does not establish a commitment to advance funds on the part of any party. AIC serves as a lender and borrower, certain other subsidiaries serve only as borrowers, and the Corporation serves only as a lender. The maximum amount of potential funding under each of these agreements is $1.00 billion.</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 xml:space="preserve">In addition to the Liquidity Agreement, the Corporation also has an intercompany loan agreement with certain of its subsidiaries, which includes, but is not limited to, AIC. The amount of intercompany loans available to the Corporation’s subsidiaries is at the discretion of the Corporation. The maximum amount of loans the Corporation will have outstanding to all its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76"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120"/>
                              <w:jc w:val="left"/>
                              <w:rPr/>
                            </w:pPr>
                            <w:r>
                              <w:rPr>
                                <w:rFonts w:ascii="Allstate Sans;sans-serif" w:hAnsi="Allstate Sans;sans-serif"/>
                                <w:b w:val="false"/>
                                <w:color w:val="0033A0"/>
                                <w:sz w:val="18"/>
                              </w:rPr>
                              <w:t>66</w:t>
                            </w:r>
                            <w:r>
                              <w:rPr>
                                <w:color w:val="1666AF"/>
                              </w:rPr>
                              <w:t xml:space="preserve"> </w:t>
                            </w:r>
                            <w:r>
                              <w:rPr>
                                <w:rFonts w:ascii="Allstate Sans;sans-serif" w:hAnsi="Allstate Sans;sans-serif"/>
                                <w:b w:val="false"/>
                                <w:color w:val="000000"/>
                                <w:sz w:val="18"/>
                              </w:rPr>
                              <w:t>www.allstate.com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left"/>
                        <w:rPr/>
                      </w:pPr>
                      <w:r>
                        <w:rPr>
                          <w:rFonts w:ascii="Allstate Sans;sans-serif" w:hAnsi="Allstate Sans;sans-serif"/>
                          <w:b w:val="false"/>
                          <w:color w:val="0033A0"/>
                          <w:sz w:val="18"/>
                        </w:rPr>
                        <w:t>66</w:t>
                      </w:r>
                      <w:r>
                        <w:rPr>
                          <w:color w:val="1666AF"/>
                        </w:rPr>
                        <w:t xml:space="preserve"> </w:t>
                      </w:r>
                      <w:r>
                        <w:rPr>
                          <w:rFonts w:ascii="Allstate Sans;sans-serif" w:hAnsi="Allstate Sans;sans-serif"/>
                          <w:b w:val="false"/>
                          <w:color w:val="000000"/>
                          <w:sz w:val="18"/>
                        </w:rPr>
                        <w:t>www.allstate.com</w:t>
                      </w:r>
                    </w:p>
                  </w:txbxContent>
                </v:textbox>
                <w10:wrap type="none"/>
              </v:rect>
            </w:pict>
          </mc:Fallback>
        </mc:AlternateContent>
      </w:r>
    </w:p>
    <w:p>
      <w:pPr>
        <w:pStyle w:val="TextBody"/>
        <w:bidi w:val="0"/>
        <w:spacing w:lineRule="auto" w:line="288" w:before="0" w:after="120"/>
        <w:ind w:left="0" w:right="0" w:firstLine="360"/>
        <w:jc w:val="right"/>
        <w:rPr>
          <w:rFonts w:ascii="Allstate Sans;sans-serif" w:hAnsi="Allstate Sans;sans-serif"/>
          <w:b w:val="false"/>
          <w:color w:val="0033A0"/>
          <w:sz w:val="18"/>
        </w:rPr>
      </w:pPr>
      <w:r>
        <w:rPr>
          <w:rFonts w:ascii="Allstate Sans;sans-serif" w:hAnsi="Allstate Sans;sans-serif"/>
          <w:b w:val="false"/>
          <w:color w:val="0033A0"/>
          <w:sz w:val="18"/>
        </w:rPr>
        <w:t xml:space="preserve">Capital Resources and Liquidity </w:t>
      </w:r>
    </w:p>
    <w:p>
      <w:pPr>
        <w:pStyle w:val="TextBody"/>
        <w:bidi w:val="0"/>
        <w:spacing w:lineRule="auto" w:line="288" w:before="0" w:after="120"/>
        <w:jc w:val="left"/>
        <w:rPr>
          <w:rFonts w:ascii="Allstate Sans;sans-serif" w:hAnsi="Allstate Sans;sans-serif"/>
          <w:b w:val="false"/>
          <w:color w:val="000000"/>
          <w:sz w:val="18"/>
        </w:rPr>
      </w:pPr>
      <w:r>
        <w:rPr>
          <w:rFonts w:ascii="Allstate Sans;sans-serif" w:hAnsi="Allstate Sans;sans-serif"/>
          <w:b w:val="false"/>
          <w:color w:val="000000"/>
          <w:sz w:val="18"/>
        </w:rPr>
        <w:t>eligible subsidiaries at any given point in time is limited to $1.00 billion. The Corporation may use commercial paper borrowings, bank lines of credit and securities lending to fund intercompany borrowings.</w:t>
      </w:r>
    </w:p>
    <w:p>
      <w:pPr>
        <w:pStyle w:val="TextBody"/>
        <w:bidi w:val="0"/>
        <w:spacing w:lineRule="auto" w:line="288" w:before="0" w:after="120"/>
        <w:ind w:left="0" w:right="0" w:firstLine="360"/>
        <w:jc w:val="left"/>
        <w:rPr/>
      </w:pPr>
      <w:r>
        <w:rPr>
          <w:rFonts w:ascii="Allstate Sans;sans-serif" w:hAnsi="Allstate Sans;sans-serif"/>
          <w:b w:val="false"/>
          <w:i/>
          <w:color w:val="0033A0"/>
          <w:sz w:val="18"/>
        </w:rPr>
        <w:t>Parent company capital capacity</w:t>
      </w:r>
      <w:r>
        <w:rPr>
          <w:color w:val="000000"/>
        </w:rPr>
        <w:t xml:space="preserve"> </w:t>
      </w:r>
      <w:r>
        <w:rPr>
          <w:rFonts w:ascii="Allstate Sans;sans-serif" w:hAnsi="Allstate Sans;sans-serif"/>
          <w:b w:val="false"/>
          <w:color w:val="000000"/>
          <w:sz w:val="18"/>
        </w:rPr>
        <w:t>At the parent holding company level, we have deployable assets totaling $9.45 billion as of June 30, 2026, primarily comprised of cash and short-term, fixed income and equity securities that are generally saleable within one quarter. The earnings capacity of the operating subsidiaries is the primary source of capital generation for the Corporation.</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Based on the greater of 2025 statutory net income or 10% of actual December 31, 2025 statutory surplus, the maximum amount of dividends that AIC will be able to pay, without prior Illinois Department of Insurance approval, at a given point in time through February 2027, is $7.98 billion, less dividends paid during the preceding twelve months measured at that point in time. During the first six months of 2026, $4.00 billion of dividends have been paid.</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Dividends may not be paid or declared on our common stock and shares of common stock may not be repurchased unless the full dividends for the latest completed dividend period on our preferred stock have been declared and paid or provided for.</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The terms of our outstanding subordinated debentures also prohibit us from declaring or paying any dividends or distributions on our common or preferred stock or redeeming, purchasing, acquiring, or making liquidation payments on our common stock or preferred stock if we have elected to defer interest payments on the subordinated debentures, subject to certain limited exceptions. In the first six months of 2026, we did not defer interest payments on the subordinated debentures.</w:t>
      </w:r>
    </w:p>
    <w:p>
      <w:pPr>
        <w:pStyle w:val="TextBody"/>
        <w:bidi w:val="0"/>
        <w:spacing w:lineRule="auto" w:line="288" w:before="0" w:after="6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Additional resources to support liquidity are as follows:</w:t>
      </w:r>
    </w:p>
    <w:p>
      <w:pPr>
        <w:pStyle w:val="TextBody"/>
        <w:bidi w:val="0"/>
        <w:spacing w:lineRule="auto" w:line="288" w:before="0" w:after="60"/>
        <w:ind w:left="0" w:right="0" w:hanging="270"/>
        <w:jc w:val="left"/>
        <w:rPr/>
      </w:pPr>
      <w:r>
        <w:rPr>
          <w:color w:val="000000"/>
        </w:rPr>
        <w:t>•</w:t>
      </w:r>
      <w:r>
        <w:rPr>
          <w:rFonts w:ascii="Allstate Sans;sans-serif" w:hAnsi="Allstate Sans;sans-serif"/>
          <w:b w:val="false"/>
          <w:color w:val="000000"/>
          <w:sz w:val="18"/>
        </w:rPr>
        <w:t>The Corporation and AIC have access to a $750 million unsecured revolving credit facility that is available for short-term liquidity requirements. The maturity date of this facility is November 2027. The facility is fully subscribed among 11 lenders with the largest commitment being $95 million. The commitments of the lenders are several and no lender is responsible for any other lender’s commitment if such lender fails to make a loan under the facility. This facility contains an increase provision that would allow up to an additional $500 million of borrowing, subject to the lenders’ commitment. This facility has a financial covenant requiring that we not exceed a 37.5% debt to capitalization ratio as defined in the agreement. This ratio was 13.9% as of June 30, 2026. Although the right to borrow under the facility is not subject to a minimum rating requirement, the costs of maintaining the facility and borrowing under it are based on the ratings of our senior unsecured, unguaranteed long-term debt. There were no borrowings under the credit facility during 2026.</w:t>
      </w:r>
    </w:p>
    <w:p>
      <w:pPr>
        <w:pStyle w:val="TextBody"/>
        <w:bidi w:val="0"/>
        <w:spacing w:lineRule="auto" w:line="288" w:before="0" w:after="60"/>
        <w:ind w:left="0" w:right="0" w:hanging="270"/>
        <w:jc w:val="left"/>
        <w:rPr/>
      </w:pPr>
      <w:r>
        <w:rPr>
          <w:color w:val="000000"/>
        </w:rPr>
        <w:t>•</w:t>
      </w:r>
      <w:r>
        <w:rPr>
          <w:rFonts w:ascii="Allstate Sans;sans-serif" w:hAnsi="Allstate Sans;sans-serif"/>
          <w:b w:val="false"/>
          <w:color w:val="000000"/>
          <w:sz w:val="18"/>
        </w:rPr>
        <w:t>To cover short-term cash needs, the Corporation has access to a commercial paper facility with a borrowing capacity limited to any undrawn credit facility balance up to $750 million.</w:t>
      </w:r>
    </w:p>
    <w:p>
      <w:pPr>
        <w:pStyle w:val="TextBody"/>
        <w:bidi w:val="0"/>
        <w:spacing w:lineRule="auto" w:line="288" w:before="0" w:after="60"/>
        <w:ind w:left="0" w:right="0" w:hanging="270"/>
        <w:jc w:val="left"/>
        <w:rPr/>
      </w:pPr>
      <w:r>
        <w:rPr>
          <w:color w:val="000000"/>
        </w:rPr>
        <w:t>•</w:t>
      </w:r>
      <w:r>
        <w:rPr>
          <w:rFonts w:ascii="Allstate Sans;sans-serif" w:hAnsi="Allstate Sans;sans-serif"/>
          <w:b w:val="false"/>
          <w:color w:val="000000"/>
          <w:sz w:val="18"/>
        </w:rPr>
        <w:t>As of June 30, 2026, there were no balances outstanding for the credit facility or the commercial paper facility, and therefore the remaining borrowing capacity was $750 million.</w:t>
      </w:r>
    </w:p>
    <w:p>
      <w:pPr>
        <w:pStyle w:val="TextBody"/>
        <w:bidi w:val="0"/>
        <w:spacing w:lineRule="auto" w:line="288" w:before="0" w:after="60"/>
        <w:ind w:left="0" w:right="0" w:hanging="270"/>
        <w:jc w:val="left"/>
        <w:rPr/>
      </w:pPr>
      <w:r>
        <w:rPr>
          <w:color w:val="000000"/>
        </w:rPr>
        <w:t>•</w:t>
      </w:r>
      <w:r>
        <w:rPr>
          <w:rFonts w:ascii="Allstate Sans;sans-serif" w:hAnsi="Allstate Sans;sans-serif"/>
          <w:b w:val="false"/>
          <w:color w:val="000000"/>
          <w:sz w:val="18"/>
        </w:rPr>
        <w:t>The Corporation has access to a universal shelf registration statement with the Securities and Exchange Commission that was filed on April 30, 2024 and expires in 2027. We can use this shelf registration to issue an unspecified amount of debt securities, common stock (including 646 million shares of treasury stock as of June 30, 2026), preferred stock, depositary shares, warrants, stock purchase contracts and stock purchase units. The specific terms of any securities we issue under this registration statement will be provided in the applicable prospectus supplements.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33350"/>
                <wp:effectExtent l="0" t="0" r="0" b="0"/>
                <wp:wrapNone/>
                <wp:docPr id="77" name="Frame69"/>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ind w:left="0" w:right="0" w:firstLine="360"/>
                              <w:jc w:val="right"/>
                              <w:rPr/>
                            </w:pPr>
                            <w:r>
                              <w:rPr>
                                <w:rFonts w:ascii="Allstate Sans;sans-serif" w:hAnsi="Allstate Sans;sans-serif"/>
                                <w:b w:val="false"/>
                                <w:color w:val="000000"/>
                                <w:sz w:val="18"/>
                              </w:rPr>
                              <w:t xml:space="preserve">Second Quarter 2026 Form 10-Q </w:t>
                            </w:r>
                            <w:r>
                              <w:rPr>
                                <w:rFonts w:ascii="Allstate Sans;sans-serif" w:hAnsi="Allstate Sans;sans-serif"/>
                                <w:b w:val="false"/>
                                <w:color w:val="0033A0"/>
                                <w:sz w:val="18"/>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right"/>
                        <w:rPr/>
                      </w:pPr>
                      <w:r>
                        <w:rPr>
                          <w:rFonts w:ascii="Allstate Sans;sans-serif" w:hAnsi="Allstate Sans;sans-serif"/>
                          <w:b w:val="false"/>
                          <w:color w:val="000000"/>
                          <w:sz w:val="18"/>
                        </w:rPr>
                        <w:t xml:space="preserve">Second Quarter 2026 Form 10-Q </w:t>
                      </w:r>
                      <w:r>
                        <w:rPr>
                          <w:rFonts w:ascii="Allstate Sans;sans-serif" w:hAnsi="Allstate Sans;sans-serif"/>
                          <w:b w:val="false"/>
                          <w:color w:val="0033A0"/>
                          <w:sz w:val="18"/>
                        </w:rPr>
                        <w:t>67</w:t>
                      </w:r>
                    </w:p>
                  </w:txbxContent>
                </v:textbox>
                <w10:wrap type="none"/>
              </v:rect>
            </w:pict>
          </mc:Fallback>
        </mc:AlternateContent>
      </w:r>
    </w:p>
    <w:p>
      <w:pPr>
        <w:pStyle w:val="TextBody"/>
        <w:bidi w:val="0"/>
        <w:spacing w:before="0" w:after="120"/>
        <w:ind w:left="0" w:right="0" w:firstLine="360"/>
        <w:jc w:val="left"/>
        <w:rPr/>
      </w:pPr>
      <w:r>
        <w:rPr/>
      </w:r>
    </w:p>
    <w:p>
      <w:pPr>
        <w:pStyle w:val="TextBody"/>
        <w:bidi w:val="0"/>
        <w:spacing w:lineRule="auto" w:line="288" w:before="0" w:after="120"/>
        <w:jc w:val="left"/>
        <w:rPr>
          <w:rFonts w:ascii="Allstate Sans;sans-serif" w:hAnsi="Allstate Sans;sans-serif"/>
          <w:b/>
          <w:color w:val="0033A0"/>
          <w:sz w:val="22"/>
        </w:rPr>
      </w:pPr>
      <w:r>
        <w:rPr>
          <w:rFonts w:ascii="Allstate Sans;sans-serif" w:hAnsi="Allstate Sans;sans-serif"/>
          <w:b/>
          <w:color w:val="0033A0"/>
          <w:sz w:val="22"/>
        </w:rPr>
        <w:t>Forward-Looking Statements</w:t>
      </w:r>
    </w:p>
    <w:p>
      <w:pPr>
        <w:pStyle w:val="TextBody"/>
        <w:bidi w:val="0"/>
        <w:spacing w:lineRule="auto" w:line="288" w:before="0" w:after="120"/>
        <w:ind w:left="0" w:right="0" w:firstLine="270"/>
        <w:jc w:val="left"/>
        <w:rPr>
          <w:rFonts w:ascii="Allstate Sans;sans-serif" w:hAnsi="Allstate Sans;sans-serif"/>
          <w:b w:val="false"/>
          <w:color w:val="000000"/>
          <w:sz w:val="18"/>
        </w:rPr>
      </w:pPr>
      <w:r>
        <w:rPr>
          <w:rFonts w:ascii="Allstate Sans;sans-serif" w:hAnsi="Allstate Sans;sans-serif"/>
          <w:b w:val="false"/>
          <w:color w:val="000000"/>
          <w:sz w:val="18"/>
        </w:rPr>
        <w:t>This report contains “forward-looking statements” that anticipate results based on our estimates, assumptions and plans that are subject to uncertainty. These statements are made subject to the safe-harbor provisions of the Private Securities Litigation Reform Act of 1995. Forward-looking statements do not relate strictly to historical or current facts and may be identified by their use of words like “plans,” “seeks,” “expects,” “will,” “should,” “anticipates,” “estimates,” “intends,” “believes,” “likely,” “targets” and other words with similar meanings. These statements may address, among other things, our strategy for growth, catastrophe exposure management, product development, investment results, regulatory approvals, market position, expenses, financial results, litigation and reserves. We believe that these statements are based on reasonable estimates, assumptions and plans. Forward-looking statements speak only as of the date on which they are made, and we assume no obligation to update any forward-looking statements resulting from new information or future events or developments. In addition, forward-looking statements are subject to certain risks or uncertainties that could cause actual results to differ materially from those communicated in these forward-looking statements. Factors that could cause actual results to differ materially from those expressed in, or implied by, the forward-looking statements include risks related to:</w:t>
      </w:r>
    </w:p>
    <w:p>
      <w:pPr>
        <w:pStyle w:val="TextBody"/>
        <w:bidi w:val="0"/>
        <w:spacing w:lineRule="auto" w:line="288" w:before="0" w:after="120"/>
        <w:jc w:val="left"/>
        <w:rPr/>
      </w:pPr>
      <w:r>
        <w:rPr>
          <w:rFonts w:ascii="Allstate Sans;sans-serif" w:hAnsi="Allstate Sans;sans-serif"/>
          <w:b/>
          <w:color w:val="0033A0"/>
          <w:sz w:val="18"/>
        </w:rPr>
        <w:t>Insurance and Financial Services</w:t>
      </w:r>
      <w:r>
        <w:rPr>
          <w:color w:val="000000"/>
        </w:rPr>
        <w:t xml:space="preserve"> </w:t>
      </w:r>
      <w:r>
        <w:rPr>
          <w:rFonts w:ascii="Allstate Sans;sans-serif" w:hAnsi="Allstate Sans;sans-serif"/>
          <w:b w:val="false"/>
          <w:color w:val="000000"/>
          <w:sz w:val="18"/>
        </w:rPr>
        <w:t>(1)</w:t>
      </w:r>
      <w:r>
        <w:rPr>
          <w:color w:val="005BA5"/>
        </w:rPr>
        <w:t xml:space="preserve"> </w:t>
      </w:r>
      <w:r>
        <w:rPr>
          <w:rFonts w:ascii="Allstate Sans;sans-serif" w:hAnsi="Allstate Sans;sans-serif"/>
          <w:b w:val="false"/>
          <w:color w:val="000000"/>
          <w:sz w:val="18"/>
        </w:rPr>
        <w:t>actual claim costs exceeding current reserves;</w:t>
      </w:r>
      <w:r>
        <w:rPr>
          <w:color w:val="005BA5"/>
        </w:rPr>
        <w:t xml:space="preserve"> </w:t>
      </w:r>
      <w:r>
        <w:rPr>
          <w:rFonts w:ascii="Allstate Sans;sans-serif" w:hAnsi="Allstate Sans;sans-serif"/>
          <w:b w:val="false"/>
          <w:color w:val="000000"/>
          <w:sz w:val="18"/>
        </w:rPr>
        <w:t>(2) increases in claim frequency or severity;</w:t>
      </w:r>
      <w:r>
        <w:rPr>
          <w:color w:val="0033A0"/>
        </w:rPr>
        <w:t xml:space="preserve"> </w:t>
      </w:r>
      <w:r>
        <w:rPr>
          <w:rFonts w:ascii="Allstate Sans;sans-serif" w:hAnsi="Allstate Sans;sans-serif"/>
          <w:b w:val="false"/>
          <w:color w:val="000000"/>
          <w:sz w:val="18"/>
        </w:rPr>
        <w:t>(3) catastrophes and severe weather events;</w:t>
      </w:r>
      <w:r>
        <w:rPr>
          <w:color w:val="0033A0"/>
        </w:rPr>
        <w:t xml:space="preserve"> </w:t>
      </w:r>
      <w:r>
        <w:rPr>
          <w:rFonts w:ascii="Allstate Sans;sans-serif" w:hAnsi="Allstate Sans;sans-serif"/>
          <w:b w:val="false"/>
          <w:color w:val="000000"/>
          <w:sz w:val="18"/>
        </w:rPr>
        <w:t>(4) limitations in analytical models used for loss cost estimates; (5)</w:t>
      </w:r>
      <w:r>
        <w:rPr>
          <w:color w:val="005BA5"/>
        </w:rPr>
        <w:t xml:space="preserve"> </w:t>
      </w:r>
      <w:r>
        <w:rPr>
          <w:rFonts w:ascii="Allstate Sans;sans-serif" w:hAnsi="Allstate Sans;sans-serif"/>
          <w:b w:val="false"/>
          <w:color w:val="000000"/>
          <w:sz w:val="18"/>
        </w:rPr>
        <w:t>price competition and changes in regulation and underwriting standards; (6)</w:t>
      </w:r>
      <w:r>
        <w:rPr>
          <w:color w:val="2F5496"/>
        </w:rPr>
        <w:t xml:space="preserve"> </w:t>
      </w:r>
      <w:r>
        <w:rPr>
          <w:rFonts w:ascii="Allstate Sans;sans-serif" w:hAnsi="Allstate Sans;sans-serif"/>
          <w:b w:val="false"/>
          <w:color w:val="000000"/>
          <w:sz w:val="18"/>
        </w:rPr>
        <w:t>regulatory limitations on rates, profits, new products or the use of advanced technologies, non-traditional data sources or large language models and requirements to underwrite business and participate in loss sharing arrangements; (7)</w:t>
      </w:r>
      <w:r>
        <w:rPr>
          <w:color w:val="4472C4"/>
        </w:rPr>
        <w:t xml:space="preserve"> </w:t>
      </w:r>
      <w:r>
        <w:rPr>
          <w:rFonts w:ascii="Allstate Sans;sans-serif" w:hAnsi="Allstate Sans;sans-serif"/>
          <w:b w:val="false"/>
          <w:color w:val="000000"/>
          <w:sz w:val="18"/>
        </w:rPr>
        <w:t>market risk, declines in credit quality and economic and capital market conditions affecting investments; (8) subjective determination of fair value and amount of credit losses for investments; (9) participation in indemnification programs, including state industry pools and facilities; (10) inability to mitigate the impact associated with changes in capital requirements; (11) a downgrade in financial strength ratings;</w:t>
      </w:r>
    </w:p>
    <w:p>
      <w:pPr>
        <w:pStyle w:val="TextBody"/>
        <w:bidi w:val="0"/>
        <w:spacing w:lineRule="auto" w:line="288" w:before="0" w:after="120"/>
        <w:jc w:val="left"/>
        <w:rPr/>
      </w:pPr>
      <w:r>
        <w:rPr>
          <w:rFonts w:ascii="Allstate Sans;sans-serif" w:hAnsi="Allstate Sans;sans-serif"/>
          <w:b/>
          <w:color w:val="0033A0"/>
          <w:sz w:val="18"/>
        </w:rPr>
        <w:t>Business, Strategy and Operations</w:t>
      </w:r>
      <w:r>
        <w:rPr>
          <w:color w:val="1666AF"/>
        </w:rPr>
        <w:t xml:space="preserve"> </w:t>
      </w:r>
      <w:r>
        <w:rPr>
          <w:rFonts w:ascii="Allstate Sans;sans-serif" w:hAnsi="Allstate Sans;sans-serif"/>
          <w:b w:val="false"/>
          <w:color w:val="000000"/>
          <w:sz w:val="18"/>
        </w:rPr>
        <w:t>(12) operations in markets that are highly competitive; (13) changing consumer preferences; (14)</w:t>
      </w:r>
      <w:r>
        <w:rPr>
          <w:color w:val="0033A0"/>
        </w:rPr>
        <w:t xml:space="preserve"> </w:t>
      </w:r>
      <w:r>
        <w:rPr>
          <w:rFonts w:ascii="Allstate Sans;sans-serif" w:hAnsi="Allstate Sans;sans-serif"/>
          <w:b w:val="false"/>
          <w:color w:val="000000"/>
          <w:sz w:val="18"/>
        </w:rPr>
        <w:t>new or changing technologies and new business model impacts affecting the auto industry; (15)</w:t>
      </w:r>
      <w:r>
        <w:rPr>
          <w:color w:val="2F5496"/>
        </w:rPr>
        <w:t xml:space="preserve"> </w:t>
      </w:r>
      <w:r>
        <w:rPr>
          <w:rFonts w:ascii="Allstate Sans;sans-serif" w:hAnsi="Allstate Sans;sans-serif"/>
          <w:b w:val="false"/>
          <w:color w:val="000000"/>
          <w:sz w:val="18"/>
        </w:rPr>
        <w:t>inability to successfully deploy advanced technologies in a cost-effective, competitive, ethical and compliant manner;</w:t>
      </w:r>
      <w:r>
        <w:rPr>
          <w:color w:val="2F5496"/>
        </w:rPr>
        <w:t xml:space="preserve"> </w:t>
      </w:r>
      <w:r>
        <w:rPr>
          <w:rFonts w:ascii="Allstate Sans;sans-serif" w:hAnsi="Allstate Sans;sans-serif"/>
          <w:b w:val="false"/>
          <w:color w:val="000000"/>
          <w:sz w:val="18"/>
        </w:rPr>
        <w:t>(16) Transformative Growth strategy; (17) catastrophe management strategy;</w:t>
      </w:r>
      <w:r>
        <w:rPr>
          <w:color w:val="0033A0"/>
        </w:rPr>
        <w:t xml:space="preserve"> </w:t>
      </w:r>
      <w:r>
        <w:rPr>
          <w:rFonts w:ascii="Allstate Sans;sans-serif" w:hAnsi="Allstate Sans;sans-serif"/>
          <w:b w:val="false"/>
          <w:color w:val="000000"/>
          <w:sz w:val="18"/>
        </w:rPr>
        <w:t>(18)</w:t>
      </w:r>
      <w:r>
        <w:rPr>
          <w:color w:val="2F5496"/>
        </w:rPr>
        <w:t xml:space="preserve"> </w:t>
      </w:r>
      <w:r>
        <w:rPr>
          <w:rFonts w:ascii="Allstate Sans;sans-serif" w:hAnsi="Allstate Sans;sans-serif"/>
          <w:b w:val="false"/>
          <w:color w:val="000000"/>
          <w:sz w:val="18"/>
        </w:rPr>
        <w:t>restrictions on our subsidiaries’ ability to pay dividends; (19)</w:t>
      </w:r>
      <w:r>
        <w:rPr>
          <w:color w:val="2F5496"/>
        </w:rPr>
        <w:t xml:space="preserve"> </w:t>
      </w:r>
      <w:r>
        <w:rPr>
          <w:rFonts w:ascii="Allstate Sans;sans-serif" w:hAnsi="Allstate Sans;sans-serif"/>
          <w:b w:val="false"/>
          <w:color w:val="000000"/>
          <w:sz w:val="18"/>
        </w:rPr>
        <w:t>restrictions under terms of some of our securities on the ability to pay dividends or repurchase stock; (20)</w:t>
      </w:r>
      <w:r>
        <w:rPr>
          <w:color w:val="2F5496"/>
        </w:rPr>
        <w:t xml:space="preserve"> </w:t>
      </w:r>
      <w:r>
        <w:rPr>
          <w:rFonts w:ascii="Allstate Sans;sans-serif" w:hAnsi="Allstate Sans;sans-serif"/>
          <w:b w:val="false"/>
          <w:color w:val="000000"/>
          <w:sz w:val="18"/>
        </w:rPr>
        <w:t>the availability and cost of reinsurance; (21)</w:t>
      </w:r>
      <w:r>
        <w:rPr>
          <w:color w:val="2F5496"/>
        </w:rPr>
        <w:t xml:space="preserve"> </w:t>
      </w:r>
      <w:r>
        <w:rPr>
          <w:rFonts w:ascii="Allstate Sans;sans-serif" w:hAnsi="Allstate Sans;sans-serif"/>
          <w:b w:val="false"/>
          <w:color w:val="000000"/>
          <w:sz w:val="18"/>
        </w:rPr>
        <w:t>counterparty risk related to reinsurance; (22)</w:t>
      </w:r>
      <w:r>
        <w:rPr>
          <w:color w:val="2F5496"/>
        </w:rPr>
        <w:t xml:space="preserve"> </w:t>
      </w:r>
      <w:r>
        <w:rPr>
          <w:rFonts w:ascii="Allstate Sans;sans-serif" w:hAnsi="Allstate Sans;sans-serif"/>
          <w:b w:val="false"/>
          <w:color w:val="000000"/>
          <w:sz w:val="18"/>
        </w:rPr>
        <w:t>acquisitions and divestitures of businesses; (23) intellectual property infringement, misappropriation and third-party claims; (24) reliance on vendors for products, services or protection of data and information; (25) the failure in cyber or other information security controls; (26) inability to restore business operations following a significant operational event; (27) inability to attract, develop and retain talent;</w:t>
      </w:r>
    </w:p>
    <w:p>
      <w:pPr>
        <w:pStyle w:val="TextBody"/>
        <w:bidi w:val="0"/>
        <w:spacing w:lineRule="auto" w:line="288" w:before="0" w:after="120"/>
        <w:jc w:val="left"/>
        <w:rPr/>
      </w:pPr>
      <w:r>
        <w:rPr>
          <w:rFonts w:ascii="Allstate Sans;sans-serif" w:hAnsi="Allstate Sans;sans-serif"/>
          <w:b/>
          <w:color w:val="0033A0"/>
          <w:sz w:val="18"/>
        </w:rPr>
        <w:t>Macro, Regulatory and Risk Environment</w:t>
      </w:r>
      <w:r>
        <w:rPr>
          <w:color w:val="1666AF"/>
        </w:rPr>
        <w:t xml:space="preserve"> </w:t>
      </w:r>
      <w:r>
        <w:rPr>
          <w:rFonts w:ascii="Allstate Sans;sans-serif" w:hAnsi="Allstate Sans;sans-serif"/>
          <w:b w:val="false"/>
          <w:color w:val="000000"/>
          <w:sz w:val="18"/>
        </w:rPr>
        <w:t>(28)</w:t>
      </w:r>
      <w:r>
        <w:rPr>
          <w:color w:val="2F5496"/>
        </w:rPr>
        <w:t xml:space="preserve"> </w:t>
      </w:r>
      <w:r>
        <w:rPr>
          <w:rFonts w:ascii="Allstate Sans;sans-serif" w:hAnsi="Allstate Sans;sans-serif"/>
          <w:b w:val="false"/>
          <w:color w:val="000000"/>
          <w:sz w:val="18"/>
        </w:rPr>
        <w:t>conditions in the global economy and capital markets, including changes in U.S. trade and tariff policy, new or additional U.S. and responsive non-U.S. tariffs, and our ability to plan for and respond to the impact of those changes; (29)</w:t>
      </w:r>
      <w:r>
        <w:rPr>
          <w:color w:val="2F5496"/>
        </w:rPr>
        <w:t xml:space="preserve"> </w:t>
      </w:r>
      <w:r>
        <w:rPr>
          <w:rFonts w:ascii="Allstate Sans;sans-serif" w:hAnsi="Allstate Sans;sans-serif"/>
          <w:b w:val="false"/>
          <w:color w:val="000000"/>
          <w:sz w:val="18"/>
        </w:rPr>
        <w:t>restrictions on liquidity or availability of credit on acceptable terms; (30)</w:t>
      </w:r>
      <w:r>
        <w:rPr>
          <w:color w:val="2F5496"/>
        </w:rPr>
        <w:t xml:space="preserve"> </w:t>
      </w:r>
      <w:r>
        <w:rPr>
          <w:rFonts w:ascii="Allstate Sans;sans-serif" w:hAnsi="Allstate Sans;sans-serif"/>
          <w:b w:val="false"/>
          <w:color w:val="000000"/>
          <w:sz w:val="18"/>
        </w:rPr>
        <w:t>widespread disruptive or destabilizing events; (31) changing climate and weather conditions; (32) practices relating to environmental and social matters;</w:t>
      </w:r>
      <w:r>
        <w:rPr>
          <w:color w:val="005BA5"/>
        </w:rPr>
        <w:t xml:space="preserve"> </w:t>
      </w:r>
      <w:r>
        <w:rPr>
          <w:rFonts w:ascii="Allstate Sans;sans-serif" w:hAnsi="Allstate Sans;sans-serif"/>
          <w:b w:val="false"/>
          <w:color w:val="000000"/>
          <w:sz w:val="18"/>
        </w:rPr>
        <w:t>(33) evolving privacy and data security regulation and increased focus on enforcement;</w:t>
      </w:r>
      <w:r>
        <w:rPr>
          <w:color w:val="005BA5"/>
        </w:rPr>
        <w:t xml:space="preserve"> </w:t>
      </w:r>
      <w:r>
        <w:rPr>
          <w:rFonts w:ascii="Allstate Sans;sans-serif" w:hAnsi="Allstate Sans;sans-serif"/>
          <w:b w:val="false"/>
          <w:color w:val="000000"/>
          <w:sz w:val="18"/>
        </w:rPr>
        <w:t>(34) restrictive regulations and uncertainty around the interpretation and implementation of regulations in the U.S. and internationally; (35) regulatory and federal agency reforms; (36) losses from legal and regulatory actions; (37) changes in or the application of accounting standards and changes in tax laws; and (38) misconduct or fraudulent acts by employees, agents and third parties.</w:t>
      </w:r>
    </w:p>
    <w:p>
      <w:pPr>
        <w:pStyle w:val="TextBody"/>
        <w:bidi w:val="0"/>
        <w:spacing w:lineRule="auto" w:line="288" w:before="0" w:after="120"/>
        <w:ind w:left="0" w:right="0" w:firstLine="270"/>
        <w:jc w:val="left"/>
        <w:rPr>
          <w:rFonts w:ascii="Allstate Sans;sans-serif" w:hAnsi="Allstate Sans;sans-serif"/>
          <w:b w:val="false"/>
          <w:color w:val="000000"/>
          <w:sz w:val="18"/>
        </w:rPr>
      </w:pPr>
      <w:r>
        <w:rPr>
          <w:rFonts w:ascii="Allstate Sans;sans-serif" w:hAnsi="Allstate Sans;sans-serif"/>
          <w:b w:val="false"/>
          <w:color w:val="000000"/>
          <w:sz w:val="18"/>
        </w:rPr>
        <w:t>Additional information concerning these and other factors may be found in our filings with the Securities and Exchange Commission, including the “Risk Factors” section in our most recent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llstate Sans;sans-serif" w:hAnsi="Allstate Sans;sans-serif"/>
          <w:b/>
          <w:color w:val="0033A0"/>
          <w:sz w:val="22"/>
        </w:rPr>
      </w:pPr>
      <w:r>
        <w:rPr>
          <w:rFonts w:ascii="Allstate Sans;sans-serif" w:hAnsi="Allstate Sans;sans-serif"/>
          <w:b/>
          <w:color w:val="0033A0"/>
          <w:sz w:val="22"/>
        </w:rPr>
        <w:t>Item 4. Controls and Procedures</w:t>
      </w:r>
    </w:p>
    <w:p>
      <w:pPr>
        <w:pStyle w:val="TextBody"/>
        <w:bidi w:val="0"/>
        <w:spacing w:lineRule="auto" w:line="288" w:before="0" w:after="120"/>
        <w:ind w:left="0" w:right="0" w:firstLine="360"/>
        <w:jc w:val="left"/>
        <w:rPr/>
      </w:pPr>
      <w:r>
        <w:rPr>
          <w:rFonts w:ascii="Allstate Sans;sans-serif" w:hAnsi="Allstate Sans;sans-serif"/>
          <w:b w:val="false"/>
          <w:i/>
          <w:color w:val="0033A0"/>
          <w:sz w:val="18"/>
        </w:rPr>
        <w:t xml:space="preserve">Evaluation of Disclosure Controls and Procedures </w:t>
      </w:r>
      <w:r>
        <w:rPr>
          <w:rFonts w:ascii="Allstate Sans;sans-serif" w:hAnsi="Allstate Sans;sans-serif"/>
          <w:b w:val="false"/>
          <w:color w:val="000000"/>
          <w:sz w:val="18"/>
        </w:rPr>
        <w:t>We maintain disclosure controls and procedures as defined in Rules 13a-15(e) under the Securities Exchange Act of 1934. Under the supervision and with the participation of our management, including our principal executive officer and principal financial officer, we conducted an evaluation of the effectiveness of our disclosure controls and procedures as of the end of the period covered by this report. Based upon this evaluation, the principal executive officer and the principal financial officer concluded that our disclosure controls and procedures are effective in providing reasonable assurance that material information required to be disclosed in our reports filed with or submitted to the Securities and Exchange Commission under the Securities Exchange Act is made known to management, including the principal executive officer and the principal financial officer, as appropriate to allow timely decisions regarding required disclosure.</w:t>
      </w:r>
    </w:p>
    <w:p>
      <w:pPr>
        <w:pStyle w:val="TextBody"/>
        <w:bidi w:val="0"/>
        <w:spacing w:lineRule="auto" w:line="288" w:before="0" w:after="120"/>
        <w:ind w:left="0" w:right="0" w:firstLine="360"/>
        <w:jc w:val="left"/>
        <w:rPr/>
      </w:pPr>
      <w:r>
        <w:rPr>
          <w:rFonts w:ascii="Allstate Sans;sans-serif" w:hAnsi="Allstate Sans;sans-serif"/>
          <w:b w:val="false"/>
          <w:i/>
          <w:color w:val="0033A0"/>
          <w:sz w:val="18"/>
        </w:rPr>
        <w:t xml:space="preserve">Changes in Internal Control over Financial Reporting </w:t>
      </w:r>
      <w:r>
        <w:rPr>
          <w:rFonts w:ascii="Allstate Sans;sans-serif" w:hAnsi="Allstate Sans;sans-serif"/>
          <w:b w:val="false"/>
          <w:color w:val="000000"/>
          <w:sz w:val="18"/>
        </w:rPr>
        <w:t>During the second quarter of 2026, we completed an upgrade of our existing Enterprise Resource Planning (“ERP”) system to enhance functionality and improve integration with other business processes. In connection with this upgrade, we have made changes to our internal control over financial reporting to address impacted processes. Other than these changes related to the ERP upgrade, there have been no other changes in our internal control over financial reporting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78" name="Frame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120"/>
                              <w:jc w:val="left"/>
                              <w:rPr/>
                            </w:pPr>
                            <w:r>
                              <w:rPr>
                                <w:rFonts w:ascii="Allstate Sans;sans-serif" w:hAnsi="Allstate Sans;sans-serif"/>
                                <w:b w:val="false"/>
                                <w:color w:val="0033A0"/>
                                <w:sz w:val="18"/>
                              </w:rPr>
                              <w:t>68</w:t>
                            </w:r>
                            <w:r>
                              <w:rPr>
                                <w:color w:val="1666AF"/>
                              </w:rPr>
                              <w:t xml:space="preserve"> </w:t>
                            </w:r>
                            <w:r>
                              <w:rPr>
                                <w:rFonts w:ascii="Allstate Sans;sans-serif" w:hAnsi="Allstate Sans;sans-serif"/>
                                <w:b w:val="false"/>
                                <w:color w:val="000000"/>
                                <w:sz w:val="18"/>
                              </w:rPr>
                              <w:t>www.allstate.com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left"/>
                        <w:rPr/>
                      </w:pPr>
                      <w:r>
                        <w:rPr>
                          <w:rFonts w:ascii="Allstate Sans;sans-serif" w:hAnsi="Allstate Sans;sans-serif"/>
                          <w:b w:val="false"/>
                          <w:color w:val="0033A0"/>
                          <w:sz w:val="18"/>
                        </w:rPr>
                        <w:t>68</w:t>
                      </w:r>
                      <w:r>
                        <w:rPr>
                          <w:color w:val="1666AF"/>
                        </w:rPr>
                        <w:t xml:space="preserve"> </w:t>
                      </w:r>
                      <w:r>
                        <w:rPr>
                          <w:rFonts w:ascii="Allstate Sans;sans-serif" w:hAnsi="Allstate Sans;sans-serif"/>
                          <w:b w:val="false"/>
                          <w:color w:val="000000"/>
                          <w:sz w:val="18"/>
                        </w:rPr>
                        <w:t>www.allstate.com</w:t>
                      </w:r>
                    </w:p>
                  </w:txbxContent>
                </v:textbox>
                <w10:wrap type="none"/>
              </v:rect>
            </w:pict>
          </mc:Fallback>
        </mc:AlternateContent>
      </w:r>
    </w:p>
    <w:p>
      <w:pPr>
        <w:pStyle w:val="TextBody"/>
        <w:bidi w:val="0"/>
        <w:spacing w:lineRule="auto" w:line="288" w:before="0" w:after="120"/>
        <w:jc w:val="right"/>
        <w:rPr/>
      </w:pPr>
      <w:r>
        <w:rPr>
          <w:rFonts w:ascii="Allstate Sans;sans-serif" w:hAnsi="Allstate Sans;sans-serif"/>
          <w:b w:val="false"/>
          <w:color w:val="000000"/>
          <w:sz w:val="18"/>
        </w:rPr>
        <w:t xml:space="preserve">Other Information </w:t>
      </w:r>
      <w:r>
        <w:rPr>
          <w:rFonts w:ascii="Allstate Sans;sans-serif" w:hAnsi="Allstate Sans;sans-serif"/>
          <w:b w:val="false"/>
          <w:color w:val="0033A0"/>
          <w:sz w:val="18"/>
        </w:rPr>
        <w:t>Part II.</w:t>
      </w:r>
    </w:p>
    <w:p>
      <w:pPr>
        <w:pStyle w:val="TextBody"/>
        <w:bidi w:val="0"/>
        <w:spacing w:lineRule="auto" w:line="288" w:before="0" w:after="120"/>
        <w:jc w:val="center"/>
        <w:rPr>
          <w:rFonts w:ascii="Allstate Sans;sans-serif" w:hAnsi="Allstate Sans;sans-serif"/>
          <w:b/>
          <w:color w:val="0033A0"/>
          <w:sz w:val="22"/>
        </w:rPr>
      </w:pPr>
      <w:r>
        <w:rPr>
          <w:rFonts w:ascii="Allstate Sans;sans-serif" w:hAnsi="Allstate Sans;sans-serif"/>
          <w:b/>
          <w:color w:val="0033A0"/>
          <w:sz w:val="22"/>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llstate Sans;sans-serif" w:hAnsi="Allstate Sans;sans-serif"/>
          <w:b/>
          <w:color w:val="0033A0"/>
          <w:sz w:val="22"/>
        </w:rPr>
      </w:pPr>
      <w:r>
        <w:rPr>
          <w:rFonts w:ascii="Allstate Sans;sans-serif" w:hAnsi="Allstate Sans;sans-serif"/>
          <w:b/>
          <w:color w:val="0033A0"/>
          <w:sz w:val="22"/>
        </w:rPr>
        <w:t>Item 1. Legal Proceedings</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Information required for Part II, Item 1 is incorporated by reference to the discussion under the heading “Regulation and compliance” and under the heading “Legal and regulatory proceedings and inquiries” in Note 11 of the condensed consolidated financial statements in Part I, Item 1 of this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llstate Sans;sans-serif" w:hAnsi="Allstate Sans;sans-serif"/>
          <w:b/>
          <w:color w:val="0033A0"/>
          <w:sz w:val="22"/>
        </w:rPr>
      </w:pPr>
      <w:r>
        <w:rPr>
          <w:rFonts w:ascii="Allstate Sans;sans-serif" w:hAnsi="Allstate Sans;sans-serif"/>
          <w:b/>
          <w:color w:val="0033A0"/>
          <w:sz w:val="22"/>
        </w:rPr>
        <w:t>Item 1A. Risk Factors</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There have been no material changes in our risk factors from those disclosed in Part I, Item 1A in our annual report on Form 10-K for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llstate Sans;sans-serif" w:hAnsi="Allstate Sans;sans-serif"/>
          <w:b/>
          <w:color w:val="0033A0"/>
          <w:sz w:val="22"/>
        </w:rPr>
      </w:pPr>
      <w:r>
        <w:rPr>
          <w:rFonts w:ascii="Allstate Sans;sans-serif" w:hAnsi="Allstate Sans;sans-serif"/>
          <w:b/>
          <w:color w:val="0033A0"/>
          <w:sz w:val="22"/>
        </w:rPr>
        <w:t>Item 2. Unregistered Sales of Equity Securities, Use of Proceeds, and Issuer Purchases of Equity Securities</w:t>
      </w:r>
    </w:p>
    <w:p>
      <w:pPr>
        <w:pStyle w:val="TextBody"/>
        <w:bidi w:val="0"/>
        <w:spacing w:lineRule="auto" w:line="288" w:before="0" w:after="120"/>
        <w:ind w:left="0" w:right="0" w:firstLine="360"/>
        <w:jc w:val="left"/>
        <w:rPr>
          <w:rFonts w:ascii="Allstate Sans;sans-serif" w:hAnsi="Allstate Sans;sans-serif"/>
          <w:b w:val="false"/>
          <w:i/>
          <w:color w:val="0033A0"/>
          <w:sz w:val="18"/>
        </w:rPr>
      </w:pPr>
      <w:r>
        <w:rPr>
          <w:rFonts w:ascii="Allstate Sans;sans-serif" w:hAnsi="Allstate Sans;sans-serif"/>
          <w:b w:val="false"/>
          <w:i/>
          <w:color w:val="0033A0"/>
          <w:sz w:val="18"/>
        </w:rPr>
        <w:t>Issuer Purchases of Equity Securities</w:t>
      </w:r>
    </w:p>
    <w:tbl>
      <w:tblPr>
        <w:tblW w:w="10205" w:type="dxa"/>
        <w:jc w:val="left"/>
        <w:tblInd w:w="0" w:type="dxa"/>
        <w:tblLayout w:type="fixed"/>
        <w:tblCellMar>
          <w:top w:w="28" w:type="dxa"/>
          <w:left w:w="28" w:type="dxa"/>
          <w:bottom w:w="28" w:type="dxa"/>
          <w:right w:w="28" w:type="dxa"/>
        </w:tblCellMar>
      </w:tblPr>
      <w:tblGrid>
        <w:gridCol w:w="587"/>
        <w:gridCol w:w="314"/>
        <w:gridCol w:w="317"/>
        <w:gridCol w:w="109"/>
        <w:gridCol w:w="109"/>
        <w:gridCol w:w="109"/>
        <w:gridCol w:w="767"/>
        <w:gridCol w:w="439"/>
        <w:gridCol w:w="440"/>
        <w:gridCol w:w="109"/>
        <w:gridCol w:w="109"/>
        <w:gridCol w:w="109"/>
        <w:gridCol w:w="234"/>
        <w:gridCol w:w="871"/>
        <w:gridCol w:w="112"/>
        <w:gridCol w:w="109"/>
        <w:gridCol w:w="109"/>
        <w:gridCol w:w="109"/>
        <w:gridCol w:w="973"/>
        <w:gridCol w:w="681"/>
        <w:gridCol w:w="683"/>
        <w:gridCol w:w="109"/>
        <w:gridCol w:w="109"/>
        <w:gridCol w:w="109"/>
        <w:gridCol w:w="347"/>
        <w:gridCol w:w="924"/>
        <w:gridCol w:w="1208"/>
      </w:tblGrid>
      <w:tr>
        <w:trPr/>
        <w:tc>
          <w:tcPr>
            <w:tcW w:w="587"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r>
      <w:tr>
        <w:trPr/>
        <w:tc>
          <w:tcPr>
            <w:tcW w:w="12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Period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 number of shares</w:t>
            </w:r>
          </w:p>
          <w:p>
            <w:pPr>
              <w:pStyle w:val="TableContents"/>
              <w:bidi w:val="0"/>
              <w:spacing w:lineRule="auto" w:line="240" w:before="0" w:after="0"/>
              <w:jc w:val="center"/>
              <w:rPr/>
            </w:pPr>
            <w:r>
              <w:rPr>
                <w:rFonts w:ascii="Helvetica_Neue_LT_W1G_55_Roman;sans-serif" w:hAnsi="Helvetica_Neue_LT_W1G_55_Roman;sans-serif"/>
                <w:b/>
                <w:color w:val="000000"/>
                <w:sz w:val="18"/>
              </w:rPr>
              <w:t xml:space="preserve">purchased </w:t>
            </w:r>
            <w:r>
              <w:rPr>
                <w:rFonts w:ascii="Helvetica_Neue_LT_W1G_55_Roman;sans-serif" w:hAnsi="Helvetica_Neue_LT_W1G_55_Roman;sans-serif"/>
                <w:b/>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Average price</w:t>
            </w:r>
          </w:p>
          <w:p>
            <w:pPr>
              <w:pStyle w:val="TableContents"/>
              <w:bidi w:val="0"/>
              <w:spacing w:lineRule="auto" w:line="240" w:before="0" w:after="0"/>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paid per share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Helvetica_Neue_LT_W1G_55_Roman;sans-serif" w:hAnsi="Helvetica_Neue_LT_W1G_55_Roman;sans-serif"/>
                <w:b/>
                <w:color w:val="000000"/>
                <w:sz w:val="18"/>
              </w:rPr>
              <w:t xml:space="preserve">Total number of shares purchased as part of publicly announced plans or programs </w:t>
            </w:r>
            <w:r>
              <w:rPr>
                <w:rFonts w:ascii="Helvetica_Neue_LT_W1G_55_Roman;sans-serif" w:hAnsi="Helvetica_Neue_LT_W1G_55_Roman;sans-serif"/>
                <w:b/>
                <w:color w:val="000000"/>
                <w:sz w:val="12"/>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Helvetica_Neue_LT_W1G_55_Roman;sans-serif" w:hAnsi="Helvetica_Neue_LT_W1G_55_Roman;sans-serif"/>
                <w:b/>
                <w:color w:val="000000"/>
                <w:sz w:val="18"/>
              </w:rPr>
              <w:t xml:space="preserve">Maximum approximate dollar value that may yet be purchased under the plans or programs </w:t>
            </w:r>
            <w:r>
              <w:rPr>
                <w:rFonts w:ascii="Helvetica_Neue_LT_W1G_55_Roman;sans-serif" w:hAnsi="Helvetica_Neue_LT_W1G_55_Roman;sans-serif"/>
                <w:b/>
                <w:color w:val="000000"/>
                <w:sz w:val="12"/>
              </w:rPr>
              <w:t>(3)</w:t>
            </w:r>
          </w:p>
        </w:tc>
      </w:tr>
      <w:tr>
        <w:trPr/>
        <w:tc>
          <w:tcPr>
            <w:tcW w:w="1218"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April 1, 2026 - April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7"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9"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8"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Helvetica_Neue_LT_W1G_55_Roman;sans-serif" w:hAnsi="Helvetica_Neue_LT_W1G_55_Roman;sans-serif"/>
                <w:b w:val="false"/>
                <w:color w:val="000000"/>
                <w:sz w:val="18"/>
              </w:rPr>
              <w:t>Open Market Purchases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1,105,884 </w:t>
            </w:r>
          </w:p>
        </w:tc>
        <w:tc>
          <w:tcPr>
            <w:tcW w:w="44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87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213.25 </w:t>
            </w:r>
          </w:p>
        </w:tc>
        <w:tc>
          <w:tcPr>
            <w:tcW w:w="11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1,105,467 </w:t>
            </w:r>
          </w:p>
        </w:tc>
        <w:tc>
          <w:tcPr>
            <w:tcW w:w="68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9"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9" w:type="dxa"/>
            <w:gridSpan w:val="3"/>
            <w:tcBorders/>
            <w:vAlign w:val="center"/>
          </w:tcPr>
          <w:p>
            <w:pPr>
              <w:pStyle w:val="TableContents"/>
              <w:bidi w:val="0"/>
              <w:spacing w:before="0" w:after="283"/>
              <w:jc w:val="left"/>
              <w:rPr>
                <w:sz w:val="4"/>
                <w:szCs w:val="4"/>
              </w:rPr>
            </w:pPr>
            <w:r>
              <w:rPr>
                <w:sz w:val="4"/>
                <w:szCs w:val="4"/>
              </w:rPr>
            </w:r>
          </w:p>
        </w:tc>
      </w:tr>
      <w:tr>
        <w:trPr/>
        <w:tc>
          <w:tcPr>
            <w:tcW w:w="1218"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May 1, 2026 - May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7"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9"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8"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Helvetica_Neue_LT_W1G_55_Roman;sans-serif" w:hAnsi="Helvetica_Neue_LT_W1G_55_Roman;sans-serif"/>
                <w:b w:val="false"/>
                <w:color w:val="000000"/>
                <w:sz w:val="18"/>
              </w:rPr>
              <w:t>Open Market Purchases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1,855,452 </w:t>
            </w:r>
          </w:p>
        </w:tc>
        <w:tc>
          <w:tcPr>
            <w:tcW w:w="44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87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215.76 </w:t>
            </w:r>
          </w:p>
        </w:tc>
        <w:tc>
          <w:tcPr>
            <w:tcW w:w="11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1,853,400 </w:t>
            </w:r>
          </w:p>
        </w:tc>
        <w:tc>
          <w:tcPr>
            <w:tcW w:w="68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9"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9" w:type="dxa"/>
            <w:gridSpan w:val="3"/>
            <w:tcBorders/>
            <w:vAlign w:val="center"/>
          </w:tcPr>
          <w:p>
            <w:pPr>
              <w:pStyle w:val="TableContents"/>
              <w:bidi w:val="0"/>
              <w:spacing w:before="0" w:after="283"/>
              <w:jc w:val="left"/>
              <w:rPr>
                <w:sz w:val="4"/>
                <w:szCs w:val="4"/>
              </w:rPr>
            </w:pPr>
            <w:r>
              <w:rPr>
                <w:sz w:val="4"/>
                <w:szCs w:val="4"/>
              </w:rPr>
            </w:r>
          </w:p>
        </w:tc>
      </w:tr>
      <w:tr>
        <w:trPr/>
        <w:tc>
          <w:tcPr>
            <w:tcW w:w="1218"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June 1, 2026 -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7"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9"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8"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Helvetica_Neue_LT_W1G_55_Roman;sans-serif" w:hAnsi="Helvetica_Neue_LT_W1G_55_Roman;sans-serif"/>
                <w:b w:val="false"/>
                <w:color w:val="000000"/>
                <w:sz w:val="18"/>
              </w:rPr>
              <w:t>Open Market Purchases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1,840,515 </w:t>
            </w:r>
          </w:p>
        </w:tc>
        <w:tc>
          <w:tcPr>
            <w:tcW w:w="44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87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221.92 </w:t>
            </w:r>
          </w:p>
        </w:tc>
        <w:tc>
          <w:tcPr>
            <w:tcW w:w="11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1,838,500 </w:t>
            </w:r>
          </w:p>
        </w:tc>
        <w:tc>
          <w:tcPr>
            <w:tcW w:w="68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9"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9" w:type="dxa"/>
            <w:gridSpan w:val="3"/>
            <w:tcBorders/>
            <w:vAlign w:val="center"/>
          </w:tcPr>
          <w:p>
            <w:pPr>
              <w:pStyle w:val="TableContents"/>
              <w:bidi w:val="0"/>
              <w:spacing w:before="0" w:after="283"/>
              <w:jc w:val="left"/>
              <w:rPr>
                <w:sz w:val="4"/>
                <w:szCs w:val="4"/>
              </w:rPr>
            </w:pPr>
            <w:r>
              <w:rPr>
                <w:sz w:val="4"/>
                <w:szCs w:val="4"/>
              </w:rPr>
            </w:r>
          </w:p>
        </w:tc>
      </w:tr>
      <w:tr>
        <w:trPr/>
        <w:tc>
          <w:tcPr>
            <w:tcW w:w="1218" w:type="dxa"/>
            <w:gridSpan w:val="3"/>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4,801,851</w:t>
            </w:r>
            <w:r>
              <w:rPr>
                <w:color w:val="000000"/>
              </w:rPr>
              <w:t> </w:t>
            </w:r>
          </w:p>
        </w:tc>
        <w:tc>
          <w:tcPr>
            <w:tcW w:w="440"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871"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217.54</w:t>
            </w:r>
            <w:r>
              <w:rPr>
                <w:color w:val="000000"/>
              </w:rPr>
              <w:t> </w:t>
            </w:r>
          </w:p>
        </w:tc>
        <w:tc>
          <w:tcPr>
            <w:tcW w:w="112"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2"/>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4,797,367</w:t>
            </w:r>
            <w:r>
              <w:rPr>
                <w:color w:val="000000"/>
              </w:rPr>
              <w:t> </w:t>
            </w:r>
          </w:p>
        </w:tc>
        <w:tc>
          <w:tcPr>
            <w:tcW w:w="683"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924"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2.60</w:t>
            </w:r>
            <w:r>
              <w:rPr>
                <w:color w:val="000000"/>
              </w:rPr>
              <w:t> </w:t>
            </w:r>
          </w:p>
        </w:tc>
        <w:tc>
          <w:tcPr>
            <w:tcW w:w="1208"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billion</w:t>
            </w:r>
          </w:p>
        </w:tc>
      </w:tr>
    </w:tbl>
    <w:p>
      <w:pPr>
        <w:pStyle w:val="TextBody"/>
        <w:bidi w:val="0"/>
        <w:spacing w:lineRule="auto" w:line="288" w:before="0" w:after="60"/>
        <w:ind w:left="0" w:right="0" w:hanging="180"/>
        <w:jc w:val="left"/>
        <w:rPr/>
      </w:pPr>
      <w:r>
        <w:rPr>
          <w:rFonts w:ascii="Allstate Sans;sans-serif" w:hAnsi="Allstate Sans;sans-serif"/>
          <w:b w:val="false"/>
          <w:color w:val="000000"/>
          <w:sz w:val="10"/>
        </w:rPr>
        <w:t>(1)</w:t>
      </w:r>
      <w:r>
        <w:rPr>
          <w:rFonts w:ascii="Allstate Sans;sans-serif" w:hAnsi="Allstate Sans;sans-serif"/>
          <w:b w:val="false"/>
          <w:color w:val="000000"/>
          <w:sz w:val="16"/>
        </w:rPr>
        <w:t>In accordance with the terms of its equity compensation plans, Allstate acquired the following shares in connection with the vesting of restricted stock units and performance stock awards and the exercise of stock options held by employees and/or directors. The shares were acquired in satisfaction of withholding taxes due upon exercise or vesting and in payment of the exercise price of the options.</w:t>
      </w:r>
    </w:p>
    <w:p>
      <w:pPr>
        <w:pStyle w:val="TextBody"/>
        <w:bidi w:val="0"/>
        <w:spacing w:lineRule="auto" w:line="288" w:before="0" w:after="0"/>
        <w:ind w:left="0" w:right="0" w:hanging="270"/>
        <w:jc w:val="left"/>
        <w:rPr>
          <w:rFonts w:ascii="Allstate Sans;sans-serif" w:hAnsi="Allstate Sans;sans-serif"/>
          <w:b w:val="false"/>
          <w:color w:val="000000"/>
          <w:sz w:val="16"/>
        </w:rPr>
      </w:pPr>
      <w:r>
        <w:rPr>
          <w:rFonts w:ascii="Allstate Sans;sans-serif" w:hAnsi="Allstate Sans;sans-serif"/>
          <w:b w:val="false"/>
          <w:color w:val="000000"/>
          <w:sz w:val="16"/>
        </w:rPr>
        <w:t>April: 417</w:t>
      </w:r>
    </w:p>
    <w:p>
      <w:pPr>
        <w:pStyle w:val="TextBody"/>
        <w:bidi w:val="0"/>
        <w:spacing w:lineRule="auto" w:line="288" w:before="0" w:after="0"/>
        <w:ind w:left="0" w:right="0" w:hanging="270"/>
        <w:jc w:val="left"/>
        <w:rPr>
          <w:rFonts w:ascii="Allstate Sans;sans-serif" w:hAnsi="Allstate Sans;sans-serif"/>
          <w:b w:val="false"/>
          <w:color w:val="000000"/>
          <w:sz w:val="16"/>
        </w:rPr>
      </w:pPr>
      <w:r>
        <w:rPr>
          <w:rFonts w:ascii="Allstate Sans;sans-serif" w:hAnsi="Allstate Sans;sans-serif"/>
          <w:b w:val="false"/>
          <w:color w:val="000000"/>
          <w:sz w:val="16"/>
        </w:rPr>
        <w:t xml:space="preserve">May: 2,052 </w:t>
      </w:r>
    </w:p>
    <w:p>
      <w:pPr>
        <w:pStyle w:val="TextBody"/>
        <w:bidi w:val="0"/>
        <w:spacing w:lineRule="auto" w:line="288" w:before="0" w:after="60"/>
        <w:ind w:left="0" w:right="0" w:hanging="270"/>
        <w:jc w:val="left"/>
        <w:rPr>
          <w:rFonts w:ascii="Allstate Sans;sans-serif" w:hAnsi="Allstate Sans;sans-serif"/>
          <w:b w:val="false"/>
          <w:color w:val="000000"/>
          <w:sz w:val="16"/>
        </w:rPr>
      </w:pPr>
      <w:r>
        <w:rPr>
          <w:rFonts w:ascii="Allstate Sans;sans-serif" w:hAnsi="Allstate Sans;sans-serif"/>
          <w:b w:val="false"/>
          <w:color w:val="000000"/>
          <w:sz w:val="16"/>
        </w:rPr>
        <w:t xml:space="preserve">June: 2,015 </w:t>
      </w:r>
    </w:p>
    <w:p>
      <w:pPr>
        <w:pStyle w:val="TextBody"/>
        <w:bidi w:val="0"/>
        <w:spacing w:lineRule="auto" w:line="288" w:before="0" w:after="60"/>
        <w:ind w:left="0" w:right="0" w:hanging="180"/>
        <w:jc w:val="left"/>
        <w:rPr/>
      </w:pPr>
      <w:r>
        <w:rPr>
          <w:rFonts w:ascii="Allstate Sans;sans-serif" w:hAnsi="Allstate Sans;sans-serif"/>
          <w:b w:val="false"/>
          <w:color w:val="000000"/>
          <w:sz w:val="10"/>
        </w:rPr>
        <w:t>(2)</w:t>
      </w:r>
      <w:r>
        <w:rPr>
          <w:rFonts w:ascii="Allstate Sans;sans-serif" w:hAnsi="Allstate Sans;sans-serif"/>
          <w:b w:val="false"/>
          <w:color w:val="000000"/>
          <w:sz w:val="16"/>
        </w:rPr>
        <w:t>From time to time, repurchases under our programs are executed under the terms of a pre-set trading plan meeting the requirements of Rule 10b5-1(c) of the Securities Exchange Act of 1934.</w:t>
      </w:r>
    </w:p>
    <w:p>
      <w:pPr>
        <w:pStyle w:val="TextBody"/>
        <w:bidi w:val="0"/>
        <w:spacing w:lineRule="auto" w:line="288" w:before="0" w:after="120"/>
        <w:ind w:left="0" w:right="0" w:hanging="180"/>
        <w:jc w:val="left"/>
        <w:rPr/>
      </w:pPr>
      <w:r>
        <w:rPr>
          <w:rFonts w:ascii="Allstate Sans;sans-serif" w:hAnsi="Allstate Sans;sans-serif"/>
          <w:b w:val="false"/>
          <w:color w:val="000000"/>
          <w:sz w:val="10"/>
        </w:rPr>
        <w:t>(3)</w:t>
      </w:r>
      <w:r>
        <w:rPr>
          <w:rFonts w:ascii="Allstate Sans;sans-serif" w:hAnsi="Allstate Sans;sans-serif"/>
          <w:b w:val="false"/>
          <w:color w:val="000000"/>
          <w:sz w:val="16"/>
        </w:rPr>
        <w:t>On February 4, 2026, the Board of Directors authorized a common share repurchase program for $4.00 billion which must be completed by February 29, 2028.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llstate Sans;sans-serif" w:hAnsi="Allstate Sans;sans-serif"/>
          <w:b/>
          <w:color w:val="0033A0"/>
          <w:sz w:val="22"/>
        </w:rPr>
      </w:pPr>
      <w:r>
        <w:rPr>
          <w:rFonts w:ascii="Allstate Sans;sans-serif" w:hAnsi="Allstate Sans;sans-serif"/>
          <w:b/>
          <w:color w:val="0033A0"/>
          <w:sz w:val="22"/>
        </w:rPr>
        <w:t>Item 5. Other Information</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During the three months ended June 30, 2026, no director or officer who is required to file reports under Section 16 of the Securities Exchange Act adopted, modified or terminated a “Rule 10b5-1 trading arrangement” or “non-Rule 10b5-1 trading arrangement,” as each term is defined in Item 408(a)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33350"/>
                <wp:effectExtent l="0" t="0" r="0" b="0"/>
                <wp:wrapNone/>
                <wp:docPr id="79" name="Frame71"/>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ind w:left="0" w:right="0" w:firstLine="360"/>
                              <w:jc w:val="right"/>
                              <w:rPr/>
                            </w:pPr>
                            <w:r>
                              <w:rPr>
                                <w:rFonts w:ascii="Allstate Sans;sans-serif" w:hAnsi="Allstate Sans;sans-serif"/>
                                <w:b w:val="false"/>
                                <w:color w:val="000000"/>
                                <w:sz w:val="18"/>
                              </w:rPr>
                              <w:t xml:space="preserve">Second Quarter 2026 Form 10-Q </w:t>
                            </w:r>
                            <w:r>
                              <w:rPr>
                                <w:rFonts w:ascii="Allstate Sans;sans-serif" w:hAnsi="Allstate Sans;sans-serif"/>
                                <w:b w:val="false"/>
                                <w:color w:val="0033A0"/>
                                <w:sz w:val="18"/>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right"/>
                        <w:rPr/>
                      </w:pPr>
                      <w:r>
                        <w:rPr>
                          <w:rFonts w:ascii="Allstate Sans;sans-serif" w:hAnsi="Allstate Sans;sans-serif"/>
                          <w:b w:val="false"/>
                          <w:color w:val="000000"/>
                          <w:sz w:val="18"/>
                        </w:rPr>
                        <w:t xml:space="preserve">Second Quarter 2026 Form 10-Q </w:t>
                      </w:r>
                      <w:r>
                        <w:rPr>
                          <w:rFonts w:ascii="Allstate Sans;sans-serif" w:hAnsi="Allstate Sans;sans-serif"/>
                          <w:b w:val="false"/>
                          <w:color w:val="0033A0"/>
                          <w:sz w:val="18"/>
                        </w:rPr>
                        <w:t>69</w:t>
                      </w:r>
                    </w:p>
                  </w:txbxContent>
                </v:textbox>
                <w10:wrap type="none"/>
              </v:rect>
            </w:pict>
          </mc:Fallback>
        </mc:AlternateContent>
      </w:r>
    </w:p>
    <w:p>
      <w:pPr>
        <w:pStyle w:val="TextBody"/>
        <w:bidi w:val="0"/>
        <w:spacing w:before="0" w:after="120"/>
        <w:ind w:left="0" w:right="0" w:firstLine="360"/>
        <w:jc w:val="left"/>
        <w:rPr/>
      </w:pPr>
      <w:r>
        <w:rPr/>
      </w:r>
    </w:p>
    <w:p>
      <w:pPr>
        <w:pStyle w:val="TextBody"/>
        <w:bidi w:val="0"/>
        <w:spacing w:lineRule="auto" w:line="288" w:before="0" w:after="0"/>
        <w:jc w:val="left"/>
        <w:rPr>
          <w:rFonts w:ascii="Allstate Sans;sans-serif" w:hAnsi="Allstate Sans;sans-serif"/>
          <w:b/>
          <w:color w:val="0033A0"/>
          <w:sz w:val="22"/>
        </w:rPr>
      </w:pPr>
      <w:r>
        <w:rPr>
          <w:rFonts w:ascii="Allstate Sans;sans-serif" w:hAnsi="Allstate Sans;sans-serif"/>
          <w:b/>
          <w:color w:val="0033A0"/>
          <w:sz w:val="22"/>
        </w:rPr>
        <w:t>Item 6. Exhibits</w:t>
      </w:r>
    </w:p>
    <w:p>
      <w:pPr>
        <w:pStyle w:val="TextBody"/>
        <w:bidi w:val="0"/>
        <w:spacing w:lineRule="auto" w:line="288" w:before="0" w:after="120"/>
        <w:ind w:left="0" w:right="0" w:hanging="360"/>
        <w:jc w:val="left"/>
        <w:rPr>
          <w:rFonts w:ascii="Allstate Sans;sans-serif" w:hAnsi="Allstate Sans;sans-serif"/>
          <w:b w:val="false"/>
          <w:i/>
          <w:color w:val="0033A0"/>
          <w:sz w:val="18"/>
        </w:rPr>
      </w:pPr>
      <w:r>
        <w:rPr>
          <w:rFonts w:ascii="Allstate Sans;sans-serif" w:hAnsi="Allstate Sans;sans-serif"/>
          <w:b w:val="false"/>
          <w:i/>
          <w:color w:val="0033A0"/>
          <w:sz w:val="18"/>
        </w:rPr>
        <w:t>(a)Exhibits</w:t>
      </w:r>
    </w:p>
    <w:p>
      <w:pPr>
        <w:pStyle w:val="TextBody"/>
        <w:bidi w:val="0"/>
        <w:spacing w:lineRule="auto" w:line="288" w:before="0" w:after="0"/>
        <w:ind w:left="0" w:right="0" w:firstLine="1080"/>
        <w:jc w:val="both"/>
        <w:rPr>
          <w:rFonts w:ascii="Allstate Sans;sans-serif" w:hAnsi="Allstate Sans;sans-serif"/>
          <w:b w:val="false"/>
          <w:color w:val="000000"/>
          <w:sz w:val="18"/>
        </w:rPr>
      </w:pPr>
      <w:r>
        <w:rPr>
          <w:rFonts w:ascii="Allstate Sans;sans-serif" w:hAnsi="Allstate Sans;sans-serif"/>
          <w:b w:val="false"/>
          <w:color w:val="000000"/>
          <w:sz w:val="18"/>
        </w:rPr>
        <w:t>The following is a list of exhibits filed as part of this Form 10-Q.</w:t>
      </w:r>
    </w:p>
    <w:tbl>
      <w:tblPr>
        <w:tblW w:w="10205" w:type="dxa"/>
        <w:jc w:val="left"/>
        <w:tblInd w:w="0" w:type="dxa"/>
        <w:tblLayout w:type="fixed"/>
        <w:tblCellMar>
          <w:top w:w="28" w:type="dxa"/>
          <w:left w:w="28" w:type="dxa"/>
          <w:bottom w:w="28" w:type="dxa"/>
          <w:right w:w="28" w:type="dxa"/>
        </w:tblCellMar>
      </w:tblPr>
      <w:tblGrid>
        <w:gridCol w:w="364"/>
        <w:gridCol w:w="320"/>
        <w:gridCol w:w="322"/>
        <w:gridCol w:w="1466"/>
        <w:gridCol w:w="1466"/>
        <w:gridCol w:w="1468"/>
        <w:gridCol w:w="235"/>
        <w:gridCol w:w="235"/>
        <w:gridCol w:w="235"/>
        <w:gridCol w:w="310"/>
        <w:gridCol w:w="310"/>
        <w:gridCol w:w="311"/>
        <w:gridCol w:w="275"/>
        <w:gridCol w:w="275"/>
        <w:gridCol w:w="276"/>
        <w:gridCol w:w="522"/>
        <w:gridCol w:w="336"/>
        <w:gridCol w:w="289"/>
        <w:gridCol w:w="347"/>
        <w:gridCol w:w="347"/>
        <w:gridCol w:w="496"/>
      </w:tblGrid>
      <w:tr>
        <w:trPr/>
        <w:tc>
          <w:tcPr>
            <w:tcW w:w="3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0"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9"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Incorporated by Reference</w:t>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Exhibit </w:t>
            </w:r>
          </w:p>
          <w:p>
            <w:pPr>
              <w:pStyle w:val="TableContents"/>
              <w:bidi w:val="0"/>
              <w:spacing w:lineRule="auto" w:line="240" w:before="0" w:after="0"/>
              <w:jc w:val="center"/>
              <w:rPr>
                <w:color w:val="000000"/>
              </w:rPr>
            </w:pPr>
            <w:r>
              <w:rPr>
                <w:color w:val="000000"/>
              </w:rPr>
              <w:t> </w:t>
            </w:r>
            <w:r>
              <w:rPr>
                <w:rFonts w:ascii="Helvetica_Neue_LT_W1G_55_Roman;sans-serif" w:hAnsi="Helvetica_Neue_LT_W1G_55_Roman;sans-serif"/>
                <w:b/>
                <w:color w:val="000000"/>
                <w:sz w:val="18"/>
              </w:rPr>
              <w:t>Number</w:t>
            </w:r>
          </w:p>
        </w:tc>
        <w:tc>
          <w:tcPr>
            <w:tcW w:w="44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Exhibit Description</w:t>
            </w:r>
          </w:p>
        </w:tc>
        <w:tc>
          <w:tcPr>
            <w:tcW w:w="70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Form</w:t>
            </w:r>
          </w:p>
        </w:tc>
        <w:tc>
          <w:tcPr>
            <w:tcW w:w="93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File </w:t>
            </w:r>
          </w:p>
          <w:p>
            <w:pPr>
              <w:pStyle w:val="TableContents"/>
              <w:bidi w:val="0"/>
              <w:spacing w:lineRule="auto" w:line="240" w:before="0" w:after="0"/>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Number</w:t>
            </w:r>
          </w:p>
        </w:tc>
        <w:tc>
          <w:tcPr>
            <w:tcW w:w="82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Exhibit</w:t>
            </w:r>
          </w:p>
        </w:tc>
        <w:tc>
          <w:tcPr>
            <w:tcW w:w="114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Filing</w:t>
            </w:r>
          </w:p>
          <w:p>
            <w:pPr>
              <w:pStyle w:val="TableContents"/>
              <w:bidi w:val="0"/>
              <w:spacing w:lineRule="auto" w:line="240" w:before="0" w:after="0"/>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Date</w:t>
            </w:r>
          </w:p>
        </w:tc>
        <w:tc>
          <w:tcPr>
            <w:tcW w:w="11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Filed or</w:t>
            </w:r>
          </w:p>
          <w:p>
            <w:pPr>
              <w:pStyle w:val="TableContents"/>
              <w:bidi w:val="0"/>
              <w:spacing w:lineRule="auto" w:line="240" w:before="0" w:after="0"/>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Furnished</w:t>
            </w:r>
          </w:p>
          <w:p>
            <w:pPr>
              <w:pStyle w:val="TableContents"/>
              <w:bidi w:val="0"/>
              <w:spacing w:lineRule="auto" w:line="240" w:before="0" w:after="0"/>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Herewith</w:t>
            </w:r>
          </w:p>
        </w:tc>
      </w:tr>
      <w:tr>
        <w:trPr/>
        <w:tc>
          <w:tcPr>
            <w:tcW w:w="1006"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3.1</w:t>
            </w:r>
          </w:p>
        </w:tc>
        <w:tc>
          <w:tcPr>
            <w:tcW w:w="4400"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Helvetica_Neue_LT_W1G_55_Roman;sans-serif" w:hAnsi="Helvetica_Neue_LT_W1G_55_Roman;sans-serif"/>
                  <w:b w:val="false"/>
                  <w:color w:val="0000FF"/>
                  <w:sz w:val="18"/>
                  <w:u w:val="single"/>
                </w:rPr>
                <w:t>Restated Certificate of Incorporation filed with the Secretary of State of Delaware on May 23, 2012</w:t>
              </w:r>
            </w:hyperlink>
          </w:p>
        </w:tc>
        <w:tc>
          <w:tcPr>
            <w:tcW w:w="705"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8-K</w:t>
            </w:r>
          </w:p>
        </w:tc>
        <w:tc>
          <w:tcPr>
            <w:tcW w:w="931"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1-11840</w:t>
            </w:r>
          </w:p>
        </w:tc>
        <w:tc>
          <w:tcPr>
            <w:tcW w:w="826"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3(i)</w:t>
            </w:r>
          </w:p>
        </w:tc>
        <w:tc>
          <w:tcPr>
            <w:tcW w:w="1147"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May 23, 2012</w:t>
            </w:r>
          </w:p>
        </w:tc>
        <w:tc>
          <w:tcPr>
            <w:tcW w:w="1190"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3.2</w:t>
            </w:r>
          </w:p>
        </w:tc>
        <w:tc>
          <w:tcPr>
            <w:tcW w:w="440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Helvetica_Neue_LT_W1G_55_Roman;sans-serif" w:hAnsi="Helvetica_Neue_LT_W1G_55_Roman;sans-serif"/>
                  <w:b w:val="false"/>
                  <w:color w:val="0000FF"/>
                  <w:sz w:val="18"/>
                  <w:u w:val="single"/>
                </w:rPr>
                <w:t>Amended and Restated Bylaws of The Allstate Corporation as amended July 14, 2023</w:t>
              </w:r>
            </w:hyperlink>
          </w:p>
        </w:tc>
        <w:tc>
          <w:tcPr>
            <w:tcW w:w="705"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8-K</w:t>
            </w:r>
          </w:p>
        </w:tc>
        <w:tc>
          <w:tcPr>
            <w:tcW w:w="93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1-11840</w:t>
            </w:r>
          </w:p>
        </w:tc>
        <w:tc>
          <w:tcPr>
            <w:tcW w:w="82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3.1</w:t>
            </w:r>
          </w:p>
        </w:tc>
        <w:tc>
          <w:tcPr>
            <w:tcW w:w="1147"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July 17, 2023</w:t>
            </w:r>
          </w:p>
        </w:tc>
        <w:tc>
          <w:tcPr>
            <w:tcW w:w="1190"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3.3</w:t>
            </w:r>
          </w:p>
        </w:tc>
        <w:tc>
          <w:tcPr>
            <w:tcW w:w="440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Helvetica_Neue_LT_W1G_55_Roman;sans-serif" w:hAnsi="Helvetica_Neue_LT_W1G_55_Roman;sans-serif"/>
                  <w:b w:val="false"/>
                  <w:color w:val="0000FF"/>
                  <w:sz w:val="18"/>
                  <w:u w:val="single"/>
                </w:rPr>
                <w:t>Certificate of Designations with respect to the Preferred Stock of the Registrant, Series H, dated August 5, 2019</w:t>
              </w:r>
            </w:hyperlink>
          </w:p>
        </w:tc>
        <w:tc>
          <w:tcPr>
            <w:tcW w:w="705"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8-K</w:t>
            </w:r>
          </w:p>
        </w:tc>
        <w:tc>
          <w:tcPr>
            <w:tcW w:w="93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1-11840</w:t>
            </w:r>
          </w:p>
        </w:tc>
        <w:tc>
          <w:tcPr>
            <w:tcW w:w="82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3.1</w:t>
            </w:r>
          </w:p>
        </w:tc>
        <w:tc>
          <w:tcPr>
            <w:tcW w:w="1147"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August 5, 2019</w:t>
            </w:r>
          </w:p>
        </w:tc>
        <w:tc>
          <w:tcPr>
            <w:tcW w:w="1190"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3.4</w:t>
            </w:r>
          </w:p>
        </w:tc>
        <w:tc>
          <w:tcPr>
            <w:tcW w:w="440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Helvetica_Neue_LT_W1G_55_Roman;sans-serif" w:hAnsi="Helvetica_Neue_LT_W1G_55_Roman;sans-serif"/>
                  <w:b w:val="false"/>
                  <w:color w:val="0000FF"/>
                  <w:sz w:val="18"/>
                  <w:u w:val="single"/>
                </w:rPr>
                <w:t>Certificate of Designations with respect to the Preferred Stock of the Registrant, Series I, dated November 6, 2019</w:t>
              </w:r>
            </w:hyperlink>
          </w:p>
        </w:tc>
        <w:tc>
          <w:tcPr>
            <w:tcW w:w="705"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8-K</w:t>
            </w:r>
          </w:p>
        </w:tc>
        <w:tc>
          <w:tcPr>
            <w:tcW w:w="93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1-11840</w:t>
            </w:r>
          </w:p>
        </w:tc>
        <w:tc>
          <w:tcPr>
            <w:tcW w:w="82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3.1</w:t>
            </w:r>
          </w:p>
        </w:tc>
        <w:tc>
          <w:tcPr>
            <w:tcW w:w="1147"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November 8, 2019</w:t>
            </w:r>
          </w:p>
        </w:tc>
        <w:tc>
          <w:tcPr>
            <w:tcW w:w="1190"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3.5</w:t>
            </w:r>
          </w:p>
        </w:tc>
        <w:tc>
          <w:tcPr>
            <w:tcW w:w="440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Helvetica_Neue_LT_W1G_55_Roman;sans-serif" w:hAnsi="Helvetica_Neue_LT_W1G_55_Roman;sans-serif"/>
                  <w:b w:val="false"/>
                  <w:color w:val="0000FF"/>
                  <w:sz w:val="18"/>
                  <w:u w:val="single"/>
                </w:rPr>
                <w:t>Certificate of Elimination with respect to the Preferred Stock, Series A, C, D, E and F of the Registrant, dated February 20, 2020</w:t>
              </w:r>
            </w:hyperlink>
          </w:p>
        </w:tc>
        <w:tc>
          <w:tcPr>
            <w:tcW w:w="705"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10-K</w:t>
            </w:r>
          </w:p>
        </w:tc>
        <w:tc>
          <w:tcPr>
            <w:tcW w:w="93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1-11840</w:t>
            </w:r>
          </w:p>
        </w:tc>
        <w:tc>
          <w:tcPr>
            <w:tcW w:w="82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3.6</w:t>
            </w:r>
          </w:p>
        </w:tc>
        <w:tc>
          <w:tcPr>
            <w:tcW w:w="1147"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February 21, 2020</w:t>
            </w:r>
          </w:p>
        </w:tc>
        <w:tc>
          <w:tcPr>
            <w:tcW w:w="1190"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3.6</w:t>
            </w:r>
          </w:p>
        </w:tc>
        <w:tc>
          <w:tcPr>
            <w:tcW w:w="440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120"/>
              <w:jc w:val="left"/>
              <w:rPr/>
            </w:pPr>
            <w:hyperlink r:id="rId15">
              <w:r>
                <w:rPr>
                  <w:rStyle w:val="InternetLink"/>
                  <w:rFonts w:ascii="Helvetica_Neue_LT_W1G_55_Roman;sans-serif" w:hAnsi="Helvetica_Neue_LT_W1G_55_Roman;sans-serif"/>
                  <w:b w:val="false"/>
                  <w:color w:val="0000FF"/>
                  <w:sz w:val="18"/>
                  <w:u w:val="single"/>
                </w:rPr>
                <w:t>Certificate of Elimination with respect to the Preferred Stock, Series G of the Registrant, dated May 1, 2023</w:t>
              </w:r>
            </w:hyperlink>
          </w:p>
        </w:tc>
        <w:tc>
          <w:tcPr>
            <w:tcW w:w="705"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10-Q</w:t>
            </w:r>
          </w:p>
        </w:tc>
        <w:tc>
          <w:tcPr>
            <w:tcW w:w="93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1-11840</w:t>
            </w:r>
          </w:p>
        </w:tc>
        <w:tc>
          <w:tcPr>
            <w:tcW w:w="82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3.6</w:t>
            </w:r>
          </w:p>
        </w:tc>
        <w:tc>
          <w:tcPr>
            <w:tcW w:w="1147"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May 3, 2023</w:t>
            </w:r>
          </w:p>
        </w:tc>
        <w:tc>
          <w:tcPr>
            <w:tcW w:w="1190"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3.7</w:t>
            </w:r>
          </w:p>
        </w:tc>
        <w:tc>
          <w:tcPr>
            <w:tcW w:w="440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120"/>
              <w:jc w:val="left"/>
              <w:rPr/>
            </w:pPr>
            <w:hyperlink r:id="rId16">
              <w:r>
                <w:rPr>
                  <w:rStyle w:val="InternetLink"/>
                  <w:rFonts w:ascii="Helvetica_Neue_LT_W1G_55_Roman;sans-serif" w:hAnsi="Helvetica_Neue_LT_W1G_55_Roman;sans-serif"/>
                  <w:b w:val="false"/>
                  <w:color w:val="0000FF"/>
                  <w:sz w:val="18"/>
                  <w:u w:val="single"/>
                </w:rPr>
                <w:t>Certificate of Designations with respect to the Preferred Stock of the Registrant, Series J, dated May 16, 2023</w:t>
              </w:r>
            </w:hyperlink>
          </w:p>
        </w:tc>
        <w:tc>
          <w:tcPr>
            <w:tcW w:w="705"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8-K</w:t>
            </w:r>
          </w:p>
        </w:tc>
        <w:tc>
          <w:tcPr>
            <w:tcW w:w="93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1-11840</w:t>
            </w:r>
          </w:p>
        </w:tc>
        <w:tc>
          <w:tcPr>
            <w:tcW w:w="82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3.1</w:t>
            </w:r>
          </w:p>
        </w:tc>
        <w:tc>
          <w:tcPr>
            <w:tcW w:w="1147"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May 18, 2023</w:t>
            </w:r>
          </w:p>
        </w:tc>
        <w:tc>
          <w:tcPr>
            <w:tcW w:w="1190"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4400" w:type="dxa"/>
            <w:gridSpan w:val="3"/>
            <w:tcBorders/>
            <w:vAlign w:val="center"/>
          </w:tcPr>
          <w:p>
            <w:pPr>
              <w:pStyle w:val="TableContents"/>
              <w:bidi w:val="0"/>
              <w:spacing w:before="0" w:after="283"/>
              <w:jc w:val="left"/>
              <w:rPr>
                <w:sz w:val="4"/>
                <w:szCs w:val="4"/>
              </w:rPr>
            </w:pPr>
            <w:r>
              <w:rPr>
                <w:sz w:val="4"/>
                <w:szCs w:val="4"/>
              </w:rPr>
            </w:r>
          </w:p>
        </w:tc>
        <w:tc>
          <w:tcPr>
            <w:tcW w:w="705"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w:t>
            </w:r>
          </w:p>
        </w:tc>
        <w:tc>
          <w:tcPr>
            <w:tcW w:w="440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30" w:after="3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The Allstate Corporation hereby agrees to furnish to the Commission, upon request, the instruments defining the rights of holders of each issue of long-term debt of it and its consolidated subsidiaries</w:t>
            </w:r>
          </w:p>
        </w:tc>
        <w:tc>
          <w:tcPr>
            <w:tcW w:w="705"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4400" w:type="dxa"/>
            <w:gridSpan w:val="3"/>
            <w:tcBorders/>
            <w:vAlign w:val="center"/>
          </w:tcPr>
          <w:p>
            <w:pPr>
              <w:pStyle w:val="TableContents"/>
              <w:bidi w:val="0"/>
              <w:spacing w:before="0" w:after="283"/>
              <w:jc w:val="left"/>
              <w:rPr>
                <w:sz w:val="4"/>
                <w:szCs w:val="4"/>
              </w:rPr>
            </w:pPr>
            <w:r>
              <w:rPr>
                <w:sz w:val="4"/>
                <w:szCs w:val="4"/>
              </w:rPr>
            </w:r>
          </w:p>
        </w:tc>
        <w:tc>
          <w:tcPr>
            <w:tcW w:w="705"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4400" w:type="dxa"/>
            <w:gridSpan w:val="3"/>
            <w:tcBorders/>
            <w:vAlign w:val="center"/>
          </w:tcPr>
          <w:p>
            <w:pPr>
              <w:pStyle w:val="TableContents"/>
              <w:bidi w:val="0"/>
              <w:spacing w:before="0" w:after="283"/>
              <w:jc w:val="left"/>
              <w:rPr>
                <w:sz w:val="4"/>
                <w:szCs w:val="4"/>
              </w:rPr>
            </w:pPr>
            <w:r>
              <w:rPr>
                <w:sz w:val="4"/>
                <w:szCs w:val="4"/>
              </w:rPr>
            </w:r>
          </w:p>
        </w:tc>
        <w:tc>
          <w:tcPr>
            <w:tcW w:w="705"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4400" w:type="dxa"/>
            <w:gridSpan w:val="3"/>
            <w:tcBorders/>
            <w:vAlign w:val="center"/>
          </w:tcPr>
          <w:p>
            <w:pPr>
              <w:pStyle w:val="TableContents"/>
              <w:bidi w:val="0"/>
              <w:spacing w:before="0" w:after="283"/>
              <w:jc w:val="left"/>
              <w:rPr>
                <w:sz w:val="4"/>
                <w:szCs w:val="4"/>
              </w:rPr>
            </w:pPr>
            <w:r>
              <w:rPr>
                <w:sz w:val="4"/>
                <w:szCs w:val="4"/>
              </w:rPr>
            </w:r>
          </w:p>
        </w:tc>
        <w:tc>
          <w:tcPr>
            <w:tcW w:w="705"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15</w:t>
            </w:r>
          </w:p>
        </w:tc>
        <w:tc>
          <w:tcPr>
            <w:tcW w:w="440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pPr>
            <w:hyperlink w:anchor="exhibit15allcorp6302610-q.htm">
              <w:r>
                <w:rPr>
                  <w:rStyle w:val="InternetLink"/>
                  <w:rFonts w:ascii="Helvetica_Neue_LT_W1G_55_Roman;sans-serif" w:hAnsi="Helvetica_Neue_LT_W1G_55_Roman;sans-serif"/>
                  <w:b w:val="false"/>
                  <w:color w:val="0000FF"/>
                  <w:sz w:val="18"/>
                  <w:u w:val="single"/>
                </w:rPr>
                <w:t>Acknowledgment of awareness from Deloitte &amp; Touche LLP, dated August 5, 2026, concerning unaudited interim financial information</w:t>
              </w:r>
            </w:hyperlink>
          </w:p>
        </w:tc>
        <w:tc>
          <w:tcPr>
            <w:tcW w:w="705" w:type="dxa"/>
            <w:gridSpan w:val="3"/>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X</w:t>
            </w:r>
          </w:p>
        </w:tc>
      </w:tr>
      <w:tr>
        <w:trPr/>
        <w:tc>
          <w:tcPr>
            <w:tcW w:w="1006"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31(i)</w:t>
            </w:r>
          </w:p>
        </w:tc>
        <w:tc>
          <w:tcPr>
            <w:tcW w:w="440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pPr>
            <w:hyperlink w:anchor="exhibit31iallcorp6302610-q.htm">
              <w:r>
                <w:rPr>
                  <w:rStyle w:val="InternetLink"/>
                  <w:rFonts w:ascii="Helvetica_Neue_LT_W1G_55_Roman;sans-serif" w:hAnsi="Helvetica_Neue_LT_W1G_55_Roman;sans-serif"/>
                  <w:b w:val="false"/>
                  <w:color w:val="0000FF"/>
                  <w:sz w:val="18"/>
                  <w:u w:val="single"/>
                </w:rPr>
                <w:t>Rule 13a-14(a) Certification of Principal Executive Officer</w:t>
              </w:r>
            </w:hyperlink>
          </w:p>
        </w:tc>
        <w:tc>
          <w:tcPr>
            <w:tcW w:w="705" w:type="dxa"/>
            <w:gridSpan w:val="3"/>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X</w:t>
            </w:r>
          </w:p>
        </w:tc>
      </w:tr>
      <w:tr>
        <w:trPr/>
        <w:tc>
          <w:tcPr>
            <w:tcW w:w="1006"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31(i)</w:t>
            </w:r>
          </w:p>
        </w:tc>
        <w:tc>
          <w:tcPr>
            <w:tcW w:w="4400"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0"/>
              <w:jc w:val="left"/>
              <w:rPr/>
            </w:pPr>
            <w:hyperlink w:anchor="exhibit31iallcorp6302610-q.htm">
              <w:r>
                <w:rPr>
                  <w:rStyle w:val="InternetLink"/>
                  <w:rFonts w:ascii="Helvetica_Neue_LT_W1G_55_Roman;sans-serif" w:hAnsi="Helvetica_Neue_LT_W1G_55_Roman;sans-serif"/>
                  <w:b w:val="false"/>
                  <w:color w:val="0000FF"/>
                  <w:sz w:val="18"/>
                  <w:u w:val="single"/>
                </w:rPr>
                <w:t>Rule 13a-14(a) Certification of Principal Financial Officer</w:t>
              </w:r>
            </w:hyperlink>
          </w:p>
        </w:tc>
        <w:tc>
          <w:tcPr>
            <w:tcW w:w="705" w:type="dxa"/>
            <w:gridSpan w:val="3"/>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X</w:t>
            </w:r>
          </w:p>
        </w:tc>
      </w:tr>
      <w:tr>
        <w:trPr/>
        <w:tc>
          <w:tcPr>
            <w:tcW w:w="1006"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32</w:t>
            </w:r>
          </w:p>
        </w:tc>
        <w:tc>
          <w:tcPr>
            <w:tcW w:w="4400"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0"/>
              <w:jc w:val="left"/>
              <w:rPr/>
            </w:pPr>
            <w:hyperlink w:anchor="exhibit32allcorp6302610-q.htm">
              <w:r>
                <w:rPr>
                  <w:rStyle w:val="InternetLink"/>
                  <w:rFonts w:ascii="Helvetica_Neue_LT_W1G_55_Roman;sans-serif" w:hAnsi="Helvetica_Neue_LT_W1G_55_Roman;sans-serif"/>
                  <w:b w:val="false"/>
                  <w:color w:val="0000FF"/>
                  <w:sz w:val="18"/>
                  <w:u w:val="single"/>
                </w:rPr>
                <w:t>Section 1350 Certifications</w:t>
              </w:r>
            </w:hyperlink>
          </w:p>
        </w:tc>
        <w:tc>
          <w:tcPr>
            <w:tcW w:w="705" w:type="dxa"/>
            <w:gridSpan w:val="3"/>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X</w:t>
            </w:r>
          </w:p>
        </w:tc>
      </w:tr>
      <w:tr>
        <w:trPr/>
        <w:tc>
          <w:tcPr>
            <w:tcW w:w="1006"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101.INS</w:t>
            </w:r>
          </w:p>
        </w:tc>
        <w:tc>
          <w:tcPr>
            <w:tcW w:w="4400"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30" w:after="3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 xml:space="preserve">Inline XBRL Instance Document (the instance document does not appear in the Interactive Data File because its XBRL tags are embedded within the Inline XBRL document </w:t>
            </w:r>
          </w:p>
        </w:tc>
        <w:tc>
          <w:tcPr>
            <w:tcW w:w="705" w:type="dxa"/>
            <w:gridSpan w:val="3"/>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X</w:t>
            </w:r>
          </w:p>
        </w:tc>
      </w:tr>
      <w:tr>
        <w:trPr/>
        <w:tc>
          <w:tcPr>
            <w:tcW w:w="1006"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101.SCH</w:t>
            </w:r>
          </w:p>
        </w:tc>
        <w:tc>
          <w:tcPr>
            <w:tcW w:w="4400"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Inline XBRL Taxonomy Extension Schema Document</w:t>
            </w:r>
          </w:p>
        </w:tc>
        <w:tc>
          <w:tcPr>
            <w:tcW w:w="705" w:type="dxa"/>
            <w:gridSpan w:val="3"/>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X</w:t>
            </w:r>
          </w:p>
        </w:tc>
      </w:tr>
      <w:tr>
        <w:trPr/>
        <w:tc>
          <w:tcPr>
            <w:tcW w:w="1006"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101.CAL</w:t>
            </w:r>
          </w:p>
        </w:tc>
        <w:tc>
          <w:tcPr>
            <w:tcW w:w="4400"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Inline XBRL Taxonomy Extension Calculation Linkbase Document</w:t>
            </w:r>
          </w:p>
        </w:tc>
        <w:tc>
          <w:tcPr>
            <w:tcW w:w="705" w:type="dxa"/>
            <w:gridSpan w:val="3"/>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X</w:t>
            </w:r>
          </w:p>
        </w:tc>
      </w:tr>
      <w:tr>
        <w:trPr/>
        <w:tc>
          <w:tcPr>
            <w:tcW w:w="1006"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101.DEF</w:t>
            </w:r>
          </w:p>
        </w:tc>
        <w:tc>
          <w:tcPr>
            <w:tcW w:w="4400"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Inline XBRL Taxonomy Extension Definition Linkbase Document</w:t>
            </w:r>
          </w:p>
        </w:tc>
        <w:tc>
          <w:tcPr>
            <w:tcW w:w="705" w:type="dxa"/>
            <w:gridSpan w:val="3"/>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X</w:t>
            </w:r>
          </w:p>
        </w:tc>
      </w:tr>
      <w:tr>
        <w:trPr/>
        <w:tc>
          <w:tcPr>
            <w:tcW w:w="100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101.LAB</w:t>
            </w:r>
          </w:p>
        </w:tc>
        <w:tc>
          <w:tcPr>
            <w:tcW w:w="440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Inline XBRL Taxonomy Extension Label Linkbase Document</w:t>
            </w:r>
          </w:p>
        </w:tc>
        <w:tc>
          <w:tcPr>
            <w:tcW w:w="705"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X</w:t>
            </w:r>
          </w:p>
        </w:tc>
      </w:tr>
      <w:tr>
        <w:trPr/>
        <w:tc>
          <w:tcPr>
            <w:tcW w:w="100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101.PRE</w:t>
            </w:r>
          </w:p>
        </w:tc>
        <w:tc>
          <w:tcPr>
            <w:tcW w:w="440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Inline XBRL Taxonomy Extension Presentation Linkbase Document</w:t>
            </w:r>
          </w:p>
        </w:tc>
        <w:tc>
          <w:tcPr>
            <w:tcW w:w="705"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X</w:t>
            </w:r>
          </w:p>
        </w:tc>
      </w:tr>
      <w:tr>
        <w:trPr/>
        <w:tc>
          <w:tcPr>
            <w:tcW w:w="1006" w:type="dxa"/>
            <w:gridSpan w:val="3"/>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104</w:t>
            </w:r>
          </w:p>
        </w:tc>
        <w:tc>
          <w:tcPr>
            <w:tcW w:w="4400" w:type="dxa"/>
            <w:gridSpan w:val="3"/>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 xml:space="preserve">Cover Page Interactive Data File (formatted as inline XBRL and contained in Exhibit 101) </w:t>
            </w:r>
          </w:p>
        </w:tc>
        <w:tc>
          <w:tcPr>
            <w:tcW w:w="705" w:type="dxa"/>
            <w:gridSpan w:val="3"/>
            <w:tcBorders>
              <w:top w:val="single" w:sz="4" w:space="0" w:color="B6B6B6"/>
              <w:bottom w:val="single" w:sz="8" w:space="0" w:color="0033A0"/>
            </w:tcBorders>
            <w:tcMar>
              <w:left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4" w:space="0" w:color="B6B6B6"/>
              <w:bottom w:val="single" w:sz="8" w:space="0" w:color="0033A0"/>
            </w:tcBorders>
            <w:tcMar>
              <w:left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4" w:space="0" w:color="B6B6B6"/>
              <w:bottom w:val="single" w:sz="8" w:space="0" w:color="0033A0"/>
            </w:tcBorders>
            <w:tcMar>
              <w:left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4" w:space="0" w:color="B6B6B6"/>
              <w:bottom w:val="single" w:sz="8" w:space="0" w:color="0033A0"/>
            </w:tcBorders>
            <w:tcMar>
              <w:left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X</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80" name="Frame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Allstate Sans;sans-serif" w:hAnsi="Allstate Sans;sans-serif"/>
                                <w:b w:val="false"/>
                                <w:color w:val="0033A0"/>
                                <w:sz w:val="18"/>
                              </w:rPr>
                              <w:t>70</w:t>
                            </w:r>
                            <w:r>
                              <w:rPr>
                                <w:color w:val="1666AF"/>
                              </w:rPr>
                              <w:t xml:space="preserve"> </w:t>
                            </w:r>
                            <w:r>
                              <w:rPr>
                                <w:rFonts w:ascii="Allstate Sans;sans-serif" w:hAnsi="Allstate Sans;sans-serif"/>
                                <w:b w:val="false"/>
                                <w:color w:val="000000"/>
                                <w:sz w:val="18"/>
                              </w:rPr>
                              <w:t>www.allstate.com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Allstate Sans;sans-serif" w:hAnsi="Allstate Sans;sans-serif"/>
                          <w:b w:val="false"/>
                          <w:color w:val="0033A0"/>
                          <w:sz w:val="18"/>
                        </w:rPr>
                        <w:t>70</w:t>
                      </w:r>
                      <w:r>
                        <w:rPr>
                          <w:color w:val="1666AF"/>
                        </w:rPr>
                        <w:t xml:space="preserve"> </w:t>
                      </w:r>
                      <w:r>
                        <w:rPr>
                          <w:rFonts w:ascii="Allstate Sans;sans-serif" w:hAnsi="Allstate Sans;sans-serif"/>
                          <w:b w:val="false"/>
                          <w:color w:val="000000"/>
                          <w:sz w:val="18"/>
                        </w:rPr>
                        <w:t>www.allstate.com</w:t>
                      </w:r>
                    </w:p>
                  </w:txbxContent>
                </v:textbox>
                <w10:wrap type="none"/>
              </v:rect>
            </w:pict>
          </mc:Fallback>
        </mc:AlternateContent>
      </w:r>
    </w:p>
    <w:p>
      <w:pPr>
        <w:pStyle w:val="TextBody"/>
        <w:bidi w:val="0"/>
        <w:spacing w:before="0" w:after="120"/>
        <w:ind w:left="0" w:right="0" w:firstLine="360"/>
        <w:jc w:val="left"/>
        <w:rPr/>
      </w:pPr>
      <w:r>
        <w:rPr/>
      </w:r>
    </w:p>
    <w:p>
      <w:pPr>
        <w:pStyle w:val="TextBody"/>
        <w:bidi w:val="0"/>
        <w:spacing w:lineRule="auto" w:line="288" w:before="0" w:after="120"/>
        <w:jc w:val="left"/>
        <w:rPr>
          <w:rFonts w:ascii="Allstate Sans;sans-serif" w:hAnsi="Allstate Sans;sans-serif"/>
          <w:b/>
          <w:color w:val="0033A0"/>
          <w:sz w:val="22"/>
        </w:rPr>
      </w:pPr>
      <w:r>
        <w:rPr>
          <w:rFonts w:ascii="Allstate Sans;sans-serif" w:hAnsi="Allstate Sans;sans-serif"/>
          <w:b/>
          <w:color w:val="0033A0"/>
          <w:sz w:val="22"/>
        </w:rPr>
        <w:t>Signature</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Pursuant to the requirements of the Securities Exchange Act of 1934, the Registrant has duly caused this report to be signed on its behalf by the undersigned thereunto duly authorized.</w:t>
      </w:r>
    </w:p>
    <w:tbl>
      <w:tblPr>
        <w:tblW w:w="9056" w:type="dxa"/>
        <w:jc w:val="left"/>
        <w:tblInd w:w="0" w:type="dxa"/>
        <w:tblLayout w:type="fixed"/>
        <w:tblCellMar>
          <w:top w:w="28" w:type="dxa"/>
          <w:left w:w="28" w:type="dxa"/>
          <w:bottom w:w="28" w:type="dxa"/>
          <w:right w:w="28" w:type="dxa"/>
        </w:tblCellMar>
      </w:tblPr>
      <w:tblGrid>
        <w:gridCol w:w="690"/>
        <w:gridCol w:w="605"/>
        <w:gridCol w:w="609"/>
        <w:gridCol w:w="359"/>
        <w:gridCol w:w="359"/>
        <w:gridCol w:w="359"/>
        <w:gridCol w:w="1774"/>
        <w:gridCol w:w="1774"/>
        <w:gridCol w:w="2527"/>
      </w:tblGrid>
      <w:tr>
        <w:trPr/>
        <w:tc>
          <w:tcPr>
            <w:tcW w:w="69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774" w:type="dxa"/>
            <w:tcBorders/>
            <w:vAlign w:val="center"/>
          </w:tcPr>
          <w:p>
            <w:pPr>
              <w:pStyle w:val="TableContents"/>
              <w:bidi w:val="0"/>
              <w:spacing w:before="0" w:after="283"/>
              <w:jc w:val="left"/>
              <w:rPr>
                <w:sz w:val="4"/>
                <w:szCs w:val="4"/>
              </w:rPr>
            </w:pPr>
            <w:r>
              <w:rPr>
                <w:sz w:val="4"/>
                <w:szCs w:val="4"/>
              </w:rPr>
            </w:r>
          </w:p>
        </w:tc>
        <w:tc>
          <w:tcPr>
            <w:tcW w:w="1774" w:type="dxa"/>
            <w:tcBorders/>
            <w:vAlign w:val="center"/>
          </w:tcPr>
          <w:p>
            <w:pPr>
              <w:pStyle w:val="TableContents"/>
              <w:bidi w:val="0"/>
              <w:spacing w:before="0" w:after="283"/>
              <w:jc w:val="left"/>
              <w:rPr>
                <w:sz w:val="4"/>
                <w:szCs w:val="4"/>
              </w:rPr>
            </w:pPr>
            <w:r>
              <w:rPr>
                <w:sz w:val="4"/>
                <w:szCs w:val="4"/>
              </w:rPr>
            </w:r>
          </w:p>
        </w:tc>
        <w:tc>
          <w:tcPr>
            <w:tcW w:w="2527"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7152"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Allstate Sans;sans-serif" w:hAnsi="Allstate Sans;sans-serif"/>
                <w:b w:val="false"/>
                <w:color w:val="000000"/>
                <w:sz w:val="18"/>
              </w:rPr>
            </w:pPr>
            <w:r>
              <w:rPr>
                <w:rFonts w:ascii="Allstate Sans;sans-serif" w:hAnsi="Allstate Sans;sans-serif"/>
                <w:b w:val="false"/>
                <w:color w:val="000000"/>
                <w:sz w:val="18"/>
              </w:rPr>
              <w:t>The Allstate Corporation</w:t>
            </w:r>
          </w:p>
        </w:tc>
      </w:tr>
      <w:tr>
        <w:trPr/>
        <w:tc>
          <w:tcPr>
            <w:tcW w:w="1904"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7152"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Allstate Sans;sans-serif" w:hAnsi="Allstate Sans;sans-serif"/>
                <w:b w:val="false"/>
                <w:color w:val="000000"/>
                <w:sz w:val="18"/>
              </w:rPr>
            </w:pPr>
            <w:r>
              <w:rPr>
                <w:rFonts w:ascii="Allstate Sans;sans-serif" w:hAnsi="Allstate Sans;sans-serif"/>
                <w:b w:val="false"/>
                <w:color w:val="000000"/>
                <w:sz w:val="18"/>
              </w:rPr>
              <w:t>(Registrant)</w:t>
            </w:r>
          </w:p>
        </w:tc>
      </w:tr>
      <w:tr>
        <w:trPr/>
        <w:tc>
          <w:tcPr>
            <w:tcW w:w="1904"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7152" w:type="dxa"/>
            <w:gridSpan w:val="6"/>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r>
      <w:tr>
        <w:trPr/>
        <w:tc>
          <w:tcPr>
            <w:tcW w:w="1904"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7152" w:type="dxa"/>
            <w:gridSpan w:val="6"/>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r>
      <w:tr>
        <w:trPr/>
        <w:tc>
          <w:tcPr>
            <w:tcW w:w="1904"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7152" w:type="dxa"/>
            <w:gridSpan w:val="6"/>
            <w:tcBorders/>
            <w:tcMar>
              <w:top w:w="0" w:type="dxa"/>
              <w:left w:w="0" w:type="dxa"/>
              <w:bottom w:w="0" w:type="dxa"/>
              <w:right w:w="0" w:type="dxa"/>
            </w:tcMar>
            <w:vAlign w:val="center"/>
          </w:tcPr>
          <w:p>
            <w:pPr>
              <w:pStyle w:val="TableContents"/>
              <w:bidi w:val="0"/>
              <w:spacing w:lineRule="auto" w:line="240" w:before="0" w:after="0"/>
              <w:ind w:left="0" w:right="0" w:firstLine="360"/>
              <w:jc w:val="left"/>
              <w:rPr>
                <w:color w:val="000000"/>
              </w:rPr>
            </w:pPr>
            <w:r>
              <w:rPr>
                <w:color w:val="000000"/>
              </w:rPr>
              <w:t> </w:t>
            </w:r>
          </w:p>
        </w:tc>
      </w:tr>
      <w:tr>
        <w:trPr/>
        <w:tc>
          <w:tcPr>
            <w:tcW w:w="1904" w:type="dxa"/>
            <w:gridSpan w:val="3"/>
            <w:tcBorders/>
            <w:tcMar>
              <w:top w:w="0" w:type="dxa"/>
              <w:left w:w="0" w:type="dxa"/>
              <w:bottom w:w="0" w:type="dxa"/>
              <w:right w:w="0" w:type="dxa"/>
            </w:tcMar>
            <w:vAlign w:val="center"/>
          </w:tcPr>
          <w:p>
            <w:pPr>
              <w:pStyle w:val="TableContents"/>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August 5, 2026</w:t>
            </w:r>
          </w:p>
        </w:tc>
        <w:tc>
          <w:tcPr>
            <w:tcW w:w="1077"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By</w:t>
            </w:r>
          </w:p>
        </w:tc>
        <w:tc>
          <w:tcPr>
            <w:tcW w:w="6075" w:type="dxa"/>
            <w:gridSpan w:val="3"/>
            <w:tcBorders/>
            <w:tcMar>
              <w:top w:w="0" w:type="dxa"/>
              <w:left w:w="0" w:type="dxa"/>
              <w:bottom w:w="0" w:type="dxa"/>
              <w:right w:w="0" w:type="dxa"/>
            </w:tcMar>
            <w:vAlign w:val="center"/>
          </w:tcPr>
          <w:p>
            <w:pPr>
              <w:pStyle w:val="TableContents"/>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/s/ Eric K. Ferren</w:t>
            </w:r>
          </w:p>
        </w:tc>
      </w:tr>
      <w:tr>
        <w:trPr/>
        <w:tc>
          <w:tcPr>
            <w:tcW w:w="1904"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1077"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60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20"/>
              <w:ind w:left="0" w:right="0" w:firstLine="360"/>
              <w:jc w:val="left"/>
              <w:rPr>
                <w:rFonts w:ascii="Allstate Sans;sans-serif" w:hAnsi="Allstate Sans;sans-serif"/>
                <w:b/>
                <w:color w:val="000000"/>
                <w:sz w:val="18"/>
              </w:rPr>
            </w:pPr>
            <w:r>
              <w:rPr>
                <w:rFonts w:ascii="Allstate Sans;sans-serif" w:hAnsi="Allstate Sans;sans-serif"/>
                <w:b/>
                <w:color w:val="000000"/>
                <w:sz w:val="18"/>
              </w:rPr>
              <w:t>Eric K. Ferren</w:t>
            </w:r>
          </w:p>
        </w:tc>
      </w:tr>
      <w:tr>
        <w:trPr/>
        <w:tc>
          <w:tcPr>
            <w:tcW w:w="1904"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1077"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color w:val="000000"/>
              </w:rPr>
            </w:pPr>
            <w:r>
              <w:rPr>
                <w:color w:val="000000"/>
              </w:rPr>
              <w:t> </w:t>
            </w:r>
          </w:p>
        </w:tc>
        <w:tc>
          <w:tcPr>
            <w:tcW w:w="6075" w:type="dxa"/>
            <w:gridSpan w:val="3"/>
            <w:tcBorders/>
            <w:tcMar>
              <w:top w:w="0" w:type="dxa"/>
              <w:left w:w="0" w:type="dxa"/>
              <w:bottom w:w="0" w:type="dxa"/>
              <w:right w:w="0" w:type="dxa"/>
            </w:tcMar>
            <w:vAlign w:val="center"/>
          </w:tcPr>
          <w:p>
            <w:pPr>
              <w:pStyle w:val="TableContents"/>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Senior Vice President, Controller and Chief Accounting Officer</w:t>
            </w:r>
          </w:p>
        </w:tc>
      </w:tr>
      <w:tr>
        <w:trPr/>
        <w:tc>
          <w:tcPr>
            <w:tcW w:w="1904"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1077"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60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llstate Sans;sans-serif" w:hAnsi="Allstate Sans;sans-serif"/>
                <w:b w:val="false"/>
                <w:color w:val="000000"/>
                <w:sz w:val="18"/>
              </w:rPr>
            </w:pPr>
            <w:r>
              <w:rPr>
                <w:rFonts w:ascii="Allstate Sans;sans-serif" w:hAnsi="Allstate Sans;sans-serif"/>
                <w:b w:val="false"/>
                <w:color w:val="000000"/>
                <w:sz w:val="18"/>
              </w:rPr>
              <w:t>(Authorized Signatory and Principal Accounting Officer)</w:t>
            </w:r>
          </w:p>
        </w:tc>
      </w:tr>
    </w:tbl>
    <w:p>
      <w:pPr>
        <w:pStyle w:val="TextBody"/>
        <w:bidi w:val="0"/>
        <w:spacing w:before="0" w:after="120"/>
        <w:ind w:left="0" w:right="0" w:firstLine="3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33350"/>
                <wp:effectExtent l="0" t="0" r="0" b="0"/>
                <wp:wrapNone/>
                <wp:docPr id="81" name="Frame73"/>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ind w:left="0" w:right="0" w:firstLine="360"/>
                              <w:jc w:val="right"/>
                              <w:rPr/>
                            </w:pPr>
                            <w:r>
                              <w:rPr>
                                <w:rFonts w:ascii="Allstate Sans;sans-serif" w:hAnsi="Allstate Sans;sans-serif"/>
                                <w:b w:val="false"/>
                                <w:color w:val="000000"/>
                                <w:sz w:val="18"/>
                              </w:rPr>
                              <w:t xml:space="preserve">Second Quarter 2026 Form 10-Q </w:t>
                            </w:r>
                            <w:r>
                              <w:rPr>
                                <w:rFonts w:ascii="Allstate Sans;sans-serif" w:hAnsi="Allstate Sans;sans-serif"/>
                                <w:b w:val="false"/>
                                <w:color w:val="0033A0"/>
                                <w:sz w:val="18"/>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right"/>
                        <w:rPr/>
                      </w:pPr>
                      <w:r>
                        <w:rPr>
                          <w:rFonts w:ascii="Allstate Sans;sans-serif" w:hAnsi="Allstate Sans;sans-serif"/>
                          <w:b w:val="false"/>
                          <w:color w:val="000000"/>
                          <w:sz w:val="18"/>
                        </w:rPr>
                        <w:t xml:space="preserve">Second Quarter 2026 Form 10-Q </w:t>
                      </w:r>
                      <w:r>
                        <w:rPr>
                          <w:rFonts w:ascii="Allstate Sans;sans-serif" w:hAnsi="Allstate Sans;sans-serif"/>
                          <w:b w:val="false"/>
                          <w:color w:val="0033A0"/>
                          <w:sz w:val="18"/>
                        </w:rPr>
                        <w:t>71</w:t>
                      </w:r>
                    </w:p>
                  </w:txbxContent>
                </v:textbox>
                <w10:wrap type="none"/>
              </v:rect>
            </w:pict>
          </mc:Fallback>
        </mc:AlternateContent>
      </w:r>
    </w:p>
    <w:p>
      <w:pPr>
        <w:pStyle w:val="TextBody"/>
        <w:bidi w:val="0"/>
        <w:spacing w:lineRule="auto" w:line="288" w:before="100" w:after="100"/>
        <w:jc w:val="right"/>
        <w:rPr>
          <w:rFonts w:ascii="Allstate Sans;sans-serif" w:hAnsi="Allstate Sans;sans-serif"/>
          <w:b/>
          <w:color w:val="000000"/>
          <w:sz w:val="18"/>
        </w:rPr>
      </w:pPr>
      <w:r>
        <w:rPr>
          <w:rFonts w:ascii="Allstate Sans;sans-serif" w:hAnsi="Allstate Sans;sans-serif"/>
          <w:b/>
          <w:color w:val="000000"/>
          <w:sz w:val="18"/>
        </w:rPr>
        <w:t>Exhibit 15</w:t>
      </w:r>
    </w:p>
    <w:p>
      <w:pPr>
        <w:pStyle w:val="TextBody"/>
        <w:bidi w:val="0"/>
        <w:spacing w:lineRule="auto" w:line="288" w:before="0" w:after="0"/>
        <w:jc w:val="both"/>
        <w:rPr>
          <w:rFonts w:ascii="Allstate Sans;sans-serif" w:hAnsi="Allstate Sans;sans-serif"/>
          <w:b w:val="false"/>
          <w:color w:val="000000"/>
          <w:sz w:val="18"/>
        </w:rPr>
      </w:pPr>
      <w:r>
        <w:rPr>
          <w:rFonts w:ascii="Allstate Sans;sans-serif" w:hAnsi="Allstate Sans;sans-serif"/>
          <w:b w:val="false"/>
          <w:color w:val="000000"/>
          <w:sz w:val="18"/>
        </w:rPr>
        <w:t>The Board of Directors and Shareholders of The Allstate Corporation</w:t>
      </w:r>
    </w:p>
    <w:p>
      <w:pPr>
        <w:pStyle w:val="TextBody"/>
        <w:bidi w:val="0"/>
        <w:spacing w:lineRule="auto" w:line="288" w:before="0" w:after="0"/>
        <w:jc w:val="both"/>
        <w:rPr>
          <w:rFonts w:ascii="Allstate Sans;sans-serif" w:hAnsi="Allstate Sans;sans-serif"/>
          <w:b w:val="false"/>
          <w:color w:val="000000"/>
          <w:sz w:val="18"/>
        </w:rPr>
      </w:pPr>
      <w:r>
        <w:rPr>
          <w:rFonts w:ascii="Allstate Sans;sans-serif" w:hAnsi="Allstate Sans;sans-serif"/>
          <w:b w:val="false"/>
          <w:color w:val="000000"/>
          <w:sz w:val="18"/>
        </w:rPr>
        <w:t>3100 Sanders Road</w:t>
      </w:r>
    </w:p>
    <w:p>
      <w:pPr>
        <w:pStyle w:val="TextBody"/>
        <w:bidi w:val="0"/>
        <w:spacing w:lineRule="auto" w:line="288" w:before="0" w:after="0"/>
        <w:jc w:val="both"/>
        <w:rPr>
          <w:rFonts w:ascii="Allstate Sans;sans-serif" w:hAnsi="Allstate Sans;sans-serif"/>
          <w:b w:val="false"/>
          <w:color w:val="000000"/>
          <w:sz w:val="18"/>
        </w:rPr>
      </w:pPr>
      <w:r>
        <w:rPr>
          <w:rFonts w:ascii="Allstate Sans;sans-serif" w:hAnsi="Allstate Sans;sans-serif"/>
          <w:b w:val="false"/>
          <w:color w:val="000000"/>
          <w:sz w:val="18"/>
        </w:rPr>
        <w:t>Northbrook, IL 60062</w:t>
      </w:r>
    </w:p>
    <w:p>
      <w:pPr>
        <w:pStyle w:val="TextBody"/>
        <w:bidi w:val="0"/>
        <w:spacing w:before="0" w:after="0"/>
        <w:jc w:val="both"/>
        <w:rPr/>
      </w:pPr>
      <w:r>
        <w:rPr/>
      </w:r>
    </w:p>
    <w:p>
      <w:pPr>
        <w:pStyle w:val="TextBody"/>
        <w:bidi w:val="0"/>
        <w:spacing w:lineRule="auto" w:line="288" w:before="120" w:after="120"/>
        <w:jc w:val="both"/>
        <w:rPr>
          <w:rFonts w:ascii="Allstate Sans;sans-serif" w:hAnsi="Allstate Sans;sans-serif"/>
          <w:b w:val="false"/>
          <w:color w:val="000000"/>
          <w:sz w:val="18"/>
        </w:rPr>
      </w:pPr>
      <w:r>
        <w:rPr>
          <w:rFonts w:ascii="Allstate Sans;sans-serif" w:hAnsi="Allstate Sans;sans-serif"/>
          <w:b w:val="false"/>
          <w:color w:val="000000"/>
          <w:sz w:val="18"/>
        </w:rPr>
        <w:t>We are aware that our report dated August 5, 2026, on our review of the interim financial information of The Allstate Corporation and subsidiaries appearing in this Quarterly Report on Form 10-Q for the quarter ended June 30, 2026, is incorporated by reference in the following Registration Statements:</w:t>
      </w:r>
    </w:p>
    <w:tbl>
      <w:tblPr>
        <w:tblW w:w="8190" w:type="dxa"/>
        <w:jc w:val="center"/>
        <w:tblInd w:w="0" w:type="dxa"/>
        <w:tblLayout w:type="fixed"/>
        <w:tblCellMar>
          <w:top w:w="28" w:type="dxa"/>
          <w:left w:w="28" w:type="dxa"/>
          <w:bottom w:w="28" w:type="dxa"/>
          <w:right w:w="28" w:type="dxa"/>
        </w:tblCellMar>
      </w:tblPr>
      <w:tblGrid>
        <w:gridCol w:w="1477"/>
        <w:gridCol w:w="1300"/>
        <w:gridCol w:w="1303"/>
        <w:gridCol w:w="1203"/>
        <w:gridCol w:w="1203"/>
        <w:gridCol w:w="1704"/>
      </w:tblGrid>
      <w:tr>
        <w:trPr/>
        <w:tc>
          <w:tcPr>
            <w:tcW w:w="1477"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70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Helvetica_Neue_LT_W1G_55_Roman;sans-serif" w:hAnsi="Helvetica_Neue_LT_W1G_55_Roman;sans-serif"/>
                <w:b/>
                <w:color w:val="000000"/>
                <w:sz w:val="18"/>
                <w:u w:val="single"/>
              </w:rPr>
            </w:pPr>
            <w:r>
              <w:rPr>
                <w:rFonts w:ascii="Helvetica_Neue_LT_W1G_55_Roman;sans-serif" w:hAnsi="Helvetica_Neue_LT_W1G_55_Roman;sans-serif"/>
                <w:b/>
                <w:color w:val="000000"/>
                <w:sz w:val="18"/>
                <w:u w:val="single"/>
              </w:rPr>
              <w:t xml:space="preserve">Form S-3 Registration Statement Nos. </w:t>
            </w:r>
          </w:p>
        </w:tc>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Helvetica_Neue_LT_W1G_55_Roman;sans-serif" w:hAnsi="Helvetica_Neue_LT_W1G_55_Roman;sans-serif"/>
                <w:b/>
                <w:color w:val="000000"/>
                <w:sz w:val="18"/>
                <w:u w:val="single"/>
              </w:rPr>
            </w:pPr>
            <w:r>
              <w:rPr>
                <w:rFonts w:ascii="Helvetica_Neue_LT_W1G_55_Roman;sans-serif" w:hAnsi="Helvetica_Neue_LT_W1G_55_Roman;sans-serif"/>
                <w:b/>
                <w:color w:val="000000"/>
                <w:sz w:val="18"/>
                <w:u w:val="single"/>
              </w:rPr>
              <w:t xml:space="preserve">Form S-8 Registration Statement Nos. </w:t>
            </w:r>
          </w:p>
        </w:tc>
      </w:tr>
      <w:tr>
        <w:trPr/>
        <w:tc>
          <w:tcPr>
            <w:tcW w:w="4080"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333-279003</w:t>
            </w:r>
          </w:p>
        </w:tc>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333-04919</w:t>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333-40283</w:t>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333-134243</w:t>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333-175526</w:t>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333-188821</w:t>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333-200390</w:t>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333-218343</w:t>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333-228490</w:t>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333-228491</w:t>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333-228492</w:t>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333-231753</w:t>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333-291756</w:t>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333-291757</w:t>
            </w:r>
          </w:p>
        </w:tc>
      </w:tr>
    </w:tbl>
    <w:p>
      <w:pPr>
        <w:pStyle w:val="TextBody"/>
        <w:bidi w:val="0"/>
        <w:spacing w:before="120" w:after="283"/>
        <w:jc w:val="left"/>
        <w:rPr/>
      </w:pPr>
      <w:r>
        <w:rPr/>
      </w:r>
    </w:p>
    <w:p>
      <w:pPr>
        <w:pStyle w:val="TextBody"/>
        <w:bidi w:val="0"/>
        <w:spacing w:lineRule="auto" w:line="288" w:before="0" w:after="0"/>
        <w:jc w:val="left"/>
        <w:rPr>
          <w:rFonts w:ascii="Allstate Sans;sans-serif" w:hAnsi="Allstate Sans;sans-serif"/>
          <w:b w:val="false"/>
          <w:color w:val="000000"/>
          <w:sz w:val="18"/>
        </w:rPr>
      </w:pPr>
      <w:r>
        <w:rPr>
          <w:rFonts w:ascii="Allstate Sans;sans-serif" w:hAnsi="Allstate Sans;sans-serif"/>
          <w:b w:val="false"/>
          <w:color w:val="000000"/>
          <w:sz w:val="18"/>
        </w:rPr>
        <w:t>/s/ DELOITTE &amp; TOUCHE LLP</w:t>
      </w:r>
    </w:p>
    <w:p>
      <w:pPr>
        <w:pStyle w:val="TextBody"/>
        <w:bidi w:val="0"/>
        <w:spacing w:before="0" w:after="0"/>
        <w:jc w:val="both"/>
        <w:rPr/>
      </w:pPr>
      <w:r>
        <w:rPr/>
      </w:r>
    </w:p>
    <w:p>
      <w:pPr>
        <w:pStyle w:val="TextBody"/>
        <w:bidi w:val="0"/>
        <w:spacing w:lineRule="auto" w:line="288" w:before="0" w:after="0"/>
        <w:jc w:val="both"/>
        <w:rPr>
          <w:rFonts w:ascii="Allstate Sans;sans-serif" w:hAnsi="Allstate Sans;sans-serif"/>
          <w:b w:val="false"/>
          <w:color w:val="000000"/>
          <w:sz w:val="18"/>
        </w:rPr>
      </w:pPr>
      <w:r>
        <w:rPr>
          <w:rFonts w:ascii="Allstate Sans;sans-serif" w:hAnsi="Allstate Sans;sans-serif"/>
          <w:b w:val="false"/>
          <w:color w:val="000000"/>
          <w:sz w:val="18"/>
        </w:rPr>
        <w:t>Chicago, Illinois</w:t>
      </w:r>
    </w:p>
    <w:p>
      <w:pPr>
        <w:pStyle w:val="TextBody"/>
        <w:bidi w:val="0"/>
        <w:spacing w:lineRule="auto" w:line="288" w:before="0" w:after="0"/>
        <w:jc w:val="both"/>
        <w:rPr>
          <w:rFonts w:ascii="Allstate Sans;sans-serif" w:hAnsi="Allstate Sans;sans-serif"/>
          <w:b w:val="false"/>
          <w:color w:val="000000"/>
          <w:sz w:val="18"/>
        </w:rPr>
      </w:pPr>
      <w:r>
        <w:rPr>
          <w:rFonts w:ascii="Allstate Sans;sans-serif" w:hAnsi="Allstate Sans;sans-serif"/>
          <w:b w:val="false"/>
          <w:color w:val="000000"/>
          <w:sz w:val="18"/>
        </w:rPr>
        <w:t xml:space="preserve">August 5, 2026 </w:t>
      </w:r>
    </w:p>
    <w:p>
      <w:pPr>
        <w:pStyle w:val="TextBody"/>
        <w:bidi w:val="0"/>
        <w:spacing w:before="0" w:after="0"/>
        <w:jc w:val="both"/>
        <w:rPr/>
      </w:pPr>
      <w:r>
        <w:rPr/>
      </w:r>
    </w:p>
    <w:p>
      <w:pPr>
        <w:pStyle w:val="TextBody"/>
        <w:bidi w:val="0"/>
        <w:spacing w:before="0" w:after="0"/>
        <w:jc w:val="left"/>
        <w:rPr/>
      </w:pPr>
      <w:r>
        <w:rPr/>
      </w:r>
    </w:p>
    <w:p>
      <w:pPr>
        <w:pStyle w:val="TextBody"/>
        <w:bidi w:val="0"/>
        <w:spacing w:before="100" w:after="100"/>
        <w:jc w:val="center"/>
        <w:rPr/>
      </w:pPr>
      <w:r>
        <w:rPr/>
      </w:r>
    </w:p>
    <w:p>
      <w:pPr>
        <w:pStyle w:val="TextBody"/>
        <w:bidi w:val="0"/>
        <w:spacing w:before="100" w:after="10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75260"/>
                <wp:effectExtent l="0" t="0" r="0" b="0"/>
                <wp:wrapNone/>
                <wp:docPr id="82" name="Frame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2925" w:type="dxa"/>
        <w:jc w:val="left"/>
        <w:tblInd w:w="0" w:type="dxa"/>
        <w:tblLayout w:type="fixed"/>
        <w:tblCellMar>
          <w:top w:w="28" w:type="dxa"/>
          <w:left w:w="28" w:type="dxa"/>
          <w:bottom w:w="28" w:type="dxa"/>
          <w:right w:w="28" w:type="dxa"/>
        </w:tblCellMar>
      </w:tblPr>
      <w:tblGrid>
        <w:gridCol w:w="538"/>
        <w:gridCol w:w="473"/>
        <w:gridCol w:w="475"/>
        <w:gridCol w:w="421"/>
        <w:gridCol w:w="421"/>
        <w:gridCol w:w="597"/>
      </w:tblGrid>
      <w:tr>
        <w:trPr/>
        <w:tc>
          <w:tcPr>
            <w:tcW w:w="538"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r>
      <w:tr>
        <w:trPr/>
        <w:tc>
          <w:tcPr>
            <w:tcW w:w="14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llstate Sans;sans-serif" w:hAnsi="Allstate Sans;sans-serif"/>
                <w:b/>
                <w:color w:val="000000"/>
                <w:sz w:val="18"/>
              </w:rPr>
            </w:pPr>
            <w:r>
              <w:rPr>
                <w:rFonts w:ascii="Allstate Sans;sans-serif" w:hAnsi="Allstate Sans;sans-serif"/>
                <w:b/>
                <w:color w:val="000000"/>
                <w:sz w:val="18"/>
              </w:rPr>
              <w:t>Certifications</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llstate Sans;sans-serif" w:hAnsi="Allstate Sans;sans-serif"/>
                <w:b/>
                <w:color w:val="000000"/>
                <w:sz w:val="18"/>
              </w:rPr>
            </w:pPr>
            <w:r>
              <w:rPr>
                <w:rFonts w:ascii="Allstate Sans;sans-serif" w:hAnsi="Allstate Sans;sans-serif"/>
                <w:b/>
                <w:color w:val="000000"/>
                <w:sz w:val="18"/>
              </w:rPr>
              <w:t>Exhibit 31 (i)</w:t>
            </w:r>
          </w:p>
        </w:tc>
      </w:tr>
    </w:tbl>
    <w:p>
      <w:pPr>
        <w:pStyle w:val="TextBody"/>
        <w:bidi w:val="0"/>
        <w:spacing w:lineRule="auto" w:line="288" w:before="100" w:after="120"/>
        <w:jc w:val="left"/>
        <w:rPr>
          <w:rFonts w:ascii="Allstate Sans;sans-serif" w:hAnsi="Allstate Sans;sans-serif"/>
          <w:b w:val="false"/>
          <w:color w:val="000000"/>
          <w:sz w:val="18"/>
        </w:rPr>
      </w:pPr>
      <w:r>
        <w:rPr>
          <w:rFonts w:ascii="Allstate Sans;sans-serif" w:hAnsi="Allstate Sans;sans-serif"/>
          <w:b w:val="false"/>
          <w:color w:val="000000"/>
          <w:sz w:val="18"/>
        </w:rPr>
        <w:t>I, Thomas J. Wilson, certify that:</w:t>
      </w:r>
    </w:p>
    <w:p>
      <w:pPr>
        <w:pStyle w:val="TextBody"/>
        <w:bidi w:val="0"/>
        <w:spacing w:lineRule="auto" w:line="288" w:before="100" w:after="120"/>
        <w:jc w:val="left"/>
        <w:rPr>
          <w:rFonts w:ascii="Allstate Sans;sans-serif" w:hAnsi="Allstate Sans;sans-serif"/>
          <w:b w:val="false"/>
          <w:color w:val="000000"/>
          <w:sz w:val="18"/>
        </w:rPr>
      </w:pPr>
      <w:r>
        <w:rPr>
          <w:rFonts w:ascii="Allstate Sans;sans-serif" w:hAnsi="Allstate Sans;sans-serif"/>
          <w:b w:val="false"/>
          <w:color w:val="000000"/>
          <w:sz w:val="18"/>
        </w:rPr>
        <w:t>1. I have reviewed this quarterly report on Form 10-Q of The Allstate Corporation;</w:t>
      </w:r>
    </w:p>
    <w:p>
      <w:pPr>
        <w:pStyle w:val="TextBody"/>
        <w:bidi w:val="0"/>
        <w:spacing w:lineRule="auto" w:line="288" w:before="100" w:after="120"/>
        <w:jc w:val="both"/>
        <w:rPr>
          <w:rFonts w:ascii="Allstate Sans;sans-serif" w:hAnsi="Allstate Sans;sans-serif"/>
          <w:b w:val="false"/>
          <w:color w:val="000000"/>
          <w:sz w:val="18"/>
        </w:rPr>
      </w:pPr>
      <w:r>
        <w:rPr>
          <w:rFonts w:ascii="Allstate Sans;sans-serif" w:hAnsi="Allstate Sans;sans-serif"/>
          <w:b w:val="false"/>
          <w:color w:val="000000"/>
          <w:sz w:val="18"/>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100" w:after="120"/>
        <w:jc w:val="both"/>
        <w:rPr>
          <w:rFonts w:ascii="Allstate Sans;sans-serif" w:hAnsi="Allstate Sans;sans-serif"/>
          <w:b w:val="false"/>
          <w:color w:val="000000"/>
          <w:sz w:val="18"/>
        </w:rPr>
      </w:pPr>
      <w:r>
        <w:rPr>
          <w:rFonts w:ascii="Allstate Sans;sans-serif" w:hAnsi="Allstate Sans;sans-serif"/>
          <w:b w:val="false"/>
          <w:color w:val="000000"/>
          <w:sz w:val="18"/>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100" w:after="120"/>
        <w:jc w:val="both"/>
        <w:rPr>
          <w:rFonts w:ascii="Allstate Sans;sans-serif" w:hAnsi="Allstate Sans;sans-serif"/>
          <w:b w:val="false"/>
          <w:color w:val="000000"/>
          <w:sz w:val="18"/>
        </w:rPr>
      </w:pPr>
      <w:r>
        <w:rPr>
          <w:rFonts w:ascii="Allstate Sans;sans-serif" w:hAnsi="Allstate Sans;sans-serif"/>
          <w:b w:val="false"/>
          <w:color w:val="000000"/>
          <w:sz w:val="18"/>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00" w:after="120"/>
        <w:ind w:left="0" w:right="0" w:firstLine="180"/>
        <w:jc w:val="both"/>
        <w:rPr>
          <w:rFonts w:ascii="Allstate Sans;sans-serif" w:hAnsi="Allstate Sans;sans-serif"/>
          <w:b w:val="false"/>
          <w:color w:val="000000"/>
          <w:sz w:val="18"/>
        </w:rPr>
      </w:pPr>
      <w:r>
        <w:rPr>
          <w:rFonts w:ascii="Allstate Sans;sans-serif" w:hAnsi="Allstate Sans;sans-serif"/>
          <w:b w:val="false"/>
          <w:color w:val="000000"/>
          <w:sz w:val="18"/>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00" w:after="120"/>
        <w:ind w:left="0" w:right="0" w:firstLine="180"/>
        <w:jc w:val="both"/>
        <w:rPr>
          <w:rFonts w:ascii="Allstate Sans;sans-serif" w:hAnsi="Allstate Sans;sans-serif"/>
          <w:b w:val="false"/>
          <w:color w:val="000000"/>
          <w:sz w:val="18"/>
        </w:rPr>
      </w:pPr>
      <w:r>
        <w:rPr>
          <w:rFonts w:ascii="Allstate Sans;sans-serif" w:hAnsi="Allstate Sans;sans-serif"/>
          <w:b w:val="false"/>
          <w:color w:val="000000"/>
          <w:sz w:val="18"/>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120"/>
        <w:ind w:left="0" w:right="0" w:firstLine="180"/>
        <w:jc w:val="both"/>
        <w:rPr>
          <w:rFonts w:ascii="Allstate Sans;sans-serif" w:hAnsi="Allstate Sans;sans-serif"/>
          <w:b w:val="false"/>
          <w:color w:val="000000"/>
          <w:sz w:val="18"/>
        </w:rPr>
      </w:pPr>
      <w:r>
        <w:rPr>
          <w:rFonts w:ascii="Allstate Sans;sans-serif" w:hAnsi="Allstate Sans;sans-serif"/>
          <w:b w:val="false"/>
          <w:color w:val="000000"/>
          <w:sz w:val="18"/>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00" w:after="120"/>
        <w:ind w:left="0" w:right="0" w:firstLine="180"/>
        <w:jc w:val="both"/>
        <w:rPr>
          <w:rFonts w:ascii="Allstate Sans;sans-serif" w:hAnsi="Allstate Sans;sans-serif"/>
          <w:b w:val="false"/>
          <w:color w:val="000000"/>
          <w:sz w:val="18"/>
        </w:rPr>
      </w:pPr>
      <w:r>
        <w:rPr>
          <w:rFonts w:ascii="Allstate Sans;sans-serif" w:hAnsi="Allstate Sans;sans-serif"/>
          <w:b w:val="false"/>
          <w:color w:val="000000"/>
          <w:sz w:val="18"/>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100" w:after="120"/>
        <w:jc w:val="both"/>
        <w:rPr>
          <w:rFonts w:ascii="Allstate Sans;sans-serif" w:hAnsi="Allstate Sans;sans-serif"/>
          <w:b w:val="false"/>
          <w:color w:val="000000"/>
          <w:sz w:val="18"/>
        </w:rPr>
      </w:pPr>
      <w:r>
        <w:rPr>
          <w:rFonts w:ascii="Allstate Sans;sans-serif" w:hAnsi="Allstate Sans;sans-serif"/>
          <w:b w:val="false"/>
          <w:color w:val="000000"/>
          <w:sz w:val="18"/>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00" w:after="120"/>
        <w:ind w:left="0" w:right="0" w:firstLine="180"/>
        <w:jc w:val="both"/>
        <w:rPr>
          <w:rFonts w:ascii="Allstate Sans;sans-serif" w:hAnsi="Allstate Sans;sans-serif"/>
          <w:b w:val="false"/>
          <w:color w:val="000000"/>
          <w:sz w:val="18"/>
        </w:rPr>
      </w:pPr>
      <w:r>
        <w:rPr>
          <w:rFonts w:ascii="Allstate Sans;sans-serif" w:hAnsi="Allstate Sans;sans-serif"/>
          <w:b w:val="false"/>
          <w:color w:val="000000"/>
          <w:sz w:val="18"/>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00" w:after="283"/>
        <w:ind w:left="0" w:right="0" w:firstLine="180"/>
        <w:jc w:val="both"/>
        <w:rPr>
          <w:rFonts w:ascii="Allstate Sans;sans-serif" w:hAnsi="Allstate Sans;sans-serif"/>
          <w:b w:val="false"/>
          <w:color w:val="000000"/>
          <w:sz w:val="18"/>
        </w:rPr>
      </w:pPr>
      <w:r>
        <w:rPr>
          <w:rFonts w:ascii="Allstate Sans;sans-serif" w:hAnsi="Allstate Sans;sans-serif"/>
          <w:b w:val="false"/>
          <w:color w:val="000000"/>
          <w:sz w:val="18"/>
        </w:rPr>
        <w:t xml:space="preserve">b) Any fraud, whether or not material, that involves management or other employees who have a significant role in the registrant’s internal control over financial reporting. </w:t>
      </w:r>
    </w:p>
    <w:p>
      <w:pPr>
        <w:pStyle w:val="TextBody"/>
        <w:bidi w:val="0"/>
        <w:spacing w:before="0" w:after="0"/>
        <w:jc w:val="both"/>
        <w:rPr/>
      </w:pPr>
      <w:r>
        <w:rPr/>
      </w:r>
    </w:p>
    <w:p>
      <w:pPr>
        <w:pStyle w:val="TextBody"/>
        <w:bidi w:val="0"/>
        <w:spacing w:lineRule="auto" w:line="288" w:before="0" w:after="0"/>
        <w:jc w:val="both"/>
        <w:rPr>
          <w:rFonts w:ascii="Allstate Sans;sans-serif" w:hAnsi="Allstate Sans;sans-serif"/>
          <w:b w:val="false"/>
          <w:color w:val="000000"/>
          <w:sz w:val="18"/>
        </w:rPr>
      </w:pPr>
      <w:r>
        <w:rPr>
          <w:rFonts w:ascii="Allstate Sans;sans-serif" w:hAnsi="Allstate Sans;sans-serif"/>
          <w:b w:val="false"/>
          <w:color w:val="000000"/>
          <w:sz w:val="18"/>
        </w:rPr>
        <w:t xml:space="preserve">Date: August 5, 2026 </w:t>
      </w:r>
    </w:p>
    <w:tbl>
      <w:tblPr>
        <w:tblW w:w="5685" w:type="dxa"/>
        <w:jc w:val="right"/>
        <w:tblInd w:w="0" w:type="dxa"/>
        <w:tblLayout w:type="fixed"/>
        <w:tblCellMar>
          <w:top w:w="28" w:type="dxa"/>
          <w:left w:w="28" w:type="dxa"/>
          <w:bottom w:w="28" w:type="dxa"/>
          <w:right w:w="28" w:type="dxa"/>
        </w:tblCellMar>
      </w:tblPr>
      <w:tblGrid>
        <w:gridCol w:w="1817"/>
        <w:gridCol w:w="1597"/>
        <w:gridCol w:w="2271"/>
      </w:tblGrid>
      <w:tr>
        <w:trPr/>
        <w:tc>
          <w:tcPr>
            <w:tcW w:w="1817" w:type="dxa"/>
            <w:tcBorders/>
            <w:vAlign w:val="center"/>
          </w:tcPr>
          <w:p>
            <w:pPr>
              <w:pStyle w:val="TableContents"/>
              <w:bidi w:val="0"/>
              <w:spacing w:before="0" w:after="283"/>
              <w:jc w:val="left"/>
              <w:rPr>
                <w:sz w:val="4"/>
                <w:szCs w:val="4"/>
              </w:rPr>
            </w:pPr>
            <w:r>
              <w:rPr>
                <w:sz w:val="4"/>
                <w:szCs w:val="4"/>
              </w:rPr>
            </w:r>
          </w:p>
        </w:tc>
        <w:tc>
          <w:tcPr>
            <w:tcW w:w="1597" w:type="dxa"/>
            <w:tcBorders/>
            <w:vAlign w:val="center"/>
          </w:tcPr>
          <w:p>
            <w:pPr>
              <w:pStyle w:val="TableContents"/>
              <w:bidi w:val="0"/>
              <w:spacing w:before="0" w:after="283"/>
              <w:jc w:val="left"/>
              <w:rPr>
                <w:sz w:val="4"/>
                <w:szCs w:val="4"/>
              </w:rPr>
            </w:pPr>
            <w:r>
              <w:rPr>
                <w:sz w:val="4"/>
                <w:szCs w:val="4"/>
              </w:rPr>
            </w:r>
          </w:p>
        </w:tc>
        <w:tc>
          <w:tcPr>
            <w:tcW w:w="2271" w:type="dxa"/>
            <w:tcBorders/>
            <w:vAlign w:val="center"/>
          </w:tcPr>
          <w:p>
            <w:pPr>
              <w:pStyle w:val="TableContents"/>
              <w:bidi w:val="0"/>
              <w:spacing w:before="0" w:after="283"/>
              <w:jc w:val="left"/>
              <w:rPr>
                <w:sz w:val="4"/>
                <w:szCs w:val="4"/>
              </w:rPr>
            </w:pPr>
            <w:r>
              <w:rPr>
                <w:sz w:val="4"/>
                <w:szCs w:val="4"/>
              </w:rPr>
            </w:r>
          </w:p>
        </w:tc>
      </w:tr>
      <w:tr>
        <w:trPr/>
        <w:tc>
          <w:tcPr>
            <w:tcW w:w="5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llstate Sans;sans-serif" w:hAnsi="Allstate Sans;sans-serif"/>
                <w:b w:val="false"/>
                <w:color w:val="000000"/>
                <w:sz w:val="18"/>
              </w:rPr>
            </w:pPr>
            <w:r>
              <w:rPr>
                <w:rFonts w:ascii="Allstate Sans;sans-serif" w:hAnsi="Allstate Sans;sans-serif"/>
                <w:b w:val="false"/>
                <w:color w:val="000000"/>
                <w:sz w:val="18"/>
              </w:rPr>
              <w:t>/s/ Thomas J. Wilson</w:t>
            </w:r>
          </w:p>
        </w:tc>
      </w:tr>
      <w:tr>
        <w:trPr/>
        <w:tc>
          <w:tcPr>
            <w:tcW w:w="56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llstate Sans;sans-serif" w:hAnsi="Allstate Sans;sans-serif"/>
                <w:b w:val="false"/>
                <w:color w:val="000000"/>
                <w:sz w:val="18"/>
              </w:rPr>
            </w:pPr>
            <w:r>
              <w:rPr>
                <w:rFonts w:ascii="Allstate Sans;sans-serif" w:hAnsi="Allstate Sans;sans-serif"/>
                <w:b w:val="false"/>
                <w:color w:val="000000"/>
                <w:sz w:val="18"/>
              </w:rPr>
              <w:t>Thomas J. Wilson</w:t>
            </w:r>
          </w:p>
        </w:tc>
      </w:tr>
      <w:tr>
        <w:trPr/>
        <w:tc>
          <w:tcPr>
            <w:tcW w:w="5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llstate Sans;sans-serif" w:hAnsi="Allstate Sans;sans-serif"/>
                <w:b w:val="false"/>
                <w:color w:val="000000"/>
                <w:sz w:val="18"/>
              </w:rPr>
            </w:pPr>
            <w:r>
              <w:rPr>
                <w:rFonts w:ascii="Allstate Sans;sans-serif" w:hAnsi="Allstate Sans;sans-serif"/>
                <w:b w:val="false"/>
                <w:color w:val="000000"/>
                <w:sz w:val="18"/>
              </w:rPr>
              <w:t>Chairman of the Board, President and Chief Executive Officer</w:t>
            </w:r>
          </w:p>
        </w:tc>
      </w:tr>
    </w:tbl>
    <w:p>
      <w:pPr>
        <w:pStyle w:val="TextBody"/>
        <w:bidi w:val="0"/>
        <w:spacing w:before="100" w:after="100"/>
        <w:jc w:val="righ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75260"/>
                <wp:effectExtent l="0" t="0" r="0" b="0"/>
                <wp:wrapNone/>
                <wp:docPr id="83" name="Frame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2925" w:type="dxa"/>
        <w:jc w:val="left"/>
        <w:tblInd w:w="0" w:type="dxa"/>
        <w:tblLayout w:type="fixed"/>
        <w:tblCellMar>
          <w:top w:w="28" w:type="dxa"/>
          <w:left w:w="28" w:type="dxa"/>
          <w:bottom w:w="28" w:type="dxa"/>
          <w:right w:w="28" w:type="dxa"/>
        </w:tblCellMar>
      </w:tblPr>
      <w:tblGrid>
        <w:gridCol w:w="538"/>
        <w:gridCol w:w="473"/>
        <w:gridCol w:w="475"/>
        <w:gridCol w:w="421"/>
        <w:gridCol w:w="421"/>
        <w:gridCol w:w="597"/>
      </w:tblGrid>
      <w:tr>
        <w:trPr/>
        <w:tc>
          <w:tcPr>
            <w:tcW w:w="538"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r>
      <w:tr>
        <w:trPr/>
        <w:tc>
          <w:tcPr>
            <w:tcW w:w="14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llstate Sans;sans-serif" w:hAnsi="Allstate Sans;sans-serif"/>
                <w:b/>
                <w:color w:val="000000"/>
                <w:sz w:val="18"/>
              </w:rPr>
            </w:pPr>
            <w:r>
              <w:rPr>
                <w:rFonts w:ascii="Allstate Sans;sans-serif" w:hAnsi="Allstate Sans;sans-serif"/>
                <w:b/>
                <w:color w:val="000000"/>
                <w:sz w:val="18"/>
              </w:rPr>
              <w:t>Certifications</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llstate Sans;sans-serif" w:hAnsi="Allstate Sans;sans-serif"/>
                <w:b/>
                <w:color w:val="000000"/>
                <w:sz w:val="18"/>
              </w:rPr>
            </w:pPr>
            <w:r>
              <w:rPr>
                <w:rFonts w:ascii="Allstate Sans;sans-serif" w:hAnsi="Allstate Sans;sans-serif"/>
                <w:b/>
                <w:color w:val="000000"/>
                <w:sz w:val="18"/>
              </w:rPr>
              <w:t>Exhibit 31 (i)</w:t>
            </w:r>
          </w:p>
        </w:tc>
      </w:tr>
    </w:tbl>
    <w:p>
      <w:pPr>
        <w:pStyle w:val="TextBody"/>
        <w:bidi w:val="0"/>
        <w:spacing w:lineRule="auto" w:line="288" w:before="100" w:after="120"/>
        <w:ind w:left="0" w:right="0" w:hanging="495"/>
        <w:jc w:val="left"/>
        <w:rPr>
          <w:rFonts w:ascii="Allstate Sans;sans-serif" w:hAnsi="Allstate Sans;sans-serif"/>
          <w:b w:val="false"/>
          <w:color w:val="000000"/>
          <w:sz w:val="18"/>
        </w:rPr>
      </w:pPr>
      <w:r>
        <w:rPr>
          <w:rFonts w:ascii="Allstate Sans;sans-serif" w:hAnsi="Allstate Sans;sans-serif"/>
          <w:b w:val="false"/>
          <w:color w:val="000000"/>
          <w:sz w:val="18"/>
        </w:rPr>
        <w:t>I, John E. Dugenske, certify that:</w:t>
      </w:r>
    </w:p>
    <w:p>
      <w:pPr>
        <w:pStyle w:val="TextBody"/>
        <w:bidi w:val="0"/>
        <w:spacing w:lineRule="auto" w:line="288" w:before="100" w:after="120"/>
        <w:ind w:left="0" w:right="0" w:hanging="495"/>
        <w:jc w:val="left"/>
        <w:rPr>
          <w:rFonts w:ascii="Allstate Sans;sans-serif" w:hAnsi="Allstate Sans;sans-serif"/>
          <w:b w:val="false"/>
          <w:color w:val="000000"/>
          <w:sz w:val="18"/>
        </w:rPr>
      </w:pPr>
      <w:r>
        <w:rPr>
          <w:rFonts w:ascii="Allstate Sans;sans-serif" w:hAnsi="Allstate Sans;sans-serif"/>
          <w:b w:val="false"/>
          <w:color w:val="000000"/>
          <w:sz w:val="18"/>
        </w:rPr>
        <w:t>1. I have reviewed this quarterly report on Form 10-Q of The Allstate Corporation;</w:t>
      </w:r>
    </w:p>
    <w:p>
      <w:pPr>
        <w:pStyle w:val="TextBody"/>
        <w:bidi w:val="0"/>
        <w:spacing w:lineRule="auto" w:line="288" w:before="100" w:after="120"/>
        <w:jc w:val="both"/>
        <w:rPr>
          <w:rFonts w:ascii="Allstate Sans;sans-serif" w:hAnsi="Allstate Sans;sans-serif"/>
          <w:b w:val="false"/>
          <w:color w:val="000000"/>
          <w:sz w:val="18"/>
        </w:rPr>
      </w:pPr>
      <w:r>
        <w:rPr>
          <w:rFonts w:ascii="Allstate Sans;sans-serif" w:hAnsi="Allstate Sans;sans-serif"/>
          <w:b w:val="false"/>
          <w:color w:val="000000"/>
          <w:sz w:val="18"/>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100" w:after="120"/>
        <w:jc w:val="both"/>
        <w:rPr>
          <w:rFonts w:ascii="Allstate Sans;sans-serif" w:hAnsi="Allstate Sans;sans-serif"/>
          <w:b w:val="false"/>
          <w:color w:val="000000"/>
          <w:sz w:val="18"/>
        </w:rPr>
      </w:pPr>
      <w:r>
        <w:rPr>
          <w:rFonts w:ascii="Allstate Sans;sans-serif" w:hAnsi="Allstate Sans;sans-serif"/>
          <w:b w:val="false"/>
          <w:color w:val="000000"/>
          <w:sz w:val="18"/>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100" w:after="120"/>
        <w:jc w:val="both"/>
        <w:rPr>
          <w:rFonts w:ascii="Allstate Sans;sans-serif" w:hAnsi="Allstate Sans;sans-serif"/>
          <w:b w:val="false"/>
          <w:color w:val="000000"/>
          <w:sz w:val="18"/>
        </w:rPr>
      </w:pPr>
      <w:r>
        <w:rPr>
          <w:rFonts w:ascii="Allstate Sans;sans-serif" w:hAnsi="Allstate Sans;sans-serif"/>
          <w:b w:val="false"/>
          <w:color w:val="000000"/>
          <w:sz w:val="18"/>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00" w:after="120"/>
        <w:ind w:left="0" w:right="0" w:firstLine="180"/>
        <w:jc w:val="both"/>
        <w:rPr>
          <w:rFonts w:ascii="Allstate Sans;sans-serif" w:hAnsi="Allstate Sans;sans-serif"/>
          <w:b w:val="false"/>
          <w:color w:val="000000"/>
          <w:sz w:val="18"/>
        </w:rPr>
      </w:pPr>
      <w:r>
        <w:rPr>
          <w:rFonts w:ascii="Allstate Sans;sans-serif" w:hAnsi="Allstate Sans;sans-serif"/>
          <w:b w:val="false"/>
          <w:color w:val="000000"/>
          <w:sz w:val="18"/>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00" w:after="120"/>
        <w:ind w:left="0" w:right="0" w:firstLine="180"/>
        <w:jc w:val="both"/>
        <w:rPr>
          <w:rFonts w:ascii="Allstate Sans;sans-serif" w:hAnsi="Allstate Sans;sans-serif"/>
          <w:b w:val="false"/>
          <w:color w:val="000000"/>
          <w:sz w:val="18"/>
        </w:rPr>
      </w:pPr>
      <w:r>
        <w:rPr>
          <w:rFonts w:ascii="Allstate Sans;sans-serif" w:hAnsi="Allstate Sans;sans-serif"/>
          <w:b w:val="false"/>
          <w:color w:val="000000"/>
          <w:sz w:val="18"/>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120"/>
        <w:ind w:left="0" w:right="0" w:firstLine="180"/>
        <w:jc w:val="both"/>
        <w:rPr>
          <w:rFonts w:ascii="Allstate Sans;sans-serif" w:hAnsi="Allstate Sans;sans-serif"/>
          <w:b w:val="false"/>
          <w:color w:val="000000"/>
          <w:sz w:val="18"/>
        </w:rPr>
      </w:pPr>
      <w:r>
        <w:rPr>
          <w:rFonts w:ascii="Allstate Sans;sans-serif" w:hAnsi="Allstate Sans;sans-serif"/>
          <w:b w:val="false"/>
          <w:color w:val="000000"/>
          <w:sz w:val="18"/>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00" w:after="120"/>
        <w:ind w:left="0" w:right="0" w:firstLine="180"/>
        <w:jc w:val="both"/>
        <w:rPr>
          <w:rFonts w:ascii="Allstate Sans;sans-serif" w:hAnsi="Allstate Sans;sans-serif"/>
          <w:b w:val="false"/>
          <w:color w:val="000000"/>
          <w:sz w:val="18"/>
        </w:rPr>
      </w:pPr>
      <w:r>
        <w:rPr>
          <w:rFonts w:ascii="Allstate Sans;sans-serif" w:hAnsi="Allstate Sans;sans-serif"/>
          <w:b w:val="false"/>
          <w:color w:val="000000"/>
          <w:sz w:val="18"/>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100" w:after="120"/>
        <w:jc w:val="both"/>
        <w:rPr>
          <w:rFonts w:ascii="Allstate Sans;sans-serif" w:hAnsi="Allstate Sans;sans-serif"/>
          <w:b w:val="false"/>
          <w:color w:val="000000"/>
          <w:sz w:val="18"/>
        </w:rPr>
      </w:pPr>
      <w:r>
        <w:rPr>
          <w:rFonts w:ascii="Allstate Sans;sans-serif" w:hAnsi="Allstate Sans;sans-serif"/>
          <w:b w:val="false"/>
          <w:color w:val="000000"/>
          <w:sz w:val="18"/>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00" w:after="120"/>
        <w:ind w:left="0" w:right="0" w:firstLine="180"/>
        <w:jc w:val="both"/>
        <w:rPr>
          <w:rFonts w:ascii="Allstate Sans;sans-serif" w:hAnsi="Allstate Sans;sans-serif"/>
          <w:b w:val="false"/>
          <w:color w:val="000000"/>
          <w:sz w:val="18"/>
        </w:rPr>
      </w:pPr>
      <w:r>
        <w:rPr>
          <w:rFonts w:ascii="Allstate Sans;sans-serif" w:hAnsi="Allstate Sans;sans-serif"/>
          <w:b w:val="false"/>
          <w:color w:val="000000"/>
          <w:sz w:val="18"/>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100" w:after="283"/>
        <w:ind w:left="0" w:right="0" w:firstLine="180"/>
        <w:jc w:val="both"/>
        <w:rPr>
          <w:rFonts w:ascii="Allstate Sans;sans-serif" w:hAnsi="Allstate Sans;sans-serif"/>
          <w:b w:val="false"/>
          <w:color w:val="000000"/>
          <w:sz w:val="18"/>
        </w:rPr>
      </w:pPr>
      <w:r>
        <w:rPr>
          <w:rFonts w:ascii="Allstate Sans;sans-serif" w:hAnsi="Allstate Sans;sans-serif"/>
          <w:b w:val="false"/>
          <w:color w:val="000000"/>
          <w:sz w:val="18"/>
        </w:rPr>
        <w:t xml:space="preserve">b) Any fraud, whether or not material, that involves management or other employees who have a significant role in the registrant’s internal control over financial reporting. </w:t>
      </w:r>
    </w:p>
    <w:p>
      <w:pPr>
        <w:pStyle w:val="TextBody"/>
        <w:bidi w:val="0"/>
        <w:spacing w:before="0" w:after="0"/>
        <w:jc w:val="both"/>
        <w:rPr/>
      </w:pPr>
      <w:r>
        <w:rPr/>
      </w:r>
    </w:p>
    <w:p>
      <w:pPr>
        <w:pStyle w:val="TextBody"/>
        <w:bidi w:val="0"/>
        <w:spacing w:lineRule="auto" w:line="288" w:before="0" w:after="0"/>
        <w:jc w:val="both"/>
        <w:rPr>
          <w:rFonts w:ascii="Allstate Sans;sans-serif" w:hAnsi="Allstate Sans;sans-serif"/>
          <w:b w:val="false"/>
          <w:color w:val="000000"/>
          <w:sz w:val="18"/>
        </w:rPr>
      </w:pPr>
      <w:r>
        <w:rPr>
          <w:rFonts w:ascii="Allstate Sans;sans-serif" w:hAnsi="Allstate Sans;sans-serif"/>
          <w:b w:val="false"/>
          <w:color w:val="000000"/>
          <w:sz w:val="18"/>
        </w:rPr>
        <w:t xml:space="preserve">Date: August 5, 2026 </w:t>
      </w:r>
    </w:p>
    <w:tbl>
      <w:tblPr>
        <w:tblW w:w="4440" w:type="dxa"/>
        <w:jc w:val="right"/>
        <w:tblInd w:w="0" w:type="dxa"/>
        <w:tblLayout w:type="fixed"/>
        <w:tblCellMar>
          <w:top w:w="28" w:type="dxa"/>
          <w:left w:w="28" w:type="dxa"/>
          <w:bottom w:w="28" w:type="dxa"/>
          <w:right w:w="28" w:type="dxa"/>
        </w:tblCellMar>
      </w:tblPr>
      <w:tblGrid>
        <w:gridCol w:w="1420"/>
        <w:gridCol w:w="1250"/>
        <w:gridCol w:w="1770"/>
      </w:tblGrid>
      <w:tr>
        <w:trPr/>
        <w:tc>
          <w:tcPr>
            <w:tcW w:w="1420"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770"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llstate Sans;sans-serif" w:hAnsi="Allstate Sans;sans-serif"/>
                <w:b w:val="false"/>
                <w:color w:val="000000"/>
                <w:sz w:val="18"/>
              </w:rPr>
            </w:pPr>
            <w:r>
              <w:rPr>
                <w:rFonts w:ascii="Allstate Sans;sans-serif" w:hAnsi="Allstate Sans;sans-serif"/>
                <w:b w:val="false"/>
                <w:color w:val="000000"/>
                <w:sz w:val="18"/>
              </w:rPr>
              <w:t>/s/ John E. Dugenske</w:t>
            </w:r>
          </w:p>
        </w:tc>
      </w:tr>
      <w:tr>
        <w:trPr/>
        <w:tc>
          <w:tcPr>
            <w:tcW w:w="4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Allstate Sans;sans-serif" w:hAnsi="Allstate Sans;sans-serif"/>
                <w:b w:val="false"/>
                <w:color w:val="000000"/>
                <w:sz w:val="18"/>
              </w:rPr>
            </w:pPr>
            <w:r>
              <w:rPr>
                <w:rFonts w:ascii="Allstate Sans;sans-serif" w:hAnsi="Allstate Sans;sans-serif"/>
                <w:b w:val="false"/>
                <w:color w:val="000000"/>
                <w:sz w:val="18"/>
              </w:rPr>
              <w:t>John E. Dugenske</w:t>
            </w:r>
          </w:p>
        </w:tc>
      </w:tr>
      <w:tr>
        <w:trPr/>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llstate Sans;sans-serif" w:hAnsi="Allstate Sans;sans-serif"/>
                <w:b w:val="false"/>
                <w:color w:val="000000"/>
                <w:sz w:val="18"/>
              </w:rPr>
            </w:pPr>
            <w:r>
              <w:rPr>
                <w:rFonts w:ascii="Allstate Sans;sans-serif" w:hAnsi="Allstate Sans;sans-serif"/>
                <w:b w:val="false"/>
                <w:color w:val="000000"/>
                <w:sz w:val="18"/>
              </w:rPr>
              <w:t>President, Investments and Corporate Strategy</w:t>
            </w:r>
          </w:p>
        </w:tc>
      </w:tr>
      <w:tr>
        <w:trPr/>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llstate Sans;sans-serif" w:hAnsi="Allstate Sans;sans-serif"/>
                <w:b w:val="false"/>
                <w:color w:val="000000"/>
                <w:sz w:val="18"/>
              </w:rPr>
            </w:pPr>
            <w:r>
              <w:rPr>
                <w:rFonts w:ascii="Allstate Sans;sans-serif" w:hAnsi="Allstate Sans;sans-serif"/>
                <w:b w:val="false"/>
                <w:color w:val="000000"/>
                <w:sz w:val="18"/>
              </w:rPr>
              <w:t>Principal Financial Officer</w:t>
            </w:r>
          </w:p>
        </w:tc>
      </w:tr>
    </w:tbl>
    <w:p>
      <w:pPr>
        <w:pStyle w:val="TextBody"/>
        <w:bidi w:val="0"/>
        <w:spacing w:before="100" w:after="100"/>
        <w:jc w:val="right"/>
        <w:rPr/>
      </w:pPr>
      <w:r>
        <w:rPr/>
      </w:r>
    </w:p>
    <w:p>
      <w:pPr>
        <w:pStyle w:val="TextBody"/>
        <w:bidi w:val="0"/>
        <w:spacing w:before="100" w:after="100"/>
        <w:jc w:val="both"/>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75260"/>
                <wp:effectExtent l="0" t="0" r="0" b="0"/>
                <wp:wrapNone/>
                <wp:docPr id="84" name="Frame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00" w:after="100"/>
        <w:jc w:val="right"/>
        <w:rPr>
          <w:rFonts w:ascii="Allstate Sans;sans-serif" w:hAnsi="Allstate Sans;sans-serif"/>
          <w:b/>
          <w:color w:val="000000"/>
          <w:sz w:val="18"/>
        </w:rPr>
      </w:pPr>
      <w:r>
        <w:rPr>
          <w:rFonts w:ascii="Allstate Sans;sans-serif" w:hAnsi="Allstate Sans;sans-serif"/>
          <w:b/>
          <w:color w:val="000000"/>
          <w:sz w:val="18"/>
        </w:rPr>
        <w:t>Exhibit 32</w:t>
      </w:r>
    </w:p>
    <w:p>
      <w:pPr>
        <w:pStyle w:val="TextBody"/>
        <w:bidi w:val="0"/>
        <w:spacing w:lineRule="auto" w:line="288" w:before="100" w:after="100"/>
        <w:jc w:val="left"/>
        <w:rPr>
          <w:rFonts w:ascii="Allstate Sans;sans-serif" w:hAnsi="Allstate Sans;sans-serif"/>
          <w:b/>
          <w:color w:val="000000"/>
          <w:sz w:val="18"/>
          <w:u w:val="single"/>
        </w:rPr>
      </w:pPr>
      <w:r>
        <w:rPr>
          <w:rFonts w:ascii="Allstate Sans;sans-serif" w:hAnsi="Allstate Sans;sans-serif"/>
          <w:b/>
          <w:color w:val="000000"/>
          <w:sz w:val="18"/>
          <w:u w:val="single"/>
        </w:rPr>
        <w:t>Section 1350 Certifications</w:t>
      </w:r>
    </w:p>
    <w:p>
      <w:pPr>
        <w:pStyle w:val="TextBody"/>
        <w:bidi w:val="0"/>
        <w:spacing w:lineRule="auto" w:line="288" w:before="0" w:after="120"/>
        <w:ind w:left="0" w:right="0" w:firstLine="360"/>
        <w:jc w:val="both"/>
        <w:rPr>
          <w:rFonts w:ascii="Allstate Sans;sans-serif" w:hAnsi="Allstate Sans;sans-serif"/>
          <w:b w:val="false"/>
          <w:color w:val="000000"/>
          <w:sz w:val="18"/>
        </w:rPr>
      </w:pPr>
      <w:r>
        <w:rPr>
          <w:rFonts w:ascii="Allstate Sans;sans-serif" w:hAnsi="Allstate Sans;sans-serif"/>
          <w:b w:val="false"/>
          <w:color w:val="000000"/>
          <w:sz w:val="18"/>
        </w:rPr>
        <w:t xml:space="preserve">Each of the undersigned hereby certifies that to his knowledge the quarterly report on Form 10-Q for the fiscal period ended June 30, 2026 of The Allstate Corporation filed with the Securities and Exchange Commission fully complies with the requirements of Section 13(a) or 15(d) of the Securities Exchange Act of 1934 and that the information contained in such report fairly presents, in all material respects, the financial condition and result of operations of The Allstate Corporation. </w:t>
      </w:r>
    </w:p>
    <w:p>
      <w:pPr>
        <w:pStyle w:val="TextBody"/>
        <w:bidi w:val="0"/>
        <w:spacing w:lineRule="auto" w:line="288" w:before="240" w:after="120"/>
        <w:jc w:val="left"/>
        <w:rPr>
          <w:rFonts w:ascii="Allstate Sans;sans-serif" w:hAnsi="Allstate Sans;sans-serif"/>
          <w:b w:val="false"/>
          <w:color w:val="000000"/>
          <w:sz w:val="18"/>
        </w:rPr>
      </w:pPr>
      <w:r>
        <w:rPr>
          <w:rFonts w:ascii="Allstate Sans;sans-serif" w:hAnsi="Allstate Sans;sans-serif"/>
          <w:b w:val="false"/>
          <w:color w:val="000000"/>
          <w:sz w:val="18"/>
        </w:rPr>
        <w:t xml:space="preserve">Date: August 5, 2026 </w:t>
      </w:r>
    </w:p>
    <w:tbl>
      <w:tblPr>
        <w:tblW w:w="5685" w:type="dxa"/>
        <w:jc w:val="right"/>
        <w:tblInd w:w="0" w:type="dxa"/>
        <w:tblLayout w:type="fixed"/>
        <w:tblCellMar>
          <w:top w:w="28" w:type="dxa"/>
          <w:left w:w="28" w:type="dxa"/>
          <w:bottom w:w="28" w:type="dxa"/>
          <w:right w:w="28" w:type="dxa"/>
        </w:tblCellMar>
      </w:tblPr>
      <w:tblGrid>
        <w:gridCol w:w="1817"/>
        <w:gridCol w:w="1597"/>
        <w:gridCol w:w="2271"/>
      </w:tblGrid>
      <w:tr>
        <w:trPr/>
        <w:tc>
          <w:tcPr>
            <w:tcW w:w="1817" w:type="dxa"/>
            <w:tcBorders/>
            <w:vAlign w:val="center"/>
          </w:tcPr>
          <w:p>
            <w:pPr>
              <w:pStyle w:val="TableContents"/>
              <w:bidi w:val="0"/>
              <w:spacing w:before="0" w:after="283"/>
              <w:jc w:val="left"/>
              <w:rPr>
                <w:sz w:val="4"/>
                <w:szCs w:val="4"/>
              </w:rPr>
            </w:pPr>
            <w:r>
              <w:rPr>
                <w:sz w:val="4"/>
                <w:szCs w:val="4"/>
              </w:rPr>
            </w:r>
          </w:p>
        </w:tc>
        <w:tc>
          <w:tcPr>
            <w:tcW w:w="1597" w:type="dxa"/>
            <w:tcBorders/>
            <w:vAlign w:val="center"/>
          </w:tcPr>
          <w:p>
            <w:pPr>
              <w:pStyle w:val="TableContents"/>
              <w:bidi w:val="0"/>
              <w:spacing w:before="0" w:after="283"/>
              <w:jc w:val="left"/>
              <w:rPr>
                <w:sz w:val="4"/>
                <w:szCs w:val="4"/>
              </w:rPr>
            </w:pPr>
            <w:r>
              <w:rPr>
                <w:sz w:val="4"/>
                <w:szCs w:val="4"/>
              </w:rPr>
            </w:r>
          </w:p>
        </w:tc>
        <w:tc>
          <w:tcPr>
            <w:tcW w:w="2271" w:type="dxa"/>
            <w:tcBorders/>
            <w:vAlign w:val="center"/>
          </w:tcPr>
          <w:p>
            <w:pPr>
              <w:pStyle w:val="TableContents"/>
              <w:bidi w:val="0"/>
              <w:spacing w:before="0" w:after="283"/>
              <w:jc w:val="left"/>
              <w:rPr>
                <w:sz w:val="4"/>
                <w:szCs w:val="4"/>
              </w:rPr>
            </w:pPr>
            <w:r>
              <w:rPr>
                <w:sz w:val="4"/>
                <w:szCs w:val="4"/>
              </w:rPr>
            </w:r>
          </w:p>
        </w:tc>
      </w:tr>
      <w:tr>
        <w:trPr/>
        <w:tc>
          <w:tcPr>
            <w:tcW w:w="5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llstate Sans;sans-serif" w:hAnsi="Allstate Sans;sans-serif"/>
                <w:b w:val="false"/>
                <w:color w:val="000000"/>
                <w:sz w:val="18"/>
              </w:rPr>
            </w:pPr>
            <w:r>
              <w:rPr>
                <w:rFonts w:ascii="Allstate Sans;sans-serif" w:hAnsi="Allstate Sans;sans-serif"/>
                <w:b w:val="false"/>
                <w:color w:val="000000"/>
                <w:sz w:val="18"/>
              </w:rPr>
              <w:t>/s/ Thomas J. Wilson</w:t>
            </w:r>
          </w:p>
        </w:tc>
      </w:tr>
      <w:tr>
        <w:trPr/>
        <w:tc>
          <w:tcPr>
            <w:tcW w:w="56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llstate Sans;sans-serif" w:hAnsi="Allstate Sans;sans-serif"/>
                <w:b w:val="false"/>
                <w:color w:val="000000"/>
                <w:sz w:val="18"/>
              </w:rPr>
            </w:pPr>
            <w:r>
              <w:rPr>
                <w:rFonts w:ascii="Allstate Sans;sans-serif" w:hAnsi="Allstate Sans;sans-serif"/>
                <w:b w:val="false"/>
                <w:color w:val="000000"/>
                <w:sz w:val="18"/>
              </w:rPr>
              <w:t>Thomas J. Wilson</w:t>
            </w:r>
          </w:p>
        </w:tc>
      </w:tr>
      <w:tr>
        <w:trPr/>
        <w:tc>
          <w:tcPr>
            <w:tcW w:w="5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llstate Sans;sans-serif" w:hAnsi="Allstate Sans;sans-serif"/>
                <w:b w:val="false"/>
                <w:color w:val="000000"/>
                <w:sz w:val="18"/>
              </w:rPr>
            </w:pPr>
            <w:r>
              <w:rPr>
                <w:rFonts w:ascii="Allstate Sans;sans-serif" w:hAnsi="Allstate Sans;sans-serif"/>
                <w:b w:val="false"/>
                <w:color w:val="000000"/>
                <w:sz w:val="18"/>
              </w:rPr>
              <w:t>Chairman of the Board, President and Chief Executive Officer</w:t>
            </w:r>
          </w:p>
        </w:tc>
      </w:tr>
      <w:tr>
        <w:trPr/>
        <w:tc>
          <w:tcPr>
            <w:tcW w:w="5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llstate Sans;sans-serif" w:hAnsi="Allstate Sans;sans-serif"/>
                <w:b w:val="false"/>
                <w:color w:val="000000"/>
                <w:sz w:val="18"/>
              </w:rPr>
            </w:pPr>
            <w:r>
              <w:rPr>
                <w:rFonts w:ascii="Allstate Sans;sans-serif" w:hAnsi="Allstate Sans;sans-serif"/>
                <w:b w:val="false"/>
                <w:color w:val="000000"/>
                <w:sz w:val="18"/>
              </w:rPr>
              <w:t>/s/ John E. Dugenske</w:t>
            </w:r>
          </w:p>
        </w:tc>
      </w:tr>
      <w:tr>
        <w:trPr/>
        <w:tc>
          <w:tcPr>
            <w:tcW w:w="56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Allstate Sans;sans-serif" w:hAnsi="Allstate Sans;sans-serif"/>
                <w:b w:val="false"/>
                <w:color w:val="000000"/>
                <w:sz w:val="18"/>
              </w:rPr>
            </w:pPr>
            <w:r>
              <w:rPr>
                <w:rFonts w:ascii="Allstate Sans;sans-serif" w:hAnsi="Allstate Sans;sans-serif"/>
                <w:b w:val="false"/>
                <w:color w:val="000000"/>
                <w:sz w:val="18"/>
              </w:rPr>
              <w:t>John E. Dugenske</w:t>
            </w:r>
          </w:p>
        </w:tc>
      </w:tr>
      <w:tr>
        <w:trPr/>
        <w:tc>
          <w:tcPr>
            <w:tcW w:w="5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llstate Sans;sans-serif" w:hAnsi="Allstate Sans;sans-serif"/>
                <w:b w:val="false"/>
                <w:color w:val="000000"/>
                <w:sz w:val="18"/>
              </w:rPr>
            </w:pPr>
            <w:r>
              <w:rPr>
                <w:rFonts w:ascii="Allstate Sans;sans-serif" w:hAnsi="Allstate Sans;sans-serif"/>
                <w:b w:val="false"/>
                <w:color w:val="000000"/>
                <w:sz w:val="18"/>
              </w:rPr>
              <w:t>President, Investments and Corporate Strategy</w:t>
            </w:r>
          </w:p>
        </w:tc>
      </w:tr>
      <w:tr>
        <w:trPr/>
        <w:tc>
          <w:tcPr>
            <w:tcW w:w="5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llstate Sans;sans-serif" w:hAnsi="Allstate Sans;sans-serif"/>
                <w:b w:val="false"/>
                <w:color w:val="000000"/>
                <w:sz w:val="18"/>
              </w:rPr>
            </w:pPr>
            <w:r>
              <w:rPr>
                <w:rFonts w:ascii="Allstate Sans;sans-serif" w:hAnsi="Allstate Sans;sans-serif"/>
                <w:b w:val="false"/>
                <w:color w:val="000000"/>
                <w:sz w:val="18"/>
              </w:rPr>
              <w:t>Principal Financial Officer</w:t>
            </w:r>
          </w:p>
        </w:tc>
      </w:tr>
    </w:tbl>
    <w:p>
      <w:pPr>
        <w:pStyle w:val="TextBody"/>
        <w:bidi w:val="0"/>
        <w:spacing w:before="100" w:after="100"/>
        <w:jc w:val="center"/>
        <w:rPr/>
      </w:pPr>
      <w:r>
        <w:rPr/>
      </w:r>
    </w:p>
    <w:p>
      <w:pPr>
        <w:pStyle w:val="TextBody"/>
        <w:bidi w:val="0"/>
        <w:spacing w:before="100" w:after="10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75260"/>
                <wp:effectExtent l="0" t="0" r="0" b="0"/>
                <wp:wrapNone/>
                <wp:docPr id="85" name="Frame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llstate Sans">
    <w:altName w:val="sans-serif"/>
    <w:charset w:val="01"/>
    <w:family w:val="auto"/>
    <w:pitch w:val="default"/>
  </w:font>
  <w:font w:name="Helvetica_Neue_LT_W1G_55_Roman">
    <w:altName w:val="sans-serif"/>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hyperlink" Target="https://www.sec.gov/Archives/edgar/data/899051/000110465912039489/a12-12919_1ex3di.htm" TargetMode="External"/><Relationship Id="rId11" Type="http://schemas.openxmlformats.org/officeDocument/2006/relationships/hyperlink" Target="https://www.sec.gov/Archives/edgar/data/899051/000089905123000053/exhibit31amendedbylaws.htm" TargetMode="External"/><Relationship Id="rId12" Type="http://schemas.openxmlformats.org/officeDocument/2006/relationships/hyperlink" Target="https://www.sec.gov/Archives/edgar/data/899051/000141057819000661/tv526720_ex3-1.htm" TargetMode="External"/><Relationship Id="rId13" Type="http://schemas.openxmlformats.org/officeDocument/2006/relationships/hyperlink" Target="https://www.sec.gov/Archives/edgar/data/899051/000110465919061699/tm1921521d4_ex3-1.htm" TargetMode="External"/><Relationship Id="rId14" Type="http://schemas.openxmlformats.org/officeDocument/2006/relationships/hyperlink" Target="https://www.sec.gov/Archives/edgar/data/899051/000089905120000013/exhibit36allcorp123119.htm" TargetMode="External"/><Relationship Id="rId15" Type="http://schemas.openxmlformats.org/officeDocument/2006/relationships/hyperlink" Target="https://www.sec.gov/Archives/edgar/data/899051/000089905123000037/exhibit36allcorp33123.htm" TargetMode="External"/><Relationship Id="rId16" Type="http://schemas.openxmlformats.org/officeDocument/2006/relationships/hyperlink" Target="https://www.sec.gov/Archives/edgar/data/899051/000089905123000043/form051823ex31certificateo.htm" TargetMode="External"/><Relationship Id="rId17" Type="http://schemas.openxmlformats.org/officeDocument/2006/relationships/fontTable" Target="fontTable.xml"/><Relationship Id="rId1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35966</Words>
  <Characters>197132</Characters>
  <CharactersWithSpaces>229006</CharactersWithSpaces>
  <Paragraphs>8604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