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Report (Date of earliest event reported): April 18, 2019</w:t>
      </w:r>
    </w:p>
    <w:p>
      <w:pPr>
        <w:spacing w:after="0" w:line="200"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THE ALLSTATE CORPORATION</w:t>
      </w:r>
    </w:p>
    <w:p>
      <w:pPr>
        <w:spacing w:after="0" w:line="48"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(Exact name of registrant as specified in its charter)</w:t>
      </w:r>
    </w:p>
    <w:p>
      <w:pPr>
        <w:spacing w:after="0" w:line="344" w:lineRule="exact"/>
        <w:rPr>
          <w:sz w:val="24"/>
          <w:szCs w:val="24"/>
          <w:color w:val="auto"/>
        </w:rPr>
      </w:pPr>
    </w:p>
    <w:tbl>
      <w:tblPr>
        <w:tblLayout w:type="fixed"/>
        <w:tblInd w:w="1100" w:type="dxa"/>
        <w:tblCellMar>
          <w:top w:w="0" w:type="dxa"/>
          <w:left w:w="0" w:type="dxa"/>
          <w:bottom w:w="0" w:type="dxa"/>
          <w:right w:w="0" w:type="dxa"/>
        </w:tblCellMar>
      </w:tblPr>
      <w:tr>
        <w:trPr>
          <w:trHeight w:val="281"/>
        </w:trPr>
        <w:tc>
          <w:tcPr>
            <w:tcW w:w="2620" w:type="dxa"/>
            <w:vAlign w:val="bottom"/>
          </w:tcPr>
          <w:p>
            <w:pPr>
              <w:jc w:val="center"/>
              <w:ind w:right="1272"/>
              <w:spacing w:after="0"/>
              <w:rPr>
                <w:sz w:val="20"/>
                <w:szCs w:val="20"/>
                <w:color w:val="auto"/>
              </w:rPr>
            </w:pPr>
            <w:r>
              <w:rPr>
                <w:rFonts w:ascii="Arial" w:cs="Arial" w:eastAsia="Arial" w:hAnsi="Arial"/>
                <w:sz w:val="22"/>
                <w:szCs w:val="22"/>
                <w:b w:val="1"/>
                <w:bCs w:val="1"/>
                <w:color w:val="auto"/>
                <w:w w:val="91"/>
              </w:rPr>
              <w:t>Delaware</w:t>
            </w:r>
          </w:p>
        </w:tc>
        <w:tc>
          <w:tcPr>
            <w:tcW w:w="3840" w:type="dxa"/>
            <w:vAlign w:val="bottom"/>
          </w:tcPr>
          <w:p>
            <w:pPr>
              <w:jc w:val="center"/>
              <w:spacing w:after="0"/>
              <w:rPr>
                <w:sz w:val="20"/>
                <w:szCs w:val="20"/>
                <w:color w:val="auto"/>
              </w:rPr>
            </w:pPr>
            <w:r>
              <w:rPr>
                <w:rFonts w:ascii="Arial" w:cs="Arial" w:eastAsia="Arial" w:hAnsi="Arial"/>
                <w:sz w:val="22"/>
                <w:szCs w:val="22"/>
                <w:b w:val="1"/>
                <w:bCs w:val="1"/>
                <w:color w:val="auto"/>
                <w:w w:val="86"/>
              </w:rPr>
              <w:t>1-11840</w:t>
            </w:r>
          </w:p>
        </w:tc>
        <w:tc>
          <w:tcPr>
            <w:tcW w:w="2900" w:type="dxa"/>
            <w:vAlign w:val="bottom"/>
          </w:tcPr>
          <w:p>
            <w:pPr>
              <w:jc w:val="center"/>
              <w:ind w:left="1192"/>
              <w:spacing w:after="0"/>
              <w:rPr>
                <w:sz w:val="20"/>
                <w:szCs w:val="20"/>
                <w:color w:val="auto"/>
              </w:rPr>
            </w:pPr>
            <w:r>
              <w:rPr>
                <w:rFonts w:ascii="Arial" w:cs="Arial" w:eastAsia="Arial" w:hAnsi="Arial"/>
                <w:sz w:val="22"/>
                <w:szCs w:val="22"/>
                <w:b w:val="1"/>
                <w:bCs w:val="1"/>
                <w:color w:val="auto"/>
                <w:w w:val="88"/>
              </w:rPr>
              <w:t>36-3871531</w:t>
            </w:r>
          </w:p>
        </w:tc>
      </w:tr>
      <w:tr>
        <w:trPr>
          <w:trHeight w:val="297"/>
        </w:trPr>
        <w:tc>
          <w:tcPr>
            <w:tcW w:w="2620" w:type="dxa"/>
            <w:vAlign w:val="bottom"/>
          </w:tcPr>
          <w:p>
            <w:pPr>
              <w:jc w:val="center"/>
              <w:ind w:right="1272"/>
              <w:spacing w:after="0"/>
              <w:rPr>
                <w:sz w:val="20"/>
                <w:szCs w:val="20"/>
                <w:color w:val="auto"/>
              </w:rPr>
            </w:pPr>
            <w:r>
              <w:rPr>
                <w:rFonts w:ascii="Arial" w:cs="Arial" w:eastAsia="Arial" w:hAnsi="Arial"/>
                <w:sz w:val="22"/>
                <w:szCs w:val="22"/>
                <w:color w:val="auto"/>
                <w:w w:val="88"/>
              </w:rPr>
              <w:t>(State or other</w:t>
            </w:r>
          </w:p>
        </w:tc>
        <w:tc>
          <w:tcPr>
            <w:tcW w:w="3840" w:type="dxa"/>
            <w:vAlign w:val="bottom"/>
          </w:tcPr>
          <w:p>
            <w:pPr>
              <w:jc w:val="center"/>
              <w:spacing w:after="0"/>
              <w:rPr>
                <w:sz w:val="20"/>
                <w:szCs w:val="20"/>
                <w:color w:val="auto"/>
              </w:rPr>
            </w:pPr>
            <w:r>
              <w:rPr>
                <w:rFonts w:ascii="Arial" w:cs="Arial" w:eastAsia="Arial" w:hAnsi="Arial"/>
                <w:sz w:val="22"/>
                <w:szCs w:val="22"/>
                <w:color w:val="auto"/>
                <w:w w:val="90"/>
              </w:rPr>
              <w:t>(Commission</w:t>
            </w:r>
          </w:p>
        </w:tc>
        <w:tc>
          <w:tcPr>
            <w:tcW w:w="2900" w:type="dxa"/>
            <w:vAlign w:val="bottom"/>
          </w:tcPr>
          <w:p>
            <w:pPr>
              <w:jc w:val="center"/>
              <w:ind w:left="1192"/>
              <w:spacing w:after="0"/>
              <w:rPr>
                <w:sz w:val="20"/>
                <w:szCs w:val="20"/>
                <w:color w:val="auto"/>
              </w:rPr>
            </w:pPr>
            <w:r>
              <w:rPr>
                <w:rFonts w:ascii="Arial" w:cs="Arial" w:eastAsia="Arial" w:hAnsi="Arial"/>
                <w:sz w:val="22"/>
                <w:szCs w:val="22"/>
                <w:color w:val="auto"/>
                <w:w w:val="92"/>
              </w:rPr>
              <w:t>(IRS Employer</w:t>
            </w:r>
          </w:p>
        </w:tc>
      </w:tr>
      <w:tr>
        <w:trPr>
          <w:trHeight w:val="297"/>
        </w:trPr>
        <w:tc>
          <w:tcPr>
            <w:tcW w:w="2620" w:type="dxa"/>
            <w:vAlign w:val="bottom"/>
          </w:tcPr>
          <w:p>
            <w:pPr>
              <w:jc w:val="center"/>
              <w:ind w:right="1252"/>
              <w:spacing w:after="0"/>
              <w:rPr>
                <w:sz w:val="20"/>
                <w:szCs w:val="20"/>
                <w:color w:val="auto"/>
              </w:rPr>
            </w:pPr>
            <w:r>
              <w:rPr>
                <w:rFonts w:ascii="Arial" w:cs="Arial" w:eastAsia="Arial" w:hAnsi="Arial"/>
                <w:sz w:val="22"/>
                <w:szCs w:val="22"/>
                <w:color w:val="auto"/>
                <w:w w:val="95"/>
              </w:rPr>
              <w:t>jurisdiction of</w:t>
            </w:r>
          </w:p>
        </w:tc>
        <w:tc>
          <w:tcPr>
            <w:tcW w:w="3840" w:type="dxa"/>
            <w:vAlign w:val="bottom"/>
          </w:tcPr>
          <w:p>
            <w:pPr>
              <w:jc w:val="center"/>
              <w:spacing w:after="0"/>
              <w:rPr>
                <w:sz w:val="20"/>
                <w:szCs w:val="20"/>
                <w:color w:val="auto"/>
              </w:rPr>
            </w:pPr>
            <w:r>
              <w:rPr>
                <w:rFonts w:ascii="Arial" w:cs="Arial" w:eastAsia="Arial" w:hAnsi="Arial"/>
                <w:sz w:val="22"/>
                <w:szCs w:val="22"/>
                <w:color w:val="auto"/>
                <w:w w:val="92"/>
              </w:rPr>
              <w:t>File Number)</w:t>
            </w:r>
          </w:p>
        </w:tc>
        <w:tc>
          <w:tcPr>
            <w:tcW w:w="2900" w:type="dxa"/>
            <w:vAlign w:val="bottom"/>
          </w:tcPr>
          <w:p>
            <w:pPr>
              <w:jc w:val="center"/>
              <w:ind w:left="1192"/>
              <w:spacing w:after="0"/>
              <w:rPr>
                <w:sz w:val="20"/>
                <w:szCs w:val="20"/>
                <w:color w:val="auto"/>
              </w:rPr>
            </w:pPr>
            <w:r>
              <w:rPr>
                <w:rFonts w:ascii="Arial" w:cs="Arial" w:eastAsia="Arial" w:hAnsi="Arial"/>
                <w:sz w:val="22"/>
                <w:szCs w:val="22"/>
                <w:color w:val="auto"/>
                <w:w w:val="93"/>
              </w:rPr>
              <w:t>Identification No.)</w:t>
            </w:r>
          </w:p>
        </w:tc>
      </w:tr>
      <w:tr>
        <w:trPr>
          <w:trHeight w:val="297"/>
        </w:trPr>
        <w:tc>
          <w:tcPr>
            <w:tcW w:w="2620" w:type="dxa"/>
            <w:vAlign w:val="bottom"/>
          </w:tcPr>
          <w:p>
            <w:pPr>
              <w:jc w:val="center"/>
              <w:ind w:right="1272"/>
              <w:spacing w:after="0"/>
              <w:rPr>
                <w:sz w:val="20"/>
                <w:szCs w:val="20"/>
                <w:color w:val="auto"/>
              </w:rPr>
            </w:pPr>
            <w:r>
              <w:rPr>
                <w:rFonts w:ascii="Arial" w:cs="Arial" w:eastAsia="Arial" w:hAnsi="Arial"/>
                <w:sz w:val="22"/>
                <w:szCs w:val="22"/>
                <w:color w:val="auto"/>
                <w:w w:val="92"/>
              </w:rPr>
              <w:t>incorporation)</w:t>
            </w:r>
          </w:p>
        </w:tc>
        <w:tc>
          <w:tcPr>
            <w:tcW w:w="384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21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2775 Sanders Road, Northbrook, Illinois  60062</w:t>
      </w:r>
    </w:p>
    <w:p>
      <w:pPr>
        <w:spacing w:after="0" w:line="28" w:lineRule="exact"/>
        <w:rPr>
          <w:sz w:val="24"/>
          <w:szCs w:val="24"/>
          <w:color w:val="auto"/>
        </w:rPr>
      </w:pPr>
    </w:p>
    <w:p>
      <w:pPr>
        <w:jc w:val="center"/>
        <w:ind w:right="-99"/>
        <w:spacing w:after="0"/>
        <w:tabs>
          <w:tab w:leader="none" w:pos="200" w:val="left"/>
        </w:tabs>
        <w:rPr>
          <w:sz w:val="20"/>
          <w:szCs w:val="20"/>
          <w:color w:val="auto"/>
        </w:rPr>
      </w:pPr>
      <w:r>
        <w:rPr>
          <w:rFonts w:ascii="Arial" w:cs="Arial" w:eastAsia="Arial" w:hAnsi="Arial"/>
          <w:sz w:val="22"/>
          <w:szCs w:val="22"/>
          <w:color w:val="auto"/>
        </w:rPr>
        <w:t>(Address of principal executive offices)</w:t>
      </w:r>
      <w:r>
        <w:rPr>
          <w:sz w:val="20"/>
          <w:szCs w:val="20"/>
          <w:color w:val="auto"/>
        </w:rPr>
        <w:tab/>
      </w:r>
      <w:r>
        <w:rPr>
          <w:rFonts w:ascii="Arial" w:cs="Arial" w:eastAsia="Arial" w:hAnsi="Arial"/>
          <w:sz w:val="19"/>
          <w:szCs w:val="19"/>
          <w:color w:val="auto"/>
        </w:rPr>
        <w:t>(Zip Code)</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(847) 402-5000</w:t>
      </w:r>
    </w:p>
    <w:p>
      <w:pPr>
        <w:spacing w:after="0" w:line="226" w:lineRule="exact"/>
        <w:rPr>
          <w:sz w:val="24"/>
          <w:szCs w:val="24"/>
          <w:color w:val="auto"/>
        </w:rPr>
      </w:pPr>
    </w:p>
    <w:p>
      <w:pPr>
        <w:ind w:right="140"/>
        <w:spacing w:after="0" w:line="263"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9" w:lineRule="exact"/>
        <w:rPr>
          <w:sz w:val="24"/>
          <w:szCs w:val="24"/>
          <w:color w:val="auto"/>
        </w:rPr>
      </w:pPr>
    </w:p>
    <w:p>
      <w:pPr>
        <w:ind w:left="220" w:hanging="212"/>
        <w:spacing w:after="0"/>
        <w:tabs>
          <w:tab w:leader="none" w:pos="2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6"/>
          <w:szCs w:val="16"/>
          <w:color w:val="auto"/>
        </w:rPr>
        <w:t>Written communications pursuant to Rule 425 under the Securities Act (17 CFR 230.425)</w:t>
      </w:r>
    </w:p>
    <w:p>
      <w:pPr>
        <w:spacing w:after="0" w:line="270" w:lineRule="exact"/>
        <w:rPr>
          <w:sz w:val="24"/>
          <w:szCs w:val="24"/>
          <w:color w:val="auto"/>
        </w:rPr>
      </w:pPr>
    </w:p>
    <w:p>
      <w:pPr>
        <w:ind w:left="220" w:hanging="212"/>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6"/>
          <w:szCs w:val="16"/>
          <w:color w:val="auto"/>
        </w:rPr>
        <w:t>Soliciting material pursuant to Rule 14a-12 under the Exchange Act (17 CFR 240.14a-12)</w:t>
      </w:r>
    </w:p>
    <w:p>
      <w:pPr>
        <w:spacing w:after="0" w:line="270" w:lineRule="exact"/>
        <w:rPr>
          <w:sz w:val="24"/>
          <w:szCs w:val="24"/>
          <w:color w:val="auto"/>
        </w:rPr>
      </w:pPr>
    </w:p>
    <w:p>
      <w:pPr>
        <w:ind w:left="220" w:hanging="212"/>
        <w:spacing w:after="0"/>
        <w:tabs>
          <w:tab w:leader="none" w:pos="220"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6"/>
          <w:szCs w:val="16"/>
          <w:color w:val="auto"/>
        </w:rPr>
        <w:t>Pre-commencement communications pursuant to Rule 14d-2(b) under the Exchange Act (17 CFR 240.14d-2(b))</w:t>
      </w:r>
    </w:p>
    <w:p>
      <w:pPr>
        <w:spacing w:after="0" w:line="270" w:lineRule="exact"/>
        <w:rPr>
          <w:sz w:val="24"/>
          <w:szCs w:val="24"/>
          <w:color w:val="auto"/>
        </w:rPr>
      </w:pPr>
    </w:p>
    <w:p>
      <w:pPr>
        <w:ind w:left="220" w:hanging="212"/>
        <w:spacing w:after="0"/>
        <w:tabs>
          <w:tab w:leader="none" w:pos="220" w:val="left"/>
        </w:tabs>
        <w:numPr>
          <w:ilvl w:val="0"/>
          <w:numId w:val="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6"/>
          <w:szCs w:val="16"/>
          <w:color w:val="auto"/>
        </w:rPr>
        <w:t>Pre-commencement communications pursuant to Rule 13e-4(c) under the Exchange Act (17 CFR 240.13e-4(c))</w:t>
      </w:r>
    </w:p>
    <w:p>
      <w:pPr>
        <w:spacing w:after="0" w:line="265" w:lineRule="exact"/>
        <w:rPr>
          <w:sz w:val="24"/>
          <w:szCs w:val="24"/>
          <w:color w:val="auto"/>
        </w:rPr>
      </w:pPr>
    </w:p>
    <w:p>
      <w:pPr>
        <w:spacing w:after="0" w:line="287"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6660"/>
        <w:spacing w:after="0"/>
        <w:tabs>
          <w:tab w:leader="none" w:pos="96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6"/>
          <w:szCs w:val="16"/>
          <w:color w:val="auto"/>
        </w:rPr>
        <w:t>____</w:t>
      </w:r>
    </w:p>
    <w:p>
      <w:pPr>
        <w:spacing w:after="0" w:line="42" w:lineRule="exact"/>
        <w:rPr>
          <w:sz w:val="24"/>
          <w:szCs w:val="24"/>
          <w:color w:val="auto"/>
        </w:rPr>
      </w:pPr>
    </w:p>
    <w:p>
      <w:pPr>
        <w:ind w:right="180"/>
        <w:spacing w:after="0" w:line="343" w:lineRule="auto"/>
        <w:rPr>
          <w:sz w:val="20"/>
          <w:szCs w:val="20"/>
          <w:color w:val="auto"/>
        </w:rPr>
      </w:pPr>
      <w:r>
        <w:rPr>
          <w:rFonts w:ascii="Arial" w:cs="Arial" w:eastAsia="Arial" w:hAnsi="Arial"/>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 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679" w:right="31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Section 7 – Regulation FD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26" w:lineRule="exact"/>
        <w:rPr>
          <w:sz w:val="20"/>
          <w:szCs w:val="20"/>
          <w:color w:val="auto"/>
        </w:rPr>
      </w:pPr>
    </w:p>
    <w:p>
      <w:pPr>
        <w:ind w:firstLine="405"/>
        <w:spacing w:after="0" w:line="253" w:lineRule="auto"/>
        <w:rPr>
          <w:sz w:val="20"/>
          <w:szCs w:val="20"/>
          <w:color w:val="auto"/>
        </w:rPr>
      </w:pPr>
      <w:r>
        <w:rPr>
          <w:rFonts w:ascii="Arial" w:cs="Arial" w:eastAsia="Arial" w:hAnsi="Arial"/>
          <w:sz w:val="22"/>
          <w:szCs w:val="22"/>
          <w:color w:val="auto"/>
        </w:rPr>
        <w:t>The Registrant’s press release dated April 18, 2019, announcing its estimated catastrophe losses for March and first quarter 2019 is attached hereto as Exhibit 99 and is incorporated herein by reference. The press release is furnished and not filed, pursuant to Instruction B.2 of Form 8-K.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9 – Financial Statements and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00" w:type="dxa"/>
            <w:vAlign w:val="bottom"/>
            <w:gridSpan w:val="3"/>
          </w:tcPr>
          <w:p>
            <w:pPr>
              <w:spacing w:after="0"/>
              <w:rPr>
                <w:sz w:val="20"/>
                <w:szCs w:val="20"/>
                <w:color w:val="auto"/>
              </w:rPr>
            </w:pPr>
            <w:r>
              <w:rPr>
                <w:rFonts w:ascii="Arial" w:cs="Arial" w:eastAsia="Arial" w:hAnsi="Arial"/>
                <w:sz w:val="22"/>
                <w:szCs w:val="22"/>
                <w:b w:val="1"/>
                <w:bCs w:val="1"/>
                <w:color w:val="auto"/>
              </w:rPr>
              <w:t>Item 9.01.</w:t>
            </w:r>
          </w:p>
        </w:tc>
        <w:tc>
          <w:tcPr>
            <w:tcW w:w="9760" w:type="dxa"/>
            <w:vAlign w:val="bottom"/>
            <w:gridSpan w:val="4"/>
          </w:tcPr>
          <w:p>
            <w:pPr>
              <w:ind w:left="160"/>
              <w:spacing w:after="0"/>
              <w:rPr>
                <w:sz w:val="20"/>
                <w:szCs w:val="20"/>
                <w:color w:val="auto"/>
              </w:rPr>
            </w:pPr>
            <w:r>
              <w:rPr>
                <w:rFonts w:ascii="Arial" w:cs="Arial" w:eastAsia="Arial" w:hAnsi="Arial"/>
                <w:sz w:val="22"/>
                <w:szCs w:val="22"/>
                <w:b w:val="1"/>
                <w:bCs w:val="1"/>
                <w:color w:val="auto"/>
              </w:rPr>
              <w:t>Financial Statements and Exhibits.</w:t>
            </w:r>
          </w:p>
        </w:tc>
      </w:tr>
      <w:tr>
        <w:trPr>
          <w:trHeight w:val="567"/>
        </w:trPr>
        <w:tc>
          <w:tcPr>
            <w:tcW w:w="40" w:type="dxa"/>
            <w:vAlign w:val="bottom"/>
          </w:tcPr>
          <w:p>
            <w:pPr>
              <w:spacing w:after="0"/>
              <w:rPr>
                <w:sz w:val="24"/>
                <w:szCs w:val="24"/>
                <w:color w:val="auto"/>
              </w:rPr>
            </w:pPr>
          </w:p>
        </w:tc>
        <w:tc>
          <w:tcPr>
            <w:tcW w:w="1160" w:type="dxa"/>
            <w:vAlign w:val="bottom"/>
            <w:gridSpan w:val="2"/>
          </w:tcPr>
          <w:p>
            <w:pPr>
              <w:ind w:left="620"/>
              <w:spacing w:after="0"/>
              <w:rPr>
                <w:sz w:val="20"/>
                <w:szCs w:val="20"/>
                <w:color w:val="auto"/>
              </w:rPr>
            </w:pPr>
            <w:r>
              <w:rPr>
                <w:rFonts w:ascii="Arial" w:cs="Arial" w:eastAsia="Arial" w:hAnsi="Arial"/>
                <w:sz w:val="22"/>
                <w:szCs w:val="22"/>
                <w:color w:val="auto"/>
              </w:rPr>
              <w:t>(d)</w:t>
            </w:r>
          </w:p>
        </w:tc>
        <w:tc>
          <w:tcPr>
            <w:tcW w:w="9760" w:type="dxa"/>
            <w:vAlign w:val="bottom"/>
            <w:gridSpan w:val="4"/>
          </w:tcPr>
          <w:p>
            <w:pPr>
              <w:ind w:left="140"/>
              <w:spacing w:after="0"/>
              <w:rPr>
                <w:sz w:val="20"/>
                <w:szCs w:val="20"/>
                <w:color w:val="auto"/>
              </w:rPr>
            </w:pPr>
            <w:r>
              <w:rPr>
                <w:rFonts w:ascii="Arial" w:cs="Arial" w:eastAsia="Arial" w:hAnsi="Arial"/>
                <w:sz w:val="22"/>
                <w:szCs w:val="22"/>
                <w:color w:val="auto"/>
              </w:rPr>
              <w:t>Exhibits</w:t>
            </w:r>
          </w:p>
        </w:tc>
      </w:tr>
      <w:tr>
        <w:trPr>
          <w:trHeight w:val="665"/>
        </w:trPr>
        <w:tc>
          <w:tcPr>
            <w:tcW w:w="4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22"/>
                <w:szCs w:val="22"/>
                <w:color w:val="auto"/>
              </w:rPr>
              <w:t>Exhibit No.</w:t>
            </w:r>
          </w:p>
        </w:tc>
        <w:tc>
          <w:tcPr>
            <w:tcW w:w="2380" w:type="dxa"/>
            <w:vAlign w:val="bottom"/>
          </w:tcPr>
          <w:p>
            <w:pPr>
              <w:spacing w:after="0"/>
              <w:rPr>
                <w:sz w:val="24"/>
                <w:szCs w:val="24"/>
                <w:color w:val="auto"/>
              </w:rPr>
            </w:pPr>
          </w:p>
        </w:tc>
        <w:tc>
          <w:tcPr>
            <w:tcW w:w="7380" w:type="dxa"/>
            <w:vAlign w:val="bottom"/>
            <w:gridSpan w:val="3"/>
          </w:tcPr>
          <w:p>
            <w:pPr>
              <w:spacing w:after="0"/>
              <w:rPr>
                <w:sz w:val="20"/>
                <w:szCs w:val="20"/>
                <w:color w:val="auto"/>
              </w:rPr>
            </w:pPr>
            <w:r>
              <w:rPr>
                <w:rFonts w:ascii="Arial" w:cs="Arial" w:eastAsia="Arial" w:hAnsi="Arial"/>
                <w:sz w:val="22"/>
                <w:szCs w:val="22"/>
                <w:color w:val="auto"/>
              </w:rPr>
              <w:t>Description</w:t>
            </w:r>
          </w:p>
        </w:tc>
      </w:tr>
      <w:tr>
        <w:trPr>
          <w:trHeight w:val="20"/>
        </w:trPr>
        <w:tc>
          <w:tcPr>
            <w:tcW w:w="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574"/>
        </w:trPr>
        <w:tc>
          <w:tcPr>
            <w:tcW w:w="1040" w:type="dxa"/>
            <w:vAlign w:val="bottom"/>
            <w:gridSpan w:val="2"/>
          </w:tcPr>
          <w:p>
            <w:pPr>
              <w:ind w:left="40"/>
              <w:spacing w:after="0"/>
              <w:rPr>
                <w:sz w:val="20"/>
                <w:szCs w:val="20"/>
                <w:color w:val="auto"/>
              </w:rPr>
            </w:pPr>
            <w:r>
              <w:rPr>
                <w:rFonts w:ascii="Arial" w:cs="Arial" w:eastAsia="Arial" w:hAnsi="Arial"/>
                <w:sz w:val="22"/>
                <w:szCs w:val="22"/>
                <w:color w:val="auto"/>
              </w:rPr>
              <w:t>99</w:t>
            </w: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380" w:type="dxa"/>
            <w:vAlign w:val="bottom"/>
            <w:tcBorders>
              <w:bottom w:val="single" w:sz="8" w:color="0000FF"/>
            </w:tcBorders>
            <w:gridSpan w:val="3"/>
          </w:tcPr>
          <w:p>
            <w:pPr>
              <w:spacing w:after="0"/>
              <w:rPr>
                <w:rFonts w:ascii="Arial" w:cs="Arial" w:eastAsia="Arial" w:hAnsi="Arial"/>
                <w:sz w:val="22"/>
                <w:szCs w:val="22"/>
                <w:color w:val="0000FF"/>
                <w:w w:val="87"/>
              </w:rPr>
            </w:pPr>
            <w:hyperlink w:anchor="page4">
              <w:r>
                <w:rPr>
                  <w:rFonts w:ascii="Arial" w:cs="Arial" w:eastAsia="Arial" w:hAnsi="Arial"/>
                  <w:sz w:val="22"/>
                  <w:szCs w:val="22"/>
                  <w:color w:val="0000FF"/>
                  <w:w w:val="87"/>
                </w:rPr>
                <w:t>Registrant’s press release dated April 18, 2019. The press release is furnished and not</w:t>
              </w:r>
            </w:hyperlink>
          </w:p>
        </w:tc>
      </w:tr>
      <w:tr>
        <w:trPr>
          <w:trHeight w:val="223"/>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4020" w:type="dxa"/>
            <w:vAlign w:val="bottom"/>
            <w:tcBorders>
              <w:bottom w:val="single" w:sz="8" w:color="0000FF"/>
            </w:tcBorders>
            <w:gridSpan w:val="2"/>
          </w:tcPr>
          <w:p>
            <w:pPr>
              <w:spacing w:after="0" w:line="223" w:lineRule="exact"/>
              <w:rPr>
                <w:rFonts w:ascii="Arial" w:cs="Arial" w:eastAsia="Arial" w:hAnsi="Arial"/>
                <w:sz w:val="22"/>
                <w:szCs w:val="22"/>
                <w:color w:val="0000FF"/>
                <w:w w:val="91"/>
              </w:rPr>
            </w:pPr>
            <w:hyperlink w:anchor="page4">
              <w:r>
                <w:rPr>
                  <w:rFonts w:ascii="Arial" w:cs="Arial" w:eastAsia="Arial" w:hAnsi="Arial"/>
                  <w:sz w:val="22"/>
                  <w:szCs w:val="22"/>
                  <w:color w:val="0000FF"/>
                  <w:w w:val="91"/>
                </w:rPr>
                <w:t>filed, pursuant to Instruction B.2 of Form 8-K.</w:t>
              </w:r>
            </w:hyperlink>
          </w:p>
        </w:tc>
        <w:tc>
          <w:tcPr>
            <w:tcW w:w="33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00"/>
          </w:cols>
          <w:pgMar w:left="240" w:top="58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00"/>
          </w:cols>
          <w:pgMar w:left="240" w:top="585" w:right="359" w:bottom="1440" w:gutter="0" w:footer="0" w:header="0"/>
          <w:type w:val="continuous"/>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266" w:lineRule="exact"/>
        <w:rPr>
          <w:sz w:val="20"/>
          <w:szCs w:val="20"/>
          <w:color w:val="auto"/>
        </w:rPr>
      </w:pPr>
    </w:p>
    <w:p>
      <w:pPr>
        <w:ind w:firstLine="324"/>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Arial" w:cs="Arial" w:eastAsia="Arial" w:hAnsi="Arial"/>
          <w:sz w:val="22"/>
          <w:szCs w:val="22"/>
          <w:b w:val="1"/>
          <w:bCs w:val="1"/>
          <w:color w:val="auto"/>
        </w:rPr>
        <w:t>THE ALLSTATE CORPORATION</w:t>
      </w:r>
    </w:p>
    <w:p>
      <w:pPr>
        <w:spacing w:after="0" w:line="50"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384" w:lineRule="exact"/>
        <w:rPr>
          <w:sz w:val="20"/>
          <w:szCs w:val="20"/>
          <w:color w:val="auto"/>
        </w:rPr>
      </w:pPr>
    </w:p>
    <w:tbl>
      <w:tblPr>
        <w:tblLayout w:type="fixed"/>
        <w:tblInd w:w="4820" w:type="dxa"/>
        <w:tblCellMar>
          <w:top w:w="0" w:type="dxa"/>
          <w:left w:w="0" w:type="dxa"/>
          <w:bottom w:w="0" w:type="dxa"/>
          <w:right w:w="0" w:type="dxa"/>
        </w:tblCellMar>
      </w:tblPr>
      <w:tr>
        <w:trPr>
          <w:trHeight w:val="285"/>
        </w:trPr>
        <w:tc>
          <w:tcPr>
            <w:tcW w:w="110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Daniel G. Gordon</w:t>
            </w:r>
          </w:p>
        </w:tc>
      </w:tr>
      <w:tr>
        <w:trPr>
          <w:trHeight w:val="280"/>
        </w:trPr>
        <w:tc>
          <w:tcPr>
            <w:tcW w:w="1100" w:type="dxa"/>
            <w:vAlign w:val="bottom"/>
          </w:tcPr>
          <w:p>
            <w:pPr>
              <w:spacing w:after="0"/>
              <w:rPr>
                <w:sz w:val="20"/>
                <w:szCs w:val="20"/>
                <w:color w:val="auto"/>
              </w:rPr>
            </w:pPr>
            <w:r>
              <w:rPr>
                <w:rFonts w:ascii="Arial" w:cs="Arial" w:eastAsia="Arial" w:hAnsi="Arial"/>
                <w:sz w:val="22"/>
                <w:szCs w:val="22"/>
                <w:color w:val="auto"/>
              </w:rPr>
              <w:t>Name:</w:t>
            </w:r>
          </w:p>
        </w:tc>
        <w:tc>
          <w:tcPr>
            <w:tcW w:w="4280" w:type="dxa"/>
            <w:vAlign w:val="bottom"/>
          </w:tcPr>
          <w:p>
            <w:pPr>
              <w:ind w:left="40"/>
              <w:spacing w:after="0"/>
              <w:rPr>
                <w:sz w:val="20"/>
                <w:szCs w:val="20"/>
                <w:color w:val="auto"/>
              </w:rPr>
            </w:pPr>
            <w:r>
              <w:rPr>
                <w:rFonts w:ascii="Arial" w:cs="Arial" w:eastAsia="Arial" w:hAnsi="Arial"/>
                <w:sz w:val="22"/>
                <w:szCs w:val="22"/>
                <w:color w:val="auto"/>
              </w:rPr>
              <w:t>Daniel G. Gordon</w:t>
            </w:r>
          </w:p>
        </w:tc>
      </w:tr>
      <w:tr>
        <w:trPr>
          <w:trHeight w:val="297"/>
        </w:trPr>
        <w:tc>
          <w:tcPr>
            <w:tcW w:w="110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Pr>
          <w:p>
            <w:pPr>
              <w:ind w:left="40"/>
              <w:spacing w:after="0"/>
              <w:rPr>
                <w:sz w:val="20"/>
                <w:szCs w:val="20"/>
                <w:color w:val="auto"/>
              </w:rPr>
            </w:pPr>
            <w:r>
              <w:rPr>
                <w:rFonts w:ascii="Arial" w:cs="Arial" w:eastAsia="Arial" w:hAnsi="Arial"/>
                <w:sz w:val="22"/>
                <w:szCs w:val="22"/>
                <w:color w:val="auto"/>
              </w:rPr>
              <w:t>Vice President, Assistant General</w:t>
            </w:r>
          </w:p>
        </w:tc>
      </w:tr>
      <w:tr>
        <w:trPr>
          <w:trHeight w:val="297"/>
        </w:trPr>
        <w:tc>
          <w:tcPr>
            <w:tcW w:w="1100" w:type="dxa"/>
            <w:vAlign w:val="bottom"/>
          </w:tcPr>
          <w:p>
            <w:pPr>
              <w:spacing w:after="0"/>
              <w:rPr>
                <w:sz w:val="24"/>
                <w:szCs w:val="24"/>
                <w:color w:val="auto"/>
              </w:rPr>
            </w:pPr>
          </w:p>
        </w:tc>
        <w:tc>
          <w:tcPr>
            <w:tcW w:w="4280" w:type="dxa"/>
            <w:vAlign w:val="bottom"/>
          </w:tcPr>
          <w:p>
            <w:pPr>
              <w:ind w:left="40"/>
              <w:spacing w:after="0"/>
              <w:rPr>
                <w:sz w:val="20"/>
                <w:szCs w:val="20"/>
                <w:color w:val="auto"/>
              </w:rPr>
            </w:pPr>
            <w:r>
              <w:rPr>
                <w:rFonts w:ascii="Arial" w:cs="Arial" w:eastAsia="Arial" w:hAnsi="Arial"/>
                <w:sz w:val="22"/>
                <w:szCs w:val="22"/>
                <w:color w:val="auto"/>
              </w:rPr>
              <w:t>Counsel and Assistant Secretary</w:t>
            </w:r>
          </w:p>
        </w:tc>
      </w:tr>
    </w:tbl>
    <w:p>
      <w:pPr>
        <w:spacing w:after="0" w:line="32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22"/>
          <w:szCs w:val="22"/>
          <w:color w:val="auto"/>
        </w:rPr>
        <w:t>Date:</w:t>
        <w:tab/>
        <w:t>April 18,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58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346075</wp:posOffset>
            </wp:positionV>
            <wp:extent cx="797560"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9756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54"/>
          <w:szCs w:val="54"/>
          <w:color w:val="auto"/>
        </w:rPr>
        <w:t>NEWS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ectPr>
          <w:pgSz w:w="11900" w:h="16838" w:orient="portrait"/>
          <w:cols w:equalWidth="0" w:num="1">
            <w:col w:w="11420"/>
          </w:cols>
          <w:pgMar w:left="240" w:top="144" w:right="239" w:bottom="1440" w:gutter="0" w:footer="0" w:header="0"/>
        </w:sectPr>
      </w:pP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Contacts: Greg Burns Media Relations (847) 402-5600</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John Griek</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(847) 402-2800</w:t>
      </w:r>
    </w:p>
    <w:p>
      <w:pPr>
        <w:spacing w:after="0" w:line="220" w:lineRule="exact"/>
        <w:rPr>
          <w:sz w:val="20"/>
          <w:szCs w:val="20"/>
          <w:color w:val="auto"/>
        </w:rPr>
      </w:pPr>
    </w:p>
    <w:p>
      <w:pPr>
        <w:sectPr>
          <w:pgSz w:w="11900" w:h="16838" w:orient="portrait"/>
          <w:cols w:equalWidth="0" w:num="2">
            <w:col w:w="1300" w:space="420"/>
            <w:col w:w="9700"/>
          </w:cols>
          <w:pgMar w:left="240" w:top="144" w:right="239" w:bottom="1440" w:gutter="0" w:footer="0" w:header="0"/>
          <w:type w:val="continuous"/>
        </w:sectPr>
      </w:pPr>
    </w:p>
    <w:p>
      <w:pPr>
        <w:spacing w:after="0" w:line="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Allstate Announces March and First Quarter 2019 Catastrophe Loss Estimates</w:t>
      </w:r>
    </w:p>
    <w:p>
      <w:pPr>
        <w:spacing w:after="0" w:line="238"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NORTHBROOK, Ill., April 18, 2019 – The Allstate Corporation (NYSE: ALL) today announced estimated catastrophe losses for the month of March 2019 of $381 million, pre-tax ($301 million, after-tax). Catastrophe losses occurring in March comprised seven events at an estimated cost of $371 million, pre-tax ($293 million, after-tax), plus unfavorable reserve reestimates of prior period catastrophe losses. Three wind/hail events, primarily impacting Texas, accounted for approximately 90% of March event catastrophe losses.</w:t>
      </w:r>
    </w:p>
    <w:p>
      <w:pPr>
        <w:spacing w:after="0" w:line="96"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Allstate previously announced $299 million, pre-tax ($236 million, after-tax), in estimated catastrophe losses for January and February 2019, bringing catastrophe losses for the first quarter 2019 to $680 million, pre-tax ($537 million, after-tax).</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Financial information, including material announcements about The Allstate Corporation, is routinely posted on </w:t>
      </w:r>
      <w:r>
        <w:rPr>
          <w:rFonts w:ascii="Arial" w:cs="Arial" w:eastAsia="Arial" w:hAnsi="Arial"/>
          <w:sz w:val="16"/>
          <w:szCs w:val="16"/>
          <w:color w:val="484848"/>
        </w:rPr>
        <w:t>www.allstateinvestors.com.</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This news release contains “forward-looking statements” that anticipate results based on our estimates, assumptions and plans that are subject to uncertainty. These statements are made subject to the safe-harbor provisions of the Private Securities Litigation Reform Act of 1995. These forward-looking statements do not relate strictly to historical or current facts and may be identified by their use of words like “plans,” “seeks,” “expects,” “will,” “should,” “anticipates,” “estimates,” “intends,” “believes,” “likely,” “targets” and other words with similar meanings. We believe these statements are based on reasonable estimates, assumptions and plans. However, if the estimates, assumptions or plans underlying the forward-looking statements prove inaccurate or if other risks or uncertainties arise, actual results could differ materially from those communicated in these forward-looking statements. Factors that could cause actual results to differ materially from those expressed in, or implied by, the forward-looking statements may be found in our filings with the U.S. Securities and Exchange Commission, including the “Risk Factors” section in our most recent annual report on Form 10-K. Forward-looking statements are as of the date on which they are made, and we assume no obligation to update or revise any forward-looking statement.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 #</w:t>
      </w:r>
    </w:p>
    <w:sectPr>
      <w:pgSz w:w="11900" w:h="16838" w:orient="portrait"/>
      <w:cols w:equalWidth="0" w:num="1">
        <w:col w:w="11420"/>
      </w:cols>
      <w:pgMar w:left="240" w:top="14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2019-12-28T13:57:46Z</dcterms:created>
  <dcterms:modified xsi:type="dcterms:W3CDTF">2019-12-28T13:57:46Z</dcterms:modified>
</cp:coreProperties>
</file>