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Perold Jacques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792"/>
        <w:gridCol w:w="447"/>
        <w:gridCol w:w="835"/>
        <w:gridCol w:w="1310"/>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224.41</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2,382.631</w:t>
            </w:r>
            <w:r>
              <w:rPr>
                <w:rFonts w:ascii="Times;serif" w:hAnsi="Times;serif"/>
                <w:color w:val="008000"/>
                <w:position w:val="7"/>
                <w:sz w:val="16"/>
                <w:sz w:val="20"/>
                <w:shd w:fill="FFFFFF" w:val="clear"/>
              </w:rPr>
              <w:t>(2)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acquired pursuant to election to receive stock in lieu of cash compensation under The Allstate Corporation 2017 Equity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also reflects 4.631 shares during the period of April 13, 2026 through October 1, 2026, through the Shareowner Service Plus Plan, which reinvests dividends paid on The Allstate Corporation common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Jacques P. Perold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8837"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3446</Characters>
  <CharactersWithSpaces>4005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