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Rizzo Mario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ALLSTATE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SANDERS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ALLSTATE CORP</w:t>
              </w:r>
            </w:hyperlink>
            <w:r>
              <w:rPr/>
              <w:t xml:space="preserve"> [ </w:t>
            </w:r>
            <w:r>
              <w:rPr>
                <w:rFonts w:ascii="Times;serif" w:hAnsi="Times;serif"/>
                <w:color w:val="0000FF"/>
                <w:sz w:val="24"/>
                <w:shd w:fill="FFFFFF" w:val="clear"/>
              </w:rPr>
              <w:t>ALL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Officer-AIC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82,246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223.74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82,238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52"/>
        <w:gridCol w:w="44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4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of previously awarded Restricted Stock Units (RSUs) into an equal number of common shares, without the payment of any consideration, pursuant to The Allstate Corporation 2019 Equity Incentive Plan. The remaining RSUs will convert on October 3, 2027 and October 3,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Meghan E. Jauhar, attorney-in-fact for Mario Rizzo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7054" TargetMode="External"/><Relationship Id="rId5" Type="http://schemas.openxmlformats.org/officeDocument/2006/relationships/hyperlink" Target="http://www.sec.gov/cgi-bin/browse-edgar?action=getcompany&amp;CIK=00008990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3472</Characters>
  <CharactersWithSpaces>4023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