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UNITED STATES</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SECURITIES AND EXCHANGE COMMISSION</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 xml:space="preserve">FORM 8-K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CURRENT REPORT</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PURSUANT TO SECTION 13 OR 15 (d) OF THE</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pPr>
      <w:r>
        <w:rPr>
          <w:rFonts w:ascii="Arial;sans-serif" w:hAnsi="Arial;sans-serif"/>
          <w:b w:val="false"/>
          <w:color w:val="000000"/>
          <w:sz w:val="24"/>
        </w:rPr>
        <w:t>Date of report (Date of earliest event reported):</w:t>
      </w:r>
      <w:r>
        <w:rPr>
          <w:color w:val="000000"/>
        </w:rPr>
        <w:t> </w:t>
      </w:r>
      <w:r>
        <w:rPr>
          <w:rFonts w:ascii="Arial;sans-serif" w:hAnsi="Arial;sans-serif"/>
          <w:b w:val="false"/>
          <w:color w:val="000000"/>
          <w:sz w:val="22"/>
        </w:rPr>
        <w:t xml:space="preserve">September 17, 2026 </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THE ALLSTATE CORPORATION</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p>
      <w:pPr>
        <w:pStyle w:val="TextBody"/>
        <w:bidi w:val="0"/>
        <w:spacing w:lineRule="auto" w:line="288" w:before="0" w:after="0"/>
        <w:jc w:val="center"/>
        <w:rPr>
          <w:color w:val="000000"/>
        </w:rPr>
      </w:pPr>
      <w:r>
        <w:rPr>
          <w:color w:val="000000"/>
        </w:rPr>
        <w:t> </w:t>
      </w:r>
    </w:p>
    <w:tbl>
      <w:tblPr>
        <w:tblW w:w="6083" w:type="dxa"/>
        <w:jc w:val="left"/>
        <w:tblInd w:w="0" w:type="dxa"/>
        <w:tblLayout w:type="fixed"/>
        <w:tblCellMar>
          <w:top w:w="28" w:type="dxa"/>
          <w:left w:w="28" w:type="dxa"/>
          <w:bottom w:w="28" w:type="dxa"/>
          <w:right w:w="28" w:type="dxa"/>
        </w:tblCellMar>
      </w:tblPr>
      <w:tblGrid>
        <w:gridCol w:w="905"/>
        <w:gridCol w:w="795"/>
        <w:gridCol w:w="804"/>
        <w:gridCol w:w="109"/>
        <w:gridCol w:w="109"/>
        <w:gridCol w:w="109"/>
        <w:gridCol w:w="414"/>
        <w:gridCol w:w="414"/>
        <w:gridCol w:w="418"/>
        <w:gridCol w:w="109"/>
        <w:gridCol w:w="109"/>
        <w:gridCol w:w="109"/>
        <w:gridCol w:w="490"/>
        <w:gridCol w:w="490"/>
        <w:gridCol w:w="699"/>
      </w:tblGrid>
      <w:tr>
        <w:trPr/>
        <w:tc>
          <w:tcPr>
            <w:tcW w:w="90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1-11840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36-3871531</w:t>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(State or other</w:t>
              <w:br/>
              <w:t>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(IRS Employer</w:t>
              <w:br/>
              <w:t>Identification No.)</w:t>
            </w:r>
          </w:p>
        </w:tc>
      </w:tr>
    </w:tbl>
    <w:p>
      <w:pPr>
        <w:pStyle w:val="TextBody"/>
        <w:bidi w:val="0"/>
        <w:spacing w:lineRule="auto" w:line="288" w:before="20" w:after="120"/>
        <w:ind w:left="0" w:right="0" w:firstLine="360"/>
        <w:jc w:val="center"/>
        <w:rPr>
          <w:rFonts w:ascii="Arial;sans-serif" w:hAnsi="Arial;sans-serif"/>
          <w:b/>
          <w:color w:val="000000"/>
          <w:sz w:val="20"/>
        </w:rPr>
      </w:pPr>
      <w:r>
        <w:rPr>
          <w:rFonts w:ascii="Arial;sans-serif" w:hAnsi="Arial;sans-serif"/>
          <w:b/>
          <w:color w:val="000000"/>
          <w:sz w:val="20"/>
        </w:rPr>
        <w:t xml:space="preserve">3100 Sanders Road, Northbrook, Illinois    60062 </w:t>
      </w:r>
    </w:p>
    <w:p>
      <w:pPr>
        <w:pStyle w:val="TextBody"/>
        <w:bidi w:val="0"/>
        <w:spacing w:lineRule="auto" w:line="288" w:before="0" w:after="60"/>
        <w:ind w:left="0" w:right="0" w:firstLine="360"/>
        <w:jc w:val="center"/>
        <w:rPr>
          <w:rFonts w:ascii="Arial;sans-serif" w:hAnsi="Arial;sans-serif"/>
          <w:b w:val="false"/>
          <w:color w:val="000000"/>
          <w:sz w:val="20"/>
        </w:rPr>
      </w:pPr>
      <w:r>
        <w:rPr>
          <w:rFonts w:ascii="Arial;sans-serif" w:hAnsi="Arial;sans-serif"/>
          <w:b w:val="false"/>
          <w:color w:val="000000"/>
          <w:sz w:val="20"/>
        </w:rPr>
        <w:t>(Address of principal executive offices)    (Zip Code)</w:t>
      </w:r>
    </w:p>
    <w:p>
      <w:pPr>
        <w:pStyle w:val="TextBody"/>
        <w:bidi w:val="0"/>
        <w:spacing w:lineRule="auto" w:line="288" w:before="0" w:after="60"/>
        <w:jc w:val="center"/>
        <w:rPr/>
      </w:pPr>
      <w:r>
        <w:rPr>
          <w:rFonts w:ascii="Arial;sans-serif" w:hAnsi="Arial;sans-serif"/>
          <w:b w:val="false"/>
          <w:color w:val="000000"/>
          <w:sz w:val="20"/>
        </w:rPr>
        <w:t>Registrant’s telephone number, including area code  </w:t>
      </w:r>
      <w:r>
        <w:rPr>
          <w:rFonts w:ascii="Arial;sans-serif" w:hAnsi="Arial;sans-serif"/>
          <w:b/>
          <w:color w:val="000000"/>
          <w:sz w:val="20"/>
        </w:rPr>
        <w:t>(847) 402-2800</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xml:space="preserve">☐ </w:t>
      </w:r>
      <w:r>
        <w:rPr>
          <w:rFonts w:ascii="Arial;sans-serif" w:hAnsi="Arial;sans-serif"/>
          <w:b w:val="false"/>
          <w:color w:val="000000"/>
          <w:sz w:val="20"/>
        </w:rPr>
        <w:t>Written communications pursuant to Rule 425 under the Securities Act (17 CFR 230.425)</w:t>
      </w:r>
    </w:p>
    <w:p>
      <w:pPr>
        <w:pStyle w:val="TextBody"/>
        <w:bidi w:val="0"/>
        <w:spacing w:lineRule="auto" w:line="288" w:before="0" w:after="0"/>
        <w:jc w:val="left"/>
        <w:rPr>
          <w:color w:val="000000"/>
        </w:rPr>
      </w:pPr>
      <w:r>
        <w:rPr>
          <w:color w:val="000000"/>
        </w:rPr>
        <w:t xml:space="preserve">☐ </w:t>
      </w:r>
      <w:r>
        <w:rPr>
          <w:rFonts w:ascii="Arial;sans-serif" w:hAnsi="Arial;sans-serif"/>
          <w:b w:val="false"/>
          <w:color w:val="000000"/>
          <w:sz w:val="20"/>
        </w:rPr>
        <w:t>Soliciting material pursuant to Rule 14a-12 under the Exchange Act (17 CFR 240.14a-12)</w:t>
      </w:r>
    </w:p>
    <w:p>
      <w:pPr>
        <w:pStyle w:val="TextBody"/>
        <w:bidi w:val="0"/>
        <w:spacing w:lineRule="auto" w:line="288" w:before="0" w:after="0"/>
        <w:jc w:val="left"/>
        <w:rPr>
          <w:color w:val="000000"/>
        </w:rPr>
      </w:pPr>
      <w:r>
        <w:rPr>
          <w:color w:val="000000"/>
        </w:rPr>
        <w:t xml:space="preserve">☐ </w:t>
      </w:r>
      <w:r>
        <w:rPr>
          <w:rFonts w:ascii="Arial;sans-serif" w:hAnsi="Arial;sans-serif"/>
          <w:b w:val="false"/>
          <w:color w:val="000000"/>
          <w:sz w:val="20"/>
        </w:rPr>
        <w:t>Pre-commencement communications pursuant to Rule 14d-2(b) under the Exchange Act (17 CFR 240.14d-2(b))</w:t>
      </w:r>
    </w:p>
    <w:p>
      <w:pPr>
        <w:pStyle w:val="TextBody"/>
        <w:bidi w:val="0"/>
        <w:spacing w:lineRule="auto" w:line="288" w:before="0" w:after="0"/>
        <w:jc w:val="left"/>
        <w:rPr>
          <w:color w:val="000000"/>
        </w:rPr>
      </w:pPr>
      <w:r>
        <w:rPr>
          <w:color w:val="000000"/>
        </w:rPr>
        <w:t xml:space="preserve">☐ </w:t>
      </w:r>
      <w:r>
        <w:rPr>
          <w:rFonts w:ascii="Arial;sans-serif" w:hAnsi="Arial;sans-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2233"/>
        <w:gridCol w:w="1839"/>
        <w:gridCol w:w="1860"/>
        <w:gridCol w:w="432"/>
        <w:gridCol w:w="429"/>
        <w:gridCol w:w="430"/>
        <w:gridCol w:w="871"/>
        <w:gridCol w:w="871"/>
        <w:gridCol w:w="1240"/>
      </w:tblGrid>
      <w:tr>
        <w:trPr/>
        <w:tc>
          <w:tcPr>
            <w:tcW w:w="2233"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r>
      <w:tr>
        <w:trPr/>
        <w:tc>
          <w:tcPr>
            <w:tcW w:w="59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Title of each class</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Trading Symbols</w:t>
            </w:r>
          </w:p>
        </w:tc>
        <w:tc>
          <w:tcPr>
            <w:tcW w:w="2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Name of each exchange on which registered</w:t>
            </w:r>
          </w:p>
        </w:tc>
      </w:tr>
      <w:tr>
        <w:trPr/>
        <w:tc>
          <w:tcPr>
            <w:tcW w:w="5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Common Stock, par value $0.01 per share</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ALL</w:t>
            </w:r>
          </w:p>
        </w:tc>
        <w:tc>
          <w:tcPr>
            <w:tcW w:w="298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New York Stock Exchange</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NYSE Texas</w:t>
            </w:r>
          </w:p>
        </w:tc>
      </w:tr>
      <w:tr>
        <w:trPr/>
        <w:tc>
          <w:tcPr>
            <w:tcW w:w="5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5.100% Fixed-to-Floating Rate Subordinated Debentures due 2053</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ALL.PR.B</w:t>
            </w:r>
          </w:p>
        </w:tc>
        <w:tc>
          <w:tcPr>
            <w:tcW w:w="2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New York Stock Exchange</w:t>
            </w:r>
          </w:p>
        </w:tc>
      </w:tr>
      <w:tr>
        <w:trPr/>
        <w:tc>
          <w:tcPr>
            <w:tcW w:w="5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Depositary Shares represent 1/1,000th of a share of 5.100% Noncumulative Preferred Stock, Series H</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ALL PR H</w:t>
            </w:r>
          </w:p>
        </w:tc>
        <w:tc>
          <w:tcPr>
            <w:tcW w:w="2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New York Stock Exchange</w:t>
            </w:r>
          </w:p>
        </w:tc>
      </w:tr>
      <w:tr>
        <w:trPr/>
        <w:tc>
          <w:tcPr>
            <w:tcW w:w="5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Depositary Shares represent 1/1,000th of a share of 4.750% Noncumulative Preferred Stock, Series I</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ALL PR I</w:t>
            </w:r>
          </w:p>
        </w:tc>
        <w:tc>
          <w:tcPr>
            <w:tcW w:w="2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New York Stock Exchange</w:t>
            </w:r>
          </w:p>
        </w:tc>
      </w:tr>
      <w:tr>
        <w:trPr/>
        <w:tc>
          <w:tcPr>
            <w:tcW w:w="5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Depositary Shares represent 1/1,000th of a share of 7.375% Noncumulative Preferred Stock, Series J</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ALL PR J</w:t>
            </w:r>
          </w:p>
        </w:tc>
        <w:tc>
          <w:tcPr>
            <w:tcW w:w="2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New York Stock Exchange</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tbl>
      <w:tblPr>
        <w:tblW w:w="3456"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804"/>
        <w:gridCol w:w="804"/>
        <w:gridCol w:w="8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0" w:after="0"/>
        <w:jc w:val="left"/>
        <w:rPr/>
      </w:pPr>
      <w:r>
        <w:rPr/>
      </w:r>
    </w:p>
    <w:p>
      <w:pPr>
        <w:pStyle w:val="TextBody"/>
        <w:bidi w:val="0"/>
        <w:spacing w:lineRule="auto" w:line="288" w:before="0" w:after="120"/>
        <w:jc w:val="left"/>
        <w:rPr>
          <w:rFonts w:ascii="Arial;sans-serif" w:hAnsi="Arial;sans-serif"/>
          <w:b w:val="false"/>
          <w:color w:val="000000"/>
          <w:sz w:val="19"/>
        </w:rPr>
      </w:pPr>
      <w:r>
        <w:rPr>
          <w:rFonts w:ascii="Arial;sans-serif" w:hAnsi="Arial;sans-serif"/>
          <w:b w:val="false"/>
          <w:color w:val="000000"/>
          <w:sz w:val="19"/>
        </w:rPr>
        <w:t>If an emerging growth company, indicate by check mark if the registrant has elected not to use the extended transition period for complying with any new or revised financial accounting standards provided pursuant to Section 13(a) of the Exchange Act. ____</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Section 7 - Regulation FD</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7.01. Regulation FD Disclosure</w:t>
      </w:r>
    </w:p>
    <w:p>
      <w:pPr>
        <w:pStyle w:val="TextBody"/>
        <w:bidi w:val="0"/>
        <w:spacing w:lineRule="auto" w:line="288" w:before="0" w:after="0"/>
        <w:jc w:val="left"/>
        <w:rPr>
          <w:color w:val="000000"/>
        </w:rPr>
      </w:pPr>
      <w:r>
        <w:rPr>
          <w:color w:val="000000"/>
        </w:rPr>
        <w:t> </w:t>
      </w:r>
    </w:p>
    <w:p>
      <w:pPr>
        <w:pStyle w:val="TextBody"/>
        <w:bidi w:val="0"/>
        <w:spacing w:lineRule="auto" w:line="276" w:before="0" w:after="0"/>
        <w:ind w:left="0" w:right="0" w:firstLine="450"/>
        <w:jc w:val="left"/>
        <w:rPr>
          <w:rFonts w:ascii="Arial;sans-serif" w:hAnsi="Arial;sans-serif"/>
          <w:b w:val="false"/>
          <w:color w:val="000000"/>
          <w:sz w:val="20"/>
        </w:rPr>
      </w:pPr>
      <w:r>
        <w:rPr>
          <w:rFonts w:ascii="Arial;sans-serif" w:hAnsi="Arial;sans-serif"/>
          <w:b w:val="false"/>
          <w:color w:val="000000"/>
          <w:sz w:val="20"/>
        </w:rPr>
        <w:t>The Registrant’s August 2026 monthly release announcing estimated catastrophe losses is posted on allstateinvestors.com and attached hereto as Exhibit 99 which is incorporated herein by reference. This exhibit is furnished and not filed, pursuant to Instruction B.2 of Form 8-K.</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Section 9 – Financial Statements and Exhibits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(d)                             Exhibits</w:t>
      </w:r>
    </w:p>
    <w:p>
      <w:pPr>
        <w:pStyle w:val="TextBody"/>
        <w:bidi w:val="0"/>
        <w:spacing w:lineRule="auto" w:line="288" w:before="0" w:after="0"/>
        <w:ind w:left="0" w:right="0" w:firstLine="720"/>
        <w:jc w:val="left"/>
        <w:rPr>
          <w:color w:val="000000"/>
        </w:rPr>
      </w:pPr>
      <w:r>
        <w:rPr>
          <w:color w:val="000000"/>
        </w:rPr>
        <w:t> </w:t>
      </w:r>
    </w:p>
    <w:tbl>
      <w:tblPr>
        <w:tblW w:w="6748" w:type="dxa"/>
        <w:jc w:val="left"/>
        <w:tblInd w:w="0" w:type="dxa"/>
        <w:tblLayout w:type="fixed"/>
        <w:tblCellMar>
          <w:top w:w="28" w:type="dxa"/>
          <w:left w:w="28" w:type="dxa"/>
          <w:bottom w:w="28" w:type="dxa"/>
          <w:right w:w="28" w:type="dxa"/>
        </w:tblCellMar>
      </w:tblPr>
      <w:tblGrid>
        <w:gridCol w:w="391"/>
        <w:gridCol w:w="344"/>
        <w:gridCol w:w="346"/>
        <w:gridCol w:w="109"/>
        <w:gridCol w:w="109"/>
        <w:gridCol w:w="109"/>
        <w:gridCol w:w="1558"/>
        <w:gridCol w:w="1558"/>
        <w:gridCol w:w="2224"/>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222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Description</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newsrelease091726.htm">
              <w:r>
                <w:rPr>
                  <w:rStyle w:val="InternetLink"/>
                  <w:rFonts w:ascii="Arial;sans-serif" w:hAnsi="Arial;sans-serif"/>
                  <w:b w:val="false"/>
                  <w:color w:val="0000FF"/>
                  <w:sz w:val="20"/>
                  <w:u w:val="single"/>
                </w:rPr>
                <w:t>The Registrant’s press release dated September 17, 2026</w:t>
              </w:r>
            </w:hyperlink>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40"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40"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Cover Page Interactive Data File (formatted as inline XBRL)</w:t>
            </w:r>
          </w:p>
        </w:tc>
      </w:tr>
    </w:tbl>
    <w:p>
      <w:pPr>
        <w:pStyle w:val="TextBody"/>
        <w:bidi w:val="0"/>
        <w:spacing w:before="100"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SIGNATURES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bl>
      <w:tblPr>
        <w:tblW w:w="8003" w:type="dxa"/>
        <w:jc w:val="left"/>
        <w:tblInd w:w="0" w:type="dxa"/>
        <w:tblLayout w:type="fixed"/>
        <w:tblCellMar>
          <w:top w:w="28" w:type="dxa"/>
          <w:left w:w="28" w:type="dxa"/>
          <w:bottom w:w="28" w:type="dxa"/>
          <w:right w:w="28" w:type="dxa"/>
        </w:tblCellMar>
      </w:tblPr>
      <w:tblGrid>
        <w:gridCol w:w="211"/>
        <w:gridCol w:w="186"/>
        <w:gridCol w:w="188"/>
        <w:gridCol w:w="459"/>
        <w:gridCol w:w="459"/>
        <w:gridCol w:w="461"/>
        <w:gridCol w:w="536"/>
        <w:gridCol w:w="536"/>
        <w:gridCol w:w="536"/>
        <w:gridCol w:w="867"/>
        <w:gridCol w:w="867"/>
        <w:gridCol w:w="867"/>
        <w:gridCol w:w="536"/>
        <w:gridCol w:w="536"/>
        <w:gridCol w:w="758"/>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THE ALLSTATE CORPORATION</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(Registrant)</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26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 Eric K. Ferren</w:t>
            </w:r>
          </w:p>
        </w:tc>
        <w:tc>
          <w:tcPr>
            <w:tcW w:w="1830"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9"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Name: Eric K. Ferren</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 Senior Vice President, Controller and Chief Accounting Officer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Sept. 17, 2026</w:t>
            </w:r>
          </w:p>
        </w:tc>
        <w:tc>
          <w:tcPr>
            <w:tcW w:w="1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center"/>
        <w:rPr/>
      </w:pPr>
      <w:r>
        <w:rPr/>
        <w:drawing>
          <wp:inline distT="0" distB="0" distL="0" distR="0">
            <wp:extent cx="1095375" cy="6762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095375" cy="676275"/>
                    </a:xfrm>
                    <a:prstGeom prst="rect">
                      <a:avLst/>
                    </a:prstGeom>
                  </pic:spPr>
                </pic:pic>
              </a:graphicData>
            </a:graphic>
          </wp:inline>
        </w:drawing>
      </w:r>
    </w:p>
    <w:p>
      <w:pPr>
        <w:pStyle w:val="TextBody"/>
        <w:bidi w:val="0"/>
        <w:spacing w:lineRule="auto" w:line="288" w:before="0" w:after="120"/>
        <w:jc w:val="left"/>
        <w:rPr>
          <w:rFonts w:ascii="Arial;sans-serif" w:hAnsi="Arial;sans-serif"/>
          <w:b w:val="false"/>
          <w:color w:val="000000"/>
          <w:sz w:val="60"/>
        </w:rPr>
      </w:pPr>
      <w:r>
        <w:rPr>
          <w:rFonts w:ascii="Arial;sans-serif" w:hAnsi="Arial;sans-serif"/>
          <w:b w:val="false"/>
          <w:color w:val="000000"/>
          <w:sz w:val="60"/>
        </w:rPr>
        <w:t>NEWS</w:t>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 xml:space="preserve">FOR IMMEDIATE RELEASE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Contacts:</w:t>
      </w:r>
    </w:p>
    <w:tbl>
      <w:tblPr>
        <w:tblW w:w="4651" w:type="dxa"/>
        <w:jc w:val="left"/>
        <w:tblInd w:w="0" w:type="dxa"/>
        <w:tblLayout w:type="fixed"/>
        <w:tblCellMar>
          <w:top w:w="28" w:type="dxa"/>
          <w:left w:w="28" w:type="dxa"/>
          <w:bottom w:w="28" w:type="dxa"/>
          <w:right w:w="28" w:type="dxa"/>
        </w:tblCellMar>
      </w:tblPr>
      <w:tblGrid>
        <w:gridCol w:w="1025"/>
        <w:gridCol w:w="771"/>
        <w:gridCol w:w="545"/>
        <w:gridCol w:w="109"/>
        <w:gridCol w:w="109"/>
        <w:gridCol w:w="109"/>
        <w:gridCol w:w="753"/>
        <w:gridCol w:w="515"/>
        <w:gridCol w:w="715"/>
      </w:tblGrid>
      <w:tr>
        <w:trPr/>
        <w:tc>
          <w:tcPr>
            <w:tcW w:w="102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r>
      <w:tr>
        <w:trPr/>
        <w:tc>
          <w:tcPr>
            <w:tcW w:w="234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Nick Nottoli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Allister Gobin</w:t>
            </w:r>
          </w:p>
        </w:tc>
      </w:tr>
      <w:tr>
        <w:trPr/>
        <w:tc>
          <w:tcPr>
            <w:tcW w:w="23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Media Relations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Investor Relations</w:t>
            </w:r>
          </w:p>
        </w:tc>
      </w:tr>
      <w:tr>
        <w:trPr/>
        <w:tc>
          <w:tcPr>
            <w:tcW w:w="234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mediateam@allstate.com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invrel@allstate.com</w:t>
            </w:r>
          </w:p>
        </w:tc>
      </w:tr>
    </w:tbl>
    <w:p>
      <w:pPr>
        <w:pStyle w:val="TextBody"/>
        <w:bidi w:val="0"/>
        <w:spacing w:before="120" w:after="283"/>
        <w:jc w:val="center"/>
        <w:rPr/>
      </w:pPr>
      <w:r>
        <w:rPr/>
      </w:r>
    </w:p>
    <w:p>
      <w:pPr>
        <w:pStyle w:val="TextBody"/>
        <w:bidi w:val="0"/>
        <w:spacing w:lineRule="auto" w:line="288" w:before="120" w:after="283"/>
        <w:jc w:val="center"/>
        <w:rPr>
          <w:rFonts w:ascii="Arial;sans-serif" w:hAnsi="Arial;sans-serif"/>
          <w:b/>
          <w:color w:val="000000"/>
          <w:sz w:val="22"/>
        </w:rPr>
      </w:pPr>
      <w:r>
        <w:rPr>
          <w:rFonts w:ascii="Arial;sans-serif" w:hAnsi="Arial;sans-serif"/>
          <w:b/>
          <w:color w:val="000000"/>
          <w:sz w:val="22"/>
        </w:rPr>
        <w:t>August 2026 Monthly Release</w:t>
      </w:r>
    </w:p>
    <w:p>
      <w:pPr>
        <w:pStyle w:val="TextBody"/>
        <w:bidi w:val="0"/>
        <w:spacing w:before="0" w:after="0"/>
        <w:jc w:val="center"/>
        <w:rPr/>
      </w:pPr>
      <w:r>
        <w:rPr/>
      </w:r>
    </w:p>
    <w:p>
      <w:pPr>
        <w:pStyle w:val="TextBody"/>
        <w:bidi w:val="0"/>
        <w:spacing w:lineRule="auto" w:line="268" w:before="120" w:after="120"/>
        <w:jc w:val="left"/>
        <w:rPr>
          <w:rFonts w:ascii="Arial;sans-serif" w:hAnsi="Arial;sans-serif"/>
          <w:b w:val="false"/>
          <w:color w:val="000000"/>
          <w:sz w:val="20"/>
        </w:rPr>
      </w:pPr>
      <w:r>
        <w:rPr>
          <w:rFonts w:ascii="Arial;sans-serif" w:hAnsi="Arial;sans-serif"/>
          <w:b w:val="false"/>
          <w:color w:val="000000"/>
          <w:sz w:val="20"/>
        </w:rPr>
        <w:t>NORTHBROOK, Ill., Sept. 17, 2026 – The Allstate Corporation (NYSE: ALL) today announced estimated catastrophe losses for the month of August of $748 million or $591 million, after-tax. Catastrophe losses for August include 21 events with approximately 50% of the losses related to one wind and hail event. Total catastrophe losses for July and August were $1.43 billion or $1.13 billion, after-tax.</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Financial information, including material announcements about The Allstate Corporation, is routinely posted on www.allstateinvestors.com.</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Forward-Looking Statements </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This news release contains “forward-looking statements” that anticipate results based on our estimates, assumptions and plans that are subject to uncertainty. These statements are made subject to the safe-harbor provisions of the Private Securities Litigation Reform Act of 1995. These forward-looking statements do not relate strictly to historical or current facts and may be identified by their use of words like “plans,” “seeks,” “expects,” “will,” “should,” “anticipates,” “estimates,” “intends,” “believes,” “likely,” “targets” and other words with similar meanings. We believe these statements are based on reasonable estimates, assumptions and plans. However, if the estimates, assumptions or plans underlying the forward-looking statements prove inaccurate or if other risks or uncertainties arise, actual results could differ materially from those communicated in these forward-looking statements. Factors that could cause actual results to differ materially from those expressed in, or implied by, the forward-looking statements may be found in our filings with the U.S. Securities and Exchange Commission, including the “Risk Factors” section in our most recent annual report on Form 10-K. Forward-looking statements are as of the date on which they are made, and we assume no obligation to update or revise any forward-looking statement.</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About Allstate</w:t>
      </w:r>
    </w:p>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The Allstate Corporation (NYSE: ALL) protects people from life’s uncertainties with affordable, simple and connected protection for autos, homes, electronic devices, and identities. Products are available through a broad distribution network including Allstate agents, independent agents, major retailers, online, and at the workplace. Allstate has 216 million policies in force and is widely known for the slogan “You’re in Good Hands with Allstate.” For more information, visit www.allstate.com.</w:t>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20"/>
                              </w:rPr>
                            </w:pPr>
                            <w:r>
                              <w:rPr>
                                <w:rFonts w:ascii="Arial;sans-serif" w:hAnsi="Arial;sans-serif"/>
                                <w:b w:val="false"/>
                                <w:color w:val="000000"/>
                                <w:sz w:val="20"/>
                              </w:rPr>
                              <w:t># # #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20"/>
                        </w:rPr>
                      </w:pPr>
                      <w:r>
                        <w:rPr>
                          <w:rFonts w:ascii="Arial;sans-serif" w:hAnsi="Arial;sans-serif"/>
                          <w:b w:val="false"/>
                          <w:color w:val="000000"/>
                          <w:sz w:val="20"/>
                        </w:rPr>
                        <w:t># # # #</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874</Words>
  <Characters>5099</Characters>
  <CharactersWithSpaces>5967</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