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3 )*</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Applied Biometrics, Inc.</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$.01 par value</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03814L103</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4100" w:val="left"/>
          <w:tab w:leader="none" w:pos="6520" w:val="left"/>
        </w:tabs>
        <w:rPr>
          <w:sz w:val="20"/>
          <w:szCs w:val="20"/>
          <w:color w:val="auto"/>
        </w:rPr>
      </w:pPr>
      <w:r>
        <w:rPr>
          <w:rFonts w:ascii="Courier New" w:cs="Courier New" w:eastAsia="Courier New" w:hAnsi="Courier New"/>
          <w:sz w:val="18"/>
          <w:szCs w:val="18"/>
          <w:color w:val="auto"/>
        </w:rPr>
        <w:t>CUSIP No._03814L103_</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80" w:hanging="1272"/>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280"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Allstate Corporation</w:t>
      </w:r>
    </w:p>
    <w:p>
      <w:pPr>
        <w:spacing w:after="0" w:line="1"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36-3871531</w:t>
      </w:r>
    </w:p>
    <w:tbl>
      <w:tblPr>
        <w:tblLayout w:type="fixed"/>
        <w:tblInd w:w="0" w:type="dxa"/>
        <w:tblCellMar>
          <w:top w:w="0" w:type="dxa"/>
          <w:left w:w="0" w:type="dxa"/>
          <w:bottom w:w="0" w:type="dxa"/>
          <w:right w:w="0" w:type="dxa"/>
        </w:tblCellMar>
      </w:tblPr>
      <w:tr>
        <w:trPr>
          <w:trHeight w:val="203"/>
        </w:trPr>
        <w:tc>
          <w:tcPr>
            <w:tcW w:w="7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2</w:t>
            </w:r>
          </w:p>
        </w:tc>
        <w:tc>
          <w:tcPr>
            <w:tcW w:w="6260" w:type="dxa"/>
            <w:vAlign w:val="bottom"/>
          </w:tcPr>
          <w:p>
            <w:pPr>
              <w:ind w:left="58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(a) [</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N/A</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1280" w:right="5159" w:hanging="1272"/>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860"/>
        <w:spacing w:after="0"/>
        <w:tabs>
          <w:tab w:leader="none" w:pos="388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649" w:right="1440" w:bottom="0" w:gutter="0" w:footer="0" w:header="0"/>
        </w:sectPr>
      </w:pPr>
    </w:p>
    <w:bookmarkStart w:id="1" w:name="page2"/>
    <w:bookmarkEnd w:id="1"/>
    <w:tbl>
      <w:tblPr>
        <w:tblLayout w:type="fixed"/>
        <w:tblInd w:w="732" w:type="dxa"/>
        <w:tblCellMar>
          <w:top w:w="0" w:type="dxa"/>
          <w:left w:w="0" w:type="dxa"/>
          <w:bottom w:w="0" w:type="dxa"/>
          <w:right w:w="0" w:type="dxa"/>
        </w:tblCellMar>
      </w:tblPr>
      <w:tr>
        <w:trPr>
          <w:trHeight w:val="204"/>
        </w:trPr>
        <w:tc>
          <w:tcPr>
            <w:tcW w:w="170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6"/>
              </w:rPr>
              <w:t>NUMBER OF</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94,973</w:t>
            </w:r>
          </w:p>
        </w:tc>
      </w:tr>
      <w:tr>
        <w:trPr>
          <w:trHeight w:val="405"/>
        </w:trPr>
        <w:tc>
          <w:tcPr>
            <w:tcW w:w="170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70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6"/>
              </w:rPr>
              <w:t>REPORTING</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94,973</w:t>
            </w:r>
          </w:p>
        </w:tc>
      </w:tr>
      <w:tr>
        <w:trPr>
          <w:trHeight w:val="405"/>
        </w:trPr>
        <w:tc>
          <w:tcPr>
            <w:tcW w:w="170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1272" w:right="2619" w:hanging="1272"/>
        <w:spacing w:after="0" w:line="470" w:lineRule="auto"/>
        <w:tabs>
          <w:tab w:leader="none" w:pos="127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94,973</w:t>
      </w:r>
    </w:p>
    <w:p>
      <w:pPr>
        <w:spacing w:after="0" w:line="12" w:lineRule="exact"/>
        <w:rPr>
          <w:sz w:val="20"/>
          <w:szCs w:val="20"/>
          <w:color w:val="auto"/>
        </w:rPr>
      </w:pPr>
    </w:p>
    <w:p>
      <w:pPr>
        <w:ind w:left="1272" w:right="177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(9)EXCLUDES CERTAIN SHARES* N/A</w:t>
      </w:r>
    </w:p>
    <w:p>
      <w:pPr>
        <w:spacing w:after="0" w:line="11" w:lineRule="exact"/>
        <w:rPr>
          <w:rFonts w:ascii="Courier New" w:cs="Courier New" w:eastAsia="Courier New" w:hAnsi="Courier New"/>
          <w:sz w:val="18"/>
          <w:szCs w:val="18"/>
          <w:color w:val="auto"/>
        </w:rPr>
      </w:pPr>
    </w:p>
    <w:p>
      <w:pPr>
        <w:ind w:left="1272" w:right="399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2.28%</w:t>
      </w:r>
    </w:p>
    <w:p>
      <w:pPr>
        <w:spacing w:after="0" w:line="11" w:lineRule="exact"/>
        <w:rPr>
          <w:rFonts w:ascii="Courier New" w:cs="Courier New" w:eastAsia="Courier New" w:hAnsi="Courier New"/>
          <w:sz w:val="18"/>
          <w:szCs w:val="18"/>
          <w:color w:val="auto"/>
        </w:rPr>
      </w:pPr>
    </w:p>
    <w:p>
      <w:pPr>
        <w:ind w:left="1272" w:right="6319" w:hanging="1272"/>
        <w:spacing w:after="0" w:line="235"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8" w:lineRule="exact"/>
        <w:rPr>
          <w:sz w:val="20"/>
          <w:szCs w:val="20"/>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3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Applied Biometrics, Inc.</w:t>
      </w:r>
    </w:p>
    <w:p>
      <w:pPr>
        <w:spacing w:after="0" w:line="200" w:lineRule="exact"/>
        <w:rPr>
          <w:sz w:val="20"/>
          <w:szCs w:val="20"/>
          <w:color w:val="auto"/>
        </w:rPr>
      </w:pPr>
    </w:p>
    <w:p>
      <w:pPr>
        <w:sectPr>
          <w:pgSz w:w="11900" w:h="16838" w:orient="portrait"/>
          <w:cols w:equalWidth="0" w:num="2">
            <w:col w:w="1500" w:space="720"/>
            <w:col w:w="7999"/>
          </w:cols>
          <w:pgMar w:left="240" w:top="1122" w:right="1440" w:bottom="1440" w:gutter="0" w:footer="0" w:header="0"/>
        </w:sectPr>
      </w:pPr>
    </w:p>
    <w:p>
      <w:pPr>
        <w:spacing w:after="0" w:line="24"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501 E. Highway 13</w:t>
      </w:r>
    </w:p>
    <w:p>
      <w:pPr>
        <w:ind w:left="640"/>
        <w:spacing w:after="0" w:line="238" w:lineRule="auto"/>
        <w:rPr>
          <w:sz w:val="20"/>
          <w:szCs w:val="20"/>
          <w:color w:val="auto"/>
        </w:rPr>
      </w:pPr>
      <w:r>
        <w:rPr>
          <w:rFonts w:ascii="Courier New" w:cs="Courier New" w:eastAsia="Courier New" w:hAnsi="Courier New"/>
          <w:sz w:val="18"/>
          <w:szCs w:val="18"/>
          <w:color w:val="auto"/>
        </w:rPr>
        <w:t>Burnsville, MN 55337</w:t>
      </w:r>
    </w:p>
    <w:p>
      <w:pPr>
        <w:spacing w:after="0" w:line="200" w:lineRule="exact"/>
        <w:rPr>
          <w:sz w:val="20"/>
          <w:szCs w:val="20"/>
          <w:color w:val="auto"/>
        </w:rPr>
      </w:pPr>
    </w:p>
    <w:p>
      <w:pPr>
        <w:sectPr>
          <w:pgSz w:w="11900" w:h="16838" w:orient="portrait"/>
          <w:cols w:equalWidth="0" w:num="2">
            <w:col w:w="1500" w:space="720"/>
            <w:col w:w="7999"/>
          </w:cols>
          <w:pgMar w:left="240" w:top="1122" w:right="1440" w:bottom="1440" w:gutter="0" w:footer="0" w:header="0"/>
          <w:type w:val="continuous"/>
        </w:sectPr>
      </w:pPr>
    </w:p>
    <w:p>
      <w:pPr>
        <w:spacing w:after="0" w:line="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Allstate Corporation</w:t>
      </w:r>
    </w:p>
    <w:p>
      <w:pPr>
        <w:spacing w:after="0" w:line="200" w:lineRule="exact"/>
        <w:rPr>
          <w:sz w:val="20"/>
          <w:szCs w:val="20"/>
          <w:color w:val="auto"/>
        </w:rPr>
      </w:pPr>
    </w:p>
    <w:p>
      <w:pPr>
        <w:sectPr>
          <w:pgSz w:w="11900" w:h="16838" w:orient="portrait"/>
          <w:cols w:equalWidth="0" w:num="2">
            <w:col w:w="1500" w:space="720"/>
            <w:col w:w="7999"/>
          </w:cols>
          <w:pgMar w:left="240" w:top="1122" w:right="1440" w:bottom="1440" w:gutter="0" w:footer="0" w:header="0"/>
          <w:type w:val="continuous"/>
        </w:sectPr>
      </w:pPr>
    </w:p>
    <w:p>
      <w:pPr>
        <w:spacing w:after="0" w:line="24"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2775 Sanders Road</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Northbrook, Illinois 60062-6127</w:t>
      </w:r>
    </w:p>
    <w:p>
      <w:pPr>
        <w:spacing w:after="0" w:line="200" w:lineRule="exact"/>
        <w:rPr>
          <w:sz w:val="20"/>
          <w:szCs w:val="20"/>
          <w:color w:val="auto"/>
        </w:rPr>
      </w:pPr>
    </w:p>
    <w:p>
      <w:pPr>
        <w:sectPr>
          <w:pgSz w:w="11900" w:h="16838" w:orient="portrait"/>
          <w:cols w:equalWidth="0" w:num="2">
            <w:col w:w="1500" w:space="720"/>
            <w:col w:w="7999"/>
          </w:cols>
          <w:pgMar w:left="240" w:top="1122" w:right="1440" w:bottom="1440" w:gutter="0" w:footer="0" w:header="0"/>
          <w:type w:val="continuous"/>
        </w:sectPr>
      </w:pPr>
    </w:p>
    <w:p>
      <w:pPr>
        <w:spacing w:after="0" w:line="24"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Citizenship:</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Delaware</w:t>
      </w:r>
    </w:p>
    <w:p>
      <w:pPr>
        <w:spacing w:after="0" w:line="200" w:lineRule="exact"/>
        <w:rPr>
          <w:sz w:val="20"/>
          <w:szCs w:val="20"/>
          <w:color w:val="auto"/>
        </w:rPr>
      </w:pPr>
    </w:p>
    <w:p>
      <w:pPr>
        <w:sectPr>
          <w:pgSz w:w="11900" w:h="16838" w:orient="portrait"/>
          <w:cols w:equalWidth="0" w:num="2">
            <w:col w:w="1500" w:space="720"/>
            <w:col w:w="7999"/>
          </w:cols>
          <w:pgMar w:left="240" w:top="1122" w:right="1440" w:bottom="1440" w:gutter="0" w:footer="0" w:header="0"/>
          <w:type w:val="continuous"/>
        </w:sectPr>
      </w:pPr>
    </w:p>
    <w:p>
      <w:pPr>
        <w:spacing w:after="0" w:line="24"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ectPr>
          <w:pgSz w:w="11900" w:h="16838" w:orient="portrait"/>
          <w:cols w:equalWidth="0" w:num="2">
            <w:col w:w="1500" w:space="720"/>
            <w:col w:w="7999"/>
          </w:cols>
          <w:pgMar w:left="240" w:top="1122" w:right="1440" w:bottom="1440" w:gutter="0" w:footer="0" w:header="0"/>
          <w:type w:val="continuous"/>
        </w:sectPr>
      </w:pPr>
    </w:p>
    <w:p>
      <w:pPr>
        <w:spacing w:after="0" w:line="7"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CUSIP Number:</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03814L103</w:t>
      </w:r>
    </w:p>
    <w:p>
      <w:pPr>
        <w:spacing w:after="0" w:line="200" w:lineRule="exact"/>
        <w:rPr>
          <w:sz w:val="20"/>
          <w:szCs w:val="20"/>
          <w:color w:val="auto"/>
        </w:rPr>
      </w:pPr>
    </w:p>
    <w:p>
      <w:pPr>
        <w:sectPr>
          <w:pgSz w:w="11900" w:h="16838" w:orient="portrait"/>
          <w:cols w:equalWidth="0" w:num="2">
            <w:col w:w="1500" w:space="720"/>
            <w:col w:w="7999"/>
          </w:cols>
          <w:pgMar w:left="240" w:top="112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If this statement is 13d-1(b), or 13d-2(b),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hanging="104"/>
        <w:spacing w:after="0" w:line="268" w:lineRule="auto"/>
        <w:rPr>
          <w:sz w:val="20"/>
          <w:szCs w:val="20"/>
          <w:color w:val="auto"/>
        </w:rPr>
      </w:pPr>
      <w:r>
        <w:rPr>
          <w:rFonts w:ascii="Courier New" w:cs="Courier New" w:eastAsia="Courier New" w:hAnsi="Courier New"/>
          <w:sz w:val="16"/>
          <w:szCs w:val="16"/>
          <w:color w:val="auto"/>
        </w:rPr>
        <w:t>filed check</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spacing w:after="0" w:line="268" w:lineRule="auto"/>
        <w:rPr>
          <w:sz w:val="20"/>
          <w:szCs w:val="20"/>
          <w:color w:val="auto"/>
        </w:rPr>
      </w:pPr>
      <w:r>
        <w:rPr>
          <w:rFonts w:ascii="Courier New" w:cs="Courier New" w:eastAsia="Courier New" w:hAnsi="Courier New"/>
          <w:sz w:val="16"/>
          <w:szCs w:val="16"/>
          <w:color w:val="auto"/>
        </w:rPr>
        <w:t>pursuant whether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Rules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person</w:t>
      </w:r>
    </w:p>
    <w:p>
      <w:pPr>
        <w:spacing w:after="0" w:line="21" w:lineRule="exact"/>
        <w:rPr>
          <w:sz w:val="20"/>
          <w:szCs w:val="20"/>
          <w:color w:val="auto"/>
        </w:rPr>
      </w:pPr>
    </w:p>
    <w:p>
      <w:pPr>
        <w:sectPr>
          <w:pgSz w:w="11900" w:h="16838" w:orient="portrait"/>
          <w:cols w:equalWidth="0" w:num="6">
            <w:col w:w="2140" w:space="720"/>
            <w:col w:w="2520" w:space="220"/>
            <w:col w:w="520" w:space="100"/>
            <w:col w:w="840" w:space="220"/>
            <w:col w:w="320" w:space="100"/>
            <w:col w:w="2519"/>
          </w:cols>
          <w:pgMar w:left="240" w:top="1122"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6"/>
          <w:szCs w:val="16"/>
          <w:color w:val="auto"/>
        </w:rPr>
        <w:t>filing is a:</w:t>
      </w:r>
    </w:p>
    <w:p>
      <w:pPr>
        <w:sectPr>
          <w:pgSz w:w="11900" w:h="16838" w:orient="portrait"/>
          <w:cols w:equalWidth="0" w:num="1">
            <w:col w:w="10219"/>
          </w:cols>
          <w:pgMar w:left="240" w:top="1122" w:right="1440" w:bottom="1440" w:gutter="0" w:footer="0" w:header="0"/>
          <w:type w:val="continuous"/>
        </w:sectPr>
      </w:pPr>
    </w:p>
    <w:p>
      <w:pPr>
        <w:spacing w:after="0" w:line="218" w:lineRule="exact"/>
        <w:rPr>
          <w:sz w:val="20"/>
          <w:szCs w:val="20"/>
          <w:color w:val="auto"/>
        </w:rPr>
      </w:pPr>
    </w:p>
    <w:p>
      <w:pPr>
        <w:ind w:left="1480" w:hanging="524"/>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3(a)(19)of the Act</w:t>
      </w:r>
    </w:p>
    <w:p>
      <w:pPr>
        <w:spacing w:after="0" w:line="223" w:lineRule="exact"/>
        <w:rPr>
          <w:rFonts w:ascii="Courier New" w:cs="Courier New" w:eastAsia="Courier New" w:hAnsi="Courier New"/>
          <w:sz w:val="16"/>
          <w:szCs w:val="16"/>
          <w:color w:val="auto"/>
        </w:rPr>
      </w:pPr>
    </w:p>
    <w:p>
      <w:pPr>
        <w:ind w:left="2220" w:right="2519" w:hanging="1264"/>
        <w:spacing w:after="0" w:line="235" w:lineRule="auto"/>
        <w:tabs>
          <w:tab w:leader="none" w:pos="148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220" w:right="2319" w:hanging="1264"/>
        <w:spacing w:after="0" w:line="235" w:lineRule="auto"/>
        <w:tabs>
          <w:tab w:leader="none" w:pos="148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2220" w:right="1999" w:hanging="1264"/>
        <w:spacing w:after="0" w:line="237" w:lineRule="auto"/>
        <w:tabs>
          <w:tab w:leader="none" w:pos="148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Pension Fund which is subject to the provisions of the Employee Retirement Income Security Act of 1974 or Endowment Fund; see subparagraph 240.13d-1(b)(1)(ii)(F)</w:t>
      </w:r>
    </w:p>
    <w:p>
      <w:pPr>
        <w:spacing w:after="0" w:line="207" w:lineRule="exact"/>
        <w:rPr>
          <w:rFonts w:ascii="Courier New" w:cs="Courier New" w:eastAsia="Courier New" w:hAnsi="Courier New"/>
          <w:sz w:val="18"/>
          <w:szCs w:val="18"/>
          <w:color w:val="auto"/>
        </w:rPr>
      </w:pPr>
    </w:p>
    <w:p>
      <w:pPr>
        <w:ind w:left="2220" w:right="2099" w:hanging="1264"/>
        <w:spacing w:after="0" w:line="235" w:lineRule="auto"/>
        <w:tabs>
          <w:tab w:leader="none" w:pos="148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 Parent Holding Company, in accordance with sub-paragraph 240.13d-1(b)(ii)(G) (Note: See Item 7)</w:t>
      </w:r>
    </w:p>
    <w:p>
      <w:pPr>
        <w:spacing w:after="0" w:line="208" w:lineRule="exact"/>
        <w:rPr>
          <w:rFonts w:ascii="Courier New" w:cs="Courier New" w:eastAsia="Courier New" w:hAnsi="Courier New"/>
          <w:sz w:val="18"/>
          <w:szCs w:val="18"/>
          <w:color w:val="auto"/>
        </w:rPr>
      </w:pPr>
    </w:p>
    <w:p>
      <w:pPr>
        <w:ind w:left="2220" w:right="2939" w:hanging="1264"/>
        <w:spacing w:after="0" w:line="235" w:lineRule="auto"/>
        <w:tabs>
          <w:tab w:leader="none" w:pos="148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subparagraph 240.13d-1 (b)(1)(ii)(H)</w:t>
      </w: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122"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000" w:type="dxa"/>
            <w:vAlign w:val="bottom"/>
            <w:gridSpan w:val="3"/>
          </w:tcPr>
          <w:p>
            <w:pPr>
              <w:ind w:left="780"/>
              <w:spacing w:after="0"/>
              <w:rPr>
                <w:sz w:val="20"/>
                <w:szCs w:val="20"/>
                <w:color w:val="auto"/>
              </w:rPr>
            </w:pPr>
            <w:r>
              <w:rPr>
                <w:rFonts w:ascii="Courier New" w:cs="Courier New" w:eastAsia="Courier New" w:hAnsi="Courier New"/>
                <w:sz w:val="18"/>
                <w:szCs w:val="18"/>
                <w:color w:val="auto"/>
              </w:rPr>
              <w:t>Ownership.</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020" w:type="dxa"/>
            <w:vAlign w:val="bottom"/>
          </w:tcPr>
          <w:p>
            <w:pPr>
              <w:spacing w:after="0"/>
              <w:rPr>
                <w:sz w:val="24"/>
                <w:szCs w:val="24"/>
                <w:color w:val="auto"/>
              </w:rPr>
            </w:pPr>
          </w:p>
        </w:tc>
        <w:tc>
          <w:tcPr>
            <w:tcW w:w="1620" w:type="dxa"/>
            <w:vAlign w:val="bottom"/>
            <w:gridSpan w:val="2"/>
          </w:tcPr>
          <w:p>
            <w:pPr>
              <w:ind w:left="780"/>
              <w:spacing w:after="0"/>
              <w:rPr>
                <w:sz w:val="20"/>
                <w:szCs w:val="20"/>
                <w:color w:val="auto"/>
              </w:rPr>
            </w:pPr>
            <w:r>
              <w:rPr>
                <w:rFonts w:ascii="Courier New" w:cs="Courier New" w:eastAsia="Courier New" w:hAnsi="Courier New"/>
                <w:sz w:val="18"/>
                <w:szCs w:val="18"/>
                <w:color w:val="auto"/>
              </w:rPr>
              <w:t>If the</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percent</w:t>
            </w:r>
          </w:p>
        </w:tc>
        <w:tc>
          <w:tcPr>
            <w:tcW w:w="16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of the class</w:t>
            </w:r>
          </w:p>
        </w:tc>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owned,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as of</w:t>
            </w:r>
          </w:p>
        </w:tc>
      </w:tr>
      <w:tr>
        <w:trPr>
          <w:trHeight w:val="203"/>
        </w:trPr>
        <w:tc>
          <w:tcPr>
            <w:tcW w:w="3020" w:type="dxa"/>
            <w:vAlign w:val="bottom"/>
          </w:tcPr>
          <w:p>
            <w:pPr>
              <w:spacing w:after="0"/>
              <w:rPr>
                <w:sz w:val="17"/>
                <w:szCs w:val="17"/>
                <w:color w:val="auto"/>
              </w:rPr>
            </w:pPr>
          </w:p>
        </w:tc>
        <w:tc>
          <w:tcPr>
            <w:tcW w:w="162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w w:val="94"/>
              </w:rPr>
              <w:t>December</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 of</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year  covered  by  the</w:t>
            </w:r>
          </w:p>
        </w:tc>
      </w:tr>
      <w:tr>
        <w:trPr>
          <w:trHeight w:val="203"/>
        </w:trPr>
        <w:tc>
          <w:tcPr>
            <w:tcW w:w="3020" w:type="dxa"/>
            <w:vAlign w:val="bottom"/>
          </w:tcPr>
          <w:p>
            <w:pPr>
              <w:spacing w:after="0"/>
              <w:rPr>
                <w:sz w:val="17"/>
                <w:szCs w:val="17"/>
                <w:color w:val="auto"/>
              </w:rPr>
            </w:pPr>
          </w:p>
        </w:tc>
        <w:tc>
          <w:tcPr>
            <w:tcW w:w="2000" w:type="dxa"/>
            <w:vAlign w:val="bottom"/>
            <w:gridSpan w:val="3"/>
          </w:tcPr>
          <w:p>
            <w:pPr>
              <w:ind w:left="780"/>
              <w:spacing w:after="0" w:line="203" w:lineRule="exact"/>
              <w:rPr>
                <w:sz w:val="20"/>
                <w:szCs w:val="20"/>
                <w:color w:val="auto"/>
              </w:rPr>
            </w:pPr>
            <w:r>
              <w:rPr>
                <w:rFonts w:ascii="Courier New" w:cs="Courier New" w:eastAsia="Courier New" w:hAnsi="Courier New"/>
                <w:sz w:val="18"/>
                <w:szCs w:val="18"/>
                <w:color w:val="auto"/>
              </w:rPr>
              <w:t>statement,</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or as of</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last</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any</w:t>
            </w:r>
          </w:p>
        </w:tc>
      </w:tr>
      <w:tr>
        <w:trPr>
          <w:trHeight w:val="203"/>
        </w:trPr>
        <w:tc>
          <w:tcPr>
            <w:tcW w:w="3020" w:type="dxa"/>
            <w:vAlign w:val="bottom"/>
          </w:tcPr>
          <w:p>
            <w:pPr>
              <w:spacing w:after="0"/>
              <w:rPr>
                <w:sz w:val="17"/>
                <w:szCs w:val="17"/>
                <w:color w:val="auto"/>
              </w:rPr>
            </w:pPr>
          </w:p>
        </w:tc>
        <w:tc>
          <w:tcPr>
            <w:tcW w:w="13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month</w:t>
            </w:r>
          </w:p>
        </w:tc>
        <w:tc>
          <w:tcPr>
            <w:tcW w:w="170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described  in</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Rule  13d-1(b)(2),  if</w:t>
            </w:r>
          </w:p>
        </w:tc>
      </w:tr>
      <w:tr>
        <w:trPr>
          <w:trHeight w:val="203"/>
        </w:trPr>
        <w:tc>
          <w:tcPr>
            <w:tcW w:w="3020" w:type="dxa"/>
            <w:vAlign w:val="bottom"/>
          </w:tcPr>
          <w:p>
            <w:pPr>
              <w:spacing w:after="0"/>
              <w:rPr>
                <w:sz w:val="17"/>
                <w:szCs w:val="17"/>
                <w:color w:val="auto"/>
              </w:rPr>
            </w:pPr>
          </w:p>
        </w:tc>
        <w:tc>
          <w:tcPr>
            <w:tcW w:w="2000" w:type="dxa"/>
            <w:vAlign w:val="bottom"/>
            <w:gridSpan w:val="3"/>
          </w:tcPr>
          <w:p>
            <w:pPr>
              <w:ind w:left="780"/>
              <w:spacing w:after="0" w:line="203" w:lineRule="exact"/>
              <w:rPr>
                <w:sz w:val="20"/>
                <w:szCs w:val="20"/>
                <w:color w:val="auto"/>
              </w:rPr>
            </w:pPr>
            <w:r>
              <w:rPr>
                <w:rFonts w:ascii="Courier New" w:cs="Courier New" w:eastAsia="Courier New" w:hAnsi="Courier New"/>
                <w:sz w:val="18"/>
                <w:szCs w:val="18"/>
                <w:color w:val="auto"/>
              </w:rPr>
              <w:t>applicable,</w:t>
            </w:r>
          </w:p>
        </w:tc>
        <w:tc>
          <w:tcPr>
            <w:tcW w:w="162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exceeds five</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provide</w:t>
            </w:r>
          </w:p>
        </w:tc>
      </w:tr>
      <w:tr>
        <w:trPr>
          <w:trHeight w:val="203"/>
        </w:trPr>
        <w:tc>
          <w:tcPr>
            <w:tcW w:w="3020" w:type="dxa"/>
            <w:vAlign w:val="bottom"/>
          </w:tcPr>
          <w:p>
            <w:pPr>
              <w:spacing w:after="0"/>
              <w:rPr>
                <w:sz w:val="17"/>
                <w:szCs w:val="17"/>
                <w:color w:val="auto"/>
              </w:rPr>
            </w:pPr>
          </w:p>
        </w:tc>
        <w:tc>
          <w:tcPr>
            <w:tcW w:w="13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information</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as of that date</w:t>
            </w:r>
          </w:p>
        </w:tc>
      </w:tr>
      <w:tr>
        <w:trPr>
          <w:trHeight w:val="203"/>
        </w:trPr>
        <w:tc>
          <w:tcPr>
            <w:tcW w:w="3020" w:type="dxa"/>
            <w:vAlign w:val="bottom"/>
          </w:tcPr>
          <w:p>
            <w:pPr>
              <w:spacing w:after="0"/>
              <w:rPr>
                <w:sz w:val="17"/>
                <w:szCs w:val="17"/>
                <w:color w:val="auto"/>
              </w:rPr>
            </w:pPr>
          </w:p>
        </w:tc>
        <w:tc>
          <w:tcPr>
            <w:tcW w:w="13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and</w:t>
            </w: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identify</w:t>
            </w:r>
          </w:p>
        </w:tc>
        <w:tc>
          <w:tcPr>
            <w:tcW w:w="3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those shares which there is a</w:t>
            </w:r>
          </w:p>
        </w:tc>
      </w:tr>
      <w:tr>
        <w:trPr>
          <w:trHeight w:val="203"/>
        </w:trPr>
        <w:tc>
          <w:tcPr>
            <w:tcW w:w="3020" w:type="dxa"/>
            <w:vAlign w:val="bottom"/>
          </w:tcPr>
          <w:p>
            <w:pPr>
              <w:spacing w:after="0"/>
              <w:rPr>
                <w:sz w:val="17"/>
                <w:szCs w:val="17"/>
                <w:color w:val="auto"/>
              </w:rPr>
            </w:pPr>
          </w:p>
        </w:tc>
        <w:tc>
          <w:tcPr>
            <w:tcW w:w="3000" w:type="dxa"/>
            <w:vAlign w:val="bottom"/>
            <w:gridSpan w:val="5"/>
          </w:tcPr>
          <w:p>
            <w:pPr>
              <w:ind w:left="780"/>
              <w:spacing w:after="0" w:line="203" w:lineRule="exact"/>
              <w:rPr>
                <w:sz w:val="20"/>
                <w:szCs w:val="20"/>
                <w:color w:val="auto"/>
              </w:rPr>
            </w:pPr>
            <w:r>
              <w:rPr>
                <w:rFonts w:ascii="Courier New" w:cs="Courier New" w:eastAsia="Courier New" w:hAnsi="Courier New"/>
                <w:sz w:val="18"/>
                <w:szCs w:val="18"/>
                <w:color w:val="auto"/>
              </w:rPr>
              <w:t>right to acquire.</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020" w:type="dxa"/>
            <w:vAlign w:val="bottom"/>
          </w:tcPr>
          <w:p>
            <w:pPr>
              <w:ind w:left="1900"/>
              <w:spacing w:after="0"/>
              <w:rPr>
                <w:sz w:val="20"/>
                <w:szCs w:val="20"/>
                <w:color w:val="auto"/>
              </w:rPr>
            </w:pPr>
            <w:r>
              <w:rPr>
                <w:rFonts w:ascii="Courier New" w:cs="Courier New" w:eastAsia="Courier New" w:hAnsi="Courier New"/>
                <w:sz w:val="18"/>
                <w:szCs w:val="18"/>
                <w:color w:val="auto"/>
              </w:rPr>
              <w:t>(a)</w:t>
            </w:r>
          </w:p>
        </w:tc>
        <w:tc>
          <w:tcPr>
            <w:tcW w:w="3620" w:type="dxa"/>
            <w:vAlign w:val="bottom"/>
            <w:gridSpan w:val="6"/>
          </w:tcPr>
          <w:p>
            <w:pPr>
              <w:ind w:left="780"/>
              <w:spacing w:after="0"/>
              <w:rPr>
                <w:sz w:val="20"/>
                <w:szCs w:val="20"/>
                <w:color w:val="auto"/>
              </w:rPr>
            </w:pPr>
            <w:r>
              <w:rPr>
                <w:rFonts w:ascii="Courier New" w:cs="Courier New" w:eastAsia="Courier New" w:hAnsi="Courier New"/>
                <w:sz w:val="18"/>
                <w:szCs w:val="18"/>
                <w:color w:val="auto"/>
              </w:rPr>
              <w:t>Amount Beneficially Owned:</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08"/>
        </w:trPr>
        <w:tc>
          <w:tcPr>
            <w:tcW w:w="3020" w:type="dxa"/>
            <w:vAlign w:val="bottom"/>
          </w:tcPr>
          <w:p>
            <w:pPr>
              <w:ind w:left="1900"/>
              <w:spacing w:after="0"/>
              <w:rPr>
                <w:sz w:val="20"/>
                <w:szCs w:val="20"/>
                <w:color w:val="auto"/>
              </w:rPr>
            </w:pPr>
            <w:r>
              <w:rPr>
                <w:rFonts w:ascii="Courier New" w:cs="Courier New" w:eastAsia="Courier New" w:hAnsi="Courier New"/>
                <w:sz w:val="18"/>
                <w:szCs w:val="18"/>
                <w:color w:val="auto"/>
              </w:rPr>
              <w:t>(b)</w:t>
            </w:r>
          </w:p>
        </w:tc>
        <w:tc>
          <w:tcPr>
            <w:tcW w:w="3000" w:type="dxa"/>
            <w:vAlign w:val="bottom"/>
            <w:gridSpan w:val="5"/>
          </w:tcPr>
          <w:p>
            <w:pPr>
              <w:ind w:left="780"/>
              <w:spacing w:after="0"/>
              <w:rPr>
                <w:sz w:val="20"/>
                <w:szCs w:val="20"/>
                <w:color w:val="auto"/>
              </w:rPr>
            </w:pPr>
            <w:r>
              <w:rPr>
                <w:rFonts w:ascii="Courier New" w:cs="Courier New" w:eastAsia="Courier New" w:hAnsi="Courier New"/>
                <w:sz w:val="18"/>
                <w:szCs w:val="18"/>
                <w:color w:val="auto"/>
              </w:rPr>
              <w:t>Percent of Class:</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2860" w:hanging="956"/>
        <w:spacing w:after="0"/>
        <w:tabs>
          <w:tab w:leader="none" w:pos="2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3480" w:hanging="628"/>
        <w:spacing w:after="0"/>
        <w:tabs>
          <w:tab w:leader="none" w:pos="3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3480" w:hanging="628"/>
        <w:spacing w:after="0"/>
        <w:tabs>
          <w:tab w:leader="none" w:pos="3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6" w:lineRule="exact"/>
        <w:rPr>
          <w:rFonts w:ascii="Courier New" w:cs="Courier New" w:eastAsia="Courier New" w:hAnsi="Courier New"/>
          <w:sz w:val="18"/>
          <w:szCs w:val="18"/>
          <w:color w:val="auto"/>
        </w:rPr>
      </w:pPr>
    </w:p>
    <w:p>
      <w:pPr>
        <w:ind w:left="3480" w:right="2739" w:hanging="628"/>
        <w:spacing w:after="0" w:line="235" w:lineRule="auto"/>
        <w:tabs>
          <w:tab w:leader="none" w:pos="3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8" w:lineRule="exact"/>
        <w:rPr>
          <w:rFonts w:ascii="Courier New" w:cs="Courier New" w:eastAsia="Courier New" w:hAnsi="Courier New"/>
          <w:sz w:val="18"/>
          <w:szCs w:val="18"/>
          <w:color w:val="auto"/>
        </w:rPr>
      </w:pPr>
    </w:p>
    <w:p>
      <w:pPr>
        <w:ind w:left="3480" w:right="2519" w:hanging="628"/>
        <w:spacing w:after="0" w:line="235" w:lineRule="auto"/>
        <w:tabs>
          <w:tab w:leader="none" w:pos="3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ectPr>
          <w:pgSz w:w="11900" w:h="16838" w:orient="portrait"/>
          <w:cols w:equalWidth="0" w:num="2">
            <w:col w:w="1180" w:space="720"/>
            <w:col w:w="8319"/>
          </w:cols>
          <w:pgMar w:left="240" w:top="1122" w:right="1440" w:bottom="1440" w:gutter="0" w:footer="0" w:header="0"/>
          <w:type w:val="continuous"/>
        </w:sectPr>
      </w:pPr>
    </w:p>
    <w:p>
      <w:pPr>
        <w:spacing w:after="0" w:line="24" w:lineRule="exact"/>
        <w:rPr>
          <w:sz w:val="20"/>
          <w:szCs w:val="20"/>
          <w:color w:val="auto"/>
        </w:rPr>
      </w:pPr>
    </w:p>
    <w:p>
      <w:pPr>
        <w:jc w:val="both"/>
        <w:ind w:left="28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(XX).</w:t>
      </w:r>
    </w:p>
    <w:p>
      <w:pPr>
        <w:sectPr>
          <w:pgSz w:w="11900" w:h="16838" w:orient="portrait"/>
          <w:cols w:equalWidth="0" w:num="1">
            <w:col w:w="10219"/>
          </w:cols>
          <w:pgMar w:left="240" w:top="1122"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1180" w:space="720"/>
            <w:col w:w="8319"/>
          </w:cols>
          <w:pgMar w:left="240" w:top="1122" w:right="1440" w:bottom="1440" w:gutter="0" w:footer="0" w:header="0"/>
          <w:type w:val="continuous"/>
        </w:sectPr>
      </w:pP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4 of 5 Pages</w:t>
      </w:r>
    </w:p>
    <w:p>
      <w:pPr>
        <w:sectPr>
          <w:pgSz w:w="11900" w:h="16838" w:orient="portrait"/>
          <w:cols w:equalWidth="0" w:num="1">
            <w:col w:w="10219"/>
          </w:cols>
          <w:pgMar w:left="240" w:top="1122"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sectPr>
      </w:pPr>
    </w:p>
    <w:p>
      <w:pPr>
        <w:spacing w:after="0" w:line="3" w:lineRule="exact"/>
        <w:rPr>
          <w:sz w:val="20"/>
          <w:szCs w:val="20"/>
          <w:color w:val="auto"/>
        </w:rPr>
      </w:pPr>
    </w:p>
    <w:p>
      <w:pPr>
        <w:ind w:left="3800"/>
        <w:spacing w:after="0"/>
        <w:tabs>
          <w:tab w:leader="none" w:pos="4840" w:val="left"/>
          <w:tab w:leader="none" w:pos="6000" w:val="left"/>
        </w:tabs>
        <w:rPr>
          <w:sz w:val="20"/>
          <w:szCs w:val="20"/>
          <w:color w:val="auto"/>
        </w:rPr>
      </w:pPr>
      <w:r>
        <w:rPr>
          <w:rFonts w:ascii="Courier New" w:cs="Courier New" w:eastAsia="Courier New" w:hAnsi="Courier New"/>
          <w:sz w:val="18"/>
          <w:szCs w:val="18"/>
          <w:color w:val="auto"/>
        </w:rPr>
        <w:t>Allstate</w:t>
        <w:tab/>
        <w:t>Insurance</w:t>
      </w:r>
      <w:r>
        <w:rPr>
          <w:sz w:val="20"/>
          <w:szCs w:val="20"/>
          <w:color w:val="auto"/>
        </w:rPr>
        <w:tab/>
      </w:r>
      <w:r>
        <w:rPr>
          <w:rFonts w:ascii="Courier New" w:cs="Courier New" w:eastAsia="Courier New" w:hAnsi="Courier New"/>
          <w:sz w:val="16"/>
          <w:szCs w:val="16"/>
          <w:color w:val="auto"/>
        </w:rPr>
        <w:t>Company is an insurance</w:t>
      </w:r>
    </w:p>
    <w:p>
      <w:pPr>
        <w:ind w:left="3800"/>
        <w:spacing w:after="0"/>
        <w:tabs>
          <w:tab w:leader="none" w:pos="4720" w:val="left"/>
          <w:tab w:leader="none" w:pos="6520" w:val="left"/>
        </w:tabs>
        <w:rPr>
          <w:sz w:val="20"/>
          <w:szCs w:val="20"/>
          <w:color w:val="auto"/>
        </w:rPr>
      </w:pPr>
      <w:r>
        <w:rPr>
          <w:rFonts w:ascii="Courier New" w:cs="Courier New" w:eastAsia="Courier New" w:hAnsi="Courier New"/>
          <w:sz w:val="18"/>
          <w:szCs w:val="18"/>
          <w:color w:val="auto"/>
        </w:rPr>
        <w:t>company</w:t>
        <w:tab/>
        <w:t>as that term is</w:t>
      </w:r>
      <w:r>
        <w:rPr>
          <w:sz w:val="20"/>
          <w:szCs w:val="20"/>
          <w:color w:val="auto"/>
        </w:rPr>
        <w:tab/>
      </w:r>
      <w:r>
        <w:rPr>
          <w:rFonts w:ascii="Courier New" w:cs="Courier New" w:eastAsia="Courier New" w:hAnsi="Courier New"/>
          <w:sz w:val="16"/>
          <w:szCs w:val="16"/>
          <w:color w:val="auto"/>
        </w:rPr>
        <w:t>defined in Section</w:t>
      </w:r>
    </w:p>
    <w:p>
      <w:pPr>
        <w:ind w:left="3800"/>
        <w:spacing w:after="0"/>
        <w:tabs>
          <w:tab w:leader="none" w:pos="5580" w:val="left"/>
          <w:tab w:leader="none" w:pos="6840" w:val="left"/>
        </w:tabs>
        <w:rPr>
          <w:sz w:val="20"/>
          <w:szCs w:val="20"/>
          <w:color w:val="auto"/>
        </w:rPr>
      </w:pPr>
      <w:r>
        <w:rPr>
          <w:rFonts w:ascii="Courier New" w:cs="Courier New" w:eastAsia="Courier New" w:hAnsi="Courier New"/>
          <w:sz w:val="18"/>
          <w:szCs w:val="18"/>
          <w:color w:val="auto"/>
        </w:rPr>
        <w:t>3(a)(19) of the</w:t>
        <w:tab/>
        <w:t>Securities</w:t>
      </w:r>
      <w:r>
        <w:rPr>
          <w:sz w:val="20"/>
          <w:szCs w:val="20"/>
          <w:color w:val="auto"/>
        </w:rPr>
        <w:tab/>
      </w:r>
      <w:r>
        <w:rPr>
          <w:rFonts w:ascii="Courier New" w:cs="Courier New" w:eastAsia="Courier New" w:hAnsi="Courier New"/>
          <w:sz w:val="16"/>
          <w:szCs w:val="16"/>
          <w:color w:val="auto"/>
        </w:rPr>
        <w:t>Exchange Act of</w:t>
      </w:r>
    </w:p>
    <w:p>
      <w:pPr>
        <w:ind w:left="3800"/>
        <w:spacing w:after="0" w:line="237" w:lineRule="auto"/>
        <w:rPr>
          <w:sz w:val="20"/>
          <w:szCs w:val="20"/>
          <w:color w:val="auto"/>
        </w:rPr>
      </w:pPr>
      <w:r>
        <w:rPr>
          <w:rFonts w:ascii="Courier New" w:cs="Courier New" w:eastAsia="Courier New" w:hAnsi="Courier New"/>
          <w:sz w:val="18"/>
          <w:szCs w:val="18"/>
          <w:color w:val="auto"/>
        </w:rPr>
        <w:t>1934.</w:t>
      </w:r>
    </w:p>
    <w:p>
      <w:pPr>
        <w:sectPr>
          <w:pgSz w:w="11900" w:h="16838" w:orient="portrait"/>
          <w:cols w:equalWidth="0" w:num="1">
            <w:col w:w="10219"/>
          </w:cols>
          <w:pgMar w:left="240" w:top="925"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20, 1997</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ALLSTATE INSURANCE COMPANY</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Mary J. McGinn</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Mary J. McGinn</w:t>
      </w:r>
    </w:p>
    <w:p>
      <w:pPr>
        <w:ind w:left="538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9"/>
      <w:numFmt w:val="bullet"/>
      <w:start w:val="1"/>
    </w:lvl>
  </w:abstractNum>
  <w:abstractNum w:abstractNumId="4">
    <w:nsid w:val="2EB141F2"/>
    <w:multiLevelType w:val="hybridMultilevel"/>
    <w:lvl w:ilvl="0">
      <w:lvlJc w:val="left"/>
      <w:lvlText w:val="%1"/>
      <w:numFmt w:val="decimal"/>
      <w:start w:val="10"/>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2019-12-16T08:31:19Z</dcterms:created>
  <dcterms:modified xsi:type="dcterms:W3CDTF">2019-12-16T08:31:19Z</dcterms:modified>
</cp:coreProperties>
</file>