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8-K</w:t>
      </w:r>
    </w:p>
    <w:p>
      <w:pPr>
        <w:spacing w:after="0" w:line="22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Report (Date of earliest event reported): May 16, 2019</w:t>
      </w:r>
    </w:p>
    <w:p>
      <w:pPr>
        <w:spacing w:after="0" w:line="214"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THE ALLSTATE CORPORATION</w:t>
      </w:r>
    </w:p>
    <w:p>
      <w:pPr>
        <w:spacing w:after="0" w:line="1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200" w:type="dxa"/>
        <w:tblCellMar>
          <w:top w:w="0" w:type="dxa"/>
          <w:left w:w="0" w:type="dxa"/>
          <w:bottom w:w="0" w:type="dxa"/>
          <w:right w:w="0" w:type="dxa"/>
        </w:tblCellMar>
      </w:tblPr>
      <w:tr>
        <w:trPr>
          <w:trHeight w:val="234"/>
        </w:trPr>
        <w:tc>
          <w:tcPr>
            <w:tcW w:w="25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1-11840</w:t>
            </w:r>
          </w:p>
        </w:tc>
        <w:tc>
          <w:tcPr>
            <w:tcW w:w="274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36-3871531</w:t>
            </w:r>
          </w:p>
        </w:tc>
      </w:tr>
      <w:tr>
        <w:trPr>
          <w:trHeight w:val="270"/>
        </w:trPr>
        <w:tc>
          <w:tcPr>
            <w:tcW w:w="2500" w:type="dxa"/>
            <w:vAlign w:val="bottom"/>
          </w:tcPr>
          <w:p>
            <w:pPr>
              <w:jc w:val="center"/>
              <w:ind w:right="1370"/>
              <w:spacing w:after="0"/>
              <w:rPr>
                <w:sz w:val="20"/>
                <w:szCs w:val="20"/>
                <w:color w:val="auto"/>
              </w:rPr>
            </w:pPr>
            <w:r>
              <w:rPr>
                <w:rFonts w:ascii="Arial" w:cs="Arial" w:eastAsia="Arial" w:hAnsi="Arial"/>
                <w:sz w:val="18"/>
                <w:szCs w:val="18"/>
                <w:color w:val="auto"/>
                <w:w w:val="90"/>
              </w:rPr>
              <w:t>(State or other</w:t>
            </w:r>
          </w:p>
        </w:tc>
        <w:tc>
          <w:tcPr>
            <w:tcW w:w="3880" w:type="dxa"/>
            <w:vAlign w:val="bottom"/>
          </w:tcPr>
          <w:p>
            <w:pPr>
              <w:jc w:val="center"/>
              <w:spacing w:after="0"/>
              <w:rPr>
                <w:sz w:val="20"/>
                <w:szCs w:val="20"/>
                <w:color w:val="auto"/>
              </w:rPr>
            </w:pPr>
            <w:r>
              <w:rPr>
                <w:rFonts w:ascii="Arial" w:cs="Arial" w:eastAsia="Arial" w:hAnsi="Arial"/>
                <w:sz w:val="18"/>
                <w:szCs w:val="18"/>
                <w:color w:val="auto"/>
                <w:w w:val="93"/>
              </w:rPr>
              <w:t>(Commission</w:t>
            </w:r>
          </w:p>
        </w:tc>
        <w:tc>
          <w:tcPr>
            <w:tcW w:w="2740" w:type="dxa"/>
            <w:vAlign w:val="bottom"/>
          </w:tcPr>
          <w:p>
            <w:pPr>
              <w:jc w:val="center"/>
              <w:ind w:left="1330"/>
              <w:spacing w:after="0"/>
              <w:rPr>
                <w:sz w:val="20"/>
                <w:szCs w:val="20"/>
                <w:color w:val="auto"/>
              </w:rPr>
            </w:pPr>
            <w:r>
              <w:rPr>
                <w:rFonts w:ascii="Arial" w:cs="Arial" w:eastAsia="Arial" w:hAnsi="Arial"/>
                <w:sz w:val="18"/>
                <w:szCs w:val="18"/>
                <w:color w:val="auto"/>
                <w:w w:val="92"/>
              </w:rPr>
              <w:t>(IRS Employer</w:t>
            </w:r>
          </w:p>
        </w:tc>
      </w:tr>
      <w:tr>
        <w:trPr>
          <w:trHeight w:val="270"/>
        </w:trPr>
        <w:tc>
          <w:tcPr>
            <w:tcW w:w="2500" w:type="dxa"/>
            <w:vAlign w:val="bottom"/>
          </w:tcPr>
          <w:p>
            <w:pPr>
              <w:jc w:val="center"/>
              <w:ind w:right="1350"/>
              <w:spacing w:after="0"/>
              <w:rPr>
                <w:sz w:val="20"/>
                <w:szCs w:val="20"/>
                <w:color w:val="auto"/>
              </w:rPr>
            </w:pPr>
            <w:r>
              <w:rPr>
                <w:rFonts w:ascii="Arial" w:cs="Arial" w:eastAsia="Arial" w:hAnsi="Arial"/>
                <w:sz w:val="18"/>
                <w:szCs w:val="18"/>
                <w:color w:val="auto"/>
                <w:w w:val="97"/>
              </w:rPr>
              <w:t>jurisdiction of</w:t>
            </w:r>
          </w:p>
        </w:tc>
        <w:tc>
          <w:tcPr>
            <w:tcW w:w="3880" w:type="dxa"/>
            <w:vAlign w:val="bottom"/>
          </w:tcPr>
          <w:p>
            <w:pPr>
              <w:jc w:val="center"/>
              <w:spacing w:after="0"/>
              <w:rPr>
                <w:sz w:val="20"/>
                <w:szCs w:val="20"/>
                <w:color w:val="auto"/>
              </w:rPr>
            </w:pPr>
            <w:r>
              <w:rPr>
                <w:rFonts w:ascii="Arial" w:cs="Arial" w:eastAsia="Arial" w:hAnsi="Arial"/>
                <w:sz w:val="18"/>
                <w:szCs w:val="18"/>
                <w:color w:val="auto"/>
                <w:w w:val="94"/>
              </w:rPr>
              <w:t>File Number)</w:t>
            </w:r>
          </w:p>
        </w:tc>
        <w:tc>
          <w:tcPr>
            <w:tcW w:w="2740" w:type="dxa"/>
            <w:vAlign w:val="bottom"/>
          </w:tcPr>
          <w:p>
            <w:pPr>
              <w:jc w:val="center"/>
              <w:ind w:left="1310"/>
              <w:spacing w:after="0"/>
              <w:rPr>
                <w:sz w:val="20"/>
                <w:szCs w:val="20"/>
                <w:color w:val="auto"/>
              </w:rPr>
            </w:pPr>
            <w:r>
              <w:rPr>
                <w:rFonts w:ascii="Arial" w:cs="Arial" w:eastAsia="Arial" w:hAnsi="Arial"/>
                <w:sz w:val="18"/>
                <w:szCs w:val="18"/>
                <w:color w:val="auto"/>
                <w:w w:val="95"/>
              </w:rPr>
              <w:t>Identification No.)</w:t>
            </w:r>
          </w:p>
        </w:tc>
      </w:tr>
      <w:tr>
        <w:trPr>
          <w:trHeight w:val="270"/>
        </w:trPr>
        <w:tc>
          <w:tcPr>
            <w:tcW w:w="2500" w:type="dxa"/>
            <w:vAlign w:val="bottom"/>
          </w:tcPr>
          <w:p>
            <w:pPr>
              <w:jc w:val="center"/>
              <w:ind w:right="1370"/>
              <w:spacing w:after="0"/>
              <w:rPr>
                <w:sz w:val="20"/>
                <w:szCs w:val="20"/>
                <w:color w:val="auto"/>
              </w:rPr>
            </w:pPr>
            <w:r>
              <w:rPr>
                <w:rFonts w:ascii="Arial" w:cs="Arial" w:eastAsia="Arial" w:hAnsi="Arial"/>
                <w:sz w:val="18"/>
                <w:szCs w:val="18"/>
                <w:color w:val="auto"/>
                <w:w w:val="94"/>
              </w:rPr>
              <w:t>incorporation)</w:t>
            </w:r>
          </w:p>
        </w:tc>
        <w:tc>
          <w:tcPr>
            <w:tcW w:w="3880" w:type="dxa"/>
            <w:vAlign w:val="bottom"/>
          </w:tcPr>
          <w:p>
            <w:pPr>
              <w:spacing w:after="0"/>
              <w:rPr>
                <w:sz w:val="23"/>
                <w:szCs w:val="23"/>
                <w:color w:val="auto"/>
              </w:rPr>
            </w:pPr>
          </w:p>
        </w:tc>
        <w:tc>
          <w:tcPr>
            <w:tcW w:w="2740" w:type="dxa"/>
            <w:vAlign w:val="bottom"/>
          </w:tcPr>
          <w:p>
            <w:pPr>
              <w:spacing w:after="0"/>
              <w:rPr>
                <w:sz w:val="23"/>
                <w:szCs w:val="23"/>
                <w:color w:val="auto"/>
              </w:rPr>
            </w:pP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2775 Sanders Road, Northbrook, Illinois  60062</w:t>
      </w:r>
    </w:p>
    <w:p>
      <w:pPr>
        <w:spacing w:after="0" w:line="27" w:lineRule="exact"/>
        <w:rPr>
          <w:sz w:val="24"/>
          <w:szCs w:val="24"/>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402-5000</w:t>
      </w:r>
    </w:p>
    <w:p>
      <w:pPr>
        <w:spacing w:after="0" w:line="22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Written communications pursuant to Rule 425 under the Securities Act (17 CFR 230.425)</w:t>
      </w:r>
    </w:p>
    <w:p>
      <w:pPr>
        <w:spacing w:after="0" w:line="40" w:lineRule="exact"/>
        <w:rPr>
          <w:sz w:val="24"/>
          <w:szCs w:val="24"/>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Soliciting material pursuant to Rule 14a-12 under the Exchange Act (17 CFR 240.14a-12)</w:t>
      </w:r>
    </w:p>
    <w:p>
      <w:pPr>
        <w:spacing w:after="0" w:line="40" w:lineRule="exact"/>
        <w:rPr>
          <w:sz w:val="24"/>
          <w:szCs w:val="24"/>
          <w:color w:val="auto"/>
        </w:rPr>
      </w:pPr>
    </w:p>
    <w:p>
      <w:pPr>
        <w:ind w:left="220" w:hanging="212"/>
        <w:spacing w:after="0"/>
        <w:tabs>
          <w:tab w:leader="none" w:pos="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Pre-commencement communications pursuant to Rule 14d-2(b) under the Exchange Act (17 CFR 240.14d-2(b))</w:t>
      </w:r>
    </w:p>
    <w:p>
      <w:pPr>
        <w:spacing w:after="0" w:line="40" w:lineRule="exact"/>
        <w:rPr>
          <w:sz w:val="24"/>
          <w:szCs w:val="24"/>
          <w:color w:val="auto"/>
        </w:rPr>
      </w:pPr>
    </w:p>
    <w:p>
      <w:pPr>
        <w:ind w:right="2640" w:firstLine="8"/>
        <w:spacing w:after="0" w:line="447" w:lineRule="auto"/>
        <w:tabs>
          <w:tab w:leader="none" w:pos="214"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8"/>
          <w:szCs w:val="18"/>
          <w:color w:val="auto"/>
        </w:rPr>
        <w:t>Pre-commencement communications pursuant to Rule 13e-4(c) under the Exchange Act (17 CFR 240.13e-4(c))</w:t>
      </w:r>
      <w:r>
        <w:rPr>
          <w:rFonts w:ascii="Arial" w:cs="Arial" w:eastAsia="Arial" w:hAnsi="Arial"/>
          <w:sz w:val="20"/>
          <w:szCs w:val="20"/>
          <w:color w:val="auto"/>
        </w:rPr>
        <w:t xml:space="preserve"> </w:t>
      </w:r>
      <w:r>
        <w:rPr>
          <w:rFonts w:ascii="Arial" w:cs="Arial" w:eastAsia="Arial" w:hAnsi="Arial"/>
          <w:sz w:val="18"/>
          <w:szCs w:val="18"/>
          <w:color w:val="auto"/>
        </w:rPr>
        <w:t>Securities registered pursuant to Section 12(b) of the Act:</w:t>
      </w:r>
    </w:p>
    <w:p>
      <w:pPr>
        <w:sectPr>
          <w:pgSz w:w="11900" w:h="16838" w:orient="portrait"/>
          <w:cols w:equalWidth="0" w:num="1">
            <w:col w:w="11360"/>
          </w:cols>
          <w:pgMar w:left="240" w:top="693" w:right="299" w:bottom="1440" w:gutter="0" w:footer="0" w:header="0"/>
        </w:sectPr>
      </w:pPr>
    </w:p>
    <w:p>
      <w:pPr>
        <w:spacing w:after="0" w:line="2" w:lineRule="exact"/>
        <w:rPr>
          <w:sz w:val="24"/>
          <w:szCs w:val="24"/>
          <w:color w:val="auto"/>
        </w:rPr>
      </w:pPr>
    </w:p>
    <w:p>
      <w:pPr>
        <w:ind w:left="2200"/>
        <w:spacing w:after="0"/>
        <w:rPr>
          <w:sz w:val="20"/>
          <w:szCs w:val="20"/>
          <w:color w:val="auto"/>
        </w:rPr>
      </w:pPr>
      <w:r>
        <w:rPr>
          <w:rFonts w:ascii="Arial" w:cs="Arial" w:eastAsia="Arial" w:hAnsi="Arial"/>
          <w:sz w:val="14"/>
          <w:szCs w:val="14"/>
          <w:b w:val="1"/>
          <w:bCs w:val="1"/>
          <w:color w:val="auto"/>
        </w:rPr>
        <w:t>Title of each class</w:t>
      </w:r>
    </w:p>
    <w:p>
      <w:pPr>
        <w:spacing w:after="0" w:line="113" w:lineRule="exact"/>
        <w:rPr>
          <w:sz w:val="24"/>
          <w:szCs w:val="24"/>
          <w:color w:val="auto"/>
        </w:rPr>
      </w:pPr>
    </w:p>
    <w:p>
      <w:pPr>
        <w:ind w:left="40"/>
        <w:spacing w:after="0"/>
        <w:rPr>
          <w:sz w:val="20"/>
          <w:szCs w:val="20"/>
          <w:color w:val="auto"/>
        </w:rPr>
      </w:pPr>
      <w:r>
        <w:rPr>
          <w:rFonts w:ascii="Arial" w:cs="Arial" w:eastAsia="Arial" w:hAnsi="Arial"/>
          <w:sz w:val="14"/>
          <w:szCs w:val="14"/>
          <w:color w:val="auto"/>
        </w:rPr>
        <w:t>Common Stock, par value $0.01 per share</w:t>
      </w:r>
    </w:p>
    <w:p>
      <w:pPr>
        <w:spacing w:after="0" w:line="123" w:lineRule="exact"/>
        <w:rPr>
          <w:sz w:val="24"/>
          <w:szCs w:val="24"/>
          <w:color w:val="auto"/>
        </w:rPr>
      </w:pPr>
    </w:p>
    <w:p>
      <w:pPr>
        <w:ind w:left="40"/>
        <w:spacing w:after="0"/>
        <w:rPr>
          <w:sz w:val="20"/>
          <w:szCs w:val="20"/>
          <w:color w:val="auto"/>
        </w:rPr>
      </w:pPr>
      <w:r>
        <w:rPr>
          <w:rFonts w:ascii="Arial" w:cs="Arial" w:eastAsia="Arial" w:hAnsi="Arial"/>
          <w:sz w:val="14"/>
          <w:szCs w:val="14"/>
          <w:color w:val="auto"/>
        </w:rPr>
        <w:t>5.10% Fixed-to-Floating Rate Subordinated Debentures due 2053</w:t>
      </w:r>
    </w:p>
    <w:p>
      <w:pPr>
        <w:spacing w:after="0" w:line="42" w:lineRule="exact"/>
        <w:rPr>
          <w:sz w:val="24"/>
          <w:szCs w:val="24"/>
          <w:color w:val="auto"/>
        </w:rPr>
      </w:pPr>
    </w:p>
    <w:p>
      <w:pPr>
        <w:ind w:left="40" w:right="1100"/>
        <w:spacing w:after="0" w:line="253" w:lineRule="auto"/>
        <w:rPr>
          <w:sz w:val="20"/>
          <w:szCs w:val="20"/>
          <w:color w:val="auto"/>
        </w:rPr>
      </w:pPr>
      <w:r>
        <w:rPr>
          <w:rFonts w:ascii="Arial" w:cs="Arial" w:eastAsia="Arial" w:hAnsi="Arial"/>
          <w:sz w:val="14"/>
          <w:szCs w:val="14"/>
          <w:color w:val="auto"/>
        </w:rPr>
        <w:t>Depositary Shares each representing a 1/1,000</w:t>
      </w:r>
      <w:r>
        <w:rPr>
          <w:rFonts w:ascii="Arial" w:cs="Arial" w:eastAsia="Arial" w:hAnsi="Arial"/>
          <w:sz w:val="8"/>
          <w:szCs w:val="8"/>
          <w:color w:val="auto"/>
        </w:rPr>
        <w:t>th</w:t>
      </w:r>
      <w:r>
        <w:rPr>
          <w:rFonts w:ascii="Arial" w:cs="Arial" w:eastAsia="Arial" w:hAnsi="Arial"/>
          <w:sz w:val="14"/>
          <w:szCs w:val="14"/>
          <w:color w:val="auto"/>
        </w:rPr>
        <w:t xml:space="preserve"> interest in a share of Fixed Rate Noncumulative Perpetual Preferred Stock, Series A</w:t>
      </w:r>
    </w:p>
    <w:p>
      <w:pPr>
        <w:spacing w:after="0" w:line="12" w:lineRule="exact"/>
        <w:rPr>
          <w:sz w:val="24"/>
          <w:szCs w:val="24"/>
          <w:color w:val="auto"/>
        </w:rPr>
      </w:pPr>
    </w:p>
    <w:p>
      <w:pPr>
        <w:ind w:left="40" w:right="1100"/>
        <w:spacing w:after="0" w:line="253" w:lineRule="auto"/>
        <w:rPr>
          <w:sz w:val="20"/>
          <w:szCs w:val="20"/>
          <w:color w:val="auto"/>
        </w:rPr>
      </w:pPr>
      <w:r>
        <w:rPr>
          <w:rFonts w:ascii="Arial" w:cs="Arial" w:eastAsia="Arial" w:hAnsi="Arial"/>
          <w:sz w:val="14"/>
          <w:szCs w:val="14"/>
          <w:color w:val="auto"/>
        </w:rPr>
        <w:t>Depositary Shares each representing a 1/1,000</w:t>
      </w:r>
      <w:r>
        <w:rPr>
          <w:rFonts w:ascii="Arial" w:cs="Arial" w:eastAsia="Arial" w:hAnsi="Arial"/>
          <w:sz w:val="8"/>
          <w:szCs w:val="8"/>
          <w:color w:val="auto"/>
        </w:rPr>
        <w:t>th</w:t>
      </w:r>
      <w:r>
        <w:rPr>
          <w:rFonts w:ascii="Arial" w:cs="Arial" w:eastAsia="Arial" w:hAnsi="Arial"/>
          <w:sz w:val="14"/>
          <w:szCs w:val="14"/>
          <w:color w:val="auto"/>
        </w:rPr>
        <w:t xml:space="preserve"> interest in a share of Fixed Rate Noncumulative Perpetual Preferred Stock, Series D</w:t>
      </w:r>
    </w:p>
    <w:p>
      <w:pPr>
        <w:spacing w:after="0" w:line="12" w:lineRule="exact"/>
        <w:rPr>
          <w:sz w:val="24"/>
          <w:szCs w:val="24"/>
          <w:color w:val="auto"/>
        </w:rPr>
      </w:pPr>
    </w:p>
    <w:p>
      <w:pPr>
        <w:ind w:left="40" w:right="1100"/>
        <w:spacing w:after="0" w:line="253" w:lineRule="auto"/>
        <w:rPr>
          <w:sz w:val="20"/>
          <w:szCs w:val="20"/>
          <w:color w:val="auto"/>
        </w:rPr>
      </w:pPr>
      <w:r>
        <w:rPr>
          <w:rFonts w:ascii="Arial" w:cs="Arial" w:eastAsia="Arial" w:hAnsi="Arial"/>
          <w:sz w:val="14"/>
          <w:szCs w:val="14"/>
          <w:color w:val="auto"/>
        </w:rPr>
        <w:t>Depositary Shares each representing a 1/1,000</w:t>
      </w:r>
      <w:r>
        <w:rPr>
          <w:rFonts w:ascii="Arial" w:cs="Arial" w:eastAsia="Arial" w:hAnsi="Arial"/>
          <w:sz w:val="8"/>
          <w:szCs w:val="8"/>
          <w:color w:val="auto"/>
        </w:rPr>
        <w:t>th</w:t>
      </w:r>
      <w:r>
        <w:rPr>
          <w:rFonts w:ascii="Arial" w:cs="Arial" w:eastAsia="Arial" w:hAnsi="Arial"/>
          <w:sz w:val="14"/>
          <w:szCs w:val="14"/>
          <w:color w:val="auto"/>
        </w:rPr>
        <w:t xml:space="preserve"> interest in a share of Fixed Rate Noncumulative Perpetual Preferred Stock, Series E</w:t>
      </w:r>
    </w:p>
    <w:p>
      <w:pPr>
        <w:spacing w:after="0" w:line="12" w:lineRule="exact"/>
        <w:rPr>
          <w:sz w:val="24"/>
          <w:szCs w:val="24"/>
          <w:color w:val="auto"/>
        </w:rPr>
      </w:pPr>
    </w:p>
    <w:p>
      <w:pPr>
        <w:ind w:left="40" w:right="1100"/>
        <w:spacing w:after="0" w:line="253" w:lineRule="auto"/>
        <w:rPr>
          <w:sz w:val="20"/>
          <w:szCs w:val="20"/>
          <w:color w:val="auto"/>
        </w:rPr>
      </w:pPr>
      <w:r>
        <w:rPr>
          <w:rFonts w:ascii="Arial" w:cs="Arial" w:eastAsia="Arial" w:hAnsi="Arial"/>
          <w:sz w:val="14"/>
          <w:szCs w:val="14"/>
          <w:color w:val="auto"/>
        </w:rPr>
        <w:t>Depositary Shares each representing a 1/1,000</w:t>
      </w:r>
      <w:r>
        <w:rPr>
          <w:rFonts w:ascii="Arial" w:cs="Arial" w:eastAsia="Arial" w:hAnsi="Arial"/>
          <w:sz w:val="8"/>
          <w:szCs w:val="8"/>
          <w:color w:val="auto"/>
        </w:rPr>
        <w:t>th</w:t>
      </w:r>
      <w:r>
        <w:rPr>
          <w:rFonts w:ascii="Arial" w:cs="Arial" w:eastAsia="Arial" w:hAnsi="Arial"/>
          <w:sz w:val="14"/>
          <w:szCs w:val="14"/>
          <w:color w:val="auto"/>
        </w:rPr>
        <w:t xml:space="preserve"> interest in a share of Fixed Rate Noncumulative Perpetual Preferred Stock, Series F</w:t>
      </w:r>
    </w:p>
    <w:p>
      <w:pPr>
        <w:spacing w:after="0" w:line="12" w:lineRule="exact"/>
        <w:rPr>
          <w:sz w:val="24"/>
          <w:szCs w:val="24"/>
          <w:color w:val="auto"/>
        </w:rPr>
      </w:pPr>
    </w:p>
    <w:p>
      <w:pPr>
        <w:ind w:left="40" w:right="1100"/>
        <w:spacing w:after="0" w:line="253" w:lineRule="auto"/>
        <w:rPr>
          <w:sz w:val="20"/>
          <w:szCs w:val="20"/>
          <w:color w:val="auto"/>
        </w:rPr>
      </w:pPr>
      <w:r>
        <w:rPr>
          <w:rFonts w:ascii="Arial" w:cs="Arial" w:eastAsia="Arial" w:hAnsi="Arial"/>
          <w:sz w:val="14"/>
          <w:szCs w:val="14"/>
          <w:color w:val="auto"/>
        </w:rPr>
        <w:t>Depositary Shares each representing a 1/1,000</w:t>
      </w:r>
      <w:r>
        <w:rPr>
          <w:rFonts w:ascii="Arial" w:cs="Arial" w:eastAsia="Arial" w:hAnsi="Arial"/>
          <w:sz w:val="8"/>
          <w:szCs w:val="8"/>
          <w:color w:val="auto"/>
        </w:rPr>
        <w:t>th</w:t>
      </w:r>
      <w:r>
        <w:rPr>
          <w:rFonts w:ascii="Arial" w:cs="Arial" w:eastAsia="Arial" w:hAnsi="Arial"/>
          <w:sz w:val="14"/>
          <w:szCs w:val="14"/>
          <w:color w:val="auto"/>
        </w:rPr>
        <w:t xml:space="preserve"> interest in a share of Fixed Rate Noncumulative Perpetual Preferred Stock, Series G</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80" w:type="dxa"/>
            <w:vAlign w:val="bottom"/>
          </w:tcPr>
          <w:p>
            <w:pPr>
              <w:jc w:val="center"/>
              <w:ind w:right="468"/>
              <w:spacing w:after="0"/>
              <w:rPr>
                <w:sz w:val="20"/>
                <w:szCs w:val="20"/>
                <w:color w:val="auto"/>
              </w:rPr>
            </w:pPr>
            <w:r>
              <w:rPr>
                <w:rFonts w:ascii="Arial" w:cs="Arial" w:eastAsia="Arial" w:hAnsi="Arial"/>
                <w:sz w:val="14"/>
                <w:szCs w:val="14"/>
                <w:b w:val="1"/>
                <w:bCs w:val="1"/>
                <w:color w:val="auto"/>
                <w:w w:val="92"/>
              </w:rPr>
              <w:t>Trading Symbol(s)</w:t>
            </w:r>
          </w:p>
        </w:tc>
        <w:tc>
          <w:tcPr>
            <w:tcW w:w="3200" w:type="dxa"/>
            <w:vAlign w:val="bottom"/>
          </w:tcPr>
          <w:p>
            <w:pPr>
              <w:jc w:val="center"/>
              <w:ind w:left="448"/>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69"/>
        </w:trPr>
        <w:tc>
          <w:tcPr>
            <w:tcW w:w="1680" w:type="dxa"/>
            <w:vAlign w:val="bottom"/>
            <w:vMerge w:val="restart"/>
          </w:tcPr>
          <w:p>
            <w:pPr>
              <w:jc w:val="center"/>
              <w:ind w:right="448"/>
              <w:spacing w:after="0"/>
              <w:rPr>
                <w:sz w:val="20"/>
                <w:szCs w:val="20"/>
                <w:color w:val="auto"/>
              </w:rPr>
            </w:pPr>
            <w:r>
              <w:rPr>
                <w:rFonts w:ascii="Arial" w:cs="Arial" w:eastAsia="Arial" w:hAnsi="Arial"/>
                <w:sz w:val="14"/>
                <w:szCs w:val="14"/>
                <w:color w:val="auto"/>
              </w:rPr>
              <w:t>ALL</w:t>
            </w:r>
          </w:p>
        </w:tc>
        <w:tc>
          <w:tcPr>
            <w:tcW w:w="3200" w:type="dxa"/>
            <w:vAlign w:val="bottom"/>
          </w:tcPr>
          <w:p>
            <w:pPr>
              <w:jc w:val="center"/>
              <w:ind w:left="44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101"/>
        </w:trPr>
        <w:tc>
          <w:tcPr>
            <w:tcW w:w="1680" w:type="dxa"/>
            <w:vAlign w:val="bottom"/>
            <w:vMerge w:val="continue"/>
          </w:tcPr>
          <w:p>
            <w:pPr>
              <w:spacing w:after="0"/>
              <w:rPr>
                <w:sz w:val="8"/>
                <w:szCs w:val="8"/>
                <w:color w:val="auto"/>
              </w:rPr>
            </w:pPr>
          </w:p>
        </w:tc>
        <w:tc>
          <w:tcPr>
            <w:tcW w:w="3200" w:type="dxa"/>
            <w:vAlign w:val="bottom"/>
            <w:vMerge w:val="restart"/>
          </w:tcPr>
          <w:p>
            <w:pPr>
              <w:jc w:val="center"/>
              <w:ind w:left="448"/>
              <w:spacing w:after="0"/>
              <w:rPr>
                <w:sz w:val="20"/>
                <w:szCs w:val="20"/>
                <w:color w:val="auto"/>
              </w:rPr>
            </w:pPr>
            <w:r>
              <w:rPr>
                <w:rFonts w:ascii="Arial" w:cs="Arial" w:eastAsia="Arial" w:hAnsi="Arial"/>
                <w:sz w:val="14"/>
                <w:szCs w:val="14"/>
                <w:color w:val="auto"/>
                <w:w w:val="92"/>
              </w:rPr>
              <w:t>Chicago Stock Exchange</w:t>
            </w: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680" w:type="dxa"/>
            <w:vAlign w:val="bottom"/>
          </w:tcPr>
          <w:p>
            <w:pPr>
              <w:jc w:val="center"/>
              <w:ind w:right="468"/>
              <w:spacing w:after="0"/>
              <w:rPr>
                <w:sz w:val="20"/>
                <w:szCs w:val="20"/>
                <w:color w:val="auto"/>
              </w:rPr>
            </w:pPr>
            <w:r>
              <w:rPr>
                <w:rFonts w:ascii="Arial" w:cs="Arial" w:eastAsia="Arial" w:hAnsi="Arial"/>
                <w:sz w:val="14"/>
                <w:szCs w:val="14"/>
                <w:color w:val="auto"/>
              </w:rPr>
              <w:t>ALL.PR.B</w:t>
            </w:r>
          </w:p>
        </w:tc>
        <w:tc>
          <w:tcPr>
            <w:tcW w:w="3200" w:type="dxa"/>
            <w:vAlign w:val="bottom"/>
          </w:tcPr>
          <w:p>
            <w:pPr>
              <w:jc w:val="center"/>
              <w:ind w:left="44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270"/>
        </w:trPr>
        <w:tc>
          <w:tcPr>
            <w:tcW w:w="1680" w:type="dxa"/>
            <w:vAlign w:val="bottom"/>
          </w:tcPr>
          <w:p>
            <w:pPr>
              <w:jc w:val="center"/>
              <w:ind w:right="468"/>
              <w:spacing w:after="0"/>
              <w:rPr>
                <w:sz w:val="20"/>
                <w:szCs w:val="20"/>
                <w:color w:val="auto"/>
              </w:rPr>
            </w:pPr>
            <w:r>
              <w:rPr>
                <w:rFonts w:ascii="Arial" w:cs="Arial" w:eastAsia="Arial" w:hAnsi="Arial"/>
                <w:sz w:val="14"/>
                <w:szCs w:val="14"/>
                <w:color w:val="auto"/>
              </w:rPr>
              <w:t>ALL PR A</w:t>
            </w:r>
          </w:p>
        </w:tc>
        <w:tc>
          <w:tcPr>
            <w:tcW w:w="3200" w:type="dxa"/>
            <w:vAlign w:val="bottom"/>
          </w:tcPr>
          <w:p>
            <w:pPr>
              <w:jc w:val="center"/>
              <w:ind w:left="44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351"/>
        </w:trPr>
        <w:tc>
          <w:tcPr>
            <w:tcW w:w="1680" w:type="dxa"/>
            <w:vAlign w:val="bottom"/>
          </w:tcPr>
          <w:p>
            <w:pPr>
              <w:jc w:val="center"/>
              <w:ind w:right="468"/>
              <w:spacing w:after="0"/>
              <w:rPr>
                <w:sz w:val="20"/>
                <w:szCs w:val="20"/>
                <w:color w:val="auto"/>
              </w:rPr>
            </w:pPr>
            <w:r>
              <w:rPr>
                <w:rFonts w:ascii="Arial" w:cs="Arial" w:eastAsia="Arial" w:hAnsi="Arial"/>
                <w:sz w:val="14"/>
                <w:szCs w:val="14"/>
                <w:color w:val="auto"/>
                <w:w w:val="99"/>
              </w:rPr>
              <w:t>ALL PR D</w:t>
            </w:r>
          </w:p>
        </w:tc>
        <w:tc>
          <w:tcPr>
            <w:tcW w:w="3200" w:type="dxa"/>
            <w:vAlign w:val="bottom"/>
          </w:tcPr>
          <w:p>
            <w:pPr>
              <w:jc w:val="center"/>
              <w:ind w:left="44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351"/>
        </w:trPr>
        <w:tc>
          <w:tcPr>
            <w:tcW w:w="1680" w:type="dxa"/>
            <w:vAlign w:val="bottom"/>
          </w:tcPr>
          <w:p>
            <w:pPr>
              <w:jc w:val="center"/>
              <w:ind w:right="468"/>
              <w:spacing w:after="0"/>
              <w:rPr>
                <w:sz w:val="20"/>
                <w:szCs w:val="20"/>
                <w:color w:val="auto"/>
              </w:rPr>
            </w:pPr>
            <w:r>
              <w:rPr>
                <w:rFonts w:ascii="Arial" w:cs="Arial" w:eastAsia="Arial" w:hAnsi="Arial"/>
                <w:sz w:val="14"/>
                <w:szCs w:val="14"/>
                <w:color w:val="auto"/>
              </w:rPr>
              <w:t>ALL PR E</w:t>
            </w:r>
          </w:p>
        </w:tc>
        <w:tc>
          <w:tcPr>
            <w:tcW w:w="3200" w:type="dxa"/>
            <w:vAlign w:val="bottom"/>
          </w:tcPr>
          <w:p>
            <w:pPr>
              <w:jc w:val="center"/>
              <w:ind w:left="44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351"/>
        </w:trPr>
        <w:tc>
          <w:tcPr>
            <w:tcW w:w="1680" w:type="dxa"/>
            <w:vAlign w:val="bottom"/>
          </w:tcPr>
          <w:p>
            <w:pPr>
              <w:jc w:val="center"/>
              <w:ind w:right="468"/>
              <w:spacing w:after="0"/>
              <w:rPr>
                <w:sz w:val="20"/>
                <w:szCs w:val="20"/>
                <w:color w:val="auto"/>
              </w:rPr>
            </w:pPr>
            <w:r>
              <w:rPr>
                <w:rFonts w:ascii="Arial" w:cs="Arial" w:eastAsia="Arial" w:hAnsi="Arial"/>
                <w:sz w:val="14"/>
                <w:szCs w:val="14"/>
                <w:color w:val="auto"/>
              </w:rPr>
              <w:t>ALL PR F</w:t>
            </w:r>
          </w:p>
        </w:tc>
        <w:tc>
          <w:tcPr>
            <w:tcW w:w="3200" w:type="dxa"/>
            <w:vAlign w:val="bottom"/>
          </w:tcPr>
          <w:p>
            <w:pPr>
              <w:jc w:val="center"/>
              <w:ind w:left="44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r>
        <w:trPr>
          <w:trHeight w:val="351"/>
        </w:trPr>
        <w:tc>
          <w:tcPr>
            <w:tcW w:w="1680" w:type="dxa"/>
            <w:vAlign w:val="bottom"/>
          </w:tcPr>
          <w:p>
            <w:pPr>
              <w:jc w:val="center"/>
              <w:ind w:right="468"/>
              <w:spacing w:after="0"/>
              <w:rPr>
                <w:sz w:val="20"/>
                <w:szCs w:val="20"/>
                <w:color w:val="auto"/>
              </w:rPr>
            </w:pPr>
            <w:r>
              <w:rPr>
                <w:rFonts w:ascii="Arial" w:cs="Arial" w:eastAsia="Arial" w:hAnsi="Arial"/>
                <w:sz w:val="14"/>
                <w:szCs w:val="14"/>
                <w:color w:val="auto"/>
                <w:w w:val="98"/>
              </w:rPr>
              <w:t>ALL PR G</w:t>
            </w:r>
          </w:p>
        </w:tc>
        <w:tc>
          <w:tcPr>
            <w:tcW w:w="3200" w:type="dxa"/>
            <w:vAlign w:val="bottom"/>
          </w:tcPr>
          <w:p>
            <w:pPr>
              <w:jc w:val="center"/>
              <w:ind w:left="448"/>
              <w:spacing w:after="0"/>
              <w:rPr>
                <w:sz w:val="20"/>
                <w:szCs w:val="20"/>
                <w:color w:val="auto"/>
              </w:rPr>
            </w:pPr>
            <w:r>
              <w:rPr>
                <w:rFonts w:ascii="Arial" w:cs="Arial" w:eastAsia="Arial" w:hAnsi="Arial"/>
                <w:sz w:val="14"/>
                <w:szCs w:val="14"/>
                <w:color w:val="auto"/>
                <w:w w:val="94"/>
              </w:rPr>
              <w:t>New York Stock Exchange</w:t>
            </w:r>
          </w:p>
        </w:tc>
        <w:tc>
          <w:tcPr>
            <w:tcW w:w="0" w:type="dxa"/>
            <w:vAlign w:val="bottom"/>
          </w:tcPr>
          <w:p>
            <w:pPr>
              <w:spacing w:after="0"/>
              <w:rPr>
                <w:sz w:val="1"/>
                <w:szCs w:val="1"/>
                <w:color w:val="auto"/>
              </w:rPr>
            </w:pPr>
          </w:p>
        </w:tc>
      </w:tr>
    </w:tbl>
    <w:p>
      <w:pPr>
        <w:spacing w:after="0" w:line="186" w:lineRule="exact"/>
        <w:rPr>
          <w:sz w:val="24"/>
          <w:szCs w:val="24"/>
          <w:color w:val="auto"/>
        </w:rPr>
      </w:pPr>
    </w:p>
    <w:p>
      <w:pPr>
        <w:sectPr>
          <w:pgSz w:w="11900" w:h="16838" w:orient="portrait"/>
          <w:cols w:equalWidth="0" w:num="2">
            <w:col w:w="5740" w:space="720"/>
            <w:col w:w="4900"/>
          </w:cols>
          <w:pgMar w:left="240" w:top="693" w:right="29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6660"/>
        <w:spacing w:after="0"/>
        <w:tabs>
          <w:tab w:leader="none" w:pos="96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____</w:t>
      </w:r>
    </w:p>
    <w:p>
      <w:pPr>
        <w:spacing w:after="0" w:line="141" w:lineRule="exact"/>
        <w:rPr>
          <w:sz w:val="24"/>
          <w:szCs w:val="24"/>
          <w:color w:val="auto"/>
        </w:rPr>
      </w:pPr>
    </w:p>
    <w:p>
      <w:pPr>
        <w:ind w:right="120"/>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____</w:t>
      </w: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69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Registrant’s press release dated May 16, 2019, announcing its estimated catastrophe losses for April 2019 is attached hereto as Exhibit 99 and is incorporated herein by reference. The press release is furnished and not filed, pursuant to Instruction B.2 of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9460" w:type="dxa"/>
            <w:vAlign w:val="bottom"/>
            <w:gridSpan w:val="4"/>
          </w:tcPr>
          <w:p>
            <w:pPr>
              <w:ind w:left="6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40" w:type="dxa"/>
            <w:vAlign w:val="bottom"/>
          </w:tcPr>
          <w:p>
            <w:pPr>
              <w:spacing w:after="0"/>
              <w:rPr>
                <w:sz w:val="24"/>
                <w:szCs w:val="24"/>
                <w:color w:val="auto"/>
              </w:rPr>
            </w:pPr>
          </w:p>
        </w:tc>
        <w:tc>
          <w:tcPr>
            <w:tcW w:w="1440" w:type="dxa"/>
            <w:vAlign w:val="bottom"/>
            <w:gridSpan w:val="2"/>
          </w:tcPr>
          <w:p>
            <w:pPr>
              <w:ind w:left="620"/>
              <w:spacing w:after="0"/>
              <w:rPr>
                <w:sz w:val="20"/>
                <w:szCs w:val="20"/>
                <w:color w:val="auto"/>
              </w:rPr>
            </w:pPr>
            <w:r>
              <w:rPr>
                <w:rFonts w:ascii="Arial" w:cs="Arial" w:eastAsia="Arial" w:hAnsi="Arial"/>
                <w:sz w:val="18"/>
                <w:szCs w:val="18"/>
                <w:color w:val="auto"/>
              </w:rPr>
              <w:t>(d)</w:t>
            </w:r>
          </w:p>
        </w:tc>
        <w:tc>
          <w:tcPr>
            <w:tcW w:w="9460" w:type="dxa"/>
            <w:vAlign w:val="bottom"/>
            <w:gridSpan w:val="4"/>
          </w:tcPr>
          <w:p>
            <w:pPr>
              <w:ind w:left="700"/>
              <w:spacing w:after="0"/>
              <w:rPr>
                <w:sz w:val="20"/>
                <w:szCs w:val="20"/>
                <w:color w:val="auto"/>
              </w:rPr>
            </w:pPr>
            <w:r>
              <w:rPr>
                <w:rFonts w:ascii="Arial" w:cs="Arial" w:eastAsia="Arial" w:hAnsi="Arial"/>
                <w:sz w:val="18"/>
                <w:szCs w:val="18"/>
                <w:color w:val="auto"/>
              </w:rPr>
              <w:t>Exhibits</w:t>
            </w:r>
          </w:p>
        </w:tc>
      </w:tr>
      <w:tr>
        <w:trPr>
          <w:trHeight w:val="554"/>
        </w:trPr>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6520" w:type="dxa"/>
            <w:vAlign w:val="bottom"/>
            <w:gridSpan w:val="2"/>
          </w:tcPr>
          <w:p>
            <w:pPr>
              <w:spacing w:after="0"/>
              <w:rPr>
                <w:sz w:val="24"/>
                <w:szCs w:val="24"/>
                <w:color w:val="auto"/>
              </w:rPr>
            </w:pPr>
          </w:p>
        </w:tc>
      </w:tr>
      <w:tr>
        <w:trPr>
          <w:trHeight w:val="520"/>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99</w:t>
            </w:r>
          </w:p>
        </w:tc>
        <w:tc>
          <w:tcPr>
            <w:tcW w:w="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36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Registrant’s press release dated May 16, 2019. The press release is furnished and not filed, pursuant to</w:t>
              </w:r>
            </w:hyperlink>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8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w:anchor="page4">
              <w:r>
                <w:rPr>
                  <w:rFonts w:ascii="Arial" w:cs="Arial" w:eastAsia="Arial" w:hAnsi="Arial"/>
                  <w:sz w:val="18"/>
                  <w:szCs w:val="18"/>
                  <w:color w:val="0000FF"/>
                  <w:w w:val="93"/>
                </w:rPr>
                <w:t>Instruction B.2 of Form 8-K.</w:t>
              </w:r>
            </w:hyperlink>
          </w:p>
        </w:tc>
        <w:tc>
          <w:tcPr>
            <w:tcW w:w="52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240" w:top="580" w:right="539" w:bottom="1440" w:gutter="0" w:footer="0" w:header="0"/>
        </w:sectPr>
      </w:pPr>
    </w:p>
    <w:bookmarkStart w:id="2" w:name="page3"/>
    <w:bookmarkEnd w:id="2"/>
    <w:p>
      <w:pPr>
        <w:ind w:left="5020"/>
        <w:spacing w:after="0"/>
        <w:rPr>
          <w:sz w:val="20"/>
          <w:szCs w:val="20"/>
          <w:color w:val="auto"/>
        </w:rPr>
      </w:pPr>
      <w:r>
        <w:rPr>
          <w:rFonts w:ascii="Arial" w:cs="Arial" w:eastAsia="Arial" w:hAnsi="Arial"/>
          <w:sz w:val="22"/>
          <w:szCs w:val="22"/>
          <w:b w:val="1"/>
          <w:bCs w:val="1"/>
          <w:color w:val="auto"/>
        </w:rPr>
        <w:t>SIGNATURES</w:t>
      </w:r>
    </w:p>
    <w:p>
      <w:pPr>
        <w:spacing w:after="0" w:line="26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THE ALLSTATE CORPORATION</w:t>
      </w:r>
    </w:p>
    <w:p>
      <w:pPr>
        <w:spacing w:after="0" w:line="67" w:lineRule="exact"/>
        <w:rPr>
          <w:sz w:val="20"/>
          <w:szCs w:val="20"/>
          <w:color w:val="auto"/>
        </w:rPr>
      </w:pPr>
    </w:p>
    <w:tbl>
      <w:tblPr>
        <w:tblLayout w:type="fixed"/>
        <w:tblInd w:w="482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(Registrant)</w:t>
            </w: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1100" w:type="dxa"/>
            <w:vAlign w:val="bottom"/>
          </w:tcPr>
          <w:p>
            <w:pPr>
              <w:spacing w:after="0"/>
              <w:rPr>
                <w:sz w:val="20"/>
                <w:szCs w:val="20"/>
                <w:color w:val="auto"/>
              </w:rPr>
            </w:pPr>
            <w:r>
              <w:rPr>
                <w:rFonts w:ascii="Arial" w:cs="Arial" w:eastAsia="Arial" w:hAnsi="Arial"/>
                <w:sz w:val="18"/>
                <w:szCs w:val="18"/>
                <w:color w:val="auto"/>
              </w:rPr>
              <w:t>By:</w:t>
            </w:r>
          </w:p>
        </w:tc>
        <w:tc>
          <w:tcPr>
            <w:tcW w:w="4280" w:type="dxa"/>
            <w:vAlign w:val="bottom"/>
          </w:tcPr>
          <w:p>
            <w:pPr>
              <w:ind w:left="40"/>
              <w:spacing w:after="0"/>
              <w:rPr>
                <w:sz w:val="20"/>
                <w:szCs w:val="20"/>
                <w:color w:val="auto"/>
              </w:rPr>
            </w:pPr>
            <w:r>
              <w:rPr>
                <w:rFonts w:ascii="Arial" w:cs="Arial" w:eastAsia="Arial" w:hAnsi="Arial"/>
                <w:sz w:val="18"/>
                <w:szCs w:val="18"/>
                <w:color w:val="auto"/>
              </w:rPr>
              <w:t>/s/ Daniel G. Gordon</w:t>
            </w:r>
          </w:p>
        </w:tc>
        <w:tc>
          <w:tcPr>
            <w:tcW w:w="0" w:type="dxa"/>
            <w:vAlign w:val="bottom"/>
          </w:tcPr>
          <w:p>
            <w:pPr>
              <w:spacing w:after="0"/>
              <w:rPr>
                <w:sz w:val="1"/>
                <w:szCs w:val="1"/>
                <w:color w:val="auto"/>
              </w:rPr>
            </w:pPr>
          </w:p>
        </w:tc>
      </w:tr>
      <w:tr>
        <w:trPr>
          <w:trHeight w:val="27"/>
        </w:trPr>
        <w:tc>
          <w:tcPr>
            <w:tcW w:w="11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00" w:type="dxa"/>
            <w:vAlign w:val="bottom"/>
            <w:vMerge w:val="continue"/>
          </w:tcPr>
          <w:p>
            <w:pPr>
              <w:spacing w:after="0"/>
              <w:rPr>
                <w:sz w:val="20"/>
                <w:szCs w:val="20"/>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Daniel G. Gordon</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40"/>
              <w:spacing w:after="0"/>
              <w:rPr>
                <w:sz w:val="20"/>
                <w:szCs w:val="20"/>
                <w:color w:val="auto"/>
              </w:rPr>
            </w:pPr>
            <w:r>
              <w:rPr>
                <w:rFonts w:ascii="Arial" w:cs="Arial" w:eastAsia="Arial" w:hAnsi="Arial"/>
                <w:sz w:val="18"/>
                <w:szCs w:val="18"/>
                <w:color w:val="auto"/>
              </w:rPr>
              <w:t>Vice President, Assistant General</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3"/>
                <w:szCs w:val="23"/>
                <w:color w:val="auto"/>
              </w:rPr>
            </w:pPr>
          </w:p>
        </w:tc>
        <w:tc>
          <w:tcPr>
            <w:tcW w:w="4280" w:type="dxa"/>
            <w:vAlign w:val="bottom"/>
          </w:tcPr>
          <w:p>
            <w:pPr>
              <w:ind w:left="40"/>
              <w:spacing w:after="0"/>
              <w:rPr>
                <w:sz w:val="20"/>
                <w:szCs w:val="20"/>
                <w:color w:val="auto"/>
              </w:rPr>
            </w:pPr>
            <w:r>
              <w:rPr>
                <w:rFonts w:ascii="Arial" w:cs="Arial" w:eastAsia="Arial" w:hAnsi="Arial"/>
                <w:sz w:val="18"/>
                <w:szCs w:val="18"/>
                <w:color w:val="auto"/>
              </w:rPr>
              <w:t>Counsel and Assistant Secretary</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240" w:top="585" w:right="10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346075</wp:posOffset>
            </wp:positionV>
            <wp:extent cx="79756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75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54"/>
          <w:szCs w:val="54"/>
          <w:color w:val="auto"/>
        </w:rPr>
        <w:t>NEWS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838" w:orient="portrait"/>
          <w:cols w:equalWidth="0" w:num="1">
            <w:col w:w="11420"/>
          </w:cols>
          <w:pgMar w:left="240" w:top="144" w:right="239" w:bottom="1440" w:gutter="0" w:footer="0" w:header="0"/>
        </w:sectPr>
      </w:pP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Contacts: Greg Burns Media Relations (847) 402-5600</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John Griek</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(847) 402-2800</w:t>
      </w:r>
    </w:p>
    <w:p>
      <w:pPr>
        <w:spacing w:after="0" w:line="220" w:lineRule="exact"/>
        <w:rPr>
          <w:sz w:val="20"/>
          <w:szCs w:val="20"/>
          <w:color w:val="auto"/>
        </w:rPr>
      </w:pPr>
    </w:p>
    <w:p>
      <w:pPr>
        <w:sectPr>
          <w:pgSz w:w="11900" w:h="16838" w:orient="portrait"/>
          <w:cols w:equalWidth="0" w:num="2">
            <w:col w:w="1300" w:space="420"/>
            <w:col w:w="9700"/>
          </w:cols>
          <w:pgMar w:left="240" w:top="144" w:right="239" w:bottom="1440" w:gutter="0" w:footer="0" w:header="0"/>
          <w:type w:val="continuous"/>
        </w:sectPr>
      </w:pP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Allstate Announces April 2019 Catastrophe Loss Estimate</w:t>
      </w:r>
    </w:p>
    <w:p>
      <w:pPr>
        <w:spacing w:after="0" w:line="238"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NORTHBROOK, Ill., May 16, 2019 – The Allstate Corporation (NYSE: ALL) today announced estimated catastrophe losses for the month of April 2019 of $290 million, pre-tax ($229 million, after-tax). Catastrophe losses occurring in April comprised seven events at an estimated cost of $259 million, pre-tax ($205 million, after-tax), plus unfavorable reserve reestimates of prior period catastrophe losses. Two wind/hail events, primarily impacting Texas, accounted for approximately 70% of April event catastrophe losses.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Financial information, including material announcements about The Allstate Corporation, is routinely posted on </w:t>
      </w:r>
      <w:r>
        <w:rPr>
          <w:rFonts w:ascii="Arial" w:cs="Arial" w:eastAsia="Arial" w:hAnsi="Arial"/>
          <w:sz w:val="16"/>
          <w:szCs w:val="16"/>
          <w:color w:val="484848"/>
        </w:rPr>
        <w:t>www.allstateinvestors.com.</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 #</w:t>
      </w:r>
    </w:p>
    <w:sectPr>
      <w:pgSz w:w="11900" w:h="16838" w:orient="portrait"/>
      <w:cols w:equalWidth="0" w:num="1">
        <w:col w:w="11420"/>
      </w:cols>
      <w:pgMar w:left="240" w:top="14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2019-12-28T12:17:11Z</dcterms:created>
  <dcterms:modified xsi:type="dcterms:W3CDTF">2019-12-28T12:17:11Z</dcterms:modified>
</cp:coreProperties>
</file>